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tni-20241231x10k.htm"/>
        <w:bookmarkStart w:id="1" w:name="ksatni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shd w:fill="00FF00" w:val="clear"/>
        </w:rPr>
      </w:pPr>
      <w:r>
        <w:rPr>
          <w:bdr w:val="single" w:sz="24" w:space="1" w:color="000000"/>
          <w:shd w:fill="00FF00" w:val="clear"/>
        </w:rPr>
        <w:t>​</w:t>
      </w:r>
    </w:p>
    <w:p>
      <w:pPr>
        <w:pStyle w:val="TextBody"/>
        <w:bidi w:val="0"/>
        <w:spacing w:before="0" w:after="0"/>
        <w:ind w:left="0" w:right="0" w:firstLine="720"/>
        <w:jc w:val="center"/>
        <w:rPr>
          <w:rFonts w:ascii="Times New Roman;Times;serif" w:hAnsi="Times New Roman;Times;serif"/>
          <w:b/>
          <w:sz w:val="28"/>
        </w:rPr>
      </w:pPr>
      <w:bookmarkStart w:id="2" w:name="_d5922d8f_704e_4ac9_bab5_ca9ab5c1aa8f"/>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Normal"/>
        <w:bidi w:val="0"/>
        <w:spacing w:before="0" w:after="0"/>
        <w:jc w:val="left"/>
        <w:rPr>
          <w:sz w:val="4"/>
          <w:szCs w:val="4"/>
        </w:rPr>
      </w:pPr>
      <w:r>
        <w:rPr>
          <w:sz w:val="4"/>
          <w:szCs w:val="4"/>
        </w:rPr>
      </w:r>
      <w:bookmarkStart w:id="3" w:name="Tc_s_E5ETl3jkayuYz9yZpP8w_6_0"/>
      <w:bookmarkStart w:id="4" w:name="Tc_SbRuDrWd00eCh0YF6WLLYg_5_1"/>
      <w:bookmarkStart w:id="5" w:name="Tc_KJNUYYl9vkuCgCyU1MWWaA_4_0"/>
      <w:bookmarkStart w:id="6" w:name="Tc_FOdgiv6tbkmdUjHHZTdc-Q_3_0"/>
      <w:bookmarkStart w:id="7" w:name="Tc_2jsvJvsyKEmmzOC1K9Y5RQ_2_1"/>
      <w:bookmarkStart w:id="8" w:name="Tc_IHKTbAX9ckaHO46lYpBW5Q_1_0"/>
      <w:bookmarkStart w:id="9" w:name="_74d38c1c_7b64_48fe_9659_42ee889036c8"/>
      <w:bookmarkStart w:id="10" w:name="Tc_s_E5ETl3jkayuYz9yZpP8w_6_0"/>
      <w:bookmarkStart w:id="11" w:name="Tc_SbRuDrWd00eCh0YF6WLLYg_5_1"/>
      <w:bookmarkStart w:id="12" w:name="Tc_KJNUYYl9vkuCgCyU1MWWaA_4_0"/>
      <w:bookmarkStart w:id="13" w:name="Tc_FOdgiv6tbkmdUjHHZTdc-Q_3_0"/>
      <w:bookmarkStart w:id="14" w:name="Tc_2jsvJvsyKEmmzOC1K9Y5RQ_2_1"/>
      <w:bookmarkStart w:id="15" w:name="Tc_IHKTbAX9ckaHO46lYpBW5Q_1_0"/>
      <w:bookmarkStart w:id="16" w:name="_74d38c1c_7b64_48fe_9659_42ee889036c8"/>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809"/>
        <w:gridCol w:w="9396"/>
      </w:tblGrid>
      <w:tr>
        <w:trPr/>
        <w:tc>
          <w:tcPr>
            <w:tcW w:w="809" w:type="dxa"/>
            <w:tcBorders/>
            <w:vAlign w:val="center"/>
          </w:tcPr>
          <w:p>
            <w:pPr>
              <w:pStyle w:val="TableContents"/>
              <w:bidi w:val="0"/>
              <w:spacing w:before="0" w:after="0"/>
              <w:ind w:left="0" w:right="0" w:hanging="0"/>
              <w:jc w:val="left"/>
              <w:rPr/>
            </w:pPr>
            <w:r>
              <w:rPr/>
              <w:t>​</w:t>
            </w:r>
          </w:p>
        </w:tc>
        <w:tc>
          <w:tcPr>
            <w:tcW w:w="9396" w:type="dxa"/>
            <w:tcBorders/>
            <w:vAlign w:val="center"/>
          </w:tcPr>
          <w:p>
            <w:pPr>
              <w:pStyle w:val="TableContents"/>
              <w:bidi w:val="0"/>
              <w:spacing w:before="0" w:after="0"/>
              <w:ind w:left="0" w:right="0" w:hanging="0"/>
              <w:jc w:val="left"/>
              <w:rPr/>
            </w:pPr>
            <w:r>
              <w:rPr/>
              <w:t>​</w:t>
            </w:r>
          </w:p>
        </w:tc>
      </w:tr>
      <w:tr>
        <w:trPr/>
        <w:tc>
          <w:tcPr>
            <w:tcW w:w="809"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 One)</w:t>
            </w:r>
          </w:p>
        </w:tc>
        <w:tc>
          <w:tcPr>
            <w:tcW w:w="9396" w:type="dxa"/>
            <w:tcBorders/>
            <w:vAlign w:val="center"/>
          </w:tcPr>
          <w:p>
            <w:pPr>
              <w:pStyle w:val="TableContents"/>
              <w:bidi w:val="0"/>
              <w:spacing w:before="0" w:after="0"/>
              <w:ind w:left="0" w:right="0" w:hanging="0"/>
              <w:jc w:val="left"/>
              <w:rPr/>
            </w:pPr>
            <w:r>
              <w:rPr/>
              <w:t>​</w:t>
            </w:r>
          </w:p>
        </w:tc>
      </w:tr>
      <w:tr>
        <w:trPr/>
        <w:tc>
          <w:tcPr>
            <w:tcW w:w="809" w:type="dxa"/>
            <w:tcBorders/>
            <w:vAlign w:val="center"/>
          </w:tcPr>
          <w:p>
            <w:pPr>
              <w:pStyle w:val="TableContents"/>
              <w:pBdr/>
              <w:bidi w:val="0"/>
              <w:spacing w:before="0" w:after="0"/>
              <w:ind w:left="0" w:right="0" w:hanging="0"/>
              <w:jc w:val="center"/>
              <w:rPr/>
            </w:pPr>
            <w:r>
              <w:rPr/>
              <w:t>☒</w:t>
            </w:r>
          </w:p>
        </w:tc>
        <w:tc>
          <w:tcPr>
            <w:tcW w:w="93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2024</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809" w:type="dxa"/>
            <w:tcBorders/>
            <w:vAlign w:val="center"/>
          </w:tcPr>
          <w:p>
            <w:pPr>
              <w:pStyle w:val="TableContents"/>
              <w:pBdr/>
              <w:bidi w:val="0"/>
              <w:spacing w:before="0" w:after="0"/>
              <w:ind w:left="0" w:right="0" w:hanging="0"/>
              <w:jc w:val="center"/>
              <w:rPr/>
            </w:pPr>
            <w:r>
              <w:rPr/>
              <w:t>☐</w:t>
            </w:r>
          </w:p>
        </w:tc>
        <w:tc>
          <w:tcPr>
            <w:tcW w:w="93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14"/>
              </w:rPr>
            </w:pPr>
            <w:r>
              <w:rPr>
                <w:rFonts w:ascii="Times New Roman;Times;serif" w:hAnsi="Times New Roman;Times;serif"/>
                <w:b/>
                <w:sz w:val="14"/>
              </w:rPr>
              <w:t xml:space="preserve">For the transition period from to </w:t>
            </w:r>
          </w:p>
        </w:tc>
      </w:tr>
    </w:tbl>
    <w:p>
      <w:pPr>
        <w:pStyle w:val="TextBody"/>
        <w:bidi w:val="0"/>
        <w:spacing w:before="0" w:after="0"/>
        <w:ind w:left="0" w:right="0" w:hanging="0"/>
        <w:jc w:val="left"/>
        <w:rPr/>
      </w:pPr>
      <w:r>
        <w:rPr/>
        <w:t>​</w:t>
      </w:r>
    </w:p>
    <w:p>
      <w:pPr>
        <w:pStyle w:val="TextBody"/>
        <w:bidi w:val="0"/>
        <w:spacing w:before="60" w:after="60"/>
        <w:ind w:left="0" w:right="0" w:hanging="0"/>
        <w:jc w:val="center"/>
        <w:rPr>
          <w:rFonts w:ascii="Times New Roman;Times;serif" w:hAnsi="Times New Roman;Times;serif"/>
          <w:b/>
          <w:sz w:val="18"/>
        </w:rPr>
      </w:pPr>
      <w:r>
        <w:rPr>
          <w:rFonts w:ascii="Times New Roman;Times;serif" w:hAnsi="Times New Roman;Times;serif"/>
          <w:b/>
          <w:sz w:val="18"/>
        </w:rPr>
        <w:t>Commission File No. 001-12593</w:t>
      </w:r>
    </w:p>
    <w:p>
      <w:pPr>
        <w:pStyle w:val="TextBody"/>
        <w:bidi w:val="0"/>
        <w:spacing w:before="0" w:after="60"/>
        <w:ind w:left="0" w:right="0" w:hanging="0"/>
        <w:jc w:val="center"/>
        <w:rPr>
          <w:rFonts w:ascii="Times New Roman;Times;serif" w:hAnsi="Times New Roman;Times;serif"/>
          <w:sz w:val="28"/>
        </w:rPr>
      </w:pPr>
      <w:r>
        <w:rPr>
          <w:rFonts w:ascii="Times New Roman;Times;serif" w:hAnsi="Times New Roman;Times;serif"/>
          <w:b/>
          <w:sz w:val="28"/>
        </w:rPr>
        <w:t>ATN INTERNATIONAL, INC.</w:t>
      </w:r>
      <w:r>
        <w:rPr>
          <w:rFonts w:ascii="Times New Roman;Times;serif" w:hAnsi="Times New Roman;Times;serif"/>
          <w:sz w:val="28"/>
        </w:rPr>
        <w:t xml:space="preserve"> </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3602" w:type="dxa"/>
        <w:jc w:val="left"/>
        <w:tblInd w:w="0" w:type="dxa"/>
        <w:tblLayout w:type="fixed"/>
        <w:tblCellMar>
          <w:top w:w="0" w:type="dxa"/>
          <w:left w:w="0" w:type="dxa"/>
          <w:bottom w:w="0" w:type="dxa"/>
          <w:right w:w="0" w:type="dxa"/>
        </w:tblCellMar>
      </w:tblPr>
      <w:tblGrid>
        <w:gridCol w:w="2386"/>
        <w:gridCol w:w="1216"/>
      </w:tblGrid>
      <w:tr>
        <w:trPr/>
        <w:tc>
          <w:tcPr>
            <w:tcW w:w="238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Delaware</w:t>
            </w:r>
            <w:r>
              <w:rPr>
                <w:rFonts w:ascii="Times New Roman;Times;serif" w:hAnsi="Times New Roman;Times;serif"/>
                <w:sz w:val="14"/>
              </w:rPr>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47-0728886</w:t>
            </w:r>
            <w:r>
              <w:rPr>
                <w:rFonts w:ascii="Times New Roman;Times;serif" w:hAnsi="Times New Roman;Times;serif"/>
                <w:sz w:val="14"/>
              </w:rPr>
              <w:br/>
              <w:t>(I.R.S. Employer</w:t>
              <w:br/>
              <w:t>Identification No.)</w:t>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500 Cummings Center</w:t>
              <w:br/>
              <w:t>Beverly, Massachusetts</w:t>
            </w:r>
            <w:r>
              <w:rPr>
                <w:rFonts w:ascii="Times New Roman;Times;serif" w:hAnsi="Times New Roman;Times;serif"/>
                <w:sz w:val="14"/>
              </w:rPr>
              <w:br/>
              <w:t>(Address of principal executive offices)</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01915</w:t>
            </w:r>
            <w:r>
              <w:rPr>
                <w:rFonts w:ascii="Times New Roman;Times;serif" w:hAnsi="Times New Roman;Times;serif"/>
                <w:sz w:val="14"/>
              </w:rPr>
              <w:br/>
              <w:t>(Zip Code)</w:t>
            </w:r>
          </w:p>
        </w:tc>
      </w:tr>
    </w:tbl>
    <w:p>
      <w:pPr>
        <w:pStyle w:val="TextBody"/>
        <w:bidi w:val="0"/>
        <w:spacing w:before="0" w:after="60"/>
        <w:ind w:left="0" w:right="0" w:firstLine="720"/>
        <w:jc w:val="left"/>
        <w:rPr/>
      </w:pPr>
      <w:r>
        <w:rPr/>
        <w:t>​</w:t>
      </w:r>
    </w:p>
    <w:p>
      <w:pPr>
        <w:pStyle w:val="TextBody"/>
        <w:bidi w:val="0"/>
        <w:spacing w:before="60" w:after="0"/>
        <w:ind w:left="0" w:right="0" w:hanging="0"/>
        <w:jc w:val="center"/>
        <w:rPr>
          <w:rFonts w:ascii="Times New Roman;Times;serif" w:hAnsi="Times New Roman;Times;serif"/>
          <w:b/>
          <w:sz w:val="16"/>
        </w:rPr>
      </w:pPr>
      <w:r>
        <w:rPr>
          <w:rFonts w:ascii="Times New Roman;Times;serif" w:hAnsi="Times New Roman;Times;serif"/>
          <w:b/>
          <w:sz w:val="16"/>
        </w:rPr>
        <w:t>(978) 619-1300</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(Registrant’s telephone</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number, including area code)</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7" w:name="Tc_iBomiM9ge0GBRRe_AxkdDg_1_4"/>
      <w:bookmarkStart w:id="18" w:name="Tc_60YLSlaQz0KvcknjoNWOKw_1_2"/>
      <w:bookmarkStart w:id="19" w:name="Tc_O6t2eBT0GUKTTcdBQ5XV9A_1_0"/>
      <w:bookmarkStart w:id="20" w:name="_23af2dcc_f914_4bde_9b72_ad83053780b0"/>
      <w:bookmarkStart w:id="21" w:name="Tc_iBomiM9ge0GBRRe_AxkdDg_1_4"/>
      <w:bookmarkStart w:id="22" w:name="Tc_60YLSlaQz0KvcknjoNWOKw_1_2"/>
      <w:bookmarkStart w:id="23" w:name="Tc_O6t2eBT0GUKTTcdBQ5XV9A_1_0"/>
      <w:bookmarkStart w:id="24" w:name="_23af2dcc_f914_4bde_9b72_ad83053780b0"/>
      <w:bookmarkEnd w:id="21"/>
      <w:bookmarkEnd w:id="22"/>
      <w:bookmarkEnd w:id="23"/>
      <w:bookmarkEnd w:id="24"/>
    </w:p>
    <w:tbl>
      <w:tblPr>
        <w:tblW w:w="7961" w:type="dxa"/>
        <w:jc w:val="left"/>
        <w:tblInd w:w="0" w:type="dxa"/>
        <w:shd w:fill="FFFFFF" w:val="clear"/>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5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31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Title of Each Class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5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Trading Symbol(s)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31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Name of each exchange on which registered</w:t>
            </w:r>
          </w:p>
        </w:tc>
      </w:tr>
      <w:tr>
        <w:trPr/>
        <w:tc>
          <w:tcPr>
            <w:tcW w:w="2971" w:type="dxa"/>
            <w:tcBorders/>
            <w:shd w:fill="FFFFFF" w:val="clear"/>
            <w:vAlign w:val="center"/>
          </w:tcPr>
          <w:p>
            <w:pPr>
              <w:pStyle w:val="TableContents"/>
              <w:bidi w:val="0"/>
              <w:spacing w:before="0" w:after="0"/>
              <w:ind w:left="0" w:right="0" w:hanging="0"/>
              <w:jc w:val="center"/>
              <w:rPr>
                <w:rFonts w:ascii="Times New Roman;Times;serif" w:hAnsi="Times New Roman;Times;serif"/>
                <w:color w:val="212529"/>
                <w:sz w:val="16"/>
              </w:rPr>
            </w:pPr>
            <w:r>
              <w:rPr>
                <w:rFonts w:ascii="Times New Roman;Times;serif" w:hAnsi="Times New Roman;Times;serif"/>
                <w:color w:val="212529"/>
                <w:sz w:val="16"/>
              </w:rPr>
              <w:t>Common Stock, par value $.01 per share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56" w:type="dxa"/>
            <w:tcBorders/>
            <w:shd w:fill="FFFFFF" w:val="clear"/>
            <w:vAlign w:val="center"/>
          </w:tcPr>
          <w:p>
            <w:pPr>
              <w:pStyle w:val="TableContents"/>
              <w:bidi w:val="0"/>
              <w:spacing w:before="0" w:after="0"/>
              <w:ind w:left="0" w:right="0" w:hanging="0"/>
              <w:jc w:val="center"/>
              <w:rPr>
                <w:rFonts w:ascii="Times New Roman;Times;serif" w:hAnsi="Times New Roman;Times;serif"/>
                <w:color w:val="212529"/>
                <w:sz w:val="16"/>
              </w:rPr>
            </w:pPr>
            <w:r>
              <w:rPr>
                <w:rFonts w:ascii="Times New Roman;Times;serif" w:hAnsi="Times New Roman;Times;serif"/>
                <w:color w:val="212529"/>
                <w:sz w:val="16"/>
              </w:rPr>
              <w:t>ATNI</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316" w:type="dxa"/>
            <w:tcBorders/>
            <w:shd w:fill="FFFFFF" w:val="clear"/>
            <w:vAlign w:val="center"/>
          </w:tcPr>
          <w:p>
            <w:pPr>
              <w:pStyle w:val="TableContents"/>
              <w:bidi w:val="0"/>
              <w:spacing w:before="0" w:after="0"/>
              <w:ind w:left="0" w:right="0" w:hanging="0"/>
              <w:jc w:val="center"/>
              <w:rPr>
                <w:rFonts w:ascii="Times New Roman;Times;serif" w:hAnsi="Times New Roman;Times;serif"/>
                <w:color w:val="212529"/>
                <w:sz w:val="16"/>
              </w:rPr>
            </w:pPr>
            <w:r>
              <w:rPr>
                <w:rFonts w:ascii="Times New Roman;Times;serif" w:hAnsi="Times New Roman;Times;serif"/>
                <w:color w:val="212529"/>
                <w:sz w:val="16"/>
              </w:rPr>
              <w:t>The Nasdaq Stock Market LLC</w:t>
            </w:r>
          </w:p>
        </w:tc>
      </w:tr>
    </w:tbl>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(Title of each class)</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pPr>
      <w:r>
        <w:rPr/>
        <w:t>​</w:t>
      </w:r>
    </w:p>
    <w:tbl>
      <w:tblPr>
        <w:tblW w:w="7384" w:type="dxa"/>
        <w:jc w:val="left"/>
        <w:tblInd w:w="0" w:type="dxa"/>
        <w:tblLayout w:type="fixed"/>
        <w:tblCellMar>
          <w:top w:w="0" w:type="dxa"/>
          <w:left w:w="0" w:type="dxa"/>
          <w:bottom w:w="0" w:type="dxa"/>
          <w:right w:w="0" w:type="dxa"/>
        </w:tblCellMar>
      </w:tblPr>
      <w:tblGrid>
        <w:gridCol w:w="1861"/>
        <w:gridCol w:w="1471"/>
        <w:gridCol w:w="1756"/>
        <w:gridCol w:w="2296"/>
      </w:tblGrid>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Accelerated filer</w:t>
            </w:r>
            <w:r>
              <w:rPr>
                <w:rFonts w:ascii="Times New Roman;Times;serif" w:hAnsi="Times New Roman;Times;serif"/>
                <w:sz w:val="20"/>
              </w:rPr>
              <w:t xml:space="preserve"> ⌧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61" w:type="dxa"/>
            <w:tcBorders/>
            <w:vAlign w:val="center"/>
          </w:tcPr>
          <w:p>
            <w:pPr>
              <w:pStyle w:val="TableContents"/>
              <w:pBdr/>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60" w:after="6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The aggregate market value of Common Stock held by non-affiliates of the registrant as of June 30, 2024, was approximately $231 million based on the closing price of the registrant’s Common Stock as reported on the Nasdaq Global Select Market.</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As of March 17, 2025, the registrant had 15,481,207 outstanding shares of Common Stock, $.01 par value.</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60"/>
        <w:ind w:left="0" w:right="0" w:firstLine="720"/>
        <w:jc w:val="left"/>
        <w:rPr>
          <w:rFonts w:ascii="Times New Roman;Times;serif" w:hAnsi="Times New Roman;Times;serif"/>
          <w:sz w:val="18"/>
        </w:rPr>
      </w:pPr>
      <w:r>
        <w:rPr>
          <w:rFonts w:ascii="Times New Roman;Times;serif" w:hAnsi="Times New Roman;Times;serif"/>
          <w:sz w:val="18"/>
        </w:rPr>
        <w:t>Portions of the registrant’s Definitive Proxy Statement for the 2025 Annual Meeting of Stockholders are incorporated by reference into Part III of this Form 10-K.</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5" w:name="_ec81b2dc_5cde_477b_8790_20054e479640"/>
      <w:bookmarkStart w:id="26" w:name="TOC"/>
      <w:bookmarkEnd w:id="25"/>
      <w:bookmarkEnd w:id="26"/>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center"/>
        <w:rPr/>
      </w:pPr>
      <w:r>
        <w:rPr/>
        <w:t>​</w:t>
      </w:r>
    </w:p>
    <w:tbl>
      <w:tblPr>
        <w:tblW w:w="9734" w:type="dxa"/>
        <w:jc w:val="left"/>
        <w:tblInd w:w="0" w:type="dxa"/>
        <w:tblLayout w:type="fixed"/>
        <w:tblCellMar>
          <w:top w:w="0" w:type="dxa"/>
          <w:left w:w="0" w:type="dxa"/>
          <w:bottom w:w="0" w:type="dxa"/>
          <w:right w:w="0" w:type="dxa"/>
        </w:tblCellMar>
      </w:tblPr>
      <w:tblGrid>
        <w:gridCol w:w="826"/>
        <w:gridCol w:w="8071"/>
        <w:gridCol w:w="326"/>
        <w:gridCol w:w="511"/>
      </w:tblGrid>
      <w:tr>
        <w:trPr/>
        <w:tc>
          <w:tcPr>
            <w:tcW w:w="826" w:type="dxa"/>
            <w:tcBorders/>
            <w:vAlign w:val="center"/>
          </w:tcPr>
          <w:p>
            <w:pPr>
              <w:pStyle w:val="TableContents"/>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24485" cy="29210"/>
                      <wp:effectExtent l="0" t="0" r="0" b="0"/>
                      <wp:wrapNone/>
                      <wp:docPr id="2" name="Frame2"/>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26" w:type="dxa"/>
            <w:tcBorders/>
            <w:vAlign w:val="center"/>
          </w:tcPr>
          <w:p>
            <w:pPr>
              <w:pStyle w:val="TableContents"/>
              <w:bidi w:val="0"/>
              <w:spacing w:before="0" w:after="20"/>
              <w:ind w:left="0" w:right="0" w:hanging="0"/>
              <w:jc w:val="center"/>
              <w:rPr/>
            </w:pPr>
            <w:r>
              <w:rPr/>
              <w:t>​</w:t>
            </w:r>
          </w:p>
        </w:tc>
        <w:tc>
          <w:tcPr>
            <w:tcW w:w="8071" w:type="dxa"/>
            <w:tcBorders/>
            <w:vAlign w:val="center"/>
          </w:tcPr>
          <w:p>
            <w:pPr>
              <w:pStyle w:val="TableContents"/>
              <w:bidi w:val="0"/>
              <w:spacing w:before="0" w:after="20"/>
              <w:ind w:left="0" w:right="0" w:hanging="0"/>
              <w:jc w:val="center"/>
              <w:rPr/>
            </w:pPr>
            <w:r>
              <w:rPr/>
              <w:t>​</w:t>
            </w:r>
          </w:p>
        </w:tc>
        <w:tc>
          <w:tcPr>
            <w:tcW w:w="326" w:type="dxa"/>
            <w:tcBorders/>
            <w:vAlign w:val="center"/>
          </w:tcPr>
          <w:p>
            <w:pPr>
              <w:pStyle w:val="TableContents"/>
              <w:bidi w:val="0"/>
              <w:spacing w:before="0" w:after="2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Page</w:t>
            </w:r>
          </w:p>
        </w:tc>
      </w:tr>
      <w:tr>
        <w:trPr/>
        <w:tc>
          <w:tcPr>
            <w:tcW w:w="8897" w:type="dxa"/>
            <w:gridSpan w:val="2"/>
            <w:tcBorders/>
            <w:vAlign w:val="center"/>
          </w:tcPr>
          <w:p>
            <w:pPr>
              <w:pStyle w:val="TableContents"/>
              <w:bidi w:val="0"/>
              <w:spacing w:before="0" w:after="0"/>
              <w:ind w:left="0" w:right="0" w:hanging="0"/>
              <w:jc w:val="left"/>
              <w:rPr/>
            </w:pPr>
            <w:hyperlink w:anchor="SpecialNoteForwardLookingSTMT">
              <w:r>
                <w:rPr>
                  <w:rStyle w:val="InternetLink"/>
                  <w:rFonts w:ascii="Times New Roman;Times;serif" w:hAnsi="Times New Roman;Times;serif"/>
                  <w:b w:val="false"/>
                  <w:i w:val="false"/>
                  <w:caps w:val="false"/>
                  <w:smallCaps w:val="false"/>
                  <w:sz w:val="18"/>
                </w:rPr>
                <w:t>Special Note Regarding Forward Looking Statements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826" w:type="dxa"/>
            <w:tcBorders/>
            <w:vAlign w:val="center"/>
          </w:tcPr>
          <w:p>
            <w:pPr>
              <w:pStyle w:val="TableContents"/>
              <w:pBdr/>
              <w:bidi w:val="0"/>
              <w:spacing w:before="0" w:after="0"/>
              <w:ind w:left="0" w:right="0" w:hanging="0"/>
              <w:jc w:val="left"/>
              <w:rPr/>
            </w:pPr>
            <w:hyperlink w:anchor="PARTI_790656">
              <w:r>
                <w:rPr>
                  <w:rStyle w:val="InternetLink"/>
                  <w:rFonts w:ascii="Times New Roman;Times;serif" w:hAnsi="Times New Roman;Times;serif"/>
                  <w:b w:val="false"/>
                  <w:i w:val="false"/>
                  <w:caps w:val="false"/>
                  <w:smallCaps w:val="false"/>
                  <w:sz w:val="18"/>
                </w:rPr>
                <w:t>PART I</w:t>
              </w:r>
            </w:hyperlink>
          </w:p>
        </w:tc>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826" w:type="dxa"/>
            <w:tcBorders/>
            <w:vAlign w:val="center"/>
          </w:tcPr>
          <w:p>
            <w:pPr>
              <w:pStyle w:val="TableContents"/>
              <w:pBdr/>
              <w:bidi w:val="0"/>
              <w:spacing w:before="0" w:after="0"/>
              <w:ind w:left="0" w:right="0" w:hanging="0"/>
              <w:jc w:val="left"/>
              <w:rPr/>
            </w:pPr>
            <w:hyperlink w:anchor="ITEM1BUSINESS_330708">
              <w:r>
                <w:rPr>
                  <w:rStyle w:val="InternetLink"/>
                  <w:rFonts w:ascii="Times New Roman;Times;serif" w:hAnsi="Times New Roman;Times;serif"/>
                  <w:b w:val="false"/>
                  <w:i w:val="false"/>
                  <w:caps w:val="false"/>
                  <w:smallCaps w:val="false"/>
                  <w:sz w:val="18"/>
                </w:rPr>
                <w:t>Item 1.</w:t>
              </w:r>
            </w:hyperlink>
          </w:p>
        </w:tc>
        <w:tc>
          <w:tcPr>
            <w:tcW w:w="8071" w:type="dxa"/>
            <w:tcBorders/>
            <w:vAlign w:val="center"/>
          </w:tcPr>
          <w:p>
            <w:pPr>
              <w:pStyle w:val="TableContents"/>
              <w:bidi w:val="0"/>
              <w:spacing w:before="0" w:after="0"/>
              <w:ind w:left="0" w:right="0" w:hanging="0"/>
              <w:jc w:val="left"/>
              <w:rPr/>
            </w:pPr>
            <w:hyperlink w:anchor="ITEM1BUSINESS_330708">
              <w:r>
                <w:rPr>
                  <w:rStyle w:val="InternetLink"/>
                  <w:rFonts w:ascii="Times New Roman;Times;serif" w:hAnsi="Times New Roman;Times;serif"/>
                  <w:b w:val="false"/>
                  <w:i w:val="false"/>
                  <w:caps w:val="false"/>
                  <w:smallCaps w:val="false"/>
                  <w:sz w:val="18"/>
                </w:rPr>
                <w:t>Business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Strategy">
              <w:r>
                <w:rPr>
                  <w:rStyle w:val="InternetLink"/>
                  <w:rFonts w:ascii="Times New Roman;Times;serif" w:hAnsi="Times New Roman;Times;serif"/>
                  <w:b w:val="false"/>
                  <w:i w:val="false"/>
                  <w:caps w:val="false"/>
                  <w:smallCaps w:val="false"/>
                  <w:sz w:val="20"/>
                </w:rPr>
                <w:t>Strategy</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Overview_456447">
              <w:r>
                <w:rPr>
                  <w:rStyle w:val="InternetLink"/>
                  <w:rFonts w:ascii="Times New Roman;Times;serif" w:hAnsi="Times New Roman;Times;serif"/>
                  <w:b w:val="false"/>
                  <w:i w:val="false"/>
                  <w:caps w:val="false"/>
                  <w:smallCaps w:val="false"/>
                  <w:sz w:val="18"/>
                </w:rPr>
                <w:t>Overview</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HumanCapital">
              <w:r>
                <w:rPr>
                  <w:rStyle w:val="InternetLink"/>
                  <w:rFonts w:ascii="Times New Roman;Times;serif" w:hAnsi="Times New Roman;Times;serif"/>
                  <w:b w:val="false"/>
                  <w:i w:val="false"/>
                  <w:caps w:val="false"/>
                  <w:smallCaps w:val="false"/>
                  <w:sz w:val="18"/>
                </w:rPr>
                <w:t>Human Capital</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USFederalRegulation_608344">
              <w:r>
                <w:rPr>
                  <w:rStyle w:val="InternetLink"/>
                  <w:rFonts w:ascii="Times New Roman;Times;serif" w:hAnsi="Times New Roman;Times;serif"/>
                  <w:b w:val="false"/>
                  <w:i w:val="false"/>
                  <w:caps w:val="false"/>
                  <w:smallCaps w:val="false"/>
                  <w:sz w:val="18"/>
                </w:rPr>
                <w:t>US Federal Regulation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USStateandTerritorialRegulation_851726">
              <w:r>
                <w:rPr>
                  <w:rStyle w:val="InternetLink"/>
                  <w:rFonts w:ascii="Times New Roman;Times;serif" w:hAnsi="Times New Roman;Times;serif"/>
                  <w:b w:val="false"/>
                  <w:i w:val="false"/>
                  <w:caps w:val="false"/>
                  <w:smallCaps w:val="false"/>
                  <w:sz w:val="18"/>
                </w:rPr>
                <w:t>US State Regulation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USVirginIslandsRegulation_862423">
              <w:r>
                <w:rPr>
                  <w:rStyle w:val="InternetLink"/>
                  <w:rFonts w:ascii="Times New Roman;Times;serif" w:hAnsi="Times New Roman;Times;serif"/>
                  <w:b w:val="false"/>
                  <w:i w:val="false"/>
                  <w:caps w:val="false"/>
                  <w:smallCaps w:val="false"/>
                  <w:sz w:val="18"/>
                </w:rPr>
                <w:t>US Virgin Islands Regulation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GuyanaRegulation">
              <w:r>
                <w:rPr>
                  <w:rStyle w:val="InternetLink"/>
                  <w:rFonts w:ascii="Times New Roman;Times;serif" w:hAnsi="Times New Roman;Times;serif"/>
                  <w:b w:val="false"/>
                  <w:i w:val="false"/>
                  <w:caps w:val="false"/>
                  <w:smallCaps w:val="false"/>
                  <w:sz w:val="18"/>
                </w:rPr>
                <w:t>Guyana Regulation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BermudaRegulation">
              <w:r>
                <w:rPr>
                  <w:rStyle w:val="InternetLink"/>
                  <w:rFonts w:ascii="Times New Roman;Times;serif" w:hAnsi="Times New Roman;Times;serif"/>
                  <w:b w:val="false"/>
                  <w:i w:val="false"/>
                  <w:caps w:val="false"/>
                  <w:smallCaps w:val="false"/>
                  <w:sz w:val="18"/>
                </w:rPr>
                <w:t>Bermuda Regulation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826" w:type="dxa"/>
            <w:tcBorders/>
            <w:vAlign w:val="center"/>
          </w:tcPr>
          <w:p>
            <w:pPr>
              <w:pStyle w:val="TableContents"/>
              <w:pBdr/>
              <w:bidi w:val="0"/>
              <w:spacing w:before="0" w:after="0"/>
              <w:ind w:left="0" w:right="0" w:hanging="0"/>
              <w:jc w:val="left"/>
              <w:rPr/>
            </w:pPr>
            <w:hyperlink w:anchor="ITEM1ARISKFACTORS_419373">
              <w:r>
                <w:rPr>
                  <w:rStyle w:val="InternetLink"/>
                  <w:rFonts w:ascii="Times New Roman;Times;serif" w:hAnsi="Times New Roman;Times;serif"/>
                  <w:b w:val="false"/>
                  <w:i w:val="false"/>
                  <w:caps w:val="false"/>
                  <w:smallCaps w:val="false"/>
                  <w:sz w:val="18"/>
                </w:rPr>
                <w:t>Item 1A.</w:t>
              </w:r>
            </w:hyperlink>
          </w:p>
        </w:tc>
        <w:tc>
          <w:tcPr>
            <w:tcW w:w="8071" w:type="dxa"/>
            <w:tcBorders/>
            <w:vAlign w:val="center"/>
          </w:tcPr>
          <w:p>
            <w:pPr>
              <w:pStyle w:val="TableContents"/>
              <w:bidi w:val="0"/>
              <w:spacing w:before="0" w:after="0"/>
              <w:ind w:left="0" w:right="0" w:hanging="0"/>
              <w:jc w:val="left"/>
              <w:rPr/>
            </w:pPr>
            <w:hyperlink w:anchor="ITEM1ARISKFACTORS_419373">
              <w:r>
                <w:rPr>
                  <w:rStyle w:val="InternetLink"/>
                  <w:rFonts w:ascii="Times New Roman;Times;serif" w:hAnsi="Times New Roman;Times;serif"/>
                  <w:b w:val="false"/>
                  <w:i w:val="false"/>
                  <w:caps w:val="false"/>
                  <w:smallCaps w:val="false"/>
                  <w:sz w:val="18"/>
                </w:rPr>
                <w:t>Risk Factors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826" w:type="dxa"/>
            <w:tcBorders/>
            <w:vAlign w:val="center"/>
          </w:tcPr>
          <w:p>
            <w:pPr>
              <w:pStyle w:val="TableContents"/>
              <w:pBdr/>
              <w:bidi w:val="0"/>
              <w:spacing w:before="0" w:after="0"/>
              <w:ind w:left="0" w:right="0" w:hanging="0"/>
              <w:jc w:val="left"/>
              <w:rPr/>
            </w:pPr>
            <w:hyperlink w:anchor="ITEM1BUNRESOLVEDSTAFFCOMMENTS_526490">
              <w:r>
                <w:rPr>
                  <w:rStyle w:val="InternetLink"/>
                  <w:rFonts w:ascii="Times New Roman;Times;serif" w:hAnsi="Times New Roman;Times;serif"/>
                  <w:b w:val="false"/>
                  <w:i w:val="false"/>
                  <w:caps w:val="false"/>
                  <w:smallCaps w:val="false"/>
                  <w:sz w:val="18"/>
                </w:rPr>
                <w:t>Item 1B.</w:t>
              </w:r>
            </w:hyperlink>
          </w:p>
        </w:tc>
        <w:tc>
          <w:tcPr>
            <w:tcW w:w="8071" w:type="dxa"/>
            <w:tcBorders/>
            <w:vAlign w:val="center"/>
          </w:tcPr>
          <w:p>
            <w:pPr>
              <w:pStyle w:val="TableContents"/>
              <w:bidi w:val="0"/>
              <w:spacing w:before="0" w:after="0"/>
              <w:ind w:left="0" w:right="0" w:hanging="0"/>
              <w:jc w:val="left"/>
              <w:rPr/>
            </w:pPr>
            <w:hyperlink w:anchor="ITEM1BUNRESOLVEDSTAFFCOMMENTS_526490">
              <w:r>
                <w:rPr>
                  <w:rStyle w:val="InternetLink"/>
                  <w:rFonts w:ascii="Times New Roman;Times;serif" w:hAnsi="Times New Roman;Times;serif"/>
                  <w:b w:val="false"/>
                  <w:i w:val="false"/>
                  <w:caps w:val="false"/>
                  <w:smallCaps w:val="false"/>
                  <w:sz w:val="18"/>
                </w:rPr>
                <w:t>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826" w:type="dxa"/>
            <w:tcBorders/>
            <w:vAlign w:val="center"/>
          </w:tcPr>
          <w:p>
            <w:pPr>
              <w:pStyle w:val="TableContents"/>
              <w:pBdr/>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8071" w:type="dxa"/>
            <w:tcBorders/>
            <w:vAlign w:val="center"/>
          </w:tcPr>
          <w:p>
            <w:pPr>
              <w:pStyle w:val="TableContents"/>
              <w:bidi w:val="0"/>
              <w:spacing w:before="0" w:after="0"/>
              <w:ind w:left="0" w:right="0" w:hanging="0"/>
              <w:jc w:val="left"/>
              <w:rPr/>
            </w:pPr>
            <w:hyperlink w:anchor="Cybersecurity">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826" w:type="dxa"/>
            <w:tcBorders/>
            <w:vAlign w:val="center"/>
          </w:tcPr>
          <w:p>
            <w:pPr>
              <w:pStyle w:val="TableContents"/>
              <w:pBdr/>
              <w:bidi w:val="0"/>
              <w:spacing w:before="0" w:after="0"/>
              <w:ind w:left="0" w:right="0" w:hanging="0"/>
              <w:jc w:val="left"/>
              <w:rPr/>
            </w:pPr>
            <w:hyperlink w:anchor="ITEM2PROPERTIES_622139">
              <w:r>
                <w:rPr>
                  <w:rStyle w:val="InternetLink"/>
                  <w:rFonts w:ascii="Times New Roman;Times;serif" w:hAnsi="Times New Roman;Times;serif"/>
                  <w:b w:val="false"/>
                  <w:i w:val="false"/>
                  <w:caps w:val="false"/>
                  <w:smallCaps w:val="false"/>
                  <w:sz w:val="18"/>
                </w:rPr>
                <w:t>Item 2.</w:t>
              </w:r>
            </w:hyperlink>
          </w:p>
        </w:tc>
        <w:tc>
          <w:tcPr>
            <w:tcW w:w="8071" w:type="dxa"/>
            <w:tcBorders/>
            <w:vAlign w:val="center"/>
          </w:tcPr>
          <w:p>
            <w:pPr>
              <w:pStyle w:val="TableContents"/>
              <w:bidi w:val="0"/>
              <w:spacing w:before="0" w:after="0"/>
              <w:ind w:left="0" w:right="0" w:hanging="0"/>
              <w:jc w:val="left"/>
              <w:rPr/>
            </w:pPr>
            <w:hyperlink w:anchor="ITEM2PROPERTIES_622139">
              <w:r>
                <w:rPr>
                  <w:rStyle w:val="InternetLink"/>
                  <w:rFonts w:ascii="Times New Roman;Times;serif" w:hAnsi="Times New Roman;Times;serif"/>
                  <w:b w:val="false"/>
                  <w:i w:val="false"/>
                  <w:caps w:val="false"/>
                  <w:smallCaps w:val="false"/>
                  <w:sz w:val="18"/>
                </w:rPr>
                <w:t>Properties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826" w:type="dxa"/>
            <w:tcBorders/>
            <w:vAlign w:val="center"/>
          </w:tcPr>
          <w:p>
            <w:pPr>
              <w:pStyle w:val="TableContents"/>
              <w:pBdr/>
              <w:bidi w:val="0"/>
              <w:spacing w:before="0" w:after="0"/>
              <w:ind w:left="0" w:right="0" w:hanging="0"/>
              <w:jc w:val="left"/>
              <w:rPr/>
            </w:pPr>
            <w:hyperlink w:anchor="LegalProceedings">
              <w:r>
                <w:rPr>
                  <w:rStyle w:val="InternetLink"/>
                  <w:rFonts w:ascii="Times New Roman;Times;serif" w:hAnsi="Times New Roman;Times;serif"/>
                  <w:b w:val="false"/>
                  <w:i w:val="false"/>
                  <w:caps w:val="false"/>
                  <w:smallCaps w:val="false"/>
                  <w:sz w:val="18"/>
                </w:rPr>
                <w:t>Item 3.</w:t>
              </w:r>
            </w:hyperlink>
          </w:p>
        </w:tc>
        <w:tc>
          <w:tcPr>
            <w:tcW w:w="8071" w:type="dxa"/>
            <w:tcBorders/>
            <w:vAlign w:val="center"/>
          </w:tcPr>
          <w:p>
            <w:pPr>
              <w:pStyle w:val="TableContents"/>
              <w:bidi w:val="0"/>
              <w:spacing w:before="0" w:after="0"/>
              <w:ind w:left="0" w:right="0" w:hanging="0"/>
              <w:jc w:val="left"/>
              <w:rPr/>
            </w:pPr>
            <w:hyperlink w:anchor="LegalProceedings">
              <w:r>
                <w:rPr>
                  <w:rStyle w:val="InternetLink"/>
                  <w:rFonts w:ascii="Times New Roman;Times;serif" w:hAnsi="Times New Roman;Times;serif"/>
                  <w:b w:val="false"/>
                  <w:i w:val="false"/>
                  <w:caps w:val="false"/>
                  <w:smallCaps w:val="false"/>
                  <w:sz w:val="18"/>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r>
      <w:tr>
        <w:trPr/>
        <w:tc>
          <w:tcPr>
            <w:tcW w:w="826" w:type="dxa"/>
            <w:tcBorders/>
            <w:vAlign w:val="center"/>
          </w:tcPr>
          <w:p>
            <w:pPr>
              <w:pStyle w:val="TableContents"/>
              <w:pBdr/>
              <w:bidi w:val="0"/>
              <w:spacing w:before="0" w:after="0"/>
              <w:ind w:left="0" w:right="0" w:hanging="0"/>
              <w:jc w:val="left"/>
              <w:rPr/>
            </w:pPr>
            <w:hyperlink w:anchor="ITEM4MINESAFETYDISCLOSURES_518224">
              <w:r>
                <w:rPr>
                  <w:rStyle w:val="InternetLink"/>
                  <w:rFonts w:ascii="Times New Roman;Times;serif" w:hAnsi="Times New Roman;Times;serif"/>
                  <w:b w:val="false"/>
                  <w:i w:val="false"/>
                  <w:caps w:val="false"/>
                  <w:smallCaps w:val="false"/>
                  <w:sz w:val="18"/>
                </w:rPr>
                <w:t>Item 4.</w:t>
              </w:r>
            </w:hyperlink>
          </w:p>
        </w:tc>
        <w:tc>
          <w:tcPr>
            <w:tcW w:w="8071" w:type="dxa"/>
            <w:tcBorders/>
            <w:vAlign w:val="center"/>
          </w:tcPr>
          <w:p>
            <w:pPr>
              <w:pStyle w:val="TableContents"/>
              <w:bidi w:val="0"/>
              <w:spacing w:before="0" w:after="0"/>
              <w:ind w:left="0" w:right="0" w:hanging="0"/>
              <w:jc w:val="left"/>
              <w:rPr/>
            </w:pPr>
            <w:hyperlink w:anchor="ITEM4MINESAFETYDISCLOSURES_518224">
              <w:r>
                <w:rPr>
                  <w:rStyle w:val="InternetLink"/>
                  <w:rFonts w:ascii="Times New Roman;Times;serif" w:hAnsi="Times New Roman;Times;serif"/>
                  <w:b w:val="false"/>
                  <w:i w:val="false"/>
                  <w:caps w:val="false"/>
                  <w:smallCaps w:val="false"/>
                  <w:sz w:val="18"/>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INFORMATIONABOUTOUREXECUTIVEOFFICERS_273">
              <w:r>
                <w:rPr>
                  <w:rStyle w:val="InternetLink"/>
                  <w:rFonts w:ascii="Times New Roman;Times;serif" w:hAnsi="Times New Roman;Times;serif"/>
                  <w:b w:val="false"/>
                  <w:i w:val="false"/>
                  <w:caps w:val="false"/>
                  <w:smallCaps w:val="false"/>
                  <w:sz w:val="18"/>
                </w:rPr>
                <w:t>Information About Our Executive Officers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826" w:type="dxa"/>
            <w:tcBorders/>
            <w:vAlign w:val="center"/>
          </w:tcPr>
          <w:p>
            <w:pPr>
              <w:pStyle w:val="TableContents"/>
              <w:pBdr/>
              <w:bidi w:val="0"/>
              <w:spacing w:before="0" w:after="0"/>
              <w:ind w:left="0" w:right="0" w:hanging="0"/>
              <w:jc w:val="left"/>
              <w:rPr/>
            </w:pPr>
            <w:hyperlink w:anchor="PARTII_351431">
              <w:r>
                <w:rPr>
                  <w:rStyle w:val="InternetLink"/>
                  <w:rFonts w:ascii="Times New Roman;Times;serif" w:hAnsi="Times New Roman;Times;serif"/>
                  <w:b w:val="false"/>
                  <w:i w:val="false"/>
                  <w:caps w:val="false"/>
                  <w:smallCaps w:val="false"/>
                  <w:sz w:val="18"/>
                </w:rPr>
                <w:t>PART II</w:t>
              </w:r>
            </w:hyperlink>
          </w:p>
        </w:tc>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826" w:type="dxa"/>
            <w:tcBorders/>
            <w:vAlign w:val="center"/>
          </w:tcPr>
          <w:p>
            <w:pPr>
              <w:pStyle w:val="TableContents"/>
              <w:pBdr/>
              <w:bidi w:val="0"/>
              <w:spacing w:before="0" w:after="0"/>
              <w:ind w:left="0" w:right="0" w:hanging="0"/>
              <w:jc w:val="left"/>
              <w:rPr/>
            </w:pPr>
            <w:hyperlink w:anchor="ITEM5MARKETFORREGISTRANTSCOMMONEQUITY_97">
              <w:r>
                <w:rPr>
                  <w:rStyle w:val="InternetLink"/>
                  <w:rFonts w:ascii="Times New Roman;Times;serif" w:hAnsi="Times New Roman;Times;serif"/>
                  <w:b w:val="false"/>
                  <w:i w:val="false"/>
                  <w:caps w:val="false"/>
                  <w:smallCaps w:val="false"/>
                  <w:sz w:val="18"/>
                </w:rPr>
                <w:t>Item 5.</w:t>
              </w:r>
            </w:hyperlink>
          </w:p>
        </w:tc>
        <w:tc>
          <w:tcPr>
            <w:tcW w:w="8071" w:type="dxa"/>
            <w:tcBorders/>
            <w:vAlign w:val="center"/>
          </w:tcPr>
          <w:p>
            <w:pPr>
              <w:pStyle w:val="TableContents"/>
              <w:bidi w:val="0"/>
              <w:spacing w:before="0" w:after="0"/>
              <w:ind w:left="0" w:right="0" w:hanging="0"/>
              <w:jc w:val="left"/>
              <w:rPr/>
            </w:pPr>
            <w:hyperlink w:anchor="ITEM5MARKETFORREGISTRANTSCOMMONEQUITY_97">
              <w:r>
                <w:rPr>
                  <w:rStyle w:val="InternetLink"/>
                  <w:rFonts w:ascii="Times New Roman;Times;serif" w:hAnsi="Times New Roman;Times;serif"/>
                  <w:b w:val="false"/>
                  <w:i w:val="false"/>
                  <w:caps w:val="false"/>
                  <w:smallCaps w:val="false"/>
                  <w:sz w:val="18"/>
                </w:rPr>
                <w:t>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826" w:type="dxa"/>
            <w:tcBorders/>
            <w:vAlign w:val="center"/>
          </w:tcPr>
          <w:p>
            <w:pPr>
              <w:pStyle w:val="TableContents"/>
              <w:pBdr/>
              <w:bidi w:val="0"/>
              <w:spacing w:before="0" w:after="0"/>
              <w:ind w:left="0" w:right="0" w:hanging="0"/>
              <w:jc w:val="left"/>
              <w:rPr/>
            </w:pPr>
            <w:hyperlink w:anchor="ITEM7MANAGEMENTSDISCUSSIONANDANALYSIS_56">
              <w:r>
                <w:rPr>
                  <w:rStyle w:val="InternetLink"/>
                  <w:rFonts w:ascii="Times New Roman;Times;serif" w:hAnsi="Times New Roman;Times;serif"/>
                  <w:b w:val="false"/>
                  <w:i w:val="false"/>
                  <w:caps w:val="false"/>
                  <w:smallCaps w:val="false"/>
                  <w:sz w:val="18"/>
                </w:rPr>
                <w:t>Item 7.</w:t>
              </w:r>
            </w:hyperlink>
          </w:p>
        </w:tc>
        <w:tc>
          <w:tcPr>
            <w:tcW w:w="8071" w:type="dxa"/>
            <w:tcBorders/>
            <w:vAlign w:val="center"/>
          </w:tcPr>
          <w:p>
            <w:pPr>
              <w:pStyle w:val="TableContents"/>
              <w:bidi w:val="0"/>
              <w:spacing w:before="0" w:after="0"/>
              <w:ind w:left="0" w:right="0" w:hanging="0"/>
              <w:jc w:val="left"/>
              <w:rPr/>
            </w:pPr>
            <w:hyperlink w:anchor="ITEM7MANAGEMENTSDISCUSSIONANDANALYSIS_56">
              <w:r>
                <w:rPr>
                  <w:rStyle w:val="InternetLink"/>
                  <w:rFonts w:ascii="Times New Roman;Times;serif" w:hAnsi="Times New Roman;Times;serif"/>
                  <w:b w:val="false"/>
                  <w:i w:val="false"/>
                  <w:caps w:val="false"/>
                  <w:smallCaps w:val="false"/>
                  <w:sz w:val="18"/>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Overview_899178">
              <w:r>
                <w:rPr>
                  <w:rStyle w:val="InternetLink"/>
                  <w:rFonts w:ascii="Times New Roman;Times;serif" w:hAnsi="Times New Roman;Times;serif"/>
                  <w:b w:val="false"/>
                  <w:i w:val="false"/>
                  <w:caps w:val="false"/>
                  <w:smallCaps w:val="false"/>
                  <w:sz w:val="18"/>
                </w:rPr>
                <w:t>Overview</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resultsofoperationsfortheyearsendedDecem">
              <w:r>
                <w:rPr>
                  <w:rStyle w:val="InternetLink"/>
                  <w:rFonts w:ascii="Times New Roman;Times;serif" w:hAnsi="Times New Roman;Times;serif"/>
                  <w:b w:val="false"/>
                  <w:i w:val="false"/>
                  <w:caps w:val="false"/>
                  <w:smallCaps w:val="false"/>
                  <w:sz w:val="18"/>
                </w:rPr>
                <w:t>Results of Operations: Years Ended December 31, 2024 and 2023</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RegulatoryandTaxIssues">
              <w:r>
                <w:rPr>
                  <w:rStyle w:val="InternetLink"/>
                  <w:rFonts w:ascii="Times New Roman;Times;serif" w:hAnsi="Times New Roman;Times;serif"/>
                  <w:b w:val="false"/>
                  <w:i w:val="false"/>
                  <w:caps w:val="false"/>
                  <w:smallCaps w:val="false"/>
                  <w:sz w:val="18"/>
                </w:rPr>
                <w:t>Regulatory and Tax Issues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LiquidityandCapitalResources_57204">
              <w:r>
                <w:rPr>
                  <w:rStyle w:val="InternetLink"/>
                  <w:rFonts w:ascii="Times New Roman;Times;serif" w:hAnsi="Times New Roman;Times;serif"/>
                  <w:b w:val="false"/>
                  <w:i w:val="false"/>
                  <w:caps w:val="false"/>
                  <w:smallCaps w:val="false"/>
                  <w:sz w:val="18"/>
                </w:rPr>
                <w:t>Liquidity and Capital Resources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RecentAccountingPronouncements_66022">
              <w:r>
                <w:rPr>
                  <w:rStyle w:val="InternetLink"/>
                  <w:rFonts w:ascii="Times New Roman;Times;serif" w:hAnsi="Times New Roman;Times;serif"/>
                  <w:b w:val="false"/>
                  <w:i w:val="false"/>
                  <w:caps w:val="false"/>
                  <w:smallCaps w:val="false"/>
                  <w:sz w:val="18"/>
                </w:rPr>
                <w:t>Recent Accounting Pronouncements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826"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18"/>
                </w:rPr>
                <w:t>Item 7A.</w:t>
              </w:r>
            </w:hyperlink>
          </w:p>
        </w:tc>
        <w:tc>
          <w:tcPr>
            <w:tcW w:w="807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18"/>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826" w:type="dxa"/>
            <w:tcBorders/>
            <w:vAlign w:val="center"/>
          </w:tcPr>
          <w:p>
            <w:pPr>
              <w:pStyle w:val="TableContents"/>
              <w:pBdr/>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18"/>
                </w:rPr>
                <w:t>Item 8.</w:t>
              </w:r>
            </w:hyperlink>
          </w:p>
        </w:tc>
        <w:tc>
          <w:tcPr>
            <w:tcW w:w="807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18"/>
                </w:rPr>
                <w:t>Financial Statements and Supplementary Data</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826"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18"/>
                </w:rPr>
                <w:t>Item 9.</w:t>
              </w:r>
            </w:hyperlink>
          </w:p>
        </w:tc>
        <w:tc>
          <w:tcPr>
            <w:tcW w:w="807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18"/>
                </w:rPr>
                <w:t>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826" w:type="dxa"/>
            <w:tcBorders/>
            <w:vAlign w:val="center"/>
          </w:tcPr>
          <w:p>
            <w:pPr>
              <w:pStyle w:val="TableContents"/>
              <w:pBdr/>
              <w:bidi w:val="0"/>
              <w:spacing w:before="0" w:after="0"/>
              <w:ind w:left="0" w:right="0" w:hanging="0"/>
              <w:jc w:val="left"/>
              <w:rPr/>
            </w:pPr>
            <w:hyperlink w:anchor="ITEM9ACONTROLSANDPROCEDURES_510482">
              <w:r>
                <w:rPr>
                  <w:rStyle w:val="InternetLink"/>
                  <w:rFonts w:ascii="Times New Roman;Times;serif" w:hAnsi="Times New Roman;Times;serif"/>
                  <w:b w:val="false"/>
                  <w:i w:val="false"/>
                  <w:caps w:val="false"/>
                  <w:smallCaps w:val="false"/>
                  <w:sz w:val="18"/>
                </w:rPr>
                <w:t>Item 9A.</w:t>
              </w:r>
            </w:hyperlink>
          </w:p>
        </w:tc>
        <w:tc>
          <w:tcPr>
            <w:tcW w:w="8071" w:type="dxa"/>
            <w:tcBorders/>
            <w:vAlign w:val="center"/>
          </w:tcPr>
          <w:p>
            <w:pPr>
              <w:pStyle w:val="TableContents"/>
              <w:bidi w:val="0"/>
              <w:spacing w:before="0" w:after="0"/>
              <w:ind w:left="0" w:right="0" w:hanging="0"/>
              <w:jc w:val="left"/>
              <w:rPr/>
            </w:pPr>
            <w:hyperlink w:anchor="ITEM9ACONTROLSANDPROCEDURES_510482">
              <w:r>
                <w:rPr>
                  <w:rStyle w:val="InternetLink"/>
                  <w:rFonts w:ascii="Times New Roman;Times;serif" w:hAnsi="Times New Roman;Times;serif"/>
                  <w:b w:val="false"/>
                  <w:i w:val="false"/>
                  <w:caps w:val="false"/>
                  <w:smallCaps w:val="false"/>
                  <w:sz w:val="18"/>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EvaluationofDisclosureControlsandProcedu">
              <w:r>
                <w:rPr>
                  <w:rStyle w:val="InternetLink"/>
                  <w:rFonts w:ascii="Times New Roman;Times;serif" w:hAnsi="Times New Roman;Times;serif"/>
                  <w:b w:val="false"/>
                  <w:i w:val="false"/>
                  <w:caps w:val="false"/>
                  <w:smallCaps w:val="false"/>
                  <w:sz w:val="18"/>
                </w:rPr>
                <w:t>Evaluation of Disclosure Controls and Procedures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ManagementsReportonInternalControloverFi">
              <w:r>
                <w:rPr>
                  <w:rStyle w:val="InternetLink"/>
                  <w:rFonts w:ascii="Times New Roman;Times;serif" w:hAnsi="Times New Roman;Times;serif"/>
                  <w:b w:val="false"/>
                  <w:i w:val="false"/>
                  <w:caps w:val="false"/>
                  <w:smallCaps w:val="false"/>
                  <w:sz w:val="18"/>
                </w:rPr>
                <w:t>Management’s Report on Internal Control over Financial Reporting</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ChangesinInternalControlOverFinancialRep">
              <w:r>
                <w:rPr>
                  <w:rStyle w:val="InternetLink"/>
                  <w:rFonts w:ascii="Times New Roman;Times;serif" w:hAnsi="Times New Roman;Times;serif"/>
                  <w:b w:val="false"/>
                  <w:i w:val="false"/>
                  <w:caps w:val="false"/>
                  <w:smallCaps w:val="false"/>
                  <w:sz w:val="18"/>
                </w:rPr>
                <w:t>Changes in Internal Control over Financial Reporting</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826" w:type="dxa"/>
            <w:tcBorders/>
            <w:vAlign w:val="center"/>
          </w:tcPr>
          <w:p>
            <w:pPr>
              <w:pStyle w:val="TableContents"/>
              <w:pBdr/>
              <w:bidi w:val="0"/>
              <w:spacing w:before="0" w:after="0"/>
              <w:ind w:left="0" w:right="0" w:hanging="0"/>
              <w:jc w:val="left"/>
              <w:rPr/>
            </w:pPr>
            <w:hyperlink w:anchor="ITEM9BOTHERINFORMATION_227924">
              <w:r>
                <w:rPr>
                  <w:rStyle w:val="InternetLink"/>
                  <w:rFonts w:ascii="Times New Roman;Times;serif" w:hAnsi="Times New Roman;Times;serif"/>
                  <w:b w:val="false"/>
                  <w:i w:val="false"/>
                  <w:caps w:val="false"/>
                  <w:smallCaps w:val="false"/>
                  <w:sz w:val="18"/>
                </w:rPr>
                <w:t>Item 9B.</w:t>
              </w:r>
            </w:hyperlink>
          </w:p>
        </w:tc>
        <w:tc>
          <w:tcPr>
            <w:tcW w:w="8071" w:type="dxa"/>
            <w:tcBorders/>
            <w:vAlign w:val="center"/>
          </w:tcPr>
          <w:p>
            <w:pPr>
              <w:pStyle w:val="TableContents"/>
              <w:bidi w:val="0"/>
              <w:spacing w:before="0" w:after="0"/>
              <w:ind w:left="0" w:right="0" w:hanging="0"/>
              <w:jc w:val="left"/>
              <w:rPr/>
            </w:pPr>
            <w:hyperlink w:anchor="ITEM9BOTHERINFORMATION_227924">
              <w:r>
                <w:rPr>
                  <w:rStyle w:val="InternetLink"/>
                  <w:rFonts w:ascii="Times New Roman;Times;serif" w:hAnsi="Times New Roman;Times;serif"/>
                  <w:b w:val="false"/>
                  <w:i w:val="false"/>
                  <w:caps w:val="false"/>
                  <w:smallCaps w:val="false"/>
                  <w:sz w:val="18"/>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826" w:type="dxa"/>
            <w:tcBorders/>
            <w:vAlign w:val="center"/>
          </w:tcPr>
          <w:p>
            <w:pPr>
              <w:pStyle w:val="TableContents"/>
              <w:pBdr/>
              <w:bidi w:val="0"/>
              <w:spacing w:before="0" w:after="0"/>
              <w:ind w:left="0" w:right="0" w:hanging="0"/>
              <w:jc w:val="left"/>
              <w:rPr/>
            </w:pPr>
            <w:hyperlink w:anchor="ITEM9BOTHERINFORMATION_227924">
              <w:r>
                <w:rPr>
                  <w:rStyle w:val="InternetLink"/>
                  <w:rFonts w:ascii="Times New Roman;Times;serif" w:hAnsi="Times New Roman;Times;serif"/>
                  <w:b w:val="false"/>
                  <w:i w:val="false"/>
                  <w:caps w:val="false"/>
                  <w:smallCaps w:val="false"/>
                  <w:sz w:val="18"/>
                </w:rPr>
                <w:t>Item 9C.</w:t>
              </w:r>
            </w:hyperlink>
          </w:p>
        </w:tc>
        <w:tc>
          <w:tcPr>
            <w:tcW w:w="807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18"/>
                </w:rPr>
                <w:t>Disclosure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PARTIII_64894">
              <w:r>
                <w:rPr>
                  <w:rStyle w:val="InternetLink"/>
                  <w:rFonts w:ascii="Times New Roman;Times;serif" w:hAnsi="Times New Roman;Times;serif"/>
                  <w:b w:val="false"/>
                  <w:i w:val="false"/>
                  <w:caps w:val="false"/>
                  <w:smallCaps w:val="false"/>
                  <w:sz w:val="18"/>
                </w:rPr>
                <w:t>PART III</w:t>
              </w:r>
            </w:hyperlink>
          </w:p>
        </w:tc>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18"/>
                </w:rPr>
                <w:t>Item 10.</w:t>
              </w:r>
            </w:hyperlink>
          </w:p>
        </w:tc>
        <w:tc>
          <w:tcPr>
            <w:tcW w:w="807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18"/>
                </w:rPr>
                <w:t>Directors, Executive Officers and Corporate Governance</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26" w:type="dxa"/>
            <w:tcBorders/>
            <w:vAlign w:val="center"/>
          </w:tcPr>
          <w:p>
            <w:pPr>
              <w:pStyle w:val="TableContents"/>
              <w:pBdr/>
              <w:bidi w:val="0"/>
              <w:spacing w:before="0" w:after="0"/>
              <w:ind w:left="0" w:right="0" w:hanging="0"/>
              <w:jc w:val="left"/>
              <w:rPr/>
            </w:pPr>
            <w:hyperlink w:anchor="ITEM11EXECUTIVECOMPENSATION_438684">
              <w:r>
                <w:rPr>
                  <w:rStyle w:val="InternetLink"/>
                  <w:rFonts w:ascii="Times New Roman;Times;serif" w:hAnsi="Times New Roman;Times;serif"/>
                  <w:b w:val="false"/>
                  <w:i w:val="false"/>
                  <w:caps w:val="false"/>
                  <w:smallCaps w:val="false"/>
                  <w:sz w:val="18"/>
                </w:rPr>
                <w:t>Item 11.</w:t>
              </w:r>
            </w:hyperlink>
          </w:p>
        </w:tc>
        <w:tc>
          <w:tcPr>
            <w:tcW w:w="8071" w:type="dxa"/>
            <w:tcBorders/>
            <w:vAlign w:val="center"/>
          </w:tcPr>
          <w:p>
            <w:pPr>
              <w:pStyle w:val="TableContents"/>
              <w:bidi w:val="0"/>
              <w:spacing w:before="0" w:after="0"/>
              <w:ind w:left="0" w:right="0" w:hanging="0"/>
              <w:jc w:val="left"/>
              <w:rPr/>
            </w:pPr>
            <w:hyperlink w:anchor="ITEM11EXECUTIVECOMPENSATION_438684">
              <w:r>
                <w:rPr>
                  <w:rStyle w:val="InternetLink"/>
                  <w:rFonts w:ascii="Times New Roman;Times;serif" w:hAnsi="Times New Roman;Times;serif"/>
                  <w:b w:val="false"/>
                  <w:i w:val="false"/>
                  <w:caps w:val="false"/>
                  <w:smallCaps w:val="false"/>
                  <w:sz w:val="18"/>
                </w:rPr>
                <w:t>Executive Compensation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826"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18"/>
                </w:rPr>
                <w:t>Item 12.</w:t>
              </w:r>
            </w:hyperlink>
          </w:p>
        </w:tc>
        <w:tc>
          <w:tcPr>
            <w:tcW w:w="807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18"/>
                </w:rPr>
                <w:t>Security Ownership of Certain Beneficial Owners and Management and Related Stockholder Matters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826" w:type="dxa"/>
            <w:tcBorders/>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18"/>
                </w:rPr>
                <w:t>Item 13.</w:t>
              </w:r>
            </w:hyperlink>
          </w:p>
        </w:tc>
        <w:tc>
          <w:tcPr>
            <w:tcW w:w="807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18"/>
                </w:rPr>
                <w:t>Certain Relationships and Related Transactions, and Director Independence</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826" w:type="dxa"/>
            <w:tcBorders/>
            <w:vAlign w:val="center"/>
          </w:tcPr>
          <w:p>
            <w:pPr>
              <w:pStyle w:val="TableContents"/>
              <w:pBdr/>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18"/>
                </w:rPr>
                <w:t>Item 14.</w:t>
              </w:r>
            </w:hyperlink>
          </w:p>
        </w:tc>
        <w:tc>
          <w:tcPr>
            <w:tcW w:w="807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18"/>
                </w:rPr>
                <w:t>Principal Accountant Fees and Services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826" w:type="dxa"/>
            <w:tcBorders/>
            <w:vAlign w:val="center"/>
          </w:tcPr>
          <w:p>
            <w:pPr>
              <w:pStyle w:val="TableContents"/>
              <w:pBdr/>
              <w:bidi w:val="0"/>
              <w:spacing w:before="0" w:after="0"/>
              <w:ind w:left="0" w:right="0" w:hanging="0"/>
              <w:jc w:val="left"/>
              <w:rPr/>
            </w:pPr>
            <w:hyperlink w:anchor="PARTIV_619400">
              <w:r>
                <w:rPr>
                  <w:rStyle w:val="InternetLink"/>
                  <w:rFonts w:ascii="Times New Roman;Times;serif" w:hAnsi="Times New Roman;Times;serif"/>
                  <w:b w:val="false"/>
                  <w:i w:val="false"/>
                  <w:caps w:val="false"/>
                  <w:smallCaps w:val="false"/>
                  <w:sz w:val="18"/>
                </w:rPr>
                <w:t>PART IV</w:t>
              </w:r>
            </w:hyperlink>
          </w:p>
        </w:tc>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826" w:type="dxa"/>
            <w:tcBorders/>
            <w:vAlign w:val="center"/>
          </w:tcPr>
          <w:p>
            <w:pPr>
              <w:pStyle w:val="TableContents"/>
              <w:pBdr/>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18"/>
                </w:rPr>
                <w:t>Item 15.</w:t>
              </w:r>
            </w:hyperlink>
          </w:p>
        </w:tc>
        <w:tc>
          <w:tcPr>
            <w:tcW w:w="8071"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18"/>
                </w:rPr>
                <w:t>Exhibits, Financial Statement Schedules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826" w:type="dxa"/>
            <w:tcBorders/>
            <w:vAlign w:val="center"/>
          </w:tcPr>
          <w:p>
            <w:pPr>
              <w:pStyle w:val="TableContents"/>
              <w:pBdr/>
              <w:bidi w:val="0"/>
              <w:spacing w:before="0" w:after="0"/>
              <w:ind w:left="0" w:right="0" w:hanging="0"/>
              <w:jc w:val="left"/>
              <w:rPr/>
            </w:pPr>
            <w:hyperlink w:anchor="ITEM16FORM10KSUMMARY_221003">
              <w:r>
                <w:rPr>
                  <w:rStyle w:val="InternetLink"/>
                  <w:rFonts w:ascii="Times New Roman;Times;serif" w:hAnsi="Times New Roman;Times;serif"/>
                  <w:b w:val="false"/>
                  <w:i w:val="false"/>
                  <w:caps w:val="false"/>
                  <w:smallCaps w:val="false"/>
                  <w:sz w:val="18"/>
                </w:rPr>
                <w:t>Item 16.</w:t>
              </w:r>
            </w:hyperlink>
          </w:p>
        </w:tc>
        <w:tc>
          <w:tcPr>
            <w:tcW w:w="8071" w:type="dxa"/>
            <w:tcBorders/>
            <w:vAlign w:val="center"/>
          </w:tcPr>
          <w:p>
            <w:pPr>
              <w:pStyle w:val="TableContents"/>
              <w:bidi w:val="0"/>
              <w:spacing w:before="0" w:after="0"/>
              <w:ind w:left="0" w:right="0" w:hanging="0"/>
              <w:jc w:val="left"/>
              <w:rPr/>
            </w:pPr>
            <w:hyperlink w:anchor="ITEM16FORM10KSUMMARY_221003">
              <w:r>
                <w:rPr>
                  <w:rStyle w:val="InternetLink"/>
                  <w:rFonts w:ascii="Times New Roman;Times;serif" w:hAnsi="Times New Roman;Times;serif"/>
                  <w:b w:val="false"/>
                  <w:i w:val="false"/>
                  <w:caps w:val="false"/>
                  <w:smallCaps w:val="false"/>
                  <w:sz w:val="18"/>
                </w:rPr>
                <w:t>Form 10-K Summary</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SIGNATURES_711619">
              <w:r>
                <w:rPr>
                  <w:rStyle w:val="InternetLink"/>
                  <w:rFonts w:ascii="Times New Roman;Times;serif" w:hAnsi="Times New Roman;Times;serif"/>
                  <w:b w:val="false"/>
                  <w:i w:val="false"/>
                  <w:caps w:val="false"/>
                  <w:smallCaps w:val="false"/>
                  <w:sz w:val="18"/>
                </w:rPr>
                <w:t>Signatures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r>
      <w:tr>
        <w:trPr/>
        <w:tc>
          <w:tcPr>
            <w:tcW w:w="826" w:type="dxa"/>
            <w:tcBorders/>
            <w:vAlign w:val="center"/>
          </w:tcPr>
          <w:p>
            <w:pPr>
              <w:pStyle w:val="TableContents"/>
              <w:pBdr/>
              <w:bidi w:val="0"/>
              <w:spacing w:before="0" w:after="0"/>
              <w:ind w:left="0" w:right="0" w:hanging="0"/>
              <w:jc w:val="left"/>
              <w:rPr/>
            </w:pPr>
            <w:r>
              <w:rPr/>
              <w:t>​</w:t>
            </w:r>
          </w:p>
        </w:tc>
        <w:tc>
          <w:tcPr>
            <w:tcW w:w="8071" w:type="dxa"/>
            <w:tcBorders/>
            <w:vAlign w:val="center"/>
          </w:tcPr>
          <w:p>
            <w:pPr>
              <w:pStyle w:val="TableContents"/>
              <w:bidi w:val="0"/>
              <w:spacing w:before="0" w:after="0"/>
              <w:ind w:left="0" w:right="0" w:hanging="0"/>
              <w:jc w:val="left"/>
              <w:rPr/>
            </w:pPr>
            <w:hyperlink w:anchor="CONSOLIDATEDFINANCIALSTATEMENTSANDFINANC">
              <w:r>
                <w:rPr>
                  <w:rStyle w:val="InternetLink"/>
                  <w:rFonts w:ascii="Times New Roman;Times;serif" w:hAnsi="Times New Roman;Times;serif"/>
                  <w:b w:val="false"/>
                  <w:i w:val="false"/>
                  <w:caps w:val="false"/>
                  <w:smallCaps w:val="false"/>
                  <w:sz w:val="18"/>
                </w:rPr>
                <w:t>Index to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F-1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center"/>
        <w:rPr>
          <w:rFonts w:ascii="Times New Roman;Times;serif" w:hAnsi="Times New Roman;Times;serif"/>
          <w:b/>
          <w:sz w:val="20"/>
        </w:rPr>
      </w:pPr>
      <w:bookmarkStart w:id="27" w:name="SpecialNoteForwardLookingSTMT"/>
      <w:bookmarkStart w:id="28" w:name="_72808510_3cd9_4503_b185_52116e44ed4d"/>
      <w:bookmarkEnd w:id="27"/>
      <w:bookmarkEnd w:id="28"/>
      <w:r>
        <w:rPr>
          <w:rFonts w:ascii="Times New Roman;Times;serif" w:hAnsi="Times New Roman;Times;serif"/>
          <w:b/>
          <w:sz w:val="20"/>
        </w:rPr>
        <w:t>SPECIAL NOTE REGARDING FORWARD-LOOKING STATEMENTS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Annual Report on Form 10-K (this “Report”) contains forward-looking statements relating to, among other matters, our future financial performance and results of operations; the impact of federal support program revenues; expectations regarding future revenue, operating income, EBITDA and capital expenditures; the competitive environment in our key markets, demand for our services and industry trends;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and the retention of and future growth of our subscriber base and ARPU; (2) our ability to replace and remove all prohibited mobile telecommunications equipment in our US network on the timeframe and at the cost approved by the Federal Communications Commission; (3) our ability to satisfy the needs and demands of our major carrier customers; (4) our ability to maintain government funding, including as a result of changes to governmental policies and programs, regulation of our businesses, and changes to funding imposed by the new US administration, which may impact our revenue, operating costs, and telecommunications licenses; (5) the adequacy and expansion capabilities of our network capacity and customer service system to support our customer growth; (6) our ability to efficiently and cost-effectively upgrade our networks and information technology platforms to address rapid and significant technological changes in the telecommunications industry; (7) continued access to capital and credit markets on terms we deem favorable; (8) our reliance on a limited number of key suppliers and vendors for timely supply of equipment and services relating to our network infrastructure; (9) our ability to continue to cost-effectively service our debt to levels needed to fund our business  given rising interest rates; (10) our estimated plan with respect to material construction projects and the effect such progress will have on our financial results; (11) increased risk of political, geopolitical and other risks and opportunities facing our operations, including those resulting from the new US administration, the persistence of high inflation, and other macroeconomic headwinds including increased costs, higher interest rates, availability of exchanging foreign currency into US dollars, and supply chain disruptions; (12) the loss of, or an inability to recruit and retain skilled personnel in our various jurisdictions, including key members of management; (13) our ability to find investment or acquisition or disposition opportunities that fit our strategic goals; (14) the occurrence of weather events and natural catastrophes and our ability to secure the appropriate level of insurance coverage for these assets; and (15) increased competition.  </w:t>
      </w:r>
    </w:p>
    <w:p>
      <w:pPr>
        <w:pStyle w:val="TextBody"/>
        <w:bidi w:val="0"/>
        <w:spacing w:before="280" w:after="0"/>
        <w:ind w:left="0" w:right="0" w:firstLine="693"/>
        <w:jc w:val="both"/>
        <w:rPr>
          <w:rFonts w:ascii="Times New Roman;Times;serif" w:hAnsi="Times New Roman;Times;serif"/>
          <w:sz w:val="20"/>
        </w:rPr>
      </w:pPr>
      <w:r>
        <w:rPr>
          <w:rFonts w:ascii="Times New Roman;Times;serif" w:hAnsi="Times New Roman;Times;serif"/>
          <w:sz w:val="20"/>
        </w:rPr>
        <w:t>Please keep in mind that any forward-looking statement made by us in this Report or elsewhere speaks only as of the date on which we make it. New risks and uncertainties arise from time to time, and it is impossible for us to predict these events or how they may affect us. In any event, these and other important factors may cause actual results to differ materially from those indicated by our forward-looking statements, including those set forth in Item 1A of this Report under the caption “Risk Factors.” We have no duty to, and do not intend to, update or revise the forward-looking statements made by us in this Report after the date of this Report, except as may be required by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this Report, the words “the Company,” “we,” “our,” “ours,” “us” and “ATN” refer to ATN International, Inc. and its subsidiaries. This Report contains trademarks, service marks and trade names that are the property of, or licensed by, ATN and its subsidiaries.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References to dollars ($) refer to US dollars unless otherwise specifically indicated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29" w:name="PARTI_790656"/>
      <w:bookmarkStart w:id="30" w:name="_d902dddf_7fb1_49d1_9b19_5618f3c7d599"/>
      <w:bookmarkEnd w:id="29"/>
      <w:bookmarkEnd w:id="30"/>
      <w:r>
        <w:rPr>
          <w:rFonts w:ascii="Times New Roman;Times;serif" w:hAnsi="Times New Roman;Times;serif"/>
          <w:b/>
          <w:sz w:val="20"/>
        </w:rPr>
        <w:t>PART I</w:t>
      </w:r>
    </w:p>
    <w:p>
      <w:pPr>
        <w:pStyle w:val="TextBody"/>
        <w:bidi w:val="0"/>
        <w:spacing w:before="0" w:after="240"/>
        <w:ind w:left="0" w:right="0" w:hanging="0"/>
        <w:jc w:val="both"/>
        <w:rPr>
          <w:rFonts w:ascii="Times New Roman;Times;serif" w:hAnsi="Times New Roman;Times;serif"/>
          <w:b/>
          <w:sz w:val="20"/>
        </w:rPr>
      </w:pPr>
      <w:bookmarkStart w:id="31" w:name="ITEM1BUSINESS_330708"/>
      <w:bookmarkEnd w:id="31"/>
      <w:r>
        <w:rPr>
          <w:rFonts w:ascii="Times New Roman;Times;serif" w:hAnsi="Times New Roman;Times;serif"/>
          <w:b/>
          <w:sz w:val="20"/>
        </w:rPr>
        <w:t xml:space="preserve">ITEM 1.  BUSINESS </w:t>
      </w:r>
    </w:p>
    <w:p>
      <w:pPr>
        <w:pStyle w:val="TextBody"/>
        <w:bidi w:val="0"/>
        <w:spacing w:before="280" w:after="0"/>
        <w:ind w:left="40" w:right="0" w:hanging="0"/>
        <w:jc w:val="both"/>
        <w:rPr>
          <w:rFonts w:ascii="Times New Roman;Times;serif" w:hAnsi="Times New Roman;Times;serif"/>
          <w:b/>
          <w:sz w:val="20"/>
        </w:rPr>
      </w:pPr>
      <w:bookmarkStart w:id="32" w:name="Strategy"/>
      <w:bookmarkEnd w:id="32"/>
      <w:r>
        <w:rPr>
          <w:rFonts w:ascii="Times New Roman;Times;serif" w:hAnsi="Times New Roman;Times;serif"/>
          <w:b/>
          <w:sz w:val="20"/>
        </w:rPr>
        <w:t>Strategy</w:t>
      </w:r>
    </w:p>
    <w:p>
      <w:pPr>
        <w:pStyle w:val="TextBody"/>
        <w:bidi w:val="0"/>
        <w:spacing w:before="280" w:after="0"/>
        <w:ind w:left="40" w:right="0" w:firstLine="580"/>
        <w:jc w:val="both"/>
        <w:rPr>
          <w:rFonts w:ascii="Times New Roman;Times;serif" w:hAnsi="Times New Roman;Times;serif"/>
          <w:sz w:val="20"/>
        </w:rPr>
      </w:pPr>
      <w:r>
        <w:rPr>
          <w:rFonts w:ascii="Times New Roman;Times;serif" w:hAnsi="Times New Roman;Times;serif"/>
          <w:sz w:val="20"/>
        </w:rPr>
        <w:t>We believe that access to reliable, high-quality communications services for data, voice and video is fundamental to the economic growth and well-being of every community and should be easy and ubiquitous. Our strategy is informed by our mission which is to digitally empower people and communities so that they can connect with the world and prosper. We seek to do so by providing our customers with critical communication technologies that enable rural and remote communities to access reliable, high-speed broadband access through fiber or fiber-like services. These services are essential for allowing these communities to access things such as healthcare, education, and economic opportunities.  </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At the start of 2022, we launched a three-year strategy to deploy capital into fiber and fiber-fed high-speed data solutions to increase our network reach and grow the number of business and consumers utilizing high-speed broadband services. The key elements of our strategy are the following:</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Glass &amp; Steel™</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We have focused on building and owning advanced digital infrastructure to adapt and meet our customers’ evolving connectivity needs. This investment period has been focused on advancing our carrier managed services business, enabling us to utilize critical infrastructure while transitioning away from legacy wholesale services business.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First-to-Fiber</w:t>
            </w:r>
            <w:r>
              <w:rPr>
                <w:rFonts w:ascii="Times New Roman;Times;serif" w:hAnsi="Times New Roman;Times;serif"/>
                <w:b w:val="false"/>
                <w:i w:val="false"/>
                <w:caps w:val="false"/>
                <w:smallCaps w:val="false"/>
                <w:sz w:val="20"/>
              </w:rPr>
              <w:t>. We have pursued a “first-to-fiber” strategy targeting underbuilt or historically underserved markets to “close the digital divide” in our rural or remote markets. We used a variety of technologies to pursue our goal of closing the digital divide while ensuring a viable return on our investment. In addition to deploying our own capital, we utilized federal, state, local or tribal government funding incentives and programs. As of December 31, 2024, we had approximately 800,900 homes passed by our broadband services of which 53% of those homes had access to high-speed data (HSD) (defined as download speeds equal to or more than 100 megabits per second), and approximately 203,200 broadband subscribers, of which 69% were HSD broadband subscribers, and 11,921 fiber route miles. While we expect that our rate of organic investment will continue to slow, we anticipate that we will continue to access federal, state, local or tribal government funding incentives and programs to supplement our investments in this area.</w:t>
            </w:r>
          </w:p>
        </w:tc>
      </w:tr>
    </w:tbl>
    <w:p>
      <w:pPr>
        <w:pStyle w:val="TextBody"/>
        <w:bidi w:val="0"/>
        <w:spacing w:before="0" w:after="0"/>
        <w:ind w:left="98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Operational Efficiencies</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We have focused on enhancing operational efficiencies to reduce operating costs and improve operating margins. This includes initiatives</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to streamline legacy copper-based networks </w:t>
            </w:r>
            <w:r>
              <w:rPr>
                <w:rFonts w:ascii="Times New Roman;Times;serif" w:hAnsi="Times New Roman;Times;serif"/>
                <w:b w:val="false"/>
                <w:i w:val="false"/>
                <w:caps w:val="false"/>
                <w:smallCaps w:val="false"/>
                <w:sz w:val="20"/>
              </w:rPr>
              <w:t>and align our workforce with our business needs. We anticipate these efforts will continue across both of our segments.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98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Localized Operations</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We believe that strong local management enhances</w:t>
            </w:r>
            <w:r>
              <w:rPr/>
              <w:t xml:space="preserve"> </w:t>
            </w:r>
            <w:r>
              <w:rPr>
                <w:rFonts w:ascii="Times New Roman;Times;serif" w:hAnsi="Times New Roman;Times;serif"/>
                <w:b w:val="false"/>
                <w:i w:val="false"/>
                <w:caps w:val="false"/>
                <w:smallCaps w:val="false"/>
                <w:sz w:val="20"/>
              </w:rPr>
              <w:t>our customer relationships and reduces risk. By maintaining these relationships and leveraging our management experience and operational, technical, and financial expertise with company-wide resources, we can assist these local management teams in further improving operations and growing their businesses.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Capital Allocation Strategy Designed for Long-Term Investor Return</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We take a long-term perspective on our businesses, which we believe enhances our likelihood of success while mitigating risk. When evaluating investment opportunities, we seek out infrastructure-based services that result in steady, long-term cash flows. The durability of these investments ensures consistent operating cash flows over extended periods that enable us to re-invest in our core operations, reduce debt, and return value to our investors through dividends or stock repurchases. We consider new investments, acquisitions and dispositions on a disciplined, return-on-investment basis.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2024, we completed our planned three-year capital investment phase which has increased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capabilities and lifespan and reduced the operating costs of our networks. We are focused on fully leveraging our upgraded network assets. Our strategy prioritizes optimizing business performance to enhance margins, generating increased cash flow and delivering sustained value to our shareholders and customers over the long term.</w:t>
      </w:r>
    </w:p>
    <w:p>
      <w:pPr>
        <w:pStyle w:val="TextBody"/>
        <w:bidi w:val="0"/>
        <w:spacing w:before="280" w:after="0"/>
        <w:ind w:left="0" w:right="0" w:hanging="0"/>
        <w:jc w:val="both"/>
        <w:rPr>
          <w:rFonts w:ascii="Times New Roman;Times;serif" w:hAnsi="Times New Roman;Times;serif"/>
          <w:b/>
          <w:sz w:val="20"/>
        </w:rPr>
      </w:pPr>
      <w:bookmarkStart w:id="33" w:name="Overview_456447"/>
      <w:bookmarkEnd w:id="33"/>
      <w:r>
        <w:rPr>
          <w:rFonts w:ascii="Times New Roman;Times;serif" w:hAnsi="Times New Roman;Times;serif"/>
          <w:b/>
          <w:sz w:val="20"/>
        </w:rPr>
        <w:t>Overview</w:t>
      </w:r>
    </w:p>
    <w:p>
      <w:pPr>
        <w:pStyle w:val="TextBody"/>
        <w:bidi w:val="0"/>
        <w:spacing w:before="280" w:after="0"/>
        <w:ind w:left="40" w:right="99" w:firstLine="529"/>
        <w:jc w:val="both"/>
        <w:rPr>
          <w:rFonts w:ascii="Times New Roman;Times;serif" w:hAnsi="Times New Roman;Times;serif"/>
          <w:sz w:val="20"/>
        </w:rPr>
      </w:pPr>
      <w:r>
        <w:rPr>
          <w:rFonts w:ascii="Times New Roman;Times;serif" w:hAnsi="Times New Roman;Times;serif"/>
          <w:sz w:val="20"/>
        </w:rPr>
        <w:t>We provide digital infrastructure and communications services in the United States, primarily in the western US, the Navajo Nation and Alaska, and internationally, including Bermuda and the Caribbean region. We focus on smaller markets, many of which are rural or remote, that have a growing demand for connectivity services. Through our operating subsidiaries, we primarily provide: (i) fixed and mobile telecommunications connectivity to residential, business and government customers, including a range of high-speed internet and data services, fixed and mobile wireless solutions, and video and voice services; and (ii) carrier communications services, such as communications tower facilities to large business and government customers, and terrestrial and submarine fiber optic transport.</w:t>
      </w:r>
    </w:p>
    <w:p>
      <w:pPr>
        <w:pStyle w:val="TextBody"/>
        <w:bidi w:val="0"/>
        <w:spacing w:before="280" w:after="0"/>
        <w:ind w:left="0" w:right="99" w:hanging="0"/>
        <w:jc w:val="both"/>
        <w:rPr>
          <w:rFonts w:ascii="Times New Roman;Times;serif" w:hAnsi="Times New Roman;Times;serif"/>
          <w:b/>
          <w:sz w:val="20"/>
        </w:rPr>
      </w:pPr>
      <w:r>
        <w:rPr>
          <w:rFonts w:ascii="Times New Roman;Times;serif" w:hAnsi="Times New Roman;Times;serif"/>
          <w:b/>
          <w:sz w:val="20"/>
        </w:rPr>
        <w:t>About the Company</w:t>
      </w:r>
    </w:p>
    <w:p>
      <w:pPr>
        <w:pStyle w:val="TextBody"/>
        <w:bidi w:val="0"/>
        <w:spacing w:before="280" w:after="0"/>
        <w:ind w:left="40" w:right="259" w:firstLine="529"/>
        <w:jc w:val="both"/>
        <w:rPr>
          <w:rFonts w:ascii="Times New Roman;Times;serif" w:hAnsi="Times New Roman;Times;serif"/>
          <w:sz w:val="20"/>
        </w:rPr>
      </w:pPr>
      <w:r>
        <w:rPr>
          <w:rFonts w:ascii="Times New Roman;Times;serif" w:hAnsi="Times New Roman;Times;serif"/>
          <w:sz w:val="20"/>
        </w:rPr>
        <w:t xml:space="preserve">We are a leading provider of digital infrastructure and communications services with a focus on rural and remote markets in the United States, and internationally, including Bermuda and the Caribbean region. </w:t>
      </w:r>
    </w:p>
    <w:p>
      <w:pPr>
        <w:pStyle w:val="TextBody"/>
        <w:bidi w:val="0"/>
        <w:spacing w:before="280" w:after="0"/>
        <w:ind w:left="40" w:right="259" w:firstLine="529"/>
        <w:jc w:val="both"/>
        <w:rPr>
          <w:rFonts w:ascii="Times New Roman;Times;serif" w:hAnsi="Times New Roman;Times;serif"/>
          <w:sz w:val="20"/>
        </w:rPr>
      </w:pPr>
      <w:r>
        <w:rPr>
          <w:rFonts w:ascii="Times New Roman;Times;serif" w:hAnsi="Times New Roman;Times;serif"/>
          <w:sz w:val="20"/>
        </w:rPr>
        <w:t xml:space="preserve">We have developed significant operational expertise and resources that we use to augment our capabilities in our local markets. With this support, our operating subsidiaries can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while keeping a focus on generating excess operating cash flows over extended periods of time. We use the cash generated from our operations to maintain an appropriate ratio of debt and cash on hand and to re-invest in organic growth, to fund capital expenditures, to return value to our stockholders through dividends or stock repurchases, and to make strategic investments or acquisitions. </w:t>
      </w:r>
    </w:p>
    <w:p>
      <w:pPr>
        <w:pStyle w:val="TextBody"/>
        <w:bidi w:val="0"/>
        <w:spacing w:before="280" w:after="0"/>
        <w:ind w:left="40" w:right="79" w:firstLine="529"/>
        <w:jc w:val="both"/>
        <w:rPr>
          <w:rFonts w:ascii="Times New Roman;Times;serif" w:hAnsi="Times New Roman;Times;serif"/>
          <w:sz w:val="20"/>
        </w:rPr>
      </w:pPr>
      <w:r>
        <w:rPr>
          <w:rFonts w:ascii="Times New Roman;Times;serif" w:hAnsi="Times New Roman;Times;serif"/>
          <w:sz w:val="20"/>
        </w:rPr>
        <w:t>For further information about our financial segments and geographical information about our operating revenues and assets, see Notes 1 and 14 to the Consolidated Financial Statements included in this Report.</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As of December 31, 2024, we offered the following types of services to our customers: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Telecommunications Services</w:t>
            </w:r>
            <w:r>
              <w:rPr>
                <w:rFonts w:ascii="Times New Roman;Times;serif" w:hAnsi="Times New Roman;Times;serif"/>
                <w:b w:val="false"/>
                <w:i w:val="false"/>
                <w:caps w:val="false"/>
                <w:smallCaps w:val="false"/>
                <w:sz w:val="20"/>
              </w:rPr>
              <w:t>. We provide fixed data and voice telecommunications services to business and consumer customers. These services include high-speed consumer broadband and high-speed data solutions for businesses. For some markets, fixed services also include video services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Telecommunication Services</w:t>
            </w:r>
            <w:r>
              <w:rPr>
                <w:rFonts w:ascii="Times New Roman;Times;serif" w:hAnsi="Times New Roman;Times;serif"/>
                <w:b w:val="false"/>
                <w:i w:val="false"/>
                <w:caps w:val="false"/>
                <w:smallCaps w:val="false"/>
                <w:sz w:val="20"/>
              </w:rPr>
              <w:t>.  We deliver services to other telecommunications providers including the leasing of critical network infrastructure such as tower and transport facilities, wholesale roaming and long-distance voice services,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Mobile Telecommunications Services</w:t>
            </w:r>
            <w:r>
              <w:rPr>
                <w:rFonts w:ascii="Times New Roman;Times;serif" w:hAnsi="Times New Roman;Times;serif"/>
                <w:b w:val="false"/>
                <w:i w:val="false"/>
                <w:caps w:val="false"/>
                <w:smallCaps w:val="false"/>
                <w:sz w:val="20"/>
              </w:rPr>
              <w:t>. We offer mobile communications services over our wireless networks and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We provide information technology services such as network, application, infrastructure and hosting services to both our business and consumer customers to complement our fixed telecommunications services in our existing markets.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159" w:firstLine="529"/>
        <w:jc w:val="both"/>
        <w:rPr>
          <w:rFonts w:ascii="Times New Roman;Times;serif" w:hAnsi="Times New Roman;Times;serif"/>
          <w:sz w:val="20"/>
        </w:rPr>
      </w:pPr>
      <w:r>
        <w:rPr>
          <w:rFonts w:ascii="Times New Roman;Times;serif" w:hAnsi="Times New Roman;Times;serif"/>
          <w:sz w:val="20"/>
        </w:rPr>
        <w:t>Through December 31, 2024, we identified two operating segments to manage and review our operations, as well as to support investor presentations of our results. These operating segments are as follows: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United States, we offer fixed, carrier, and managed services to customers in Alaska and the western United States. In 2024, we ceased providing mobility services to retail customers in the western United States.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our international markets, we offer fixed, carrier, mobility and managed services to customers in Bermuda, the Cayman Islands, Guyana and the US Virgin Islands.</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chart summarizes the operating activities of our principal subsidiaries, the segments in which we reported our revenue and the markets we served during 2024:</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655"/>
        <w:jc w:val="both"/>
        <w:rPr/>
      </w:pPr>
      <w:r>
        <w:rPr/>
        <w:t>​</w:t>
      </w:r>
    </w:p>
    <w:tbl>
      <w:tblPr>
        <w:tblW w:w="10205" w:type="dxa"/>
        <w:jc w:val="left"/>
        <w:tblInd w:w="0" w:type="dxa"/>
        <w:tblLayout w:type="fixed"/>
        <w:tblCellMar>
          <w:top w:w="0" w:type="dxa"/>
          <w:left w:w="0" w:type="dxa"/>
          <w:bottom w:w="0" w:type="dxa"/>
          <w:right w:w="0" w:type="dxa"/>
        </w:tblCellMar>
      </w:tblPr>
      <w:tblGrid>
        <w:gridCol w:w="994"/>
        <w:gridCol w:w="266"/>
        <w:gridCol w:w="1425"/>
        <w:gridCol w:w="109"/>
        <w:gridCol w:w="2087"/>
        <w:gridCol w:w="979"/>
        <w:gridCol w:w="266"/>
        <w:gridCol w:w="987"/>
        <w:gridCol w:w="109"/>
        <w:gridCol w:w="2983"/>
      </w:tblGrid>
      <w:tr>
        <w:trPr/>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31190" cy="175260"/>
                      <wp:effectExtent l="0" t="0" r="0" b="0"/>
                      <wp:wrapNone/>
                      <wp:docPr id="3" name="Frame3"/>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8910" cy="175260"/>
                      <wp:effectExtent l="0" t="0" r="0" b="0"/>
                      <wp:wrapNone/>
                      <wp:docPr id="4" name="Frame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04875" cy="175260"/>
                      <wp:effectExtent l="0" t="0" r="0" b="0"/>
                      <wp:wrapNone/>
                      <wp:docPr id="5" name="Frame5"/>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25245" cy="175260"/>
                      <wp:effectExtent l="0" t="0" r="0" b="0"/>
                      <wp:wrapNone/>
                      <wp:docPr id="7" name="Frame7"/>
                      <a:graphic xmlns:a="http://schemas.openxmlformats.org/drawingml/2006/main">
                        <a:graphicData uri="http://schemas.microsoft.com/office/word/2010/wordprocessingShape">
                          <wps:wsp>
                            <wps:cNvSpPr txBox="1"/>
                            <wps:spPr>
                              <a:xfrm>
                                <a:off x="0" y="0"/>
                                <a:ext cx="1325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21665" cy="175260"/>
                      <wp:effectExtent l="0" t="0" r="0" b="0"/>
                      <wp:wrapNone/>
                      <wp:docPr id="8" name="Frame8"/>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8910" cy="175260"/>
                      <wp:effectExtent l="0" t="0" r="0" b="0"/>
                      <wp:wrapNone/>
                      <wp:docPr id="9" name="Frame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26745" cy="175260"/>
                      <wp:effectExtent l="0" t="0" r="0" b="0"/>
                      <wp:wrapNone/>
                      <wp:docPr id="10" name="Frame10"/>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894205" cy="175260"/>
                      <wp:effectExtent l="0" t="0" r="0" b="0"/>
                      <wp:wrapNone/>
                      <wp:docPr id="12" name="Frame12"/>
                      <a:graphic xmlns:a="http://schemas.openxmlformats.org/drawingml/2006/main">
                        <a:graphicData uri="http://schemas.microsoft.com/office/word/2010/wordprocessingShape">
                          <wps:wsp>
                            <wps:cNvSpPr txBox="1"/>
                            <wps:spPr>
                              <a:xfrm>
                                <a:off x="0" y="0"/>
                                <a:ext cx="189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1" w:type="dxa"/>
            <w:gridSpan w:val="5"/>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International Telecom</w:t>
            </w:r>
          </w:p>
        </w:tc>
        <w:tc>
          <w:tcPr>
            <w:tcW w:w="5324" w:type="dxa"/>
            <w:gridSpan w:val="5"/>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Telecom</w:t>
            </w:r>
          </w:p>
        </w:tc>
      </w:tr>
      <w:tr>
        <w:trPr/>
        <w:tc>
          <w:tcPr>
            <w:tcW w:w="9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66" w:type="dxa"/>
            <w:tcBorders/>
            <w:vAlign w:val="center"/>
          </w:tcPr>
          <w:p>
            <w:pPr>
              <w:pStyle w:val="TableContents"/>
              <w:bidi w:val="0"/>
              <w:spacing w:before="0" w:after="0"/>
              <w:ind w:left="0" w:right="0" w:hanging="0"/>
              <w:jc w:val="center"/>
              <w:rPr/>
            </w:pPr>
            <w:r>
              <w:rPr/>
              <w:t>   </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109" w:type="dxa"/>
            <w:tcBorders/>
            <w:vAlign w:val="center"/>
          </w:tcPr>
          <w:p>
            <w:pPr>
              <w:pStyle w:val="TableContents"/>
              <w:bidi w:val="0"/>
              <w:spacing w:before="0" w:after="0"/>
              <w:ind w:left="0" w:right="0" w:hanging="0"/>
              <w:jc w:val="center"/>
              <w:rPr/>
            </w:pPr>
            <w:r>
              <w:rPr/>
              <w:t>​</w:t>
            </w:r>
          </w:p>
        </w:tc>
        <w:tc>
          <w:tcPr>
            <w:tcW w:w="208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c>
          <w:tcPr>
            <w:tcW w:w="97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66" w:type="dxa"/>
            <w:tcBorders/>
            <w:vAlign w:val="center"/>
          </w:tcPr>
          <w:p>
            <w:pPr>
              <w:pStyle w:val="TableContents"/>
              <w:bidi w:val="0"/>
              <w:spacing w:before="0" w:after="0"/>
              <w:ind w:left="0" w:right="0" w:hanging="0"/>
              <w:jc w:val="center"/>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109" w:type="dxa"/>
            <w:tcBorders/>
            <w:vAlign w:val="center"/>
          </w:tcPr>
          <w:p>
            <w:pPr>
              <w:pStyle w:val="TableContents"/>
              <w:bidi w:val="0"/>
              <w:spacing w:before="0" w:after="0"/>
              <w:ind w:left="0" w:right="0" w:hanging="0"/>
              <w:jc w:val="center"/>
              <w:rPr/>
            </w:pPr>
            <w:r>
              <w:rPr/>
              <w:t>​</w:t>
            </w:r>
          </w:p>
        </w:tc>
        <w:tc>
          <w:tcPr>
            <w:tcW w:w="29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9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087"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GTT (1), Viya</w:t>
            </w:r>
          </w:p>
        </w:tc>
        <w:tc>
          <w:tcPr>
            <w:tcW w:w="97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Services</w:t>
            </w:r>
          </w:p>
        </w:tc>
        <w:tc>
          <w:tcPr>
            <w:tcW w:w="266"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(rural markets)</w:t>
            </w:r>
          </w:p>
        </w:tc>
        <w:tc>
          <w:tcPr>
            <w:tcW w:w="109" w:type="dxa"/>
            <w:tcBorders/>
            <w:shd w:fill="CCEEFF" w:val="clear"/>
            <w:vAlign w:val="center"/>
          </w:tcPr>
          <w:p>
            <w:pPr>
              <w:pStyle w:val="TableContents"/>
              <w:bidi w:val="0"/>
              <w:spacing w:before="0" w:after="0"/>
              <w:ind w:left="0" w:right="0" w:hanging="0"/>
              <w:jc w:val="left"/>
              <w:rPr/>
            </w:pPr>
            <w:r>
              <w:rPr/>
              <w:t>​</w:t>
            </w:r>
          </w:p>
        </w:tc>
        <w:tc>
          <w:tcPr>
            <w:tcW w:w="2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Choice NTUA Wireless</w:t>
            </w:r>
          </w:p>
        </w:tc>
      </w:tr>
      <w:tr>
        <w:trPr/>
        <w:tc>
          <w:tcPr>
            <w:tcW w:w="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Services</w:t>
            </w:r>
          </w:p>
        </w:tc>
        <w:tc>
          <w:tcPr>
            <w:tcW w:w="266" w:type="dxa"/>
            <w:tcBorders/>
            <w:vAlign w:val="center"/>
          </w:tcPr>
          <w:p>
            <w:pPr>
              <w:pStyle w:val="TableContents"/>
              <w:bidi w:val="0"/>
              <w:spacing w:before="0" w:after="0"/>
              <w:ind w:left="0" w:right="0" w:hanging="0"/>
              <w:jc w:val="left"/>
              <w:rPr/>
            </w:pPr>
            <w:r>
              <w:rPr/>
              <w:t>​</w:t>
            </w:r>
          </w:p>
        </w:tc>
        <w:tc>
          <w:tcPr>
            <w:tcW w:w="1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109" w:type="dxa"/>
            <w:tcBorders/>
            <w:vAlign w:val="center"/>
          </w:tcPr>
          <w:p>
            <w:pPr>
              <w:pStyle w:val="TableContents"/>
              <w:bidi w:val="0"/>
              <w:spacing w:before="0" w:after="0"/>
              <w:ind w:left="0" w:right="0" w:hanging="0"/>
              <w:jc w:val="left"/>
              <w:rPr/>
            </w:pPr>
            <w:r>
              <w:rPr/>
              <w:t>​</w:t>
            </w:r>
          </w:p>
        </w:tc>
        <w:tc>
          <w:tcPr>
            <w:tcW w:w="2087"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GTT, Viya</w:t>
            </w:r>
          </w:p>
        </w:tc>
        <w:tc>
          <w:tcPr>
            <w:tcW w:w="979"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Services</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0"/>
              <w:ind w:left="0" w:right="0" w:hanging="0"/>
              <w:jc w:val="left"/>
              <w:rPr/>
            </w:pPr>
            <w:r>
              <w:rPr/>
              <w:t>​</w:t>
            </w:r>
          </w:p>
        </w:tc>
        <w:tc>
          <w:tcPr>
            <w:tcW w:w="2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Choice NTUA Wireless, Sacred Wind Communications, Ethos Broadband, Deploycom</w:t>
            </w:r>
          </w:p>
        </w:tc>
      </w:tr>
      <w:tr>
        <w:trPr/>
        <w:tc>
          <w:tcPr>
            <w:tcW w:w="9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087"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GTT, Viya, Essextel</w:t>
            </w:r>
          </w:p>
        </w:tc>
        <w:tc>
          <w:tcPr>
            <w:tcW w:w="97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9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266" w:type="dxa"/>
            <w:tcBorders/>
            <w:vAlign w:val="center"/>
          </w:tcPr>
          <w:p>
            <w:pPr>
              <w:pStyle w:val="TableContents"/>
              <w:bidi w:val="0"/>
              <w:spacing w:before="0" w:after="0"/>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109" w:type="dxa"/>
            <w:tcBorders/>
            <w:vAlign w:val="center"/>
          </w:tcPr>
          <w:p>
            <w:pPr>
              <w:pStyle w:val="TableContents"/>
              <w:bidi w:val="0"/>
              <w:spacing w:before="0" w:after="0"/>
              <w:ind w:left="0" w:right="0" w:hanging="0"/>
              <w:jc w:val="left"/>
              <w:rPr/>
            </w:pPr>
            <w:r>
              <w:rPr/>
              <w:t>​</w:t>
            </w:r>
          </w:p>
        </w:tc>
        <w:tc>
          <w:tcPr>
            <w:tcW w:w="208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GTT, Viya, Brava, Fireminds (2)</w:t>
            </w:r>
          </w:p>
        </w:tc>
        <w:tc>
          <w:tcPr>
            <w:tcW w:w="97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266" w:type="dxa"/>
            <w:tcBorders/>
            <w:vAlign w:val="center"/>
          </w:tcPr>
          <w:p>
            <w:pPr>
              <w:pStyle w:val="TableContents"/>
              <w:bidi w:val="0"/>
              <w:spacing w:before="0" w:after="0"/>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0"/>
              <w:ind w:left="0" w:right="0" w:hanging="0"/>
              <w:jc w:val="left"/>
              <w:rPr/>
            </w:pPr>
            <w:r>
              <w:rPr/>
              <w:t>​</w:t>
            </w:r>
          </w:p>
        </w:tc>
        <w:tc>
          <w:tcPr>
            <w:tcW w:w="29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Choice</w:t>
            </w:r>
          </w:p>
        </w:tc>
      </w:tr>
    </w:tbl>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completed a rebranding in Guyana. GTT is now known as One Communications. We refer throughout this report to our business in Guyana as “OneGY.”</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completed a rebranding of our services offerings to government and large business customers, including those services formally known as Fireminds, which is now known as Brava.</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principal corporate offices are located at 500 Cummings Center, Suite 2450, Beverly, Massachusetts, 01915. The telephone number at our principal corporate offices is (978) 619-1300.</w:t>
      </w:r>
    </w:p>
    <w:p>
      <w:pPr>
        <w:pStyle w:val="TextBody"/>
        <w:bidi w:val="0"/>
        <w:spacing w:before="280" w:after="0"/>
        <w:ind w:left="0" w:right="0" w:hanging="0"/>
        <w:jc w:val="both"/>
        <w:rPr>
          <w:rFonts w:ascii="Times New Roman;Times;serif" w:hAnsi="Times New Roman;Times;serif"/>
          <w:i/>
          <w:sz w:val="20"/>
        </w:rPr>
      </w:pPr>
      <w:bookmarkStart w:id="34" w:name="page9"/>
      <w:bookmarkEnd w:id="34"/>
      <w:r>
        <w:rPr>
          <w:rFonts w:ascii="Times New Roman;Times;serif" w:hAnsi="Times New Roman;Times;serif"/>
          <w:i/>
          <w:sz w:val="20"/>
        </w:rPr>
        <w:t xml:space="preserve">Available Information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file with or submit to the SEC our annual, quarterly, current reports, proxy statements and other information meeting the informational requirements of the Securities Exchange Act of 1934, as amended (“the Exchange Act”). We make available, free of charge, on our website our proxy statement, annual report on Form 10-K, quarterly reports on Form 10-Q, current reports on Form 8-K and amendments to those reports and other publicly filed information available as soon as reasonably practicable after we electronically file such material with, or furnish it to the SEC. Our Internet address where these documents and other information can be found is </w:t>
      </w:r>
      <w:r>
        <w:rPr>
          <w:rFonts w:ascii="Times New Roman;Times;serif" w:hAnsi="Times New Roman;Times;serif"/>
          <w:i/>
          <w:sz w:val="20"/>
        </w:rPr>
        <w:t>www.atni.com</w:t>
      </w:r>
      <w:r>
        <w:rPr>
          <w:rFonts w:ascii="Times New Roman;Times;serif" w:hAnsi="Times New Roman;Times;serif"/>
          <w:sz w:val="20"/>
        </w:rPr>
        <w:t xml:space="preserve">. Information contained on our website is not incorporated by reference into this Report, and you should not consider that information to be part of this Report.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annual, quarterly, periodic and current reports, proxy statements and other public filings are also available free of charge on the EDGAR Database on the SEC's Internet website at www.sec.gov.</w:t>
      </w:r>
    </w:p>
    <w:p>
      <w:pPr>
        <w:pStyle w:val="TextBody"/>
        <w:bidi w:val="0"/>
        <w:spacing w:before="280" w:after="0"/>
        <w:ind w:left="43" w:right="0" w:hanging="0"/>
        <w:jc w:val="both"/>
        <w:rPr>
          <w:rFonts w:ascii="Times New Roman;Times;serif" w:hAnsi="Times New Roman;Times;serif"/>
          <w:b/>
          <w:sz w:val="20"/>
        </w:rPr>
      </w:pPr>
      <w:r>
        <w:rPr>
          <w:rFonts w:ascii="Times New Roman;Times;serif" w:hAnsi="Times New Roman;Times;serif"/>
          <w:b/>
          <w:sz w:val="20"/>
        </w:rPr>
        <w:t>US Telecom Segment</w:t>
      </w:r>
    </w:p>
    <w:p>
      <w:pPr>
        <w:pStyle w:val="TextBody"/>
        <w:bidi w:val="0"/>
        <w:spacing w:before="280" w:after="0"/>
        <w:ind w:left="40" w:right="79" w:firstLine="558"/>
        <w:jc w:val="both"/>
        <w:rPr>
          <w:rFonts w:ascii="Times New Roman;Times;serif" w:hAnsi="Times New Roman;Times;serif"/>
          <w:sz w:val="20"/>
        </w:rPr>
      </w:pPr>
      <w:r>
        <w:rPr>
          <w:rFonts w:ascii="Times New Roman;Times;serif" w:hAnsi="Times New Roman;Times;serif"/>
          <w:sz w:val="20"/>
        </w:rPr>
        <w:t>Our US Telecom segment generates fixed, carrier, mobility and managed services revenues in Alaska and parts of the western United States.</w:t>
      </w:r>
    </w:p>
    <w:p>
      <w:pPr>
        <w:pStyle w:val="TextBody"/>
        <w:bidi w:val="0"/>
        <w:spacing w:before="280" w:after="0"/>
        <w:ind w:left="40" w:right="79" w:firstLine="558"/>
        <w:jc w:val="both"/>
        <w:rPr>
          <w:rFonts w:ascii="Times New Roman;Times;serif" w:hAnsi="Times New Roman;Times;serif"/>
          <w:sz w:val="20"/>
        </w:rPr>
      </w:pPr>
      <w:r>
        <w:rPr>
          <w:rFonts w:ascii="Times New Roman;Times;serif" w:hAnsi="Times New Roman;Times;serif"/>
          <w:sz w:val="20"/>
        </w:rPr>
        <w:t>In Alaska, we own approximately 52% of the common equity of the operating company, Alaska Communications, and control its operations and management. Our co-investors in Alaska Communications, Freedom 3 Capital, LLC as well as other institutional investors (collectively the “Freedom 3 Investors”), collectively own the remaining 48% of the common equity of Alaska Communications.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In November 2022, we acquired the issued and outstanding stock of Sacred Wind Enterprises, Inc. (“Sacred Wind”), a rural telecommunications provider in New Mexico (the “Sacred Wind Transaction”). As part of the Sacred Wind Transaction, we paid a combination of cash and equity for Sacred Wind, resulting in the Sacred Wind stockholders becoming minority owners in the new business formed by combining Sacred Wind with our existing operations in the western United States, Commnet. Beginning on November 7, 2022, the results of the Sacred Wind Transaction are included in our US Telecom segment.</w:t>
      </w:r>
    </w:p>
    <w:p>
      <w:pPr>
        <w:pStyle w:val="TextBody"/>
        <w:bidi w:val="0"/>
        <w:spacing w:before="280" w:after="0"/>
        <w:ind w:left="43" w:right="0" w:firstLine="447"/>
        <w:jc w:val="both"/>
        <w:rPr>
          <w:rFonts w:ascii="Times New Roman;Times;serif" w:hAnsi="Times New Roman;Times;serif"/>
          <w:sz w:val="20"/>
        </w:rPr>
      </w:pPr>
      <w:r>
        <w:rPr>
          <w:rFonts w:ascii="Times New Roman;Times;serif" w:hAnsi="Times New Roman;Times;serif"/>
          <w:sz w:val="20"/>
        </w:rPr>
        <w:t>Revenues from our US Telecom segment were approximately 48% of our consolidated revenues for fiscal years 2024 and 2023.</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Carrier Services</w:t>
      </w:r>
    </w:p>
    <w:p>
      <w:pPr>
        <w:pStyle w:val="TextBody"/>
        <w:bidi w:val="0"/>
        <w:spacing w:before="280" w:after="0"/>
        <w:ind w:left="40" w:right="179" w:firstLine="529"/>
        <w:jc w:val="both"/>
        <w:rPr>
          <w:rFonts w:ascii="Times New Roman;Times;serif" w:hAnsi="Times New Roman;Times;serif"/>
          <w:sz w:val="20"/>
        </w:rPr>
      </w:pPr>
      <w:r>
        <w:rPr>
          <w:rFonts w:ascii="Times New Roman;Times;serif" w:hAnsi="Times New Roman;Times;serif"/>
          <w:i/>
          <w:sz w:val="20"/>
        </w:rPr>
        <w:t>Carrier Services.</w:t>
      </w:r>
      <w:r>
        <w:rPr>
          <w:rFonts w:ascii="Times New Roman;Times;serif" w:hAnsi="Times New Roman;Times;serif"/>
          <w:sz w:val="20"/>
        </w:rPr>
        <w:t xml:space="preserve">  In Alaska, we provide wholesale voice and internet connectivity to carrier customers.  In the western United States, we provide wholesale mobile voice and data roaming services in rural markets and wholesale transport services to national, regional, local and select international wireless carriers as part of our carrier services as well as tower rental, backhaul and maintenance services. Our largest wholesale networks are located principally in the western United States.</w:t>
      </w:r>
    </w:p>
    <w:p>
      <w:pPr>
        <w:pStyle w:val="TextBody"/>
        <w:shd w:fill="FFFFFF" w:val="clear"/>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In Alaska, we provide connectivity to our wholesale customers, either through direct sales of wholesale transport over our terrestrial or subsea networks or by entering into transactions whereby we agree to build, host or maintain networks on behalf of another carrier over a contracted term.  </w:t>
      </w:r>
    </w:p>
    <w:p>
      <w:pPr>
        <w:pStyle w:val="TextBody"/>
        <w:bidi w:val="0"/>
        <w:spacing w:before="280" w:after="0"/>
        <w:ind w:left="40" w:right="119" w:firstLine="529"/>
        <w:jc w:val="both"/>
        <w:rPr>
          <w:rFonts w:ascii="Times New Roman;Times;serif" w:hAnsi="Times New Roman;Times;serif"/>
          <w:sz w:val="20"/>
        </w:rPr>
      </w:pPr>
      <w:r>
        <w:rPr>
          <w:rFonts w:ascii="Times New Roman;Times;serif" w:hAnsi="Times New Roman;Times;serif"/>
          <w:sz w:val="20"/>
        </w:rPr>
        <w:t>In the western United States, we provide network infrastructure services as part of our expanded carrier services, such as tower leasing and transport facilities to our carrier partners, to supplement our historic revenue base. By the end of 2024, we substantially completed the build of AT&amp;T’s network for the First Responder Network Authority (“FirstNet”). Ongoing, we are providing equipment and site maintenance and high-capacity transport from these FirstNet cell sites to AT&amp;T’s core network for an initial term ending in 2031. In March of 2025, we amended the FirstNet agreement to extend the deadline for completing the build requirements. In 2023, we signed our second major Carrier Managed Services (“CMS”) agreement with Verizon to build out a large network to support their customer base. We expect the Verizon build to be substantially complete by the end of 2025.</w:t>
      </w:r>
    </w:p>
    <w:p>
      <w:pPr>
        <w:pStyle w:val="TextBody"/>
        <w:bidi w:val="0"/>
        <w:spacing w:before="280" w:after="0"/>
        <w:ind w:left="40" w:right="159" w:firstLine="529"/>
        <w:jc w:val="both"/>
        <w:rPr>
          <w:rFonts w:ascii="Times New Roman;Times;serif" w:hAnsi="Times New Roman;Times;serif"/>
          <w:sz w:val="20"/>
        </w:rPr>
      </w:pPr>
      <w:r>
        <w:rPr>
          <w:rFonts w:ascii="Times New Roman;Times;serif" w:hAnsi="Times New Roman;Times;serif"/>
          <w:sz w:val="20"/>
        </w:rPr>
        <w:t>We also have roaming agreements with each of the three US national wireless network carriers (AT&amp;T, T-Mobile, and Verizon Wireless) along with several other wireless service providers. Other than these agreements with the national carriers, our standard roaming agreements are usually terminable within 90 days. While we continue to provide services pursuant to these roaming agreements, our business focus has shifted away from traditional roaming and toward a network infrastructure model of carrier services.</w:t>
      </w:r>
    </w:p>
    <w:p>
      <w:pPr>
        <w:pStyle w:val="TextBody"/>
        <w:bidi w:val="0"/>
        <w:spacing w:before="280" w:after="0"/>
        <w:ind w:left="40" w:right="339" w:firstLine="529"/>
        <w:jc w:val="both"/>
        <w:rPr>
          <w:rFonts w:ascii="Times New Roman;Times;serif" w:hAnsi="Times New Roman;Times;serif"/>
          <w:sz w:val="20"/>
        </w:rPr>
      </w:pPr>
      <w:r>
        <w:rPr>
          <w:rFonts w:ascii="Times New Roman;Times;serif" w:hAnsi="Times New Roman;Times;serif"/>
          <w:i/>
          <w:sz w:val="20"/>
        </w:rPr>
        <w:t xml:space="preserve">Sales and Marketing. </w:t>
      </w:r>
      <w:r>
        <w:rPr>
          <w:rFonts w:ascii="Times New Roman;Times;serif" w:hAnsi="Times New Roman;Times;serif"/>
          <w:sz w:val="20"/>
        </w:rPr>
        <w:t xml:space="preserve">Our wholesale transport customers are predominately communications carriers such as local exchange carriers, wireless carriers, internet service providers and interstate integrated providers. Our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339" w:hanging="0"/>
        <w:jc w:val="both"/>
        <w:rPr>
          <w:rFonts w:ascii="Times New Roman;Times;serif" w:hAnsi="Times New Roman;Times;serif"/>
          <w:sz w:val="20"/>
        </w:rPr>
      </w:pPr>
      <w:r>
        <w:rPr>
          <w:rFonts w:ascii="Times New Roman;Times;serif" w:hAnsi="Times New Roman;Times;serif"/>
          <w:sz w:val="20"/>
        </w:rPr>
        <w:t>are mainly sold through direct and inside sales. Our business customers select from our wide range of service offerings tailored to meet their needs.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 xml:space="preserve">We believe that our ability to deliver reliable, high capacity backhaul across multiple provider footprints, both from licensed fixed wireless microwave and fiber access solutions, creates value for our customers who are typically unable to scale their rural access capacities as rapidly and successfully as they can in less remote markets. We are investing in the expansion of our regional fiber and network asset footprint, and in enhanced network reliability and route diversity, in the expectation that our carrier customers will have greater demand for higher capacity, higher reliability and lower latency backhaul to support their own investments in network deployments. </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Fixed Services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Services</w:t>
      </w:r>
      <w:r>
        <w:rPr>
          <w:rFonts w:ascii="Times New Roman;Times;serif" w:hAnsi="Times New Roman;Times;serif"/>
          <w:sz w:val="20"/>
        </w:rPr>
        <w:t xml:space="preserve">. In Alaska, </w:t>
      </w:r>
      <w:r>
        <w:rPr>
          <w:rFonts w:ascii="Times New Roman;Times;serif" w:hAnsi="Times New Roman;Times;serif"/>
          <w:sz w:val="20"/>
          <w:shd w:fill="FFFFFF" w:val="clear"/>
        </w:rPr>
        <w:t xml:space="preserve">we provide fiber broadband and managed IT services, offering technology and service-enabled customer solutions to business and wholesale customers in and out of Alaska. We also provide telecommunication services to consumers in the most populated communities throughout the state. Our facilities-based communications network connects to the contiguous states via our two diverse undersea fiber optic cable systems. </w:t>
      </w:r>
      <w:r>
        <w:rPr>
          <w:rFonts w:ascii="Times New Roman;Times;serif" w:hAnsi="Times New Roman;Times;serif"/>
          <w:sz w:val="20"/>
        </w:rPr>
        <w:t xml:space="preserve">We provide high-capacity data networking, internet connectivity, voice communications and IT Services. Networking services include Ethernet and IP routed services as well as switched and dedicated voice services. In addition, we offer other value-added services such as network hosting, managed IT services and long-distance services. </w:t>
      </w:r>
      <w:r>
        <w:rPr>
          <w:rFonts w:ascii="Times New Roman;Times;serif" w:hAnsi="Times New Roman;Times;serif"/>
          <w:sz w:val="20"/>
          <w:shd w:fill="FFFFFF" w:val="clear"/>
        </w:rPr>
        <w:t>Our network is among the most expansive in Alaska and forms the foundation of service to our customers. We operate in a largely two-player terrestrial wireline market and our customers are primarily business customers.</w:t>
      </w:r>
    </w:p>
    <w:p>
      <w:pPr>
        <w:pStyle w:val="TextBody"/>
        <w:pBdr/>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In the western United States, we provide fiber and fixed wireless services to business customers such as schools, libraries, mine operators and state and local governments as well as residential customers. Our focus in the western United States is to continue to build-out our residential and commercial broadband services.</w:t>
      </w:r>
    </w:p>
    <w:p>
      <w:pPr>
        <w:pStyle w:val="TextBody"/>
        <w:pBdr/>
        <w:shd w:fill="FFFFFF" w:val="clear"/>
        <w:bidi w:val="0"/>
        <w:spacing w:before="0" w:after="0"/>
        <w:ind w:left="0" w:right="0" w:firstLine="569"/>
        <w:jc w:val="both"/>
        <w:rPr>
          <w:rFonts w:ascii="Times New Roman;Times;serif" w:hAnsi="Times New Roman;Times;serif"/>
          <w:sz w:val="20"/>
        </w:rPr>
      </w:pPr>
      <w:r>
        <w:rPr>
          <w:rFonts w:ascii="Times New Roman;Times;serif" w:hAnsi="Times New Roman;Times;serif"/>
          <w:i/>
          <w:sz w:val="20"/>
        </w:rPr>
        <w:t>Network.</w:t>
      </w:r>
      <w:r>
        <w:rPr>
          <w:rFonts w:ascii="Times New Roman;Times;serif" w:hAnsi="Times New Roman;Times;serif"/>
          <w:sz w:val="20"/>
        </w:rPr>
        <w:t xml:space="preserve"> We provide communications and IT solutions that connect Alaskans, as well as customers in the continental United States, to the world. This is based on an extensive facilities-based wireline telecommunications network in Alaska that we operate. We continually upgrade our network to provide higher levels of performance, higher bandwidth speeds, increased levels of security and additional value-added services for our customers. We operate significant terrestrial and submarine fiber miles which serve as the backbone of our network with a focus on reaching government and large business customers. Our network is extensive within Alaska’s urban areas and connects our largest markets, including Anchorage, Fairbanks and Juneau with each other and the contiguous states as well as many rural areas. Residential broadband customers are served in Alaska with a mix of fiber-driven broadband and copper-based DSL internet access. </w:t>
      </w:r>
    </w:p>
    <w:p>
      <w:pPr>
        <w:pStyle w:val="TextBody"/>
        <w:pBdr/>
        <w:shd w:fill="FFFFFF" w:val="clear"/>
        <w:bidi w:val="0"/>
        <w:spacing w:before="0" w:after="0"/>
        <w:ind w:left="0" w:right="0" w:firstLine="569"/>
        <w:jc w:val="both"/>
        <w:rPr>
          <w:rFonts w:ascii="Times New Roman;Times;serif" w:hAnsi="Times New Roman;Times;serif"/>
          <w:sz w:val="20"/>
        </w:rPr>
      </w:pPr>
      <w:r>
        <w:rPr>
          <w:rFonts w:ascii="Times New Roman;Times;serif" w:hAnsi="Times New Roman;Times;serif"/>
          <w:sz w:val="20"/>
        </w:rPr>
        <w:t>We own and operate two undersea fiber optic cable systems, AKORN® and Northstar, that provide diverse routing from our Alaskan network to our facilities in Oregon and Washington designed to serve the critical communications requirements of our internal companies and the requirements of our external customers. Through our landing stations in pacific northwest, we also provide an at-the-ready landing point for other large fiber optic cables, and their operators, connecting the US to networks in Asia and other parts of the world.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terrestrial fiber network on the North Slope of Alaska allows us to provide broadband solutions to the oil and gas sector and to advance our sales of managed IT services.  Rural healthcare, education, and business customers are served by a satellite earth station network utilizing a combination of Geosynchronous Equatorial Orbit (“GEO”) and low earth orbit (“LEO”) satellite capacity. These satellite services provide internet and WAN backhaul connectivity to our customers.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western United States, we have deployed, and are working to deploy more, carrier-grade fiber optic networks strategically throughout our markets to continue to serve government, education, healthcare, business, consumer and tribal customers in Arizona, Nevada, New Mexico, Colorado and Utah. We are continuing to expand our capacity offerings with a focus on enhancing our owned and leased transport facilities. The expansion of our network anchored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fiber deployments is facilitating a long-held vision for reducing reliance on limited capacity microwave backhaul and enabling new wholesale agreements with additional national and regional carriers for both lit and dark fiber services.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Competition. </w:t>
      </w:r>
      <w:r>
        <w:rPr>
          <w:rFonts w:ascii="Times New Roman;Times;serif" w:hAnsi="Times New Roman;Times;serif"/>
          <w:sz w:val="20"/>
        </w:rPr>
        <w:t xml:space="preserve">In Alaska, we face competition in our markets from larger competitors with substantial resources. For traditional voice and broadband services, we compete with GCI and AT&amp;T on a statewide basis, and smaller providers such as Matanuska Telephone Association, Inc., a co-op owned telephone and internet service provider operating in the Matanuska Valley region of Alaska, on a more local basis. </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In the western United States, we experience competitive pressures from ILEC providers such as AT&amp;T, Comcast, Windstream Lumen and Frontier along with their channel partners and other smaller regional providers and cooperatives. Similarly, national fiber providers such as Zayo also offer our customers services and employ vast wholesale channel solutions. Our ability to offer full-service solutions across multiple LEC service areas and very remote sites back to mobile telephone switching offices continues to be a market differentiator and a key driver of our success.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Our fixed services in the United States also face additional competitive pressure from the continued development and commercialization of LEO satellite technologies with the capacity for providing high-quality data services to our customers.</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Mobility Services</w:t>
      </w:r>
    </w:p>
    <w:p>
      <w:pPr>
        <w:pStyle w:val="TextBody"/>
        <w:bidi w:val="0"/>
        <w:spacing w:before="280" w:after="0"/>
        <w:ind w:left="40" w:right="519" w:firstLine="529"/>
        <w:jc w:val="both"/>
        <w:rPr>
          <w:rFonts w:ascii="Times New Roman;Times;serif" w:hAnsi="Times New Roman;Times;serif"/>
          <w:sz w:val="20"/>
        </w:rPr>
      </w:pPr>
      <w:r>
        <w:rPr>
          <w:rFonts w:ascii="Times New Roman;Times;serif" w:hAnsi="Times New Roman;Times;serif"/>
          <w:i/>
          <w:sz w:val="20"/>
        </w:rPr>
        <w:t xml:space="preserve">Mobility Services. </w:t>
      </w:r>
      <w:r>
        <w:rPr>
          <w:rFonts w:ascii="Times New Roman;Times;serif" w:hAnsi="Times New Roman;Times;serif"/>
          <w:sz w:val="20"/>
        </w:rPr>
        <w:t xml:space="preserve">Historically, we offered mobile services to retail customers in certain rural markets already covered by our wholesale networks in the western United States. During 2024, we transitioned our focus to carrier services and at the end of the year, we ceased providing retail mobile services under our own brand to retail customers. </w:t>
      </w:r>
    </w:p>
    <w:p>
      <w:pPr>
        <w:pStyle w:val="TextBody"/>
        <w:bidi w:val="0"/>
        <w:spacing w:before="280" w:after="0"/>
        <w:ind w:left="40" w:right="159" w:firstLine="529"/>
        <w:jc w:val="both"/>
        <w:rPr>
          <w:rFonts w:ascii="Times New Roman;Times;serif" w:hAnsi="Times New Roman;Times;serif"/>
          <w:sz w:val="20"/>
        </w:rPr>
      </w:pPr>
      <w:r>
        <w:rPr>
          <w:rFonts w:ascii="Times New Roman;Times;serif" w:hAnsi="Times New Roman;Times;serif"/>
          <w:i/>
          <w:sz w:val="20"/>
        </w:rPr>
        <w:t>Replace and Remove Program</w:t>
      </w:r>
      <w:r>
        <w:rPr>
          <w:rFonts w:ascii="Times New Roman;Times;serif" w:hAnsi="Times New Roman;Times;serif"/>
          <w:sz w:val="20"/>
        </w:rPr>
        <w:t>. In July 2022, we were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in the western United States and in the US Virgin Islands were initially allocated up to approximately $207 million under the Replace and Remove Program, however, in December 2024 this program was fully funded for an increased allocation to the Company of approximately $517 million. The Replace and Remove Program requires each of our participating subsidiaries to complete the project no later than a specified deadline, which is currently in the third quarter of 2025. As of December 31, 2024, we have received approximately $131 million in reimbursements under the Replace and Remove Program. For a discussion of our risks in completing the project on the timeline and currently allocated budget, please see “</w:t>
      </w:r>
      <w:r>
        <w:rPr>
          <w:rFonts w:ascii="Times New Roman;Times;serif" w:hAnsi="Times New Roman;Times;serif"/>
          <w:i/>
          <w:sz w:val="20"/>
        </w:rPr>
        <w:t>We are reliant on government funding to execute on the FCC’s Replace and Remove program</w:t>
      </w:r>
      <w:r>
        <w:rPr>
          <w:rFonts w:ascii="Times New Roman;Times;serif" w:hAnsi="Times New Roman;Times;serif"/>
          <w:sz w:val="20"/>
        </w:rPr>
        <w:t>” in our Risk Factors.</w:t>
      </w:r>
    </w:p>
    <w:p>
      <w:pPr>
        <w:pStyle w:val="TextBody"/>
        <w:bidi w:val="0"/>
        <w:spacing w:before="280" w:after="0"/>
        <w:ind w:left="40" w:right="119" w:firstLine="529"/>
        <w:jc w:val="both"/>
        <w:rPr>
          <w:rFonts w:ascii="Times New Roman;Times;serif" w:hAnsi="Times New Roman;Times;serif"/>
          <w:sz w:val="20"/>
        </w:rPr>
      </w:pPr>
      <w:r>
        <w:rPr>
          <w:rFonts w:ascii="Times New Roman;Times;serif" w:hAnsi="Times New Roman;Times;serif"/>
          <w:i/>
          <w:sz w:val="20"/>
        </w:rPr>
        <w:t xml:space="preserve">Network and Operations. </w:t>
      </w:r>
      <w:r>
        <w:rPr>
          <w:rFonts w:ascii="Times New Roman;Times;serif" w:hAnsi="Times New Roman;Times;serif"/>
          <w:sz w:val="20"/>
        </w:rPr>
        <w:t xml:space="preserve">We provide wireless communications network products and services with owned and leased cellular, PCS, BRS, EBS, AWS, and Citizens Broadband Radio Services (“CBRS”) spectrum. Our networks are comprised of base stations and radio transceivers located on owned or leased towers and buildings, telecommunications switches and owned or leased transport facilities. We design and construct our network in a manner intended to provide high-quality service to substantially all types of compatible wireless devices. </w:t>
      </w:r>
    </w:p>
    <w:p>
      <w:pPr>
        <w:pStyle w:val="TextBody"/>
        <w:bidi w:val="0"/>
        <w:spacing w:before="280" w:after="0"/>
        <w:ind w:left="40" w:right="79" w:firstLine="582"/>
        <w:jc w:val="both"/>
        <w:rPr>
          <w:rFonts w:ascii="Times New Roman;Times;serif" w:hAnsi="Times New Roman;Times;serif"/>
          <w:sz w:val="20"/>
        </w:rPr>
      </w:pPr>
      <w:r>
        <w:rPr>
          <w:rFonts w:ascii="Times New Roman;Times;serif" w:hAnsi="Times New Roman;Times;serif"/>
          <w:sz w:val="20"/>
        </w:rPr>
        <w:t>We operate high-capacity, carrier-class digital wireless switching systems that are capable of serving multiple markets through a mobile telephone switching office and centralized equipment used for network and data management that is located in high-availability facilities supported by multiple levels of power and network redundancy. Our systems are designed to incorporate Internet Protocol (IP) packet-based Ethernet technology, which allows for increased data capacity and a more efficient network. Interconnection between the mobile telephone switching office and the cell sites utilizes Ethernet technology over fiber or microwave links for virtually all of our sites.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0" w:hanging="0"/>
        <w:jc w:val="both"/>
        <w:rPr>
          <w:rFonts w:ascii="Times New Roman;Times;serif" w:hAnsi="Times New Roman;Times;serif"/>
          <w:b/>
          <w:sz w:val="20"/>
        </w:rPr>
      </w:pPr>
      <w:r>
        <w:rPr>
          <w:rFonts w:ascii="Times New Roman;Times;serif" w:hAnsi="Times New Roman;Times;serif"/>
          <w:b/>
          <w:sz w:val="20"/>
        </w:rPr>
        <w:t>International Telecom Segment</w:t>
      </w:r>
    </w:p>
    <w:p>
      <w:pPr>
        <w:pStyle w:val="TextBody"/>
        <w:bidi w:val="0"/>
        <w:spacing w:before="280" w:after="0"/>
        <w:ind w:left="43" w:right="0" w:firstLine="720"/>
        <w:jc w:val="both"/>
        <w:rPr>
          <w:rFonts w:ascii="Times New Roman;Times;serif" w:hAnsi="Times New Roman;Times;serif"/>
          <w:sz w:val="20"/>
        </w:rPr>
      </w:pPr>
      <w:r>
        <w:rPr>
          <w:rFonts w:ascii="Times New Roman;Times;serif" w:hAnsi="Times New Roman;Times;serif"/>
          <w:sz w:val="20"/>
        </w:rPr>
        <w:t>Our International Telecom segment generates fixed, carrier, mobility and managed services revenues in Bermuda, the Cayman Islands, Guyana and the US Virgin Islands. Revenues from our International Telecom segment were approximately 52% of our consolidated revenues for fiscal years 2024 and 2023.</w:t>
      </w:r>
    </w:p>
    <w:p>
      <w:pPr>
        <w:pStyle w:val="TextBody"/>
        <w:bidi w:val="0"/>
        <w:spacing w:before="280" w:after="0"/>
        <w:ind w:left="43" w:right="0" w:firstLine="720"/>
        <w:jc w:val="both"/>
        <w:rPr>
          <w:rFonts w:ascii="Times New Roman;Times;serif" w:hAnsi="Times New Roman;Times;serif"/>
          <w:sz w:val="20"/>
        </w:rPr>
      </w:pPr>
      <w:r>
        <w:rPr>
          <w:rFonts w:ascii="Times New Roman;Times;serif" w:hAnsi="Times New Roman;Times;serif"/>
          <w:sz w:val="20"/>
        </w:rPr>
        <w:t>During 2024, we took significant steps to integrate and align management across our international markets, thereby driving efficiencies and advancing the shared mission of these markets. As part of these efforts, we consolidated our international management team and developed new shared branding across the segment. We launched our new brand, Brava, in our four international markets and in the Caribbean region generally. Brava is focused on the delivery of high-quality business, managed and connectivity solutions to government and large business customers. We also introduced unified branding across two of our networks; now, we sell fixed and mobility services under the “One Communications” brand in both Bermuda and Guyana.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Fixed Services</w:t>
      </w:r>
    </w:p>
    <w:p>
      <w:pPr>
        <w:pStyle w:val="TextBody"/>
        <w:bidi w:val="0"/>
        <w:spacing w:before="280" w:after="0"/>
        <w:ind w:left="40" w:right="219" w:firstLine="582"/>
        <w:jc w:val="both"/>
        <w:rPr>
          <w:rFonts w:ascii="Times New Roman;Times;serif" w:hAnsi="Times New Roman;Times;serif"/>
          <w:sz w:val="20"/>
        </w:rPr>
      </w:pPr>
      <w:r>
        <w:rPr>
          <w:rFonts w:ascii="Times New Roman;Times;serif" w:hAnsi="Times New Roman;Times;serif"/>
          <w:i/>
          <w:sz w:val="20"/>
        </w:rPr>
        <w:t>High-Speed Data Services and Networks</w:t>
      </w:r>
      <w:r>
        <w:rPr>
          <w:rFonts w:ascii="Times New Roman;Times;serif" w:hAnsi="Times New Roman;Times;serif"/>
          <w:sz w:val="20"/>
        </w:rPr>
        <w:t xml:space="preserve">. We offer high-speed broadband and data connectivity services to   residential and business customers in all our International Telecom markets. We provide a number of broadband internet plans with varying speeds to address different customer needs and price requirements in our various markets. As of December 31, 2024, we had approximately 203,200 broadband customers across our international markets and approximately 69% of those customers had access to high-speed networks. </w:t>
      </w:r>
    </w:p>
    <w:p>
      <w:pPr>
        <w:pStyle w:val="TextBody"/>
        <w:bidi w:val="0"/>
        <w:spacing w:before="280" w:after="0"/>
        <w:ind w:left="40" w:right="219" w:firstLine="582"/>
        <w:jc w:val="both"/>
        <w:rPr>
          <w:rFonts w:ascii="Times New Roman;Times;serif" w:hAnsi="Times New Roman;Times;serif"/>
          <w:sz w:val="20"/>
        </w:rPr>
      </w:pPr>
      <w:r>
        <w:rPr>
          <w:rFonts w:ascii="Times New Roman;Times;serif" w:hAnsi="Times New Roman;Times;serif"/>
          <w:sz w:val="20"/>
        </w:rPr>
        <w:t>Our high speed data services are delivered over fiber to the premises using fiber-optic and hybrid fiber coaxial cable (“HFC”) networks throughout our international markets. We make efforts to construct our high speed networks with durable materials and routes redundancies that are designed to withstand the climate of the regions, including challenges such as high winds. In Guyana, we are working to migrate customers in Guyana from the legacy copper network and its DSL broadband internet service to either fiber or fixed wireless networks.  </w:t>
      </w:r>
    </w:p>
    <w:p>
      <w:pPr>
        <w:pStyle w:val="TextBody"/>
        <w:bidi w:val="0"/>
        <w:spacing w:before="280" w:after="0"/>
        <w:ind w:left="40" w:right="219" w:firstLine="582"/>
        <w:jc w:val="both"/>
        <w:rPr>
          <w:rFonts w:ascii="Times New Roman;Times;serif" w:hAnsi="Times New Roman;Times;serif"/>
          <w:sz w:val="20"/>
        </w:rPr>
      </w:pPr>
      <w:r>
        <w:rPr>
          <w:rFonts w:ascii="Times New Roman;Times;serif" w:hAnsi="Times New Roman;Times;serif"/>
          <w:i/>
          <w:sz w:val="20"/>
        </w:rPr>
        <w:t xml:space="preserve">Voice Services and Digital Switching. </w:t>
      </w:r>
      <w:r>
        <w:rPr>
          <w:rFonts w:ascii="Times New Roman;Times;serif" w:hAnsi="Times New Roman;Times;serif"/>
          <w:sz w:val="20"/>
        </w:rPr>
        <w:t>We offer fixed voice services that include local exchange, regional and long distance calling and voice messaging services to residential, government and business customers in Bermuda, Guyana, the Cayman Islands and the US Virgin Islands. With respect to our international long</w:t>
      </w:r>
      <w:r>
        <w:rPr>
          <w:rFonts w:ascii="Times New Roman;Times;serif" w:hAnsi="Times New Roman;Times;serif"/>
          <w:b/>
          <w:sz w:val="20"/>
        </w:rPr>
        <w:t>-</w:t>
      </w:r>
      <w:r>
        <w:rPr>
          <w:rFonts w:ascii="Times New Roman;Times;serif" w:hAnsi="Times New Roman;Times;serif"/>
          <w:sz w:val="20"/>
        </w:rPr>
        <w:t>distance business, we also collect payments from foreign carriers for handling international long</w:t>
      </w:r>
      <w:r>
        <w:rPr>
          <w:rFonts w:ascii="Times New Roman;Times;serif" w:hAnsi="Times New Roman;Times;serif"/>
          <w:b/>
          <w:sz w:val="20"/>
        </w:rPr>
        <w:t>-</w:t>
      </w:r>
      <w:r>
        <w:rPr>
          <w:rFonts w:ascii="Times New Roman;Times;serif" w:hAnsi="Times New Roman;Times;serif"/>
          <w:sz w:val="20"/>
        </w:rPr>
        <w:t>distance calls originating from the foreign carriers’ countries and terminating on our network. We also make payments to foreign carriers for international calls originating on one of our networks and terminating in the foreign carrier’s countries and collect from our subscribers or a local originating carrier a rate that is market-based or set by regulatory tariff. All fixed access lines in our network are digitally switched from our switching centers in the US Virgin Islands, Bermuda, Cayman Islands and Guyana.  Our switching centers in these markets enable dedicated monitoring of our network designed to ensure quality and reliable service to our customers.</w:t>
      </w:r>
    </w:p>
    <w:p>
      <w:pPr>
        <w:pStyle w:val="TextBody"/>
        <w:bidi w:val="0"/>
        <w:spacing w:before="280" w:after="0"/>
        <w:ind w:left="40" w:right="279" w:firstLine="529"/>
        <w:jc w:val="both"/>
        <w:rPr>
          <w:rFonts w:ascii="Times New Roman;Times;serif" w:hAnsi="Times New Roman;Times;serif"/>
          <w:sz w:val="20"/>
        </w:rPr>
      </w:pPr>
      <w:r>
        <w:rPr>
          <w:rFonts w:ascii="Times New Roman;Times;serif" w:hAnsi="Times New Roman;Times;serif"/>
          <w:i/>
          <w:sz w:val="20"/>
        </w:rPr>
        <w:t>Video services</w:t>
      </w:r>
      <w:r>
        <w:rPr>
          <w:rFonts w:ascii="Times New Roman;Times;serif" w:hAnsi="Times New Roman;Times;serif"/>
          <w:sz w:val="20"/>
        </w:rPr>
        <w:t>. We offer video services in Bermuda, the Cayman Islands, and the US Virgin Islands. We have several offerings available to our video customers, including basic and tiered local and cable TV channels grouped into various content categories, such as news, sports and entertainment.</w:t>
      </w:r>
    </w:p>
    <w:p>
      <w:pPr>
        <w:pStyle w:val="TextBody"/>
        <w:bidi w:val="0"/>
        <w:spacing w:before="280" w:after="0"/>
        <w:ind w:left="40" w:right="99" w:firstLine="529"/>
        <w:jc w:val="both"/>
        <w:rPr>
          <w:rFonts w:ascii="Times New Roman;Times;serif" w:hAnsi="Times New Roman;Times;serif"/>
          <w:sz w:val="20"/>
        </w:rPr>
      </w:pPr>
      <w:r>
        <w:rPr>
          <w:rFonts w:ascii="Times New Roman;Times;serif" w:hAnsi="Times New Roman;Times;serif"/>
          <w:i/>
          <w:sz w:val="20"/>
        </w:rPr>
        <w:t>Sub-Sea Fiber Networks</w:t>
      </w:r>
      <w:r>
        <w:rPr>
          <w:rFonts w:ascii="Times New Roman;Times;serif" w:hAnsi="Times New Roman;Times;serif"/>
          <w:sz w:val="20"/>
        </w:rPr>
        <w:t>. Our international voice and data networks link with the rest of the world through undersea fiber</w:t>
      </w:r>
      <w:r>
        <w:rPr>
          <w:rFonts w:ascii="Times New Roman;Times;serif" w:hAnsi="Times New Roman;Times;serif"/>
          <w:b/>
          <w:sz w:val="20"/>
        </w:rPr>
        <w:t>-</w:t>
      </w:r>
      <w:r>
        <w:rPr>
          <w:rFonts w:ascii="Times New Roman;Times;serif" w:hAnsi="Times New Roman;Times;serif"/>
          <w:sz w:val="20"/>
        </w:rPr>
        <w:t>optic cables in the Caribbean and Atlantic regions. These cables are crucial arteries that supply access to communications services for islands and remote markets like the ones in which we operate. Our sub-sea fiber connectivity utilizes physically diverse routes, designed to supply resilient services to our customers. Our sub-sea fiber network is comprised of both owned assets (through memberships of certain consortia) and assets leased from third parties.</w:t>
      </w:r>
    </w:p>
    <w:p>
      <w:pPr>
        <w:pStyle w:val="TextBody"/>
        <w:bidi w:val="0"/>
        <w:spacing w:before="280" w:after="0"/>
        <w:ind w:left="40" w:right="119" w:firstLine="582"/>
        <w:jc w:val="both"/>
        <w:rPr>
          <w:rFonts w:ascii="Times New Roman;Times;serif" w:hAnsi="Times New Roman;Times;serif"/>
          <w:sz w:val="20"/>
        </w:rPr>
      </w:pPr>
      <w:r>
        <w:rPr>
          <w:rFonts w:ascii="Times New Roman;Times;serif" w:hAnsi="Times New Roman;Times;serif"/>
          <w:i/>
          <w:sz w:val="20"/>
        </w:rPr>
        <w:t xml:space="preserve">Sales and Marketing. </w:t>
      </w:r>
      <w:r>
        <w:rPr>
          <w:rFonts w:ascii="Times New Roman;Times;serif" w:hAnsi="Times New Roman;Times;serif"/>
          <w:sz w:val="20"/>
        </w:rPr>
        <w:t xml:space="preserve">Our fixed services are sold through five main distribution channels: digital, company owned and operated retail/pop-up retail, authorized dealers and agents, direct sales, and inside sales. Business and residential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119" w:hanging="0"/>
        <w:jc w:val="both"/>
        <w:rPr>
          <w:rFonts w:ascii="Times New Roman;Times;serif" w:hAnsi="Times New Roman;Times;serif"/>
          <w:sz w:val="20"/>
        </w:rPr>
      </w:pPr>
      <w:r>
        <w:rPr>
          <w:rFonts w:ascii="Times New Roman;Times;serif" w:hAnsi="Times New Roman;Times;serif"/>
          <w:sz w:val="20"/>
        </w:rPr>
        <w:t>customers are able to purchase any of our standalone or bundled data, managed services, security services, and voice services through any of our above channels. We are seeking to grow and protect our existing business customer base with our Brava service offerings, which are provided through a simplified bundling approach that enhances our value proposition and brand position in our markets. We have invested in a number of Brava sales support and delivery resources to support subscriber growth and enhance delivery quality.</w:t>
      </w:r>
    </w:p>
    <w:p>
      <w:pPr>
        <w:pStyle w:val="TextBody"/>
        <w:bidi w:val="0"/>
        <w:spacing w:before="280" w:after="0"/>
        <w:ind w:left="0" w:right="0" w:firstLine="622"/>
        <w:jc w:val="both"/>
        <w:rPr>
          <w:rFonts w:ascii="Times New Roman;Times;serif" w:hAnsi="Times New Roman;Times;serif"/>
          <w:sz w:val="20"/>
        </w:rPr>
      </w:pPr>
      <w:r>
        <w:rPr>
          <w:rFonts w:ascii="Times New Roman;Times;serif" w:hAnsi="Times New Roman;Times;serif"/>
          <w:i/>
          <w:sz w:val="20"/>
        </w:rPr>
        <w:t xml:space="preserve">Competition. </w:t>
      </w:r>
      <w:r>
        <w:rPr>
          <w:rFonts w:ascii="Times New Roman;Times;serif" w:hAnsi="Times New Roman;Times;serif"/>
          <w:sz w:val="20"/>
        </w:rPr>
        <w:t>We compete with a limited number of other providers, including Digicel, Liberty Latin America, and individual newer entrants in select markets, with respect to various services. We believe our breadth of services and regional strategy to strengthen and enhance our business offerings provide us with a strong competitive position and the ability to win and retain an economically viable share of our markets.</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Mobility</w:t>
      </w:r>
    </w:p>
    <w:p>
      <w:pPr>
        <w:pStyle w:val="TextBody"/>
        <w:bidi w:val="0"/>
        <w:spacing w:before="280" w:after="0"/>
        <w:ind w:left="40" w:right="279" w:firstLine="529"/>
        <w:jc w:val="both"/>
        <w:rPr>
          <w:rFonts w:ascii="Times New Roman;Times;serif" w:hAnsi="Times New Roman;Times;serif"/>
          <w:sz w:val="20"/>
        </w:rPr>
      </w:pPr>
      <w:r>
        <w:rPr>
          <w:rFonts w:ascii="Times New Roman;Times;serif" w:hAnsi="Times New Roman;Times;serif"/>
          <w:sz w:val="20"/>
        </w:rPr>
        <w:t>We provide mobile, data, and voice services to retail and business customers in Bermuda, Guyana and in the US Virgin Islands. We also provide roaming services for many of the largest US providers’ and other international operators’ customers visiting these locations. As of December 31, 2024, we had approximately 389,000 mobile subscribers in our International Telecom segment.</w:t>
      </w:r>
    </w:p>
    <w:p>
      <w:pPr>
        <w:pStyle w:val="TextBody"/>
        <w:bidi w:val="0"/>
        <w:spacing w:before="280" w:after="0"/>
        <w:ind w:left="40" w:right="199" w:firstLine="529"/>
        <w:jc w:val="both"/>
        <w:rPr>
          <w:rFonts w:ascii="Times New Roman;Times;serif" w:hAnsi="Times New Roman;Times;serif"/>
          <w:sz w:val="20"/>
        </w:rPr>
      </w:pPr>
      <w:r>
        <w:rPr>
          <w:rFonts w:ascii="Times New Roman;Times;serif" w:hAnsi="Times New Roman;Times;serif"/>
          <w:i/>
          <w:sz w:val="20"/>
        </w:rPr>
        <w:t xml:space="preserve">Products and Services. </w:t>
      </w:r>
      <w:r>
        <w:rPr>
          <w:rFonts w:ascii="Times New Roman;Times;serif" w:hAnsi="Times New Roman;Times;serif"/>
          <w:sz w:val="20"/>
        </w:rPr>
        <w:t>A significant majority of our international customers use prepay plans, which require them to pay in advance for our mobile services. These plans allow customers to purchase a specific amount of voice minutes, text messages, or data for a specified period of time before usage. A smaller minority of customers subscribe to our postpaid plans that allow customers to select a plan with voice minutes, text messaging, a given amount of data and other features that recur on a monthly basis and are billed at the end of the service period.</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Network and Operations: </w:t>
      </w:r>
      <w:r>
        <w:rPr>
          <w:rFonts w:ascii="Times New Roman;Times;serif" w:hAnsi="Times New Roman;Times;serif"/>
          <w:sz w:val="20"/>
        </w:rPr>
        <w:t>We offer our mobility services over 4G (LTE) in all of our markets (other than in the Cayman Islands) with emerging 5G in Bermuda and the US Virgin Islands. We own and operate base stations on owned and leased sites throughout our international markets. Except for VoLTE, which has components in each market and leverages shared components in Miami and Denver, all of our mobile networks have their core supporting facilities in the home network in the US Virgin Islands, Bermuda and Guyana. Our local Network Operations Centers (“NOCs”) provide dedicated monitoring of our networks and are designed to ensure that we have continuous monitoring of all our wireless and wireline facilities.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sz w:val="20"/>
        </w:rPr>
        <w:t>The transport networks in all the markets are primarily fiber based with route diversity provided by the deployment of fiber rings where possible and supplemental microwave deployments. The vast majority of the networks are IP based utilizing MPLS for redundancy to provide high availability networks. Standby power is provided by back up battery and generators. As part of our three-year capital investment strategy, we have made upgrades designed to enhance the resiliency of our network. We have standardized business continuity and disaster recovery plans and engaged in regular reviews and testing of those plans throughout the markets. Connection between these markets and the rest of the world is principally through subsea fiber networks described in our “</w:t>
      </w:r>
      <w:r>
        <w:rPr>
          <w:rFonts w:ascii="Times New Roman;Times;serif" w:hAnsi="Times New Roman;Times;serif"/>
          <w:i/>
          <w:sz w:val="20"/>
        </w:rPr>
        <w:t>International Telecom – Fixed Services – Sub-Sea Fiber Networks</w:t>
      </w:r>
      <w:r>
        <w:rPr>
          <w:rFonts w:ascii="Times New Roman;Times;serif" w:hAnsi="Times New Roman;Times;serif"/>
          <w:sz w:val="20"/>
        </w:rPr>
        <w:t>” section above.</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Sales and Marketing. </w:t>
      </w:r>
      <w:r>
        <w:rPr>
          <w:rFonts w:ascii="Times New Roman;Times;serif" w:hAnsi="Times New Roman;Times;serif"/>
          <w:sz w:val="20"/>
        </w:rPr>
        <w:t>We provide mobile services, mobile connectivity devices and account management through five main distribution channels: digital, company owned retail/pop-up retail, authorized dealers/agents, direct sales, and inside sales. Business and residential customers are able to purchase any of our services, prepaid mobile, postpaid mobile, and mobile data, through any of the above channels. Customers are also able to purchase devices and accessories to enhance their services through these same channels. We offer a full suite of mobile devices and add-on accessories, similar to what is typically available in most other countries. Our sales channels are strategically located throughout our service areas, staffed by trained, branded, and supported sales and service representatives.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Handsets and Accessories. </w:t>
      </w:r>
      <w:r>
        <w:rPr>
          <w:rFonts w:ascii="Times New Roman;Times;serif" w:hAnsi="Times New Roman;Times;serif"/>
          <w:sz w:val="20"/>
        </w:rPr>
        <w:t xml:space="preserve">We offer a diverse line of wireless devices and accessories designed to meet both the personal and professional needs of our customers. These devices support a variety of wireless connectivity technologies that are deployed across our various markets. Our device assortment includes a wide range of smartphones including those featuring the Android™ and iOS™ operating systems in addition to a full line of feature phones, wireless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hotspots and various wireless solutions for small businesses. To complement our phone offerings, we sell a complete range of original equipment manufacturer and after</w:t>
      </w:r>
      <w:r>
        <w:rPr>
          <w:rFonts w:ascii="Times New Roman;Times;serif" w:hAnsi="Times New Roman;Times;serif"/>
          <w:b/>
          <w:sz w:val="20"/>
        </w:rPr>
        <w:t>-</w:t>
      </w:r>
      <w:r>
        <w:rPr>
          <w:rFonts w:ascii="Times New Roman;Times;serif" w:hAnsi="Times New Roman;Times;serif"/>
          <w:sz w:val="20"/>
        </w:rPr>
        <w:t>market accessories that allow our customers to personalize their wireless experience, including phone protection, battery charging solutions and Bluetooth hands</w:t>
      </w:r>
      <w:r>
        <w:rPr>
          <w:rFonts w:ascii="Times New Roman;Times;serif" w:hAnsi="Times New Roman;Times;serif"/>
          <w:b/>
          <w:sz w:val="20"/>
        </w:rPr>
        <w:t>-</w:t>
      </w:r>
      <w:r>
        <w:rPr>
          <w:rFonts w:ascii="Times New Roman;Times;serif" w:hAnsi="Times New Roman;Times;serif"/>
          <w:sz w:val="20"/>
        </w:rPr>
        <w:t>free kits.</w:t>
      </w:r>
    </w:p>
    <w:p>
      <w:pPr>
        <w:pStyle w:val="TextBody"/>
        <w:bidi w:val="0"/>
        <w:spacing w:before="280" w:after="0"/>
        <w:ind w:left="0" w:right="0" w:firstLine="569"/>
        <w:jc w:val="both"/>
        <w:rPr>
          <w:rFonts w:ascii="Times New Roman;Times;serif" w:hAnsi="Times New Roman;Times;serif"/>
          <w:sz w:val="20"/>
        </w:rPr>
      </w:pPr>
      <w:r>
        <w:rPr>
          <w:rFonts w:ascii="Times New Roman;Times;serif" w:hAnsi="Times New Roman;Times;serif"/>
          <w:i/>
          <w:sz w:val="20"/>
        </w:rPr>
        <w:t xml:space="preserve">Competition. </w:t>
      </w:r>
      <w:r>
        <w:rPr>
          <w:rFonts w:ascii="Times New Roman;Times;serif" w:hAnsi="Times New Roman;Times;serif"/>
          <w:sz w:val="20"/>
        </w:rPr>
        <w:t>We believe we compete for wireless retail customers in our international markets based on features, price, technology deployed, network coverage (including through roaming arrangements), quality of service and customer care. We compete against Digicel and Liberty Latin America in the Caribbean region, other smaller local providers, and in the US Virgin Islands, against one or more US national operators or mobile virtual network operators.</w:t>
      </w:r>
    </w:p>
    <w:p>
      <w:pPr>
        <w:pStyle w:val="TextBody"/>
        <w:bidi w:val="0"/>
        <w:spacing w:before="280" w:after="0"/>
        <w:ind w:left="40" w:right="0" w:hanging="0"/>
        <w:jc w:val="both"/>
        <w:rPr>
          <w:rFonts w:ascii="Times New Roman;Times;serif" w:hAnsi="Times New Roman;Times;serif"/>
          <w:b/>
          <w:sz w:val="20"/>
        </w:rPr>
      </w:pPr>
      <w:bookmarkStart w:id="35" w:name="HumanCapital"/>
      <w:bookmarkEnd w:id="35"/>
      <w:r>
        <w:rPr>
          <w:rFonts w:ascii="Times New Roman;Times;serif" w:hAnsi="Times New Roman;Times;serif"/>
          <w:b/>
          <w:sz w:val="20"/>
        </w:rPr>
        <w:t>Human Capital Resources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People and Culture</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We know that our employees are our most valuable assets to realize our mission to digitally empower people and communities so they can connect with the world and prosper. We do this through meeting the everyday connectivity needs of rural and historically underserved communities. We developed the values listed below to reflect both our current culture and the values that we strive to embody to attract and maintain key talent. We endeavor to implement these values every day through employee engagement events, regular communication on company goals and milestones, and foster a connected and empowered workplace.</w:t>
      </w:r>
    </w:p>
    <w:tbl>
      <w:tblPr>
        <w:tblW w:w="3857" w:type="dxa"/>
        <w:jc w:val="left"/>
        <w:tblInd w:w="0" w:type="dxa"/>
        <w:tblLayout w:type="fixed"/>
        <w:tblCellMar>
          <w:top w:w="0" w:type="dxa"/>
          <w:left w:w="0" w:type="dxa"/>
          <w:bottom w:w="0" w:type="dxa"/>
          <w:right w:w="0" w:type="dxa"/>
        </w:tblCellMar>
      </w:tblPr>
      <w:tblGrid>
        <w:gridCol w:w="1411"/>
        <w:gridCol w:w="244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244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top w:val="single" w:sz="2" w:space="0" w:color="000000"/>
              <w:left w:val="single" w:sz="2" w:space="0" w:color="000000"/>
              <w:bottom w:val="single" w:sz="2" w:space="0" w:color="000000"/>
              <w:right w:val="single" w:sz="2" w:space="0" w:color="000000"/>
            </w:tcBorders>
            <w:shd w:fill="E7E6E6" w:val="clear"/>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ATN Values</w:t>
            </w:r>
          </w:p>
        </w:tc>
        <w:tc>
          <w:tcPr>
            <w:tcW w:w="2446" w:type="dxa"/>
            <w:tcBorders>
              <w:top w:val="single" w:sz="2" w:space="0" w:color="000000"/>
              <w:left w:val="single" w:sz="2" w:space="0" w:color="000000"/>
              <w:bottom w:val="single" w:sz="2" w:space="0" w:color="000000"/>
              <w:right w:val="single" w:sz="2" w:space="0" w:color="000000"/>
            </w:tcBorders>
            <w:shd w:fill="E7E6E6" w:val="clear"/>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Description</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ommitment</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Operate for the Long-Term</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w:t>
            </w:r>
            <w:r>
              <w:rPr>
                <w:rFonts w:ascii="Times New Roman;Times;serif" w:hAnsi="Times New Roman;Times;serif"/>
                <w:sz w:val="20"/>
              </w:rPr>
              <w:t>espect</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Variety of Viewpoints</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xcellence</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Smart and Determined Work</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ccountability</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 What You Say</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T</w:t>
            </w:r>
            <w:r>
              <w:rPr>
                <w:rFonts w:ascii="Times New Roman;Times;serif" w:hAnsi="Times New Roman;Times;serif"/>
                <w:sz w:val="20"/>
              </w:rPr>
              <w:t>houghtfulness</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Caring Behavior</w:t>
            </w:r>
          </w:p>
        </w:tc>
      </w:tr>
      <w:tr>
        <w:trPr/>
        <w:tc>
          <w:tcPr>
            <w:tcW w:w="14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mpowerment</w:t>
            </w:r>
          </w:p>
        </w:tc>
        <w:tc>
          <w:tcPr>
            <w:tcW w:w="24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Leaders at Every Level</w:t>
            </w:r>
          </w:p>
        </w:tc>
      </w:tr>
    </w:tbl>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ATN Workforce Overview</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 xml:space="preserve">As of December 31, 2024, we had approximately 2,300 employees, of whom approximately 900 were employed in the United States (including the US Virgin Islands) and approximately 1,400 were employed by our international subsidiaries. At the holding company level, we employ our executive management team and staff. Approximately 31% of our total employee population are covered by contracts with various unions. Employees represented by unions are located in Alaska and all our international markets except for the Cayman Islands. As of the end of 2024, we believe we have a good relationship with our unions.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Commitment to Local Management and Variety of Viewpoints</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 xml:space="preserve">We seek engaged managers who have strong values, integrity, knowledge of our market and business model, and have respect for differing viewpoints. We strive to cultivate a dynamic working environment that fosters a greater understanding of our differences and strengthens our company. </w:t>
      </w:r>
    </w:p>
    <w:p>
      <w:pPr>
        <w:pStyle w:val="TextBody"/>
        <w:bidi w:val="0"/>
        <w:spacing w:before="280" w:after="0"/>
        <w:ind w:left="40" w:right="0" w:firstLine="529"/>
        <w:jc w:val="both"/>
        <w:rPr>
          <w:rFonts w:ascii="Times New Roman;Times;serif" w:hAnsi="Times New Roman;Times;serif"/>
          <w:sz w:val="20"/>
        </w:rPr>
      </w:pPr>
      <w:r>
        <w:rPr>
          <w:rFonts w:ascii="Times New Roman;Times;serif" w:hAnsi="Times New Roman;Times;serif"/>
          <w:sz w:val="20"/>
        </w:rPr>
        <w:t xml:space="preserve">We rely heavily on local management teams to run our subsidiary operating units. Many of the markets in which we operate are small and remote, and in some cases are subject to government restrictions on granting work visas, all of which makes it difficult to attract and retain talented and qualified managers and staff in those markets. </w:t>
      </w:r>
    </w:p>
    <w:p>
      <w:pPr>
        <w:pStyle w:val="TextBody"/>
        <w:pBdr/>
        <w:shd w:fill="FFFFFF" w:val="clear"/>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Employee Engagement and Development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Together with our subsidiaries, we are dedicated to enhancing the use of technology in the various communities we serve. We believe having management and staff with deep local expertise of the communities in which they operate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crucial to our success and to our ability to have a positive impact on those communities. We celebrate different perspectives and backgrounds because we believe they help us to have a stronger, more creative, and more successful workplace.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proud to offer benefits to our employees that promote wellness and personal care, a safe work environment and career growth opportunities. We regularly utilize performance development tools for our employees, which are focused on driving engagement and high performance through frequent communication throughout the year.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employee engagement survey provides employees with the opportunity to share confidential feedback on what they believe has been working well and where they believe we can improve to better support our employees. Our focus areas for engagement include skills development and manager performance. Anonymous, aggregated results are shared with employees, and the results inform our long-term action plans aimed at continuously improving our work environment.</w:t>
      </w:r>
    </w:p>
    <w:p>
      <w:pPr>
        <w:pStyle w:val="TextBody"/>
        <w:bidi w:val="0"/>
        <w:spacing w:before="280" w:after="0"/>
        <w:ind w:left="0" w:right="72" w:hanging="0"/>
        <w:jc w:val="both"/>
        <w:rPr>
          <w:rFonts w:ascii="Times New Roman;Times;serif" w:hAnsi="Times New Roman;Times;serif"/>
          <w:b/>
          <w:sz w:val="20"/>
        </w:rPr>
      </w:pPr>
      <w:bookmarkStart w:id="36" w:name="USFederalRegulation_608344"/>
      <w:bookmarkEnd w:id="36"/>
      <w:r>
        <w:rPr>
          <w:rFonts w:ascii="Times New Roman;Times;serif" w:hAnsi="Times New Roman;Times;serif"/>
          <w:b/>
          <w:sz w:val="20"/>
        </w:rPr>
        <w:t>US Federal Regulation</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At the federal level in the United States, we are regulated in large part by the FCC. Our operations in the United States are subject to the Communications Act of 1934, as amended, including the Telecommunications Act of 1996 (“Communications Act”), and the FCC’s implementing regulations.</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The FCC provides regulations that impose certain disclosures, operational measures, and regulatory payment obligations applicable to both our fixed and wireless services. To date, that includes, but is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Regulatory Fees and Contributions</w:t>
            </w:r>
            <w:r>
              <w:rPr>
                <w:rFonts w:ascii="Times New Roman;Times;serif" w:hAnsi="Times New Roman;Times;serif"/>
                <w:b w:val="false"/>
                <w:i w:val="false"/>
                <w:caps w:val="false"/>
                <w:smallCaps w:val="false"/>
                <w:sz w:val="20"/>
              </w:rPr>
              <w:t>.  We are obligated to pay certain annual regulatory fees and assessments to support FCC regulation of wireless and wireline providers, as well as fees to support federal universal service programs, number portability, regional database costs, centralized telephone numbering administration, telecommunications relay service for people who are deaf or hard of hearing, and application filing fees. These fees are subject to periodic change by the FCC and the manner in which carriers may recoup these fees from customers is subject to various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Broadband Disclosures.</w:t>
            </w:r>
            <w:r>
              <w:rPr>
                <w:caps w:val="false"/>
                <w:smallCaps w:val="false"/>
              </w:rPr>
              <w:t xml:space="preserve">  </w:t>
            </w:r>
            <w:r>
              <w:rPr>
                <w:rFonts w:ascii="Times New Roman;Times;serif" w:hAnsi="Times New Roman;Times;serif"/>
                <w:b w:val="false"/>
                <w:i w:val="false"/>
                <w:caps w:val="false"/>
                <w:smallCaps w:val="false"/>
                <w:sz w:val="20"/>
              </w:rPr>
              <w:t xml:space="preserve">The FCC requires broadband service providers to display “nutrition labels” at the point of sale, that disclose information about broadband prices, introductory rates, data allowances, broadband speeds, and latency, and to disclose their broadband network management practices on their websites or via an FCC website.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Broadband Data Collection.</w:t>
            </w:r>
            <w:r>
              <w:rPr>
                <w:caps w:val="false"/>
                <w:smallCaps w:val="false"/>
              </w:rPr>
              <w:t xml:space="preserve">  </w:t>
            </w:r>
            <w:r>
              <w:rPr>
                <w:rFonts w:ascii="Times New Roman;Times;serif" w:hAnsi="Times New Roman;Times;serif"/>
                <w:b w:val="false"/>
                <w:i w:val="false"/>
                <w:caps w:val="false"/>
                <w:smallCaps w:val="false"/>
                <w:sz w:val="20"/>
              </w:rPr>
              <w:t>The FCC requires broadband service providers to submit twice annual reports detailing their broadband deployment by location, speed, and technology.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Robocalls</w:t>
            </w:r>
            <w:r>
              <w:rPr>
                <w:rFonts w:ascii="Times New Roman;Times;serif" w:hAnsi="Times New Roman;Times;serif"/>
                <w:b w:val="false"/>
                <w:i w:val="false"/>
                <w:caps w:val="false"/>
                <w:smallCaps w:val="false"/>
                <w:sz w:val="20"/>
              </w:rPr>
              <w:t>.  The FCC continues to take steps to limit unwanted and illegal telephone calls, including restricting the use of automatic telephone dialing systems and artificial or prerecorded voice messages, requiring the implementation of STIR/SHAKEN caller ID authentication framework in the Internet Protocol (“IP”) portions of provider networks, establishing the Do-Not-Call registry in coordination with the Federal Trade Commission, and permitting voice service providers to block calls in certain circumstances.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Telecommunications Privacy Regulations</w:t>
            </w:r>
            <w:r>
              <w:rPr>
                <w:rFonts w:ascii="Times New Roman;Times;serif" w:hAnsi="Times New Roman;Times;serif"/>
                <w:b w:val="false"/>
                <w:i w:val="false"/>
                <w:caps w:val="false"/>
                <w:smallCaps w:val="false"/>
                <w:sz w:val="20"/>
              </w:rPr>
              <w:t>. We are subject to federal regulations relating to privacy and data security that impact all parts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911 and 988 Call Routing</w:t>
            </w:r>
            <w:r>
              <w:rPr>
                <w:rFonts w:ascii="Times New Roman;Times;serif" w:hAnsi="Times New Roman;Times;serif"/>
                <w:b w:val="false"/>
                <w:i w:val="false"/>
                <w:caps w:val="false"/>
                <w:smallCaps w:val="false"/>
                <w:sz w:val="20"/>
              </w:rPr>
              <w:t>. The FCC requires that providers transmit all 911 emergency calls to an appropriate public safety answering point (“PSAP”) based on the caller’s location and all 988 calls to the National Suicide Prevention Lifeline</w:t>
            </w:r>
            <w:r>
              <w:rPr>
                <w:rFonts w:ascii="Times New Roman;Times;serif" w:hAnsi="Times New Roman;Times;serif"/>
                <w:b w:val="false"/>
                <w:i/>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CALEA and Cybersecurity</w:t>
            </w:r>
            <w:r>
              <w:rPr>
                <w:rFonts w:ascii="Times New Roman;Times;serif" w:hAnsi="Times New Roman;Times;serif"/>
                <w:b w:val="false"/>
                <w:i w:val="false"/>
                <w:caps w:val="false"/>
                <w:smallCaps w:val="false"/>
                <w:sz w:val="20"/>
              </w:rPr>
              <w:t>. We are required to provide law enforcement agencies with capacity and technical capabilities to support lawful wiretaps pursuant to the Communications Assistance for Law Enforcement Act. Furthermore, we are required to secure our networks from unlawful access and interception.</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Fixed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FCC generally exercises jurisdiction over the interstate and international fixed wireline telecommunications services that we provide as a regulated common carrier. The Communications Act and regulations promulgated thereunder require, among other things, that we offer regulated interstate telecommunications common carrier services at just, reasonable, and non-discriminatory rates and terms. The Communications Act also requires us to offer competing carriers interconnection and non-discriminatory access to certain facilities and services designated as essential for local competition.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competitive market forces, as well as rate-of-return regulation for intrastate services that originate and terminate in Alaska and the US Virgin Islands and price-cap rate regulation for interstate services in Alaska and the US Virgin Islands regulated by the FCC. Because we face competition, we may not be able to charge the maximum permitted rates under price-cap regulation or realize the authorized intrastate rate of return. A broader range of data and information services are offered by our unregulated affiliates or as unregulated services by our regulated companies.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Wireless Services</w:t>
      </w:r>
    </w:p>
    <w:p>
      <w:pPr>
        <w:pStyle w:val="TextBody"/>
        <w:bidi w:val="0"/>
        <w:spacing w:before="0" w:after="240"/>
        <w:ind w:left="0" w:right="72" w:firstLine="720"/>
        <w:jc w:val="both"/>
        <w:rPr>
          <w:rFonts w:ascii="Times New Roman;Times;serif" w:hAnsi="Times New Roman;Times;serif"/>
          <w:sz w:val="20"/>
        </w:rPr>
      </w:pPr>
      <w:r>
        <w:rPr>
          <w:rFonts w:ascii="Times New Roman;Times;serif" w:hAnsi="Times New Roman;Times;serif"/>
          <w:sz w:val="20"/>
        </w:rPr>
        <w:t>The FCC regulates, among other things, the licensed and unlicensed use of radio spectrum; the ownership, lease, transfer of control, and assignment of wireless licenses; the ongoing technical, operational, and service requirements applicable to such licenses; the timing, nature, and scope of network construction; the provision of certain services, such as enhanced 911 (“E-911”); and the interconnection of communications networks in the United States. Although some of these regulations apply to both our services to retail customers and our wholesale services to wireless carriers, many apply only to our retail services. As we reduce the markets in which we provide retail wireless services, the significance to our business of regulatory obligations applicable only to our retail services will diminish.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Spectrum Licenses</w:t>
      </w:r>
      <w:r>
        <w:rPr>
          <w:rFonts w:ascii="Times New Roman;Times;serif" w:hAnsi="Times New Roman;Times;serif"/>
          <w:sz w:val="20"/>
        </w:rPr>
        <w:t xml:space="preserve">. We provide our wireless services pursuant to various commercial mobile radio services (“CMRS”) licenses issued by the FCC. Some of these licenses are site-based while others cover specified geographic market areas. The specific radio frequencies, the authorized spectrum amounts, and certain of the technical and service rules vary depending on the licensed service. In addition to CMRS licenses, our wireless business relies on common carrier and non-common carrier fixed point-to-point microwave licenses issued by the FCC.  Most of our license grants are for a period of ten years and are renewable upon application to the FCC. The FCC conditions some spectrum licenses on the satisfaction of certain obligations to construct networks covering a specified geographic area or population by specific dates. We are substantially in compliance with the applicable construction requirements that have arisen for the licenses we currently hold and at this time, do not expect to be in violation of future construction requirements.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Public Interest and Safety Obligations</w:t>
      </w:r>
      <w:r>
        <w:rPr>
          <w:rFonts w:ascii="Times New Roman;Times;serif" w:hAnsi="Times New Roman;Times;serif"/>
          <w:sz w:val="20"/>
        </w:rPr>
        <w:t xml:space="preserve">. The Communications Act and the FCC’s rules impose additional requirements upon wireless service providers. The radio systems towers that we own and lease are subject to Federal Aviation Administration and FCC regulations that govern the location, marking, lighting, and construction of towers and are subject to the requirements of the National Environmental Policy Act, National Historic Preservation Act, and other environmental statutes enforced by the FCC. In addition, the FCC has also adopted guidelines and methods for evaluating human exposure to emissions of radiofrequency radiation from radio equipment.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FCC has adopted requirements for CMRS providers to promote access to </w:t>
      </w:r>
      <w:r>
        <w:rPr>
          <w:rFonts w:ascii="Times New Roman;Times;serif" w:hAnsi="Times New Roman;Times;serif"/>
          <w:color w:val="212529"/>
          <w:sz w:val="20"/>
        </w:rPr>
        <w:t>reliable 911, hearing aid compatible devices, emergency alerting, and first responder communications. For example, wireless providers are obligated to transmit all 911 calls to an appropriate PSAP based on geographic data generated by increasingly accurate location information technologies mandated by the FCC.</w:t>
      </w:r>
      <w:r>
        <w:rPr>
          <w:rFonts w:ascii="Times New Roman;Times;serif" w:hAnsi="Times New Roman;Times;serif"/>
          <w:sz w:val="20"/>
        </w:rPr>
        <w:t xml:space="preserve"> </w:t>
      </w:r>
      <w:r>
        <w:rPr>
          <w:rFonts w:ascii="Times New Roman;Times;serif" w:hAnsi="Times New Roman;Times;serif"/>
          <w:color w:val="212529"/>
          <w:sz w:val="20"/>
        </w:rPr>
        <w:t xml:space="preserve">The FCC also has adopted obligations on wireless providers related to network reliability and resiliency and disaster management. </w:t>
      </w:r>
      <w:r>
        <w:rPr>
          <w:rFonts w:ascii="Times New Roman;Times;serif" w:hAnsi="Times New Roman;Times;serif"/>
          <w:sz w:val="20"/>
        </w:rPr>
        <w:t xml:space="preserve">To our knowledge, we comply with the foregoing obligations currently applicable to our operations, and we devote resources necessary to meet these obligations and maintain network services.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Universal Service Support and Contributions</w:t>
      </w:r>
    </w:p>
    <w:p>
      <w:pPr>
        <w:pStyle w:val="TextBody"/>
        <w:pBdr/>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we comply in all material respects with applicable federal and state USF assessment and support requirements.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USF High-Cost Support. </w:t>
      </w:r>
      <w:r>
        <w:rPr>
          <w:rFonts w:ascii="Times New Roman;Times;serif" w:hAnsi="Times New Roman;Times;serif"/>
          <w:sz w:val="20"/>
        </w:rPr>
        <w:t xml:space="preserve">The FCC’s high-cost USF (or alternatives to 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 several forms of high-cost support,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federal USF support under the Alaska Connect Fund (“ACF”). Beginning January 1, 2025, we expect to receive $25.6 million per year until December 31, 2028. Beginning in 2029 and continuing through 2034, the amount of ACF support will be determined by FCC staff taking into consideration broadband deployment funded through the Broadband Equity Access and Deployment Program. The ACF replaced the $19.7 million per year that we had received in Connect America Fund II support in Alaska;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part of the Enhanced Alternative Connect America Model funding available to our operations in the western United States, </w:t>
            </w:r>
            <w:r>
              <w:rPr>
                <w:rFonts w:ascii="Times New Roman;Times;serif" w:hAnsi="Times New Roman;Times;serif"/>
                <w:b w:val="false"/>
                <w:i w:val="false"/>
                <w:caps w:val="false"/>
                <w:smallCaps w:val="false"/>
                <w:sz w:val="20"/>
                <w:shd w:fill="FFFFFF" w:val="clear"/>
              </w:rPr>
              <w:t xml:space="preserve">we are estimated to receive approximately $109 million over the next 14 years, through 2038, with </w:t>
            </w:r>
            <w:r>
              <w:rPr>
                <w:rFonts w:ascii="Times New Roman;Times;serif" w:hAnsi="Times New Roman;Times;serif"/>
                <w:b w:val="false"/>
                <w:i w:val="false"/>
                <w:caps w:val="false"/>
                <w:smallCaps w:val="false"/>
                <w:sz w:val="20"/>
              </w:rPr>
              <w:t>approximately $9 million annually through 2030 before a gradual step down to $6 million annually in 2038. This funding is subject to a requirement to deploy</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voice and broadband</w:t>
            </w:r>
            <w:r>
              <w:rPr>
                <w:caps w:val="false"/>
                <w:smallCaps w:val="false"/>
              </w:rPr>
              <w:t> </w:t>
            </w:r>
            <w:r>
              <w:rPr>
                <w:rFonts w:ascii="Times New Roman;Times;serif" w:hAnsi="Times New Roman;Times;serif"/>
                <w:b w:val="false"/>
                <w:i w:val="false"/>
                <w:caps w:val="false"/>
                <w:smallCaps w:val="false"/>
                <w:sz w:val="20"/>
              </w:rPr>
              <w:t>service at speeds of 100/20 Mbps to all required locations by the end of calendar year 2028;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approximately $8 million per year in Connect America Fund II support in the rural southwest until July 2028;</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receive approximately $5.5 million annually in the US Virgin Islands through December 31, 2025 (this annual support is scheduled to end in 2025), subject to the requirement to enhance network resiliency and operations in those markets;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awarded approximately $2.3 million annually in the western United States through December 31, 2031 as part of the Rural Digital Opportunity Fund Phase I (“RDOF”) auction. In exchange for this support, we committed to deploy voice and broadband service to areas covered by our remaining winning bids within six years and to provide service in those areas for ten years.  In 2024, we transferred $1.3 million of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39" w:type="dxa"/>
        <w:jc w:val="left"/>
        <w:tblInd w:w="0" w:type="dxa"/>
        <w:shd w:fill="FFFFFF" w:val="clear"/>
        <w:tblLayout w:type="fixed"/>
        <w:tblCellMar>
          <w:top w:w="28" w:type="dxa"/>
          <w:left w:w="28" w:type="dxa"/>
          <w:bottom w:w="28" w:type="dxa"/>
          <w:right w:w="28" w:type="dxa"/>
        </w:tblCellMar>
      </w:tblPr>
      <w:tblGrid>
        <w:gridCol w:w="124"/>
        <w:gridCol w:w="109"/>
        <w:gridCol w:w="76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to other providers and returned $0.3 million of the annual awards to the FCC;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state USF support in Alaska, which for the fiscal year ended December 31, 2024 was approximately $2.5 million.</w:t>
            </w:r>
          </w:p>
        </w:tc>
      </w:tr>
    </w:tbl>
    <w:p>
      <w:pPr>
        <w:pStyle w:val="TextBody"/>
        <w:pBdr/>
        <w:shd w:fill="FFFFFF" w:val="clear"/>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2024, we were in compliance in all material respects with our deployment and service requirements associated with such funding. If we fail to meet these obligations or require substantial additional capital expenditures to meet the obligations in a timely manner, our revenue, results of operations and liquidity may be materially adversely impacted.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Rural Health Care Universal Service Support Program. The FCC’s Rural Health Care Universal Service Support Mechanism (“RHC program”) provides funding to help make broadband telecommunications and Internet access services provided by us and other service providers affordable for eligible rural health care providers.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Subsidies for Low-Income Customers. The FCC’s Lifeline support mechanism provides a subsidy to eligible low-income consumers against the cost of voice services, as well as broadband in CAF II locations. In addition, from  January 1, 2022, to June 1, 2024, the FCC administered the Affordable Connectivity Program (“ACP”), which provided eligible low-income consumers and students with a monthly subsidy for the purchase of broadband Internet access service from service providers that elected to participate in the program, which we did.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E-Rate. We have provided telecommunications services, broadband internet access services, and internal connections supported by the FCC’s Schools and Libraries Universal Service Support Mechanism (“E-rate”) for many years. E-rate support provides an invaluable means by which elementary and secondary schools can afford those services, particularly in rural and remote, high-cost areas. Historically, E-rate has primarily supported services that connect eligible school buildings. To our knowledge, we comply with applicable E-Rate requirements.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2025, the US Supreme Court will hear arguments about the constitutionality of the federal USF program. In July 2024, the US Court of Appeals for the Fifth Circuit ruled that the statute creating the federal USF program constituted an unconstitutional delegation by Congress of its revenue-raising powers to the FCC and that the FCC’s further delegation of the administration of the fund to the Universal Service Administrative Company (a private company) was impermissible. Conversely, the United States Court of Appeals for the Sixth and Eleventh Circuit have upheld the constitutionality of the USF statute and the FCC’s administration of the USF program. The US Supreme Court is expected to render a decision regarding the constitutionality of USF in June or July 2025.</w:t>
      </w:r>
    </w:p>
    <w:p>
      <w:pPr>
        <w:pStyle w:val="TextBody"/>
        <w:bidi w:val="0"/>
        <w:spacing w:before="280" w:after="0"/>
        <w:ind w:left="0" w:right="72" w:hanging="0"/>
        <w:jc w:val="both"/>
        <w:rPr>
          <w:rFonts w:ascii="Times New Roman;Times;serif" w:hAnsi="Times New Roman;Times;serif"/>
          <w:b/>
          <w:i/>
          <w:sz w:val="20"/>
        </w:rPr>
      </w:pPr>
      <w:r>
        <w:rPr>
          <w:rFonts w:ascii="Times New Roman;Times;serif" w:hAnsi="Times New Roman;Times;serif"/>
          <w:b/>
          <w:i/>
          <w:sz w:val="20"/>
        </w:rPr>
        <w:t>Video Services</w:t>
      </w:r>
    </w:p>
    <w:p>
      <w:pPr>
        <w:pStyle w:val="TextBody"/>
        <w:bidi w:val="0"/>
        <w:spacing w:before="280" w:after="0"/>
        <w:ind w:left="0" w:right="0" w:firstLine="648"/>
        <w:jc w:val="both"/>
        <w:rPr>
          <w:rFonts w:ascii="Times New Roman;Times;serif" w:hAnsi="Times New Roman;Times;serif"/>
          <w:sz w:val="20"/>
        </w:rPr>
      </w:pPr>
      <w:r>
        <w:rPr>
          <w:rFonts w:ascii="Times New Roman;Times;serif" w:hAnsi="Times New Roman;Times;serif"/>
          <w:sz w:val="20"/>
        </w:rPr>
        <w:t>Video services systems are regulated by the FCC under the Communications Act. We provide video services in the US Virgin Islands. The FCC regulates our programming selection through local broadcast TV station mandatory carriage obligations, constraints on our retransmission consent negotiations with local broadcast TV stations, and limited regulation of our carriage negotiations with cable programming networks. The FCC and federal laws also impose rules governing, among other things, leased cable set-top boxes, our ability to collect and disclose subscribers’ personally identifiable information, access to inside wiring in multiple dwelling units, cable pole attachments, customer service and technical standards, and disability access requirements. Failure to comply with these regulations could subject us to penalties. To our knowledge, we comply in all material respects with currently applicable FCC video services requirements.</w:t>
      </w:r>
    </w:p>
    <w:p>
      <w:pPr>
        <w:pStyle w:val="TextBody"/>
        <w:bidi w:val="0"/>
        <w:spacing w:before="280" w:after="0"/>
        <w:ind w:left="0" w:right="0" w:hanging="0"/>
        <w:jc w:val="both"/>
        <w:rPr>
          <w:rFonts w:ascii="Times New Roman;Times;serif" w:hAnsi="Times New Roman;Times;serif"/>
          <w:b/>
          <w:sz w:val="20"/>
        </w:rPr>
      </w:pPr>
      <w:bookmarkStart w:id="37" w:name="USStateandTerritorialRegulation_851726"/>
      <w:bookmarkEnd w:id="37"/>
      <w:r>
        <w:rPr>
          <w:rFonts w:ascii="Times New Roman;Times;serif" w:hAnsi="Times New Roman;Times;serif"/>
          <w:b/>
          <w:sz w:val="20"/>
        </w:rPr>
        <w:t>US State and Territorial Regulation</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FCC regulation, we are subject to state and local regulation, such as environmental, zoning, land use, privacy, consumer protection, and other regulations.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Alaska Regulation</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Providers of intrastate wireline (i.e., voice, broadband internet, and cable video) telecommunication services in Alaska are required to obtain a certificate of public convenience and necessity from the Regulatory Commission of Alaska (the “RCA”), which Alaska Communications holds. The RCA also adopts and administers various regulatory requirements applicable to certificate holders, although the scope of such regulations was materially reduced in 2019. We believe that Alaska Communications complies with these RCA requirements.</w:t>
      </w:r>
    </w:p>
    <w:p>
      <w:pPr>
        <w:pStyle w:val="TextBody"/>
        <w:bidi w:val="0"/>
        <w:spacing w:before="280" w:after="0"/>
        <w:ind w:left="0" w:right="72" w:hanging="0"/>
        <w:jc w:val="both"/>
        <w:rPr>
          <w:rFonts w:ascii="Times New Roman;Times;serif" w:hAnsi="Times New Roman;Times;serif"/>
          <w:b/>
          <w:sz w:val="20"/>
        </w:rPr>
      </w:pPr>
      <w:bookmarkStart w:id="38" w:name="USVirginIslandsRegulation_862423"/>
      <w:bookmarkEnd w:id="38"/>
      <w:r>
        <w:rPr>
          <w:rFonts w:ascii="Times New Roman;Times;serif" w:hAnsi="Times New Roman;Times;serif"/>
          <w:b/>
          <w:sz w:val="20"/>
        </w:rPr>
        <w:t>US Virgin Islands Regulation</w:t>
      </w:r>
    </w:p>
    <w:p>
      <w:pPr>
        <w:pStyle w:val="TextBody"/>
        <w:bidi w:val="0"/>
        <w:spacing w:before="280" w:after="0"/>
        <w:ind w:left="0" w:right="0" w:firstLine="720"/>
        <w:jc w:val="both"/>
        <w:rPr>
          <w:rFonts w:ascii="Times New Roman;Times;serif" w:hAnsi="Times New Roman;Times;serif"/>
          <w:sz w:val="20"/>
        </w:rPr>
      </w:pPr>
      <w:bookmarkStart w:id="39" w:name="GuyanaRegulation"/>
      <w:bookmarkEnd w:id="39"/>
      <w:r>
        <w:rPr>
          <w:rFonts w:ascii="Times New Roman;Times;serif" w:hAnsi="Times New Roman;Times;serif"/>
          <w:sz w:val="20"/>
        </w:rPr>
        <w:t xml:space="preserve">Our wireline operations in the US Virgin Islands are subject to the US Virgin Islands Public Utilities Code, pursuant to which the Virgin Islands Public Service Commission (“PSC”) regulates certain telecommunications and cable TV services that Viya provides in the US Virgin Islands.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video, internet, and wireless companies in the US Virgin Islands also receive tax benefits as qualifying participants in the US Virgin Islands’ Research &amp; Technology Park (“RTPark”) program. These benefits resulted in tax exemptions of approximately $2.7 million during the year ended December 31, 2024. In order to qualify, we are required to pay monthly management fees of 0.4% of tenant company revenue, make annual charitable contributions to the University of the Virgin Islands, purchase products and services locally when feasible and provide in-kind services to RTPark. Our RTPark program agreement is up for renewal in 2025 and at this time, we currently expect to be able to renew such agreement.</w:t>
      </w:r>
    </w:p>
    <w:p>
      <w:pPr>
        <w:pStyle w:val="TextBody"/>
        <w:bidi w:val="0"/>
        <w:spacing w:before="280" w:after="0"/>
        <w:ind w:left="0" w:right="72" w:hanging="0"/>
        <w:jc w:val="both"/>
        <w:rPr>
          <w:rFonts w:ascii="Times New Roman;Times;serif" w:hAnsi="Times New Roman;Times;serif"/>
          <w:b/>
          <w:sz w:val="20"/>
        </w:rPr>
      </w:pPr>
      <w:r>
        <w:rPr>
          <w:rFonts w:ascii="Times New Roman;Times;serif" w:hAnsi="Times New Roman;Times;serif"/>
          <w:b/>
          <w:sz w:val="20"/>
        </w:rPr>
        <w:t>Guyana Regulation</w:t>
      </w:r>
    </w:p>
    <w:p>
      <w:pPr>
        <w:pStyle w:val="TextBody"/>
        <w:bidi w:val="0"/>
        <w:spacing w:before="280" w:after="240"/>
        <w:ind w:left="0" w:right="72" w:firstLine="720"/>
        <w:jc w:val="both"/>
        <w:rPr>
          <w:rFonts w:ascii="Times New Roman;Times;serif" w:hAnsi="Times New Roman;Times;serif"/>
          <w:sz w:val="20"/>
        </w:rPr>
      </w:pPr>
      <w:r>
        <w:rPr>
          <w:rFonts w:ascii="Times New Roman;Times;serif" w:hAnsi="Times New Roman;Times;serif"/>
          <w:sz w:val="20"/>
        </w:rPr>
        <w:t>Our subsidiary, One Communications (Guyana) Inc. (formerly known as GTT Inc., (“OneGY”), in which we hold an 80% interest, is subject to regulation in Guyana under the provisions of a telecommunications License from the Government of Guyana, the Guyana Public Utilities Commission Act of 2016 as amended and the Guyana Telecommunications Act of 2016 including its various regulations. The Public Utilities Commission of Guyana is an independent statutory body with the principal responsibility for regulating telecommunications rates and services in Guyana. The Prime Minister, acting on and behalf of the Government of Guyana, has statutory authority over telecommunications licensing and related issues. The Telecommunications Agency advises and makes recommendations to the Prime Minister, or its delegee, implements policy and has principal responsibility for operating licenses and frequency authorizations.</w:t>
      </w:r>
    </w:p>
    <w:p>
      <w:pPr>
        <w:pStyle w:val="TextBody"/>
        <w:bidi w:val="0"/>
        <w:spacing w:before="0" w:after="240"/>
        <w:ind w:left="0" w:right="72" w:firstLine="720"/>
        <w:jc w:val="both"/>
        <w:rPr>
          <w:rFonts w:ascii="Times New Roman;Times;serif" w:hAnsi="Times New Roman;Times;serif"/>
          <w:sz w:val="20"/>
        </w:rPr>
      </w:pPr>
      <w:r>
        <w:rPr>
          <w:rFonts w:ascii="Times New Roman;Times;serif" w:hAnsi="Times New Roman;Times;serif"/>
          <w:i/>
          <w:sz w:val="20"/>
        </w:rPr>
        <w:t xml:space="preserve">Licenses. </w:t>
      </w:r>
      <w:r>
        <w:rPr>
          <w:rFonts w:ascii="Times New Roman;Times;serif" w:hAnsi="Times New Roman;Times;serif"/>
          <w:sz w:val="20"/>
        </w:rPr>
        <w:t>In Guyana, OneGY provides domestic fixed wireline and mobile as well as international voice and data services pursuant to licenses from the Government of Guyana granting OneGY the right to provide a variety of domestic fixed wireline and mobile and international voice and data services. This license was issued in October 2020.</w:t>
      </w:r>
    </w:p>
    <w:p>
      <w:pPr>
        <w:pStyle w:val="TextBody"/>
        <w:bidi w:val="0"/>
        <w:spacing w:before="0" w:after="240"/>
        <w:ind w:left="0" w:right="72" w:firstLine="720"/>
        <w:jc w:val="both"/>
        <w:rPr>
          <w:rFonts w:ascii="Times New Roman;Times;serif" w:hAnsi="Times New Roman;Times;serif"/>
          <w:sz w:val="20"/>
        </w:rPr>
      </w:pPr>
      <w:r>
        <w:rPr>
          <w:rFonts w:ascii="Times New Roman;Times;serif" w:hAnsi="Times New Roman;Times;serif"/>
          <w:sz w:val="20"/>
        </w:rPr>
        <w:t>On October 5, 2020, the Prime Minister of Guyana formally implemented telecommunications legislation previously passed by the Guyana Parliament in 2016 that introduces material changes to many features of Guyana’s existing telecommunications regulatory regime with the intention of creating a more competitive market. The regulations include new requirements for the market as a whole, that impact our operations, administrative reporting and services.  There can be no assurance that these regulations will be administered in such a way that does not lead to adverse impacts for OneGY’s operational and financial performance.</w:t>
      </w:r>
    </w:p>
    <w:p>
      <w:pPr>
        <w:pStyle w:val="TextBody"/>
        <w:shd w:fill="FFFFFF" w:val="clear"/>
        <w:bidi w:val="0"/>
        <w:spacing w:before="280" w:after="0"/>
        <w:ind w:left="0" w:right="0" w:hanging="0"/>
        <w:jc w:val="both"/>
        <w:rPr>
          <w:rFonts w:ascii="Times New Roman;Times;serif" w:hAnsi="Times New Roman;Times;serif"/>
          <w:b/>
          <w:sz w:val="20"/>
        </w:rPr>
      </w:pPr>
      <w:bookmarkStart w:id="40" w:name="BermudaRegulation"/>
      <w:bookmarkEnd w:id="40"/>
      <w:r>
        <w:rPr>
          <w:rFonts w:ascii="Times New Roman;Times;serif" w:hAnsi="Times New Roman;Times;serif"/>
          <w:b/>
          <w:sz w:val="20"/>
        </w:rPr>
        <w:t>Bermuda Regulation</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Regulatory Authority of Bermuda (the “RA”) is the primary regulator of our operations in Bermuda. The relevant legislation is the Regulatory Authority Act 2011 and the Electronic Communications Act 2011. Pursuant to these statutes, the RA is responsible for regulating all electronic communications services in Bermuda, including the broadband, mobile and video services we offer. The statutory framework provides the RA powers in respect of licensing, consumer protections, ex post competition issues, and the identification and remedying of significant market power concerns.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2024, the RA initiated a process to review the telecommunications market. The outcome of the review may result in the RA imposing certain remedies or restrictions on operators in the market, such as binding restrictions or specifying low-cost service plans. While we do not have any indication regarding the outcome of this review, which will largely take place in 2025, any such restrictions could impact our financial results or operations in Bermuda.</w:t>
      </w:r>
    </w:p>
    <w:p>
      <w:pPr>
        <w:pStyle w:val="TextBody"/>
        <w:bidi w:val="0"/>
        <w:spacing w:before="280" w:after="0"/>
        <w:ind w:left="0" w:right="0" w:hanging="0"/>
        <w:jc w:val="both"/>
        <w:rPr>
          <w:rFonts w:ascii="Times New Roman;Times;serif" w:hAnsi="Times New Roman;Times;serif"/>
          <w:b/>
          <w:sz w:val="20"/>
        </w:rPr>
      </w:pPr>
      <w:bookmarkStart w:id="41" w:name="ITEM1ARISKFACTORS_419373"/>
      <w:bookmarkEnd w:id="41"/>
      <w:r>
        <w:rPr>
          <w:rFonts w:ascii="Times New Roman;Times;serif" w:hAnsi="Times New Roman;Times;serif"/>
          <w:b/>
          <w:sz w:val="20"/>
        </w:rPr>
        <w:t xml:space="preserve">ITEM 1A.  RISK FACTORS </w:t>
      </w:r>
    </w:p>
    <w:p>
      <w:pPr>
        <w:pStyle w:val="TextBody"/>
        <w:bidi w:val="0"/>
        <w:spacing w:before="280" w:after="0"/>
        <w:ind w:left="40" w:right="199" w:firstLine="588"/>
        <w:jc w:val="both"/>
        <w:rPr>
          <w:rFonts w:ascii="Times New Roman;Times;serif" w:hAnsi="Times New Roman;Times;serif"/>
          <w:sz w:val="20"/>
        </w:rPr>
      </w:pPr>
      <w:r>
        <w:rPr>
          <w:rFonts w:ascii="Times New Roman;Times;serif" w:hAnsi="Times New Roman;Times;serif"/>
          <w:sz w:val="20"/>
        </w:rPr>
        <w:t>In addition to the other information contained in, or incorporated by reference into, this Report, you should carefully consider the risks described below that could materially affect our business, financial condition, or future results. These risks are not the only risks facing us. Additional risks and uncertainties not presently known to us or that we currently believe are immaterial also may materially adversely affect our business, financial condition and/or results of operations.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Operational Risks</w:t>
      </w:r>
    </w:p>
    <w:p>
      <w:pPr>
        <w:pStyle w:val="TextBody"/>
        <w:bidi w:val="0"/>
        <w:spacing w:before="280" w:after="0"/>
        <w:ind w:left="0" w:right="0" w:hanging="0"/>
        <w:jc w:val="both"/>
        <w:rPr>
          <w:rFonts w:ascii="Times New Roman;Times;serif" w:hAnsi="Times New Roman;Times;serif"/>
          <w:b/>
          <w:i/>
          <w:sz w:val="20"/>
        </w:rPr>
      </w:pPr>
      <w:bookmarkStart w:id="42" w:name="_Toc153467285"/>
      <w:bookmarkStart w:id="43" w:name="_Toc153286037"/>
      <w:bookmarkEnd w:id="42"/>
      <w:bookmarkEnd w:id="43"/>
      <w:r>
        <w:rPr>
          <w:rFonts w:ascii="Times New Roman;Times;serif" w:hAnsi="Times New Roman;Times;serif"/>
          <w:b/>
          <w:i/>
          <w:sz w:val="20"/>
        </w:rPr>
        <w:t>Cybersecurity breaches could have an adverse effect on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are highly dependent on our information technology (“IT”) systems for the operation of our network, our facilities, delivery of services to our customers and the compilation of our financial results. Telecommunications providers, including vendors to providers, are increasingly being targeted by cyber criminals. These attacks do not always target data specific to our business but often seek access to the data from market participants in more lucrative industries. Disruptions in our networks and the unavailability of our services or our inability to efficiently and effectively complete necessary technology or systems upgrades, or conversions could lead to a loss of customers, damage to our reputation and violation of the terms of our licenses and contracts with customers. Additionally, breaches of security may lead to unauthorized access to our customer or employee information processed and stored in, and transmitted through, our IT systems. We may be required to expend significant resources to protect our IT and operational networks and may need to expend additional resources to modify our protective measures or to investigate and remediate vulnerabilities or other exposures arising from operational and security risks. There can be no assurance that we will be able to successfully prevent a material security breach stemming from future cyberattacks or avoid major outages caused by such an attack or breach. These failures could also lead to significant negative publicity, and we may be subject to litigation, regulatory penalties and financial losses.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 xml:space="preserve">Network outages and rising energy costs could have an adverse effect on our business.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Network outages could have a material adverse effect on our business and can be caused by a myriad of incidents, including aging or faulty infrastructure, natural disasters, and third-party outages, such as power loss or subsea cable outage. Much of our underlying physical infrastructure (particularly in Guyana and Alaska), including buildings, fleet vehicles and related systems and equipment, has been in service for an extended period of time. In addition, our aging network exposes us to increased energy consumption and costs may expose us to additional cybersecurity risks  as we maintain out-of-date software to maintain these systems. We may not be able to adequately fund the maintenance and replacement of this infrastructure on a basis timely enough to avoid material outages, accurately predict equipment failure rates, or be able to locate replacement parts or spares to repair existing equipment due to its age.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Due to the rural and island locations of our networks, our energy costs tend to be high, and due to the nature of our network on average can be higher than those of our competitors operating in the same markets. We are reliant on the stability of the energy grid in each of our markets to provide services, however, frequent power outages in several of our markets result in our service outages. We are working to shut down certain energy-inefficient parts of our network, such as our copper plants in Guyana, but rising energy costs may offset any efficiencies gained. While generator backups are in place where blackouts are common, generators run on costly fuel which contributes to higher energy costs. Notwithstanding the significant investments that are being made in the US Virgin Islands and in Guyana to upgrade the country's power network, there is no guarantee that the local governments will be able to stabilize the electric infrastructure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Any network outage could negatively impact our operations, including the provision of service to our customers, and could result in adverse effects to our financial condition and reputation.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Inclement weather, changes in meteorological conditions and other natural disasters may materially disrupt our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Many of the areas in which we operate have experienced severe weather conditions including hurricanes, tornadoes, blizzards, fires, damaging storms, floods and earthquakes. Such events may materially disrupt and adversely affect our business operations. Major hurricanes have hit the US Virgin Islands, Bermuda, and Cayman several times in the past decade, causing damage to our network and to the infrastructure on the islands. Guyana and Cayman have each suffered from severe rains and flooding in the past as well. In Alaska, our operations face earthquake, volcanic, fire and winter storm risk. This risk to our company is heightened by the limited emergency response resources in many of our service areas, which may be difficult to access during an emergency situation, potentially delaying service restoration during critical times following a natural disaster or other disruptive event. In addition, the impacts of climate change may exacerbate the risk of significant damage in the areas in which we operate if the frequency or duration of more intense weather events increase. We cannot be sure that these types of events will not have an impact in the future or that we can procure insurance coverage against these types of severe weather and geological events under reasonable business terms and conditions, or that any insurance coverage we are able to maintain will fully fund the replacement of assets and adequately compensate us for all damage and economic losses resulting from natural catastrophes. If we are unable to restore service on a timely and cost-effective basis, it could harm our reputation and have a material adverse effect on our business, financial condition or results of operations through continued loss of revenue and customer attrition.</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rely on a limited number of key suppliers and vendors.</w:t>
      </w:r>
    </w:p>
    <w:p>
      <w:pPr>
        <w:pStyle w:val="TextBody"/>
        <w:bidi w:val="0"/>
        <w:spacing w:lineRule="auto" w:line="300"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As a telecommunications service provider, we depend on a limited number of suppliers for equipment and services relating to our network infrastructure, mobile handset lineup, and back-office IT systems infrastructure. If these suppliers experience interruptions, price increases due to tariffs, including those imposed or that may be imposed by the  new US administration, or higher inflation, or other problems delivering equipment to us on a timely and cost-effective basis, our subscriber or revenue growth and operating results could suffer significantly. For instance, our retail wireless businesses depend on access to compelling handset devices at reasonable prices on the primary and secondary markets. The size of our business, relative to many of our competitors puts us at a disadvantage in terms of whether we will get access to the newest technologies at the same time as our competitors, as well as a financial disadvantage in terms of the ability to achieve economies of scale and receive commensurate discounts that may be available to our competitors. </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A large portion of our equipment is sourced, directly or indirectly, from outside the United States. Major changes in tax policy or trade relations, such as the disallowance of tax deductions for imported products or the imposition of higher tariffs or duties on imported products imposed or that may be imposed by the new US administration , could also adversely affect our business, results of operations, effective income tax rate, liquidity and net income. We continue to monitor other supply chain risks such as the increased cost and impact of tariffs, inflationary trends, availability of materials and services based on the subsidized dollars available for telecommunications companies in the US.</w:t>
      </w:r>
    </w:p>
    <w:p>
      <w:pPr>
        <w:pStyle w:val="TextBody"/>
        <w:bidi w:val="0"/>
        <w:spacing w:lineRule="auto" w:line="304" w:before="280" w:after="0"/>
        <w:ind w:left="0" w:right="0" w:hanging="0"/>
        <w:jc w:val="both"/>
        <w:rPr>
          <w:rFonts w:ascii="Times New Roman;Times;serif" w:hAnsi="Times New Roman;Times;serif"/>
          <w:b/>
          <w:i/>
          <w:sz w:val="20"/>
        </w:rPr>
      </w:pPr>
      <w:r>
        <w:rPr>
          <w:rFonts w:ascii="Times New Roman;Times;serif" w:hAnsi="Times New Roman;Times;serif"/>
          <w:b/>
          <w:i/>
          <w:sz w:val="20"/>
        </w:rPr>
        <w:t>Our inability to recruit and retain experienced management and technical personnel could adversely affect our results of operations and our ability to maintain effective internal controls.</w:t>
      </w:r>
    </w:p>
    <w:p>
      <w:pPr>
        <w:pStyle w:val="TextBody"/>
        <w:bidi w:val="0"/>
        <w:spacing w:lineRule="auto" w:line="302"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success of our business depends on the ability of our executive officers and operating unit leaders to develop and execute our business plan, identify and pursue new opportunities and product innovations, and attract and retain these leaders along with other highly qualified technical and management personnel. We believe that there is, and will continue to be, strong competition for qualified personnel in the communications industry and in our markets and we cannot be certain that we will be able to attract and retain the personnel necessary for the development of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rely heavily on local management to run our operating units. Many of the markets in which we operate are small and remote, and in some cases are subject to government restrictions on granting work visas, which could make it difficult for us to attract and retain talented and qualified managers and staff in those markets. While the Company has consolidated certain key management roles, particularly in our international segment, reducing the risk associated with filling and maintaining fewer positions, it also increases the need for effective change management and continuity planning. The loss of key personnel or the inability to attract or retain individuals with the expertise to operate complex communications equipment, networks and systems could have a material adverse effect on our ability to maintain effective internal controls, and on our business, financial condition and results of operations. We do not currently maintain “key person” life insurance on any of our key employees and none of the executives at our parent company have executed employment agreements requiring a specified period of service.  </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are reliant on government funding to execute on the FCC’s Remove and Replace program.</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FCC’s governmental restrictions on the procurement of equipment from certain vendors has resulted in a costly network replacement build in our western United States operations that is funded in part by the FCC’s Replace and Remove Program. In July 2022, the FCC approved our eligible subsidiaries’ participation in the program but also announced that the total amount of approved costs for which reimbursement was sought by all applicants was far in excess of the amount appropriated by Congress. In December 2024 this program was fully funded for reimbursement to the Company of up to approximately $517 million. </w:t>
      </w:r>
      <w:r>
        <w:rPr>
          <w:rFonts w:ascii="Times New Roman;Times;serif" w:hAnsi="Times New Roman;Times;serif"/>
          <w:i/>
          <w:sz w:val="20"/>
        </w:rPr>
        <w:t>See US Telecom Segment – Mobility Services –Replace and Remove Program.</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Companies that were awarded funding must complete the removal, replacement, and disposal of Covered List equipment and services in their networks within a specified project completion deadline. However, delays due to factors such as supply-chain issues, delayed approval of reimbursement requests, the underfunding of the program, and other external circumstances could prevent our subsidiaries from meeting these timelines. </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We cannot predict whether and to what extent the fund administrator will approve our subsidiaries’ requests for the specific reimbursement of costs, whether we will obtain additional necessary extensions of the completion deadlines, or whether we can complete our participation in the program within the timelines set by the FCC.</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Finally, there is a risk that the FCC may continue to enumerate requirements, change stated rules, or delay or withhold funding, including as result of changes to governmental policies and programs, including loans, grants, guarantees and other subsidies. For example, if the FCC were to add a new company to the Covered List of foreign companies whose telecommunications equipment is subject to usage restrictions that has provided a significant amount of equipment to our subsidiaries, we cannot predict how our business will be impacted or what sort of adverse consequences may result.</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are reliant on government funding which brings compliance obligations and risk of change in federal or state funding, including as a result of changes to governmental policies and programs.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the western United States, we are using government awards to both enable our expanded carrier service initiative and grow the footprint of our network. We receive federal and state universal service revenues to support our wireline operations in high-cost areas in Alaska, the US Virgin Islands, and in the western United States. We receive US government funding and awards from numerous other sources, including E-rate, EACAM, RHC program, Tribal Broadband Connectivity, CAF II, RDOF, and state funding. Each government award or support imposes explicit conditions regarding operational requirements, timelines and deployment of service, and required reporting, each that require strict compliance. Administrative and operational expertise is required to meet the growing number of government award programs that we have been awarded. If we are unable to meet the terms of the awards, our funding may be subject to claw back in addition to other consequences.  For example, on May 8, 2024, we entered into a Consent Decree with the FCC Enforcement Bureau, regarding both the USAC and FCC Enforcement Bureau’s investigation with respect to our compliance with Rural Healthcare Program Rules in the 2017 year and agreed to (i) pay a settlement amount of approximately $6.3 million, and (ii) enter into a three-year compliance agreement in connection with Alaska Communication’s continued participation in the RHC Program. While we believe that we are in material compliance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Consent Decree and our ongoing RHC Program obligations, any violation of the Consent Decree or other compliance failures may result in additional penalties.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Further, there can be no assurance that we will continue to meet our various government obligations in a capital-efficient manner. For example, if we fail to meet our buildout and service obligations, or if we require substantial additional capital expenditures to meet the obligations under the timeline required, or if the relevant government agencies reduce funding availability, our revenue, results of operations, and liquidity may be materially adversely impacted.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Finally, there is uncertainty regarding any future levels of these revenues, as the new US administration may choose to decrease or cease funding certain programs, and the constitutionality of the federal universal service program is currently under judicial review. There can be no assurance that government support will continue at its current levels and decreases, losses, or disruptions in the funding of certain programs may have a materially adverse impact on our revenues.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Strategic Risks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Increased competition may require increased capital expenditures or result in the loss of existing customers.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Over the past decade, an increase in competition in many areas of the telecommunications industry has contributed to a decline in prices for communication services, including mobile wireless services, local and long-distance telephone services and data services.  This is exacerbated by declining or stagnant population trends and changes in the local business environment in certain island markets where we operate, notably Bermuda. Thus, the growth of our retail businesses relies on our ability to upsell our existing customer base with new or higher quality products while decreasing operating expenses. Increased competition, whether from new market entrants or heightened capital investment by our competitors in their existing networks, will make it more difficult for us to attract and retain customers in our small markets, which could result in lower revenue and cash flow from operating activities.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realize the benefits of our investments in our operating markets.</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Historically, we have funded our capital expenditures and transactional matters from a combination of cash on hand, cash from operations, and debt. With the acquisitions of Alaska Communications and Sacred Wind and our investment in our “First-to-Fiber” and “Glass &amp; Steel™” strategies, we have substantially decreased our cash reserves and increased our leverage on a consolidated basis.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Beginning in 2022, we invested in higher-than-average capital expenditures to support our strategies of “First-to-Fiber” and “Glass &amp; Steel™” in our businesses. In 2025, we intend to return to more normalized investment levels. However, our ability to support multiple organic and inorganic growth opportunities across our businesses may be limited by our liquidity resources and require significant oversight from our senior management. Major business initiatives are underway, focusing on improving mobile and other enterprise sales across all markets, digitizing internal processes to enhance response times to customer requirements, modernizing and centralizing existing processes in select markets, and improving operational execution of certain US Telecom businesses. Execution on multiple simultaneous and transformational initiatives requires in-depth management attention in multiple jurisdictions to capitalize on economic growth in Guyana, capture additional operational efficiencies, and develop and grow enterprise revenue streams in our US Telecom segment.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To support multiple simultaneous growth opportunities, we may need to raise additional capital or incur additional debt to fund our future operations or investment opportunities. We cannot provide any assurances that we will be able to secure additional funding from public or private offerings on terms acceptable to us, if at all. As we exit our planned period of capital investments in various infrastructure projects, particularly upgrading and expanding our fiber network in Guyana, the success of those investments is largely dependent on the business being able to maintain and expand its customer base. We also face execution risk with respect to our planned margin expansion, which relies on reducing operating expenses without compromising service quality or losing revenues. Whether due to increased competition, ineffective sales activity or other market forces, we may fail to achieve our sales targets and cost reduction goals on our upgraded networks.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Rapid and significant technological changes and advancements in the telecommunications industry may adversely affect us.</w:t>
      </w:r>
    </w:p>
    <w:p>
      <w:pPr>
        <w:pStyle w:val="TextBody"/>
        <w:bidi w:val="0"/>
        <w:spacing w:lineRule="auto" w:line="300" w:before="280" w:after="0"/>
        <w:ind w:left="0" w:right="0" w:firstLine="720"/>
        <w:jc w:val="both"/>
        <w:rPr>
          <w:rFonts w:ascii="Times New Roman;Times;serif" w:hAnsi="Times New Roman;Times;serif"/>
          <w:sz w:val="20"/>
        </w:rPr>
      </w:pPr>
      <w:r>
        <w:rPr>
          <w:rFonts w:ascii="Times New Roman;Times;serif" w:hAnsi="Times New Roman;Times;serif"/>
          <w:sz w:val="20"/>
        </w:rPr>
        <w:t>Our industry faces rapid and significant changes in technology that may directly impact our business, including the introduction of new telecom delivery platforms. For example, Starlink began offering direct-to-consumer products which in some locations in our markets is a direct competitive alternative to our new fiber offerings in certain locations, such as in Alaska and Guyana. Given the high capital investments that we have already made in the new fiber offerings, this competition may have an adverse impact on our anticipated return on investment.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us to keep pace with these technological changes and advancements and remain competitive, at a minimum we must continue to make capital expenditures to add to our networks’ capacity, coverage and technical capability. We cannot predict the effect of technological changes and advancements on our business. Alternative or new technologies, including artificial intelligence technologies, may be developed that provide communications services superior to those available from us, which may adversely affect our business. Failure to provide these services or to upgrade to new technologies on a timely basis and at an acceptable cost, or to secure any necessary regulatory approvals to roll out such new technologies on a timely basis, all could have a material adverse effect on our ability to compete with carriers in our markets and may expose us to additional risks. For example, failure to implement the right artificial intelligence technologies could lead to poor customer experience or brand damage.  Any problems with our implementation or use of artificial intelligence or other technological advancements could also negatively impact our business or results of our operations.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Regulatory Risks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Regulatory changes may impose restrictions that adversely affect us or cause us to incur significant unplanned costs in modifying our business plans or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US federal, state, and local regulations and foreign government regulations, all of which are subject to change, including as a result of the new administration in the US. As new laws and regulations are issued or discontinued, we may be required to materially modify our business plans or operations. We cannot be certain that we can do so in a cost-effective or timely manner. The interpretation and implementation of the various provisions of the Communications Act and the FCC rules implementing the Communications Act continue to be heavily debated and may have a material adverse effect on our business.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FCC regulatory activity has increased since 2023, particularly in connection with broadband.  We cannot predict how increased regulatory activity at the FCC will impact our businesses.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international operations are subject to similar regulations, the interpretation and implementation of which are also often debated, and which may have a material adverse effect on our business. For instance, in 2020, the Government of Guyana formally implemented telecommunications legislation that introduces material changes to many features of Guyana’s existing telecommunications regulatory regime that impact our operations, administrative reporting and services. There can be no assurance that these regulations will be effectively or uniformly administered, and Guyana remains a high-risk environment due to economic, political, and judicial uncertainty.</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interpretations of our obligations in the United States and our international jurisdictions may differ from those of regulatory authorities. Both federal and state regulators, as well as international regulators, require us to pay various fees and assessments, file periodic reports and comply with various rules regarding our consumer marketing practices and the contents of our bills, on an on-going basis. If we fail to comply with these requirements, we may be subject to fines or potentially be asked to show cause as to why our licenses to provide service should not be revoked.</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loss of certain licenses could adversely affect our ability to provide wireless and broadband services.</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In the United States, wireless licenses generally are valid for 10 years from the effective date of the license and generally may be renewed for additional 10-year periods by filing renewal applications with the FCC. While to date we have successfully renewed our licenses in the ordinary course of operations, failure to file for renewal of these licenses or failure to meet any licensing requirements could lead to a denial of the renewal application and thus adversely affect our ability to continue to provide service in that license area.</w:t>
      </w:r>
    </w:p>
    <w:p>
      <w:pPr>
        <w:pStyle w:val="TextBody"/>
        <w:bidi w:val="0"/>
        <w:spacing w:before="280" w:after="0"/>
        <w:ind w:left="0" w:right="72" w:firstLine="720"/>
        <w:jc w:val="both"/>
        <w:rPr>
          <w:rFonts w:ascii="Times New Roman;Times;serif" w:hAnsi="Times New Roman;Times;serif"/>
          <w:sz w:val="20"/>
        </w:rPr>
      </w:pPr>
      <w:r>
        <w:rPr>
          <w:rFonts w:ascii="Times New Roman;Times;serif" w:hAnsi="Times New Roman;Times;serif"/>
          <w:sz w:val="20"/>
        </w:rPr>
        <w:t>In our international markets, telecommunications licenses are typically issued and regulated by the applicable telecommunications ministry. The application and renewal process for these licenses may be lengthy, require us to expend substantial renewal fees, and/or be subject to regulatory or legislative uncertainty, such as we are experiencing in Guyana, as described above. Failure to comply with these regulatory requirements may have an adverse effect on our licenses or operations and could result in sanctions, fines or other penalties.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Economic Risks</w:t>
      </w:r>
    </w:p>
    <w:p>
      <w:pPr>
        <w:pStyle w:val="TextBody"/>
        <w:bidi w:val="0"/>
        <w:spacing w:before="280" w:after="0"/>
        <w:ind w:left="0" w:right="0" w:hanging="0"/>
        <w:jc w:val="both"/>
        <w:rPr>
          <w:rFonts w:ascii="Times New Roman;Times;serif" w:hAnsi="Times New Roman;Times;serif"/>
          <w:b/>
          <w:i/>
          <w:sz w:val="20"/>
        </w:rPr>
      </w:pPr>
      <w:bookmarkStart w:id="44" w:name="OtherRisks"/>
      <w:bookmarkEnd w:id="44"/>
      <w:r>
        <w:rPr>
          <w:rFonts w:ascii="Times New Roman;Times;serif" w:hAnsi="Times New Roman;Times;serif"/>
          <w:b/>
          <w:i/>
          <w:sz w:val="20"/>
        </w:rPr>
        <w:t>Availability and cost of capital.</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tightening of access to capital markets (both debt and equity) and increasing costs of capital combined with a squeeze on operating cashflow generation capability due to inflationary pressures could decrease our capital funding below a desirable level. This could impact needed future capital projects, or the speed that we are able to complete them, and/or limit our ability to grow through inorganic acquisition opportunities, which could have an adverse impact on our business.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General economic factors, such as inflation and a potential economic downturn, domestically and internationally, may adversely affect our business, financial condition and results of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Our operations and performance depend on worldwide economic conditions. These conditions have been adversely impacted by continued global economic concerns over inflation, supply chain disruptions, a potential recession, outbreak of war and other monetary and financial uncertainties. Continued inflation may adversely affect our liquidity, business, financial condition and results of operations by increasing our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Increased interest rates and additional debt have resulted in increased interest expenses.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Slower economic activity, increased unemployment, concerns about inflation, decreased consumer confidence and other adverse business conditions could have an impact on our businesses. For example,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US administration’s threats to impose, or imposition of, new or increased tariffs may impact our ability to timely or cost effectively procure materials (such as steel, aluminum, or copper) that we use to construct our networks;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economies of Alaska and Guyana depend heavily on the strength of the natural resource industries, particularly oil production and prices of crude oil. The supply and price of crude oil can be volatile and influenced by a myriad of factors beyond our control, including foreign actors (like OPEC), worldwide supply and demand, war, economic sanctions, natural disasters, the move by many governments, businesses, and institutions towards “de-carbonization” and other political conditions. Overall economic impacts from a sustained lower price of crude oil, on Alaska on the one hand, and from projected revenue from sales of oil, for Guyana on the other hand, if maintained over time, will impact our growth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in tourism could negatively affect revenues and growth opportunities from operations in the islands and in a number of areas covered by US rural and wholesale wireless operations that serve tourist destinations;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foreign exchange, specifically US dollars, available in Guyana is impacting our ability to pay for goods and services because many of our key vendors in Guyana, including the vendor that we use to construct our fiber assets, will not accept payment in Guyana dollars. This affects the liquidity available in the market to fund key capital projects, as well as cash requirements in other areas of the local operating company. With a shortage of foreign currency in the jurisdiction, we are relying on foreign currency from intercompany sources, including debt, which is impacting both our liquidity and leverage.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collect subscription fees from our subscribers, we may have an increase in credit losses on trade receivables or the amounts that we have to write off of our accounts receivable.</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long-term impact, if any, that these events might have on us and our business is uncertain.</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Our debt instruments include restrictive and financial covenants that limit our operating flexibility.</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credit facilities that we and our subsidiaries maintain include certain financial and other covenants that, among other things, restrict our ability to take specific actions, even if we believe such actions are in our best interest. These include restrictions on our ability to do the following:</w:t>
      </w:r>
    </w:p>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create liens or negative pledges with respect to our assets;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distributions on, or redeem or repurchase, our capital stock;</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loans or advances or other forms of payments;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sell or allow distributions on capital stock of specified subsidiaries;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transactions with affiliates; or</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consolidate or sell our assets.</w:t>
            </w:r>
          </w:p>
        </w:tc>
      </w:tr>
    </w:tbl>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Failure to comply with the restrictions of the credit facilities or any subsequent financing agreements may result in an event of default. Such default may allow our creditors to accelerate the repayment of the related debt and may result in the acceleration of the repayment of any other debt to which a cross-acceleration or cross-default provision applies. In addition, these creditors may be able to terminate any commitments they have made to provide us with additional funding.</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our debt levels have increased over the last three years to fund our higher-than-normal capital expenditures, the higher debt levels coupled with higher interest rates has increased our interest expense burden and negatively impacted our earnings, cash flow and financial condition.</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Labor costs and the terms of collective bargaining agreements can negatively impact our ability to remain competitive, which could cause our financial performance to suffer.</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four largest markets all have some unionized labor pools. Alaska Communications presents a particular operating challenge that differs from those that we have in other markets given the remote location of operations and the extent of the unionized workforce. Labor costs are a significant component of Alaska Communications’ expenses and, as of December 31, 2024, approximately 59% of its workforce is represented by the International Brotherhood of Electrical Workers (“IBEW”). The collective bargaining agreement (“CBA”) between Alaska Communications and the IBEW, which was extended through mid-2025, governs the terms and conditions of employment for all IBEW represented employees working for Alaska Communications and has significant economic impacts on it as the CBA relates to wage and benefit costs and work rules. We believe Alaska Communications’ labor costs are higher than our competitors who employ a non-unionized workforce. In addition, Alaska Communications may make strategic and operational decisions that require the consent of the IBEW. In all of our markets, the local union may not provide consent when needed to execute upon strategic new initiatives or cost saving measures, it may require additional wages, benefits or that other consideration be paid in return for its consent, or it may call for a work stoppage against our operating companies. Any deterioration in the relationship with our local unions could have a negative impact on our operations and on our ability to achieve our plans for growth.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Alaska Communications may incur substantial and unexpected liabilities arising out of its pension plans.</w:t>
      </w:r>
    </w:p>
    <w:p>
      <w:pPr>
        <w:pStyle w:val="TextBody"/>
        <w:bidi w:val="0"/>
        <w:spacing w:before="280" w:after="0"/>
        <w:ind w:left="0" w:right="0" w:firstLine="720"/>
        <w:jc w:val="both"/>
        <w:rPr>
          <w:rFonts w:ascii="Times New Roman;Times;serif" w:hAnsi="Times New Roman;Times;serif"/>
          <w:sz w:val="20"/>
        </w:rPr>
      </w:pPr>
      <w:bookmarkStart w:id="45" w:name="_Toc153467314"/>
      <w:bookmarkStart w:id="46" w:name="_Toc153286063"/>
      <w:bookmarkEnd w:id="45"/>
      <w:bookmarkEnd w:id="46"/>
      <w:r>
        <w:rPr>
          <w:rFonts w:ascii="Times New Roman;Times;serif" w:hAnsi="Times New Roman;Times;serif"/>
          <w:sz w:val="20"/>
        </w:rPr>
        <w:t>Alaska Communications is required by the CBA to contribute to the AEPF for benefit programs, including defined benefit pension plans and health benefit plans. Alaska Communications also maintains pension benefits for substantially all of its Alaska-based employees. The AEPF is a multi-employer pension plan to which Alaska Communications makes fixed, per employee, contributions through the CBA, which covers the IBEW represented workforce, and a special agreement, which covers most of its non-represented workforce. Because contribution requirements are fixed, Alaska Communications cannot easily adjust annual plan contributions to address its own financial circumstances. Currently, this plan is not fully funded, which means Alaska Communications may be subject to increased contribution obligations, penalties, and ultimately, it could incur a contingent withdrawal liability should it choose to withdraw from the AEPF for economic reasons.  Alaska Communications’ contingent withdrawal liability is an amount based on its pro-rata share among AEPF participants of the value of the funding shortfall. This contingent liability becomes due and payable if Alaska Communications terminates its participation in the AEPF. Moreover, if another participant in the AEPF goes bankrupt, Alaska Communications would become liable for a pro-rata share of the bankrupt participant’s vested, but unpaid, liability for accrued benefits for that participant’s employees. This could result in a substantial unexpected contribution requirement and making such a contribution could have a material adverse effect on Alaska Communications’ cash position and other financial results. These sources of potential liability are difficult to predict.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These plans and activities have generated and will likely continue to generate substantial cash requirements for Alaska Communications, and these requirements may increase beyond our expectations in future years based on changing market conditions, which could result in substantial liabilities on our balance sheet. The difference between projected plan obligations and assets, or the funded status of the plans, is a significant factor in determining the net periodic benefit costs of these pension plans and the ongoing funding requirements of those plans. Changes in interest rates, mortality rates, health care costs, early retirement rates, returns on investment and the market value of plan assets can affect the funded status of our defined benefit pension plans and cause volatility in the net periodic benefit cost and future funding requirements of the plans. In the future, we may be required to make additional contributions to our defined benefit plans. Plan liabilities may impair our liquidity, have an unfavorable impact on our ability to obtain financing and place us at a competitive disadvantage compared to some of our competitors who do not have such liabilities and cash requirements.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Although we believe that we are in compliance with the requirements of the AEPF, given the complexity of pension-related matters described above we may not, in every instance, be in full compliance with applicable requirements.</w:t>
      </w:r>
    </w:p>
    <w:p>
      <w:pPr>
        <w:pStyle w:val="TextBody"/>
        <w:bidi w:val="0"/>
        <w:spacing w:before="280" w:after="0"/>
        <w:ind w:left="40" w:right="0" w:hanging="0"/>
        <w:jc w:val="both"/>
        <w:rPr>
          <w:rFonts w:ascii="Times New Roman;Times;serif" w:hAnsi="Times New Roman;Times;serif"/>
          <w:b/>
          <w:sz w:val="20"/>
        </w:rPr>
      </w:pPr>
      <w:r>
        <w:rPr>
          <w:rFonts w:ascii="Times New Roman;Times;serif" w:hAnsi="Times New Roman;Times;serif"/>
          <w:b/>
          <w:sz w:val="20"/>
        </w:rPr>
        <w:t>Other Risks</w:t>
      </w:r>
    </w:p>
    <w:p>
      <w:pPr>
        <w:pStyle w:val="TextBody"/>
        <w:bidi w:val="0"/>
        <w:spacing w:before="280" w:after="0"/>
        <w:ind w:left="40" w:right="0" w:hanging="0"/>
        <w:jc w:val="both"/>
        <w:rPr>
          <w:rFonts w:ascii="Times New Roman;Times;serif" w:hAnsi="Times New Roman;Times;serif"/>
          <w:b/>
          <w:i/>
          <w:sz w:val="20"/>
        </w:rPr>
      </w:pPr>
      <w:r>
        <w:rPr>
          <w:rFonts w:ascii="Times New Roman;Times;serif" w:hAnsi="Times New Roman;Times;serif"/>
          <w:b/>
          <w:i/>
          <w:sz w:val="20"/>
        </w:rPr>
        <w:t>Our founder is our largest stockholder and could exert significant influence over us.</w:t>
      </w:r>
    </w:p>
    <w:p>
      <w:pPr>
        <w:pStyle w:val="TextBody"/>
        <w:bidi w:val="0"/>
        <w:spacing w:lineRule="auto" w:line="304" w:before="280" w:after="0"/>
        <w:ind w:left="0" w:right="0" w:firstLine="720"/>
        <w:jc w:val="both"/>
        <w:rPr>
          <w:rFonts w:ascii="Times New Roman;Times;serif" w:hAnsi="Times New Roman;Times;serif"/>
          <w:sz w:val="20"/>
        </w:rPr>
      </w:pPr>
      <w:r>
        <w:rPr>
          <w:rFonts w:ascii="Times New Roman;Times;serif" w:hAnsi="Times New Roman;Times;serif"/>
          <w:sz w:val="20"/>
        </w:rPr>
        <w:t>Cornelius B. Prior, Jr., our founder and the father of our Executive Chairman, together with related entities, affiliates and family members (including our Executive Chairman), beneficially owns approximately 33% of our outstanding Common Stock. As a result, he has the ability to exert significant influence over all matters presented to our stockholders for approval, including the election and removal of our directors and change of control transactions. His interests may not always coincide with the interests of other holders of our Common Stock.</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Low trading volume of our stock may limit our stockholders’ ability to sell shares and/or result in lower sale prices.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the three months prior to March 17, 2025, the average daily trading volume of our Common Stock was approximately 83,000 shares. As a result, our stockholders may have difficulty selling a large number of shares of our Common Stock in the manner or at a price that might be attainable if our Common Stock were more actively traded. In addition, the market price of our Common Stock may not be reflective of its underlying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pay dividends in the future.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stockholders may receive dividends out of legally available funds if, and when, they are declared by our Board of Directors. We have consistently paid quarterly dividends in the past, but may cease to do so or decrease the dividend amount at any time. Our credit facility sets certain limitations on our ability to pay dividends on, or repurchase, our capital stock. We may incur additional indebtedness in the future that may further restrict our ability to declare and pay dividends. We may also be restricted from paying dividends in the future due to restrictions imposed by applicable state laws, our financial condition and results of operations, capital requirements, management’s assessment of future capital needs and other factors considered by our Board of Directors.</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The lack of liquidity of our privately held investments may adversely affect our business.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subsidiaries and affiliates are typically private companies whose securities are not traded in any public market. In the past, we have partnered with other equity investors as well and may have majority or minority holdings in certain investments.</w:t>
      </w:r>
      <w:r>
        <w:rPr>
          <w:rFonts w:ascii="Times New Roman;Times;serif" w:hAnsi="Times New Roman;Times;serif"/>
          <w:color w:val="FF0000"/>
          <w:sz w:val="20"/>
        </w:rPr>
        <w:t xml:space="preserve"> </w:t>
      </w:r>
      <w:r>
        <w:rPr>
          <w:rFonts w:ascii="Times New Roman;Times;serif" w:hAnsi="Times New Roman;Times;serif"/>
          <w:sz w:val="20"/>
        </w:rPr>
        <w:t>Investment agreements for both our majority and minority held subsidiaries often contain investor rights and obligations, such as rights of first refusal, co-sale, and “drag along” provisions related to liquidity events and transfers that may force us to sell or exit our holdings at times or on terms that are not optimal or limit our ability to sell or exit our holdings at our discretion. The illiquidity of our investments may make it difficult for us to quickly obtain cash equal to the value at which we record our investments if the need arises to satisfy the repurchase of such investments from our other equity investors in the event such company desires, or in the case of our Alaska Communications and Sacred Wind entities, may be required to repurchase such securities pursuant to contractual arrangements. Such illiquidity could also cause us to miss other investment opportunities. There can also be no assurance that our investments will appreciate in value or that we will have the opportunity to divest such investments at acceptable prices or within the timeline envisaged. If any of the above circumstances arise, it could result in impairments to such investments, and could have a material adverse impact on our earnings, cash flow and financial condition.</w:t>
      </w:r>
    </w:p>
    <w:p>
      <w:pPr>
        <w:pStyle w:val="TextBody"/>
        <w:bidi w:val="0"/>
        <w:spacing w:before="28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7" w:name="ITEM1BUNRESOLVEDSTAFFCOMMENTS_526490"/>
      <w:bookmarkStart w:id="48" w:name="_b5b9ed28_a48c_4a91_ba8a_34e5e50a3d0f"/>
      <w:bookmarkEnd w:id="47"/>
      <w:bookmarkEnd w:id="48"/>
      <w:r>
        <w:rPr>
          <w:rFonts w:ascii="Times New Roman;Times;serif" w:hAnsi="Times New Roman;Times;serif"/>
          <w:b/>
          <w:sz w:val="20"/>
        </w:rPr>
        <w:t>ITEM 1B. 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49" w:name="Cybersecurity"/>
      <w:bookmarkStart w:id="50" w:name="ITEM1CCYBERSECURITY"/>
      <w:bookmarkStart w:id="51" w:name="_08ec42d6_f289_456d_b6eb_6c9e76615d92"/>
      <w:bookmarkEnd w:id="49"/>
      <w:bookmarkEnd w:id="50"/>
      <w:bookmarkEnd w:id="51"/>
      <w:r>
        <w:rPr>
          <w:rFonts w:ascii="Times New Roman;Times;serif" w:hAnsi="Times New Roman;Times;serif"/>
          <w:b/>
          <w:sz w:val="20"/>
        </w:rPr>
        <w:t>ITEM 1C.</w:t>
      </w:r>
      <w:r>
        <w:rPr>
          <w:rFonts w:ascii="Times New Roman;Times;serif" w:hAnsi="Times New Roman;Times;serif"/>
          <w:sz w:val="20"/>
        </w:rPr>
        <w:t xml:space="preserve"> </w:t>
      </w:r>
      <w:r>
        <w:rPr>
          <w:rFonts w:ascii="Times New Roman;Times;serif" w:hAnsi="Times New Roman;Times;serif"/>
          <w:b/>
          <w:sz w:val="20"/>
        </w:rPr>
        <w:t>CYBERSECURITY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time and resources with a goal to define, implement and further develop the maturity of our cybersecurity risk management and strategy program. During this time, we have developed a common cybersecurity incident response plan across our businesses and jurisdictions that while unique to the risk profile of each business, allows us to utilize common response and decision-making protocols in an effort to react quickly to a potential cybersecurity threat and manage risk to our overall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developing our cybersecurity incident response plan and assessing the maturity of our cybersecurity threat program, we utilize the National Institute of Standards and Technology Cybersecurity Framework (NIST).  We use NIST as a guide to help us identify, assess, and manage cybersecurity risks relevant to our business. We make it a practice to continually review the maturity of our program, utilizing the NIST standards and leveraging the feedback of both internal resources and external advisors in an effort to continuously improve our program in relation to evolving cybersecurity threats in 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risk management program is integrated into our overall enterprise risk management program overseen by our Risk Council, composed of professionals across a variety of departments and jurisdictions in our organization. Our cybersecurity program utilizes methodologies, reporting channels and governance processes across our subsidiaries that apply across the enterprise risk management program to other legal, compliance, strategic, operational, and financial risk areas that are assessed and reviewed when onboarding new vendors, customers, product lines or shifts in our service delivery models</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risk management program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performed internally and with the help of third-party vendors that are designed to help identify material cybersecurity risks to our critical systems, information, products, services, equipment, and our broader enterprise IT and customer-facing network environments;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team principally responsible for managing (1) our cybersecurity risk assessment processes, (2) our security controls, (3) our response to cybersecurity incidents, and (4) our assessment of new products and business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the analysis of our security controls and those of our key vendors;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awareness training of our employees, incident response personnel, and senior management; and</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response plan that includes procedures for responding to cybersecurity incidents.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experienced any prior cybersecurity incidents that have materially affected our operations, business strategy, results of operations, or financial condition. For a discussion of risks that could in the future impact our operations, business strategy or financial condition, please see “</w:t>
      </w:r>
      <w:r>
        <w:rPr>
          <w:rFonts w:ascii="Times New Roman;Times;serif" w:hAnsi="Times New Roman;Times;serif"/>
          <w:i/>
          <w:sz w:val="20"/>
        </w:rPr>
        <w:t>Cybersecurity breaches could have an adverse effect on our business</w:t>
      </w:r>
      <w:r>
        <w:rPr>
          <w:rFonts w:ascii="Times New Roman;Times;serif" w:hAnsi="Times New Roman;Times;serif"/>
          <w:sz w:val="20"/>
        </w:rPr>
        <w:t>” in our Risk Factors.</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Our Board considers cybersecurity risk as part of its risk oversight function and has delegated to the Audit Committee oversight of cybersecurity in connection with its general risk assessment and oversight. The Audit Committee oversees management’s implementation of our cybersecurity risk management program.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Committee receives frequent, and typically no less than quarterly reports from management on our cybersecurity risks, assessment of our cybersecurity program, and development of our information security incident response plan. In addition, management updates the Committee, pursuant to an agreed upon timetable and escalation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matrix regarding any material cybersecurity incidents, as well as providing the Committee with periodic reports on any incidents with lesser impact potential.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Committee reports to the full Board regarding its activities, including those related to cybersecurity. The full Board also receives briefings from management from time to time on our cyber risk management program.  Board members receive presentations and training on cybersecurity topics from our Chief Information Officer (CIO), Vice President of Security, or external experts as part of the Board’s continuing education on topics that impact public companies. Our CTIO is an experienced information technology professional with just under 30 years of experience in the networking and communications industries. His extensive experience extends to all facets of information technology, including enterprise applications, cloud and SaaS systems, network infrastructure, and network management. For the past decade, he has been at the forefront of cloud systems development and security. Our VP of Security has over 30 years of experience in IT and Security and has the Certified Information System Security Professional (CISSP) certification as well as various technology vendor certifications.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As referenced above, our Risk Council is responsible for day-to-day cyber risk management, and reports to the Audit Committee on these matters. Our management team, including our General Counsel, who serves as the lead of our Risk Council, and our CIO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internal security team is made up of experienced professionals that have an average of more than 25 years of IT and security experience, including certifications such as CISSP, CompTia Security+.  We also have developed an internal training program to develop new talent within our organization and work with vendor and third-party training programs to mentor and educate these team members to expand and enhance the capabilities of our team. </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0"/>
        </w:rPr>
        <w:t>Our management team supervises efforts to prevent, detect, mitigate, and remediate cybersecurity threats and incidents through various means, which may include briefings from internal security personnel; and other information obtained from governmental, public or private sources, including external consultants engaged by us; and alerts and reports produced by security tools deployed in the IT environment.</w:t>
      </w:r>
      <w:r>
        <w:rPr>
          <w:rFonts w:ascii="Times New Roman;Times;serif" w:hAnsi="Times New Roman;Times;serif"/>
          <w:sz w:val="24"/>
        </w:rPr>
        <w:t xml:space="preserve"> </w:t>
      </w:r>
    </w:p>
    <w:p>
      <w:pPr>
        <w:pStyle w:val="TextBody"/>
        <w:bidi w:val="0"/>
        <w:spacing w:before="280" w:after="240"/>
        <w:ind w:left="0" w:right="0" w:hanging="0"/>
        <w:jc w:val="left"/>
        <w:rPr>
          <w:rFonts w:ascii="Times New Roman;Times;serif" w:hAnsi="Times New Roman;Times;serif"/>
          <w:b/>
          <w:sz w:val="20"/>
        </w:rPr>
      </w:pPr>
      <w:bookmarkStart w:id="52" w:name="ITEM2PROPERTIES_622139"/>
      <w:bookmarkStart w:id="53" w:name="_95915313_19eb_4cd2_a663_10f6b73fba8f"/>
      <w:bookmarkEnd w:id="52"/>
      <w:bookmarkEnd w:id="53"/>
      <w:r>
        <w:rPr>
          <w:rFonts w:ascii="Times New Roman;Times;serif" w:hAnsi="Times New Roman;Times;serif"/>
          <w:b/>
          <w:sz w:val="20"/>
        </w:rPr>
        <w:t>ITEM 2.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lease approximately 21,000 square feet of office space at 500 Cummings Center, Beverly, MA 01915 for our corporate headquarters. Worldwide, we utilize the following approximate square footage of space for our operations:</w:t>
      </w:r>
    </w:p>
    <w:tbl>
      <w:tblPr>
        <w:tblW w:w="5752" w:type="dxa"/>
        <w:jc w:val="left"/>
        <w:tblInd w:w="0" w:type="dxa"/>
        <w:tblLayout w:type="fixed"/>
        <w:tblCellMar>
          <w:top w:w="0" w:type="dxa"/>
          <w:left w:w="0" w:type="dxa"/>
          <w:bottom w:w="0" w:type="dxa"/>
          <w:right w:w="0" w:type="dxa"/>
        </w:tblCellMar>
      </w:tblPr>
      <w:tblGrid>
        <w:gridCol w:w="1831"/>
        <w:gridCol w:w="326"/>
        <w:gridCol w:w="1066"/>
        <w:gridCol w:w="326"/>
        <w:gridCol w:w="961"/>
        <w:gridCol w:w="326"/>
        <w:gridCol w:w="9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162685" cy="175260"/>
                      <wp:effectExtent l="0" t="0" r="0" b="0"/>
                      <wp:wrapNone/>
                      <wp:docPr id="13" name="Frame1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76910" cy="175260"/>
                      <wp:effectExtent l="0" t="0" r="0" b="0"/>
                      <wp:wrapNone/>
                      <wp:docPr id="15" name="Frame1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10235" cy="175260"/>
                      <wp:effectExtent l="0" t="0" r="0" b="0"/>
                      <wp:wrapNone/>
                      <wp:docPr id="17" name="Frame1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1660" cy="175260"/>
                      <wp:effectExtent l="0" t="0" r="0" b="0"/>
                      <wp:wrapNone/>
                      <wp:docPr id="19"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Type of space</w:t>
            </w:r>
          </w:p>
        </w:tc>
        <w:tc>
          <w:tcPr>
            <w:tcW w:w="32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301,000</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stores</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29,000</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Technical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2,023,000</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All of the above locations are leased except for certain of the office and technical spaces within our International Telecom segment, which we own. As of December 31, 2024, we operated seven retail stores in our US Telecom segment and twenty retail stores in our International Telecom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offices and technical operations are in the following locations:</w:t>
      </w:r>
    </w:p>
    <w:tbl>
      <w:tblPr>
        <w:tblW w:w="3744" w:type="dxa"/>
        <w:jc w:val="left"/>
        <w:tblInd w:w="0" w:type="dxa"/>
        <w:tblLayout w:type="fixed"/>
        <w:tblCellMar>
          <w:top w:w="0" w:type="dxa"/>
          <w:left w:w="0" w:type="dxa"/>
          <w:bottom w:w="0" w:type="dxa"/>
          <w:right w:w="0" w:type="dxa"/>
        </w:tblCellMar>
      </w:tblPr>
      <w:tblGrid>
        <w:gridCol w:w="1831"/>
        <w:gridCol w:w="146"/>
        <w:gridCol w:w="1576"/>
        <w:gridCol w:w="1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62685" cy="175260"/>
                      <wp:effectExtent l="0" t="0" r="0" b="0"/>
                      <wp:wrapNone/>
                      <wp:docPr id="20" name="Frame20"/>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000760" cy="175260"/>
                      <wp:effectExtent l="0" t="0" r="0" b="0"/>
                      <wp:wrapNone/>
                      <wp:docPr id="22" name="Frame2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3" name="Frame2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4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91" w:type="dxa"/>
            <w:tcBorders/>
            <w:vAlign w:val="center"/>
          </w:tcPr>
          <w:p>
            <w:pPr>
              <w:pStyle w:val="TableContents"/>
              <w:bidi w:val="0"/>
              <w:spacing w:before="0" w:after="0"/>
              <w:ind w:left="0" w:right="0" w:hanging="0"/>
              <w:jc w:val="center"/>
              <w:rPr/>
            </w:pPr>
            <w:r>
              <w:rPr/>
              <w:t>​</w:t>
            </w:r>
          </w:p>
        </w:tc>
      </w:tr>
      <w:tr>
        <w:trPr/>
        <w:tc>
          <w:tcPr>
            <w:tcW w:w="18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Georgetown, Guyana</w:t>
            </w:r>
          </w:p>
        </w:tc>
        <w:tc>
          <w:tcPr>
            <w:tcW w:w="146" w:type="dxa"/>
            <w:tcBorders/>
            <w:shd w:fill="CCEEFF" w:val="clear"/>
            <w:vAlign w:val="center"/>
          </w:tcPr>
          <w:p>
            <w:pPr>
              <w:pStyle w:val="TableContents"/>
              <w:bidi w:val="0"/>
              <w:spacing w:before="0" w:after="0"/>
              <w:ind w:left="0" w:right="0" w:hanging="0"/>
              <w:jc w:val="center"/>
              <w:rPr/>
            </w:pPr>
            <w:r>
              <w:rPr/>
              <w:t> </w:t>
            </w:r>
          </w:p>
        </w:tc>
        <w:tc>
          <w:tcPr>
            <w:tcW w:w="15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Castle Rock, CO</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Bermuda</w:t>
            </w:r>
          </w:p>
        </w:tc>
        <w:tc>
          <w:tcPr>
            <w:tcW w:w="14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Atlanta, GA</w:t>
            </w:r>
          </w:p>
        </w:tc>
        <w:tc>
          <w:tcPr>
            <w:tcW w:w="191" w:type="dxa"/>
            <w:tcBorders/>
            <w:vAlign w:val="center"/>
          </w:tcPr>
          <w:p>
            <w:pPr>
              <w:pStyle w:val="TableContents"/>
              <w:bidi w:val="0"/>
              <w:spacing w:before="0" w:after="0"/>
              <w:ind w:left="0" w:right="0" w:hanging="0"/>
              <w:jc w:val="center"/>
              <w:rPr/>
            </w:pPr>
            <w:r>
              <w:rPr/>
              <w:t> </w:t>
            </w:r>
          </w:p>
        </w:tc>
      </w:tr>
      <w:tr>
        <w:trPr/>
        <w:tc>
          <w:tcPr>
            <w:tcW w:w="18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Virgin Islands</w:t>
            </w:r>
          </w:p>
        </w:tc>
        <w:tc>
          <w:tcPr>
            <w:tcW w:w="146" w:type="dxa"/>
            <w:tcBorders/>
            <w:shd w:fill="CCEEFF" w:val="clear"/>
            <w:vAlign w:val="center"/>
          </w:tcPr>
          <w:p>
            <w:pPr>
              <w:pStyle w:val="TableContents"/>
              <w:bidi w:val="0"/>
              <w:spacing w:before="0" w:after="0"/>
              <w:ind w:left="0" w:right="0" w:hanging="0"/>
              <w:jc w:val="center"/>
              <w:rPr/>
            </w:pPr>
            <w:r>
              <w:rPr/>
              <w:t> </w:t>
            </w:r>
          </w:p>
        </w:tc>
        <w:tc>
          <w:tcPr>
            <w:tcW w:w="15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Anchorage, AK</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c>
          <w:tcPr>
            <w:tcW w:w="1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 NM</w:t>
            </w:r>
          </w:p>
        </w:tc>
        <w:tc>
          <w:tcPr>
            <w:tcW w:w="191"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Within our communications operations, we globally own approximately 366 towers, lease an additional approximate 379 towers and have 4 switch locations within rented locations. We consider our owned and leased properties to be suitable and adequate for our business operations.</w:t>
      </w:r>
    </w:p>
    <w:p>
      <w:pPr>
        <w:pStyle w:val="TextBody"/>
        <w:bidi w:val="0"/>
        <w:spacing w:before="280" w:after="0"/>
        <w:ind w:left="0" w:right="0" w:hanging="0"/>
        <w:jc w:val="left"/>
        <w:rPr>
          <w:rFonts w:ascii="Times New Roman;Times;serif" w:hAnsi="Times New Roman;Times;serif"/>
          <w:b/>
          <w:sz w:val="20"/>
        </w:rPr>
      </w:pPr>
      <w:bookmarkStart w:id="54" w:name="LegalProceedings"/>
      <w:bookmarkStart w:id="55" w:name="_d3a25377_2e6a_4952_b026_7a9d58bc395c"/>
      <w:bookmarkEnd w:id="54"/>
      <w:bookmarkEnd w:id="55"/>
      <w:r>
        <w:rPr>
          <w:rFonts w:ascii="Times New Roman;Times;serif" w:hAnsi="Times New Roman;Times;serif"/>
          <w:b/>
          <w:sz w:val="20"/>
        </w:rPr>
        <w:t>ITEM 3. LEGAL PROCEEDINGS</w:t>
      </w:r>
    </w:p>
    <w:p>
      <w:pPr>
        <w:pStyle w:val="TextBody"/>
        <w:pBdr/>
        <w:shd w:fill="FFFFFF" w:val="clear"/>
        <w:bidi w:val="0"/>
        <w:spacing w:before="280" w:after="0"/>
        <w:ind w:left="0" w:right="0" w:firstLine="720"/>
        <w:jc w:val="both"/>
        <w:rPr>
          <w:rFonts w:ascii="Times New Roman;Times;serif" w:hAnsi="Times New Roman;Times;serif"/>
          <w:sz w:val="20"/>
        </w:rPr>
      </w:pPr>
      <w:bookmarkStart w:id="56" w:name="_Hlk192588018"/>
      <w:bookmarkEnd w:id="56"/>
      <w:r>
        <w:rPr>
          <w:rFonts w:ascii="Times New Roman;Times;serif" w:hAnsi="Times New Roman;Times;serif"/>
          <w:sz w:val="20"/>
        </w:rPr>
        <w:t>We and our subsidiaries are subject to certain regulatory and legal proceedings and other claims arising in the ordinary course of business, some of which involve claims for damages and taxes that are substantial in amount. Historically, our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We believe that, except for the items discussed below, for which we are currently unable to predict the final outcome, the disposition of matters currently pending will not have a material adverse effect on our financial position or results of operations.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Beginning in 2006, the National Frequency Management Unit (now the Telecommunications Agency, or the “NFMU/TA”) and OneGY have been engaged in discussions regarding the amount of and methodology for calculation of spectrum fees payable by OneGY in Guyana. Since that time, OneGY has made payments of undisputed spectrum fees as amounts invoiced by the NFMU, and to its successor, the TA. There have been limited further discussions on the subject of a revised spectrum fee methodology with the TA.</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OneGY has filed several lawsuits in the High Court of Guyana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we cannot accurately predict at this time when the consolidated suit will reach a court of final determination.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including most recently in February 2024, and while all matters have been appealed by the GRA, only one remains pending for determination by the High Court.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February 2020, our subsidiary, Alaska Communications,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 On May 8, 2024, we entered into a Consent Decree with the FCC Enforcement Bureau, regarding both the USAC and FCC Enforcement Bureau’s investigation and agreed to (i) pay a settlement amount of approximately $6.3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(ii) enter into a three-year compliance agreement in connection with Alaska Communication’s continued participation in the RHC Program. At this time, we believe that it can comply with all of the terms of the compliance agreement.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settlement amount of $6.3 million consists of a $5.3 million cash payment and the $1.0 million forgiveness of certain receivables, both of which have been accrued on our balance sheet as of December 31, 2024.  As such, this settlement will not impact the statement of operations in future periods.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With respect to all of the foregoing unresolved matters, we believe that some adverse outcome is probable and have accordingly accrued $13.8 million as of December 31, 2024 for these and other potential liabilities arising in various claims, legal actions and regulatory proceedings arising in the ordinary course of business. We also face contingencies that are reasonably possible to occur that cannot currently be estimated. It is our policy to expense costs associated with loss contingencies, including any related legal fees, as they are incurred.</w:t>
      </w:r>
    </w:p>
    <w:p>
      <w:pPr>
        <w:pStyle w:val="TextBody"/>
        <w:bidi w:val="0"/>
        <w:spacing w:before="28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7" w:name="ITEM4MINESAFETYDISCLOSURES_518224"/>
      <w:bookmarkStart w:id="58" w:name="_5206e836_3d4a_43e7_94c9_cb644bd864bc"/>
      <w:bookmarkEnd w:id="57"/>
      <w:bookmarkEnd w:id="58"/>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sz w:val="20"/>
        </w:rPr>
      </w:pPr>
      <w:bookmarkStart w:id="59" w:name="INFORMATIONABOUTOUREXECUTIVEOFFICERS_273"/>
      <w:bookmarkStart w:id="60" w:name="_4ffb2668_3736_4ec6_94cb_7354de23fa19"/>
      <w:bookmarkEnd w:id="59"/>
      <w:bookmarkEnd w:id="60"/>
      <w:r>
        <w:rPr>
          <w:rFonts w:ascii="Times New Roman;Times;serif" w:hAnsi="Times New Roman;Times;serif"/>
          <w:b/>
          <w:sz w:val="20"/>
          <w:shd w:fill="FFFFFF" w:val="clear"/>
        </w:rPr>
        <w:t>INFORMATION ABOUT OUR EXECUTIVE OFFICERS</w:t>
      </w:r>
      <w:r>
        <w:rPr>
          <w:rFonts w:ascii="Times New Roman;Times;serif" w:hAnsi="Times New Roman;Times;serif"/>
          <w:sz w:val="20"/>
          <w:shd w:fill="FFFFFF" w:val="clear"/>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executive officers as of March 17, 2025:</w:t>
      </w:r>
    </w:p>
    <w:p>
      <w:pPr>
        <w:pStyle w:val="TextBody"/>
        <w:bidi w:val="0"/>
        <w:spacing w:before="28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606"/>
        <w:gridCol w:w="326"/>
        <w:gridCol w:w="391"/>
        <w:gridCol w:w="326"/>
        <w:gridCol w:w="447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19810" cy="175260"/>
                      <wp:effectExtent l="0" t="0" r="0" b="0"/>
                      <wp:wrapNone/>
                      <wp:docPr id="24" name="Frame2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8285" cy="175260"/>
                      <wp:effectExtent l="0" t="0" r="0" b="0"/>
                      <wp:wrapNone/>
                      <wp:docPr id="26" name="Frame2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839085" cy="175260"/>
                      <wp:effectExtent l="0" t="0" r="0" b="0"/>
                      <wp:wrapNone/>
                      <wp:docPr id="28" name="Frame28"/>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left"/>
              <w:rPr/>
            </w:pPr>
            <w:r>
              <w:rPr/>
              <w:t>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 </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Mabey</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 </w:t>
            </w:r>
          </w:p>
        </w:tc>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General Counsel and Secretary</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Justin Leon</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Corporate Development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Brad W. Martin</w:t>
      </w:r>
      <w:r>
        <w:rPr>
          <w:rFonts w:ascii="Times New Roman;Times;serif" w:hAnsi="Times New Roman;Times;serif"/>
          <w:sz w:val="20"/>
        </w:rPr>
        <w:t xml:space="preserve"> is our Chief Executive Officer and a member of our Board of Directors. Mr. Martin joined the Company in April 2018 as Executive Vice President and became our Chief Operating Officer in 2021. In January 2024, Mr. Martin was appointed our Chief Executive Officer and a member of our Board of Directors. Prior to joining us in 2018, he previously served as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Between 2008 and 2013, he served as Vice President of Engineering Operations and Quality with Siemens Enterprise Communications and Enterasys Networks, delivering voice and data networking hardware and software solutions to global enterprises. Mr. Martin holds a B.S. in Mechanical Engineering from the University of Maine, and is a published author and featured industry speaker.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Carlos R. Doglioli</w:t>
      </w:r>
      <w:r>
        <w:rPr>
          <w:rFonts w:ascii="Times New Roman;Times;serif" w:hAnsi="Times New Roman;Times;serif"/>
          <w:sz w:val="20"/>
        </w:rPr>
        <w:t xml:space="preserve"> is our Chief Financial Officer. Mr. Doglioli joined us in 2024 and brings significant telecom experience. Prior to becoming our Chief Financial Officer, he served as the Chief Financial Officer of Centennial Towers, a developer, owner, and operator of wireless communication towers in Latin America from 2014 to 2023, and from 2004 to 2007 at MetroRED Mexico, a leading integrated communications provider that owned and operated state-of-the-art high-capacity fiber optic communications focused on large and medium size corporate clients, ISPs, Internet-content providers, and telecommunications providers in Mexico City. Previously, Mr. Doglioli served in multiple senior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finance roles for portfolio companies of Devonshire Investors (the private equity group of Fidelity Investments), including as Chief Financial Officer of Backyard Farms and as Managing Director of Finance at J. Robert Scott. Mr. Doglioli received a B.S. of Management Information Systems (Lic. en Sistemas) from CAECE University in Buenos Aires, Argentina and an MBA from Babson College, and is fluent in English, Spanish, and Portuguese.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Mary Mabey</w:t>
      </w:r>
      <w:r>
        <w:rPr>
          <w:rFonts w:ascii="Times New Roman;Times;serif" w:hAnsi="Times New Roman;Times;serif"/>
          <w:sz w:val="20"/>
        </w:rPr>
        <w:t xml:space="preserve"> is our Senior Vice President and General Counsel. Ms. Mabey joined us in 2009 and previously served as our Deputy General Counsel. Prior to joining us, Ms. Mabey was with the law firm of Edwards Angell Palmer &amp; Dodge LLP (now Locke Lord LLP) in Boston, where she advised public and private companies in domestic and international transactions on corporate and securities law matters, merger, acquisition and financing transactions, corporate governance, and other general corporate matters. Ms. Mabey received a B.A. degree from the University of Notre Dame and a J.D. degree from the University of Texas School of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Justin Leon</w:t>
      </w:r>
      <w:r>
        <w:rPr>
          <w:rFonts w:ascii="Times New Roman;Times;serif" w:hAnsi="Times New Roman;Times;serif"/>
          <w:sz w:val="20"/>
        </w:rPr>
        <w:t xml:space="preserve"> is our Senior Vice President of Corporate Development. He joined the Company in 2015 and brings over fifteen years of investing experience to the team. Prior to joining ATN, Mr. Leon worked in Corporate Strategy &amp; Development for Nuance Communications, a publicly traded software company focused on speech recognition and machine learning where he executed over $1 billion in acquisitions in the healthcare, mobile, and enterprise software verticals. Mr. Leon started his career at Stonebridge Associates, a boutique investment bank in Boston advising clients in technology, medical device, and consumer products verticals. Mr. Leon earned a degree in corporate finance from Bentley College and an M.B.A. from the Tuck School of Business at Dartmouth.</w:t>
      </w:r>
    </w:p>
    <w:p>
      <w:pPr>
        <w:pStyle w:val="TextBody"/>
        <w:bidi w:val="0"/>
        <w:spacing w:before="0" w:after="120"/>
        <w:ind w:left="0" w:right="0" w:hanging="0"/>
        <w:jc w:val="center"/>
        <w:rPr>
          <w:rFonts w:ascii="Times New Roman;Times;serif" w:hAnsi="Times New Roman;Times;serif"/>
          <w:b/>
          <w:sz w:val="20"/>
        </w:rPr>
      </w:pPr>
      <w:bookmarkStart w:id="61" w:name="PARTII_351431"/>
      <w:bookmarkStart w:id="62" w:name="_33397178_e7a8_471f_8095_2a5862c16f89"/>
      <w:bookmarkEnd w:id="61"/>
      <w:bookmarkEnd w:id="62"/>
      <w:r>
        <w:rPr>
          <w:rFonts w:ascii="Times New Roman;Times;serif" w:hAnsi="Times New Roman;Times;serif"/>
          <w:b/>
          <w:sz w:val="20"/>
        </w:rPr>
        <w:t>PART II</w:t>
      </w:r>
    </w:p>
    <w:p>
      <w:pPr>
        <w:pStyle w:val="TextBody"/>
        <w:bidi w:val="0"/>
        <w:spacing w:before="0" w:after="120"/>
        <w:ind w:left="0" w:right="0" w:hanging="0"/>
        <w:jc w:val="left"/>
        <w:rPr>
          <w:rFonts w:ascii="Times New Roman;Times;serif" w:hAnsi="Times New Roman;Times;serif"/>
          <w:sz w:val="20"/>
        </w:rPr>
      </w:pPr>
      <w:bookmarkStart w:id="63" w:name="ITEM5MARKETFORREGISTRANTSCOMMONEQUITY_97"/>
      <w:bookmarkEnd w:id="63"/>
      <w:r>
        <w:rPr>
          <w:rFonts w:ascii="Times New Roman;Times;serif" w:hAnsi="Times New Roman;Times;serif"/>
          <w:b/>
          <w:sz w:val="20"/>
        </w:rPr>
        <w:t>ITEM 5. MARKET FOR REGISTRANT’S COMMON EQUITY, RELATED STOCKHOLDER MATTERS</w:t>
      </w:r>
      <w:r>
        <w:rPr>
          <w:rFonts w:ascii="Times New Roman;Times;serif" w:hAnsi="Times New Roman;Times;serif"/>
          <w:sz w:val="20"/>
        </w:rPr>
        <w:t xml:space="preserve"> </w:t>
      </w:r>
      <w:r>
        <w:rPr>
          <w:rFonts w:ascii="Times New Roman;Times;serif" w:hAnsi="Times New Roman;Times;serif"/>
          <w:b/>
          <w:sz w:val="20"/>
        </w:rPr>
        <w:t xml:space="preserve">AND ISSUER PURCHASES OF EQUITY SECURITIES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Common Stock, $.01 par value, is listed on the Nasdaq Global Select Market under the symbol “ATNI.” The number of holders of record of Common Stock as of March 17, 2025 was 85.</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December 14, 2023, the Company’s Board of Directors authorized the repurchase of up to $25.0 million of the Company’s Common Stock, from time to time, on the open market or in privately negotiated transactions (the “2023 Repurchase Plan”). As of December 31, 2024, had $15.0 million available to repurchase the Company’s Common Stock. In the aggregate, during the years ended December 31, 2024 and 2023 (and prior to the effectiveness of the 2023 Repurchase Plan), we repurchased $10.0 million and $15.0 million of our common stock,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There were no repurchases by the Company of its Common Stock during the quarter ended December 31, 2024.</w:t>
      </w:r>
    </w:p>
    <w:p>
      <w:pPr>
        <w:pStyle w:val="TextBody"/>
        <w:bidi w:val="0"/>
        <w:spacing w:before="280" w:after="12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the year ended December 31, 2024, our Board of Directors declared $14.6 million of dividends to our stockholders which includes a $0.24 per share dividend declared on December 18, 2024 and paid on January 8, 2025. We have declared quarterly dividends since the fourth quarter of 1998. Future dividend payments, if any, are subject to approval of our Board of Directors.</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graph below matches the cumulative 5-Year total return of holders of ATN International's common stock with the cumulative total returns of the Russell 2000 index, the S&amp;P SmallCap 600 index, the Nasdaq Telecommunications index and Nasdaq Small Cap Telecommunications Services index. The graph assumes that the value of the investment in our common stock, in each index, and in the peer group (including reinvestment of dividends) was $100 on 12/31/2019 and tracks it through 12/31/2024.</w:t>
      </w:r>
    </w:p>
    <w:p>
      <w:pPr>
        <w:pStyle w:val="TextBody"/>
        <w:bidi w:val="0"/>
        <w:spacing w:before="0" w:after="0"/>
        <w:ind w:left="0" w:right="0" w:firstLine="720"/>
        <w:jc w:val="both"/>
        <w:rPr/>
      </w:pPr>
      <w:r>
        <w:rPr/>
        <w:t>​</w:t>
      </w:r>
    </w:p>
    <w:p>
      <w:pPr>
        <w:pStyle w:val="TextBody"/>
        <w:bidi w:val="0"/>
        <w:spacing w:before="0" w:after="0"/>
        <w:ind w:left="0" w:right="0" w:hanging="0"/>
        <w:jc w:val="center"/>
        <w:rPr/>
      </w:pPr>
      <w:r>
        <w:rPr/>
        <w:drawing>
          <wp:inline distT="0" distB="0" distL="0" distR="0">
            <wp:extent cx="5003800" cy="4745990"/>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5003800" cy="4745990"/>
                    </a:xfrm>
                    <a:prstGeom prst="rect">
                      <a:avLst/>
                    </a:prstGeom>
                  </pic:spPr>
                </pic:pic>
              </a:graphicData>
            </a:graphic>
          </wp:inline>
        </w:drawing>
      </w:r>
    </w:p>
    <w:p>
      <w:pPr>
        <w:pStyle w:val="TextBody"/>
        <w:bidi w:val="0"/>
        <w:spacing w:before="0" w:after="0"/>
        <w:ind w:left="0" w:right="0" w:hanging="0"/>
        <w:jc w:val="center"/>
        <w:rPr/>
      </w:pPr>
      <w:r>
        <w:rPr/>
        <w:drawing>
          <wp:inline distT="0" distB="0" distL="0" distR="0">
            <wp:extent cx="6195695" cy="84201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6195695" cy="84201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i/>
          <w:sz w:val="18"/>
        </w:rPr>
      </w:pPr>
      <w:r>
        <w:rPr>
          <w:rFonts w:ascii="Arial;Helvetica;sans-serif" w:hAnsi="Arial;Helvetica;sans-serif"/>
          <w:i/>
          <w:sz w:val="18"/>
        </w:rPr>
        <w:t>The stock price performance included in this graph is not necessarily indicative of future stock price performance.</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4" w:name="ITEM7MANAGEMENTSDISCUSSIONANDANALYSIS_56"/>
      <w:bookmarkStart w:id="65" w:name="_6d0df360_5c97_437a_90f9_4676afce8a2a"/>
      <w:bookmarkEnd w:id="64"/>
      <w:bookmarkEnd w:id="65"/>
      <w:r>
        <w:rPr>
          <w:rFonts w:ascii="Times New Roman;Times;serif" w:hAnsi="Times New Roman;Times;serif"/>
          <w:b/>
          <w:sz w:val="20"/>
        </w:rPr>
        <w:t>ITEM 7.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 xml:space="preserve">OF OPERATIONS </w:t>
      </w:r>
    </w:p>
    <w:p>
      <w:pPr>
        <w:pStyle w:val="TextBody"/>
        <w:bidi w:val="0"/>
        <w:spacing w:before="0" w:after="240"/>
        <w:ind w:left="0" w:right="0" w:hanging="0"/>
        <w:jc w:val="left"/>
        <w:rPr>
          <w:rFonts w:ascii="Times New Roman;Times;serif" w:hAnsi="Times New Roman;Times;serif"/>
          <w:sz w:val="20"/>
        </w:rPr>
      </w:pPr>
      <w:bookmarkStart w:id="66" w:name="Overview_899178"/>
      <w:bookmarkEnd w:id="66"/>
      <w:r>
        <w:rPr>
          <w:rFonts w:ascii="Times New Roman;Times;serif" w:hAnsi="Times New Roman;Times;serif"/>
          <w:b/>
          <w:sz w:val="20"/>
        </w:rPr>
        <w:t>Overview</w:t>
      </w:r>
      <w:r>
        <w:rPr>
          <w:rFonts w:ascii="Times New Roman;Times;serif" w:hAnsi="Times New Roman;Times;serif"/>
          <w:sz w:val="20"/>
        </w:rPr>
        <w:t xml:space="preserve"> </w:t>
      </w:r>
    </w:p>
    <w:p>
      <w:pPr>
        <w:pStyle w:val="TextBody"/>
        <w:bidi w:val="0"/>
        <w:spacing w:before="280" w:after="0"/>
        <w:ind w:left="40" w:right="259" w:firstLine="529"/>
        <w:jc w:val="both"/>
        <w:rPr>
          <w:rFonts w:ascii="Times New Roman;Times;serif" w:hAnsi="Times New Roman;Times;serif"/>
          <w:sz w:val="20"/>
        </w:rPr>
      </w:pPr>
      <w:r>
        <w:rPr>
          <w:rFonts w:ascii="Times New Roman;Times;serif" w:hAnsi="Times New Roman;Times;serif"/>
          <w:sz w:val="20"/>
        </w:rPr>
        <w:t xml:space="preserve">We are a leading provider of digital infrastructure and communications services with a focus on rural and remote markets in the United States, and internationally, including Bermuda and the Caribbean region. </w:t>
      </w:r>
    </w:p>
    <w:p>
      <w:pPr>
        <w:pStyle w:val="TextBody"/>
        <w:bidi w:val="0"/>
        <w:spacing w:before="280" w:after="0"/>
        <w:ind w:left="40" w:right="259" w:firstLine="529"/>
        <w:jc w:val="both"/>
        <w:rPr>
          <w:rFonts w:ascii="Times New Roman;Times;serif" w:hAnsi="Times New Roman;Times;serif"/>
          <w:sz w:val="20"/>
        </w:rPr>
      </w:pPr>
      <w:r>
        <w:rPr>
          <w:rFonts w:ascii="Times New Roman;Times;serif" w:hAnsi="Times New Roman;Times;serif"/>
          <w:sz w:val="20"/>
        </w:rPr>
        <w:t xml:space="preserve">We have developed significant operational expertise and resources that we use to augment our capabilities in our local markets. With this support, our operating subsidiaries can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while keeping a focus on generating excess operating cash flows over extended periods of time. We use the cash generated from our operations to maintain an appropriate ratio of debt and cash on hand and to re-invest in organic growth, to fund capital expenditures, to return value to our stockholders through dividends or stock repurchases, and to make strategic investments or acquisitions. </w:t>
      </w:r>
    </w:p>
    <w:p>
      <w:pPr>
        <w:pStyle w:val="TextBody"/>
        <w:bidi w:val="0"/>
        <w:spacing w:before="280" w:after="0"/>
        <w:ind w:left="40" w:right="79" w:firstLine="529"/>
        <w:jc w:val="both"/>
        <w:rPr>
          <w:rFonts w:ascii="Times New Roman;Times;serif" w:hAnsi="Times New Roman;Times;serif"/>
          <w:sz w:val="20"/>
        </w:rPr>
      </w:pPr>
      <w:r>
        <w:rPr>
          <w:rFonts w:ascii="Times New Roman;Times;serif" w:hAnsi="Times New Roman;Times;serif"/>
          <w:sz w:val="20"/>
        </w:rPr>
        <w:t>For further information about our financial segments and geographical information about our operating revenues and assets, see Notes 1 and 14 to the Consolidated Financial Statements included in this Report.</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As of December 31, 2024, we offered the following types of services to our customers: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Telecommunications Services</w:t>
            </w:r>
            <w:r>
              <w:rPr>
                <w:rFonts w:ascii="Times New Roman;Times;serif" w:hAnsi="Times New Roman;Times;serif"/>
                <w:b w:val="false"/>
                <w:i w:val="false"/>
                <w:caps w:val="false"/>
                <w:smallCaps w:val="false"/>
                <w:sz w:val="20"/>
              </w:rPr>
              <w:t>. We provide fixed data and voice telecommunications services to business and consumer customers. These services include high-speed consumer broadband and high-speed data solutions for businesses. For some markets, fixed services also include video services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Telecommunication Services</w:t>
            </w:r>
            <w:r>
              <w:rPr>
                <w:rFonts w:ascii="Times New Roman;Times;serif" w:hAnsi="Times New Roman;Times;serif"/>
                <w:b w:val="false"/>
                <w:i w:val="false"/>
                <w:caps w:val="false"/>
                <w:smallCaps w:val="false"/>
                <w:sz w:val="20"/>
              </w:rPr>
              <w:t>.  We deliver services to other telecommunications providers including the leasing of critical network infrastructure such as tower and transport facilities, wholesale roaming and long-distance voice services,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Mobile Telecommunications Services</w:t>
            </w:r>
            <w:r>
              <w:rPr>
                <w:rFonts w:ascii="Times New Roman;Times;serif" w:hAnsi="Times New Roman;Times;serif"/>
                <w:b w:val="false"/>
                <w:i w:val="false"/>
                <w:caps w:val="false"/>
                <w:smallCaps w:val="false"/>
                <w:sz w:val="20"/>
              </w:rPr>
              <w:t>. We offer mobile communications services over our wireless networks and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We provide information technology services such as network, application, infrastructure and hosting services to both our business and consumer customers to complement our fixed telecommunications services in our existing markets.</w:t>
            </w:r>
          </w:p>
        </w:tc>
      </w:tr>
    </w:tbl>
    <w:p>
      <w:pPr>
        <w:pStyle w:val="TextBody"/>
        <w:bidi w:val="0"/>
        <w:spacing w:before="0" w:after="0"/>
        <w:ind w:left="0" w:right="0" w:hanging="0"/>
        <w:jc w:val="both"/>
        <w:rPr/>
      </w:pPr>
      <w:r>
        <w:rPr/>
        <w:t>​</w:t>
      </w:r>
    </w:p>
    <w:p>
      <w:pPr>
        <w:pStyle w:val="TextBody"/>
        <w:bidi w:val="0"/>
        <w:spacing w:before="0" w:after="0"/>
        <w:ind w:left="40" w:right="159" w:firstLine="529"/>
        <w:jc w:val="both"/>
        <w:rPr>
          <w:rFonts w:ascii="Times New Roman;Times;serif" w:hAnsi="Times New Roman;Times;serif"/>
          <w:sz w:val="20"/>
        </w:rPr>
      </w:pPr>
      <w:r>
        <w:rPr>
          <w:rFonts w:ascii="Times New Roman;Times;serif" w:hAnsi="Times New Roman;Times;serif"/>
          <w:sz w:val="20"/>
        </w:rPr>
        <w:t>Through December 31, 2024, we identified two operating segments to manage and review our operations, as well as to support investor presentations of our results. These operating segments are as follows: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United States, we offer fixed, carrier, and managed services to business customers and consumers in Alaska and the western United States. In 2024, we ceased providing mobility services to retail customers in the western United States.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our international markets, we offer fixed, carrier, mobility and managed services to customers in Bermuda, the Cayman Islands, Guyana and the US Virgin Islands.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chart summarizes the operating activities of our principal subsidiaries, the segments in which we reported our revenue and the markets we served during 2024:</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994"/>
        <w:gridCol w:w="266"/>
        <w:gridCol w:w="1425"/>
        <w:gridCol w:w="109"/>
        <w:gridCol w:w="2087"/>
        <w:gridCol w:w="979"/>
        <w:gridCol w:w="266"/>
        <w:gridCol w:w="987"/>
        <w:gridCol w:w="109"/>
        <w:gridCol w:w="2983"/>
      </w:tblGrid>
      <w:tr>
        <w:trPr/>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31190" cy="175260"/>
                      <wp:effectExtent l="0" t="0" r="0" b="0"/>
                      <wp:wrapNone/>
                      <wp:docPr id="31" name="Frame29"/>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8910" cy="175260"/>
                      <wp:effectExtent l="0" t="0" r="0" b="0"/>
                      <wp:wrapNone/>
                      <wp:docPr id="32" name="Frame3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04875" cy="175260"/>
                      <wp:effectExtent l="0" t="0" r="0" b="0"/>
                      <wp:wrapNone/>
                      <wp:docPr id="33" name="Frame31"/>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25245" cy="175260"/>
                      <wp:effectExtent l="0" t="0" r="0" b="0"/>
                      <wp:wrapNone/>
                      <wp:docPr id="35" name="Frame33"/>
                      <a:graphic xmlns:a="http://schemas.openxmlformats.org/drawingml/2006/main">
                        <a:graphicData uri="http://schemas.microsoft.com/office/word/2010/wordprocessingShape">
                          <wps:wsp>
                            <wps:cNvSpPr txBox="1"/>
                            <wps:spPr>
                              <a:xfrm>
                                <a:off x="0" y="0"/>
                                <a:ext cx="1325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21665" cy="175260"/>
                      <wp:effectExtent l="0" t="0" r="0" b="0"/>
                      <wp:wrapNone/>
                      <wp:docPr id="36" name="Frame34"/>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8910" cy="175260"/>
                      <wp:effectExtent l="0" t="0" r="0" b="0"/>
                      <wp:wrapNone/>
                      <wp:docPr id="37" name="Frame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26745" cy="175260"/>
                      <wp:effectExtent l="0" t="0" r="0" b="0"/>
                      <wp:wrapNone/>
                      <wp:docPr id="38" name="Frame36"/>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94205" cy="175260"/>
                      <wp:effectExtent l="0" t="0" r="0" b="0"/>
                      <wp:wrapNone/>
                      <wp:docPr id="40" name="Frame38"/>
                      <a:graphic xmlns:a="http://schemas.openxmlformats.org/drawingml/2006/main">
                        <a:graphicData uri="http://schemas.microsoft.com/office/word/2010/wordprocessingShape">
                          <wps:wsp>
                            <wps:cNvSpPr txBox="1"/>
                            <wps:spPr>
                              <a:xfrm>
                                <a:off x="0" y="0"/>
                                <a:ext cx="189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1" w:type="dxa"/>
            <w:gridSpan w:val="5"/>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International Telecom</w:t>
            </w:r>
          </w:p>
        </w:tc>
        <w:tc>
          <w:tcPr>
            <w:tcW w:w="5324" w:type="dxa"/>
            <w:gridSpan w:val="5"/>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Telecom</w:t>
            </w:r>
          </w:p>
        </w:tc>
      </w:tr>
      <w:tr>
        <w:trPr/>
        <w:tc>
          <w:tcPr>
            <w:tcW w:w="9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66" w:type="dxa"/>
            <w:tcBorders/>
            <w:vAlign w:val="center"/>
          </w:tcPr>
          <w:p>
            <w:pPr>
              <w:pStyle w:val="TableContents"/>
              <w:bidi w:val="0"/>
              <w:spacing w:before="0" w:after="0"/>
              <w:ind w:left="0" w:right="0" w:hanging="0"/>
              <w:jc w:val="center"/>
              <w:rPr/>
            </w:pPr>
            <w:r>
              <w:rPr/>
              <w:t>   </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109" w:type="dxa"/>
            <w:tcBorders/>
            <w:vAlign w:val="center"/>
          </w:tcPr>
          <w:p>
            <w:pPr>
              <w:pStyle w:val="TableContents"/>
              <w:bidi w:val="0"/>
              <w:spacing w:before="0" w:after="0"/>
              <w:ind w:left="0" w:right="0" w:hanging="0"/>
              <w:jc w:val="center"/>
              <w:rPr/>
            </w:pPr>
            <w:r>
              <w:rPr/>
              <w:t>​</w:t>
            </w:r>
          </w:p>
        </w:tc>
        <w:tc>
          <w:tcPr>
            <w:tcW w:w="208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c>
          <w:tcPr>
            <w:tcW w:w="97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66" w:type="dxa"/>
            <w:tcBorders/>
            <w:vAlign w:val="center"/>
          </w:tcPr>
          <w:p>
            <w:pPr>
              <w:pStyle w:val="TableContents"/>
              <w:bidi w:val="0"/>
              <w:spacing w:before="0" w:after="0"/>
              <w:ind w:left="0" w:right="0" w:hanging="0"/>
              <w:jc w:val="center"/>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109" w:type="dxa"/>
            <w:tcBorders/>
            <w:vAlign w:val="center"/>
          </w:tcPr>
          <w:p>
            <w:pPr>
              <w:pStyle w:val="TableContents"/>
              <w:bidi w:val="0"/>
              <w:spacing w:before="0" w:after="0"/>
              <w:ind w:left="0" w:right="0" w:hanging="0"/>
              <w:jc w:val="center"/>
              <w:rPr/>
            </w:pPr>
            <w:r>
              <w:rPr/>
              <w:t>​</w:t>
            </w:r>
          </w:p>
        </w:tc>
        <w:tc>
          <w:tcPr>
            <w:tcW w:w="29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9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087"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GTT (1), Viya</w:t>
            </w:r>
          </w:p>
        </w:tc>
        <w:tc>
          <w:tcPr>
            <w:tcW w:w="97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Services</w:t>
            </w:r>
          </w:p>
        </w:tc>
        <w:tc>
          <w:tcPr>
            <w:tcW w:w="266"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(rural markets)</w:t>
            </w:r>
          </w:p>
        </w:tc>
        <w:tc>
          <w:tcPr>
            <w:tcW w:w="109" w:type="dxa"/>
            <w:tcBorders/>
            <w:shd w:fill="CCEEFF" w:val="clear"/>
            <w:vAlign w:val="center"/>
          </w:tcPr>
          <w:p>
            <w:pPr>
              <w:pStyle w:val="TableContents"/>
              <w:bidi w:val="0"/>
              <w:spacing w:before="0" w:after="0"/>
              <w:ind w:left="0" w:right="0" w:hanging="0"/>
              <w:jc w:val="left"/>
              <w:rPr/>
            </w:pPr>
            <w:r>
              <w:rPr/>
              <w:t>​</w:t>
            </w:r>
          </w:p>
        </w:tc>
        <w:tc>
          <w:tcPr>
            <w:tcW w:w="2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Choice NTUA Wireless</w:t>
            </w:r>
          </w:p>
        </w:tc>
      </w:tr>
      <w:tr>
        <w:trPr/>
        <w:tc>
          <w:tcPr>
            <w:tcW w:w="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Services</w:t>
            </w:r>
          </w:p>
        </w:tc>
        <w:tc>
          <w:tcPr>
            <w:tcW w:w="266" w:type="dxa"/>
            <w:tcBorders/>
            <w:vAlign w:val="center"/>
          </w:tcPr>
          <w:p>
            <w:pPr>
              <w:pStyle w:val="TableContents"/>
              <w:bidi w:val="0"/>
              <w:spacing w:before="0" w:after="0"/>
              <w:ind w:left="0" w:right="0" w:hanging="0"/>
              <w:jc w:val="left"/>
              <w:rPr/>
            </w:pPr>
            <w:r>
              <w:rPr/>
              <w:t>​</w:t>
            </w:r>
          </w:p>
        </w:tc>
        <w:tc>
          <w:tcPr>
            <w:tcW w:w="1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109" w:type="dxa"/>
            <w:tcBorders/>
            <w:vAlign w:val="center"/>
          </w:tcPr>
          <w:p>
            <w:pPr>
              <w:pStyle w:val="TableContents"/>
              <w:bidi w:val="0"/>
              <w:spacing w:before="0" w:after="0"/>
              <w:ind w:left="0" w:right="0" w:hanging="0"/>
              <w:jc w:val="left"/>
              <w:rPr/>
            </w:pPr>
            <w:r>
              <w:rPr/>
              <w:t>​</w:t>
            </w:r>
          </w:p>
        </w:tc>
        <w:tc>
          <w:tcPr>
            <w:tcW w:w="2087"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GTT, Viya</w:t>
            </w:r>
          </w:p>
        </w:tc>
        <w:tc>
          <w:tcPr>
            <w:tcW w:w="979"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Services</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0"/>
              <w:ind w:left="0" w:right="0" w:hanging="0"/>
              <w:jc w:val="left"/>
              <w:rPr/>
            </w:pPr>
            <w:r>
              <w:rPr/>
              <w:t>​</w:t>
            </w:r>
          </w:p>
        </w:tc>
        <w:tc>
          <w:tcPr>
            <w:tcW w:w="2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Choice NTUA Wireless, Sacred Wind Communications, Ethos Broadband, Deploycom</w:t>
            </w:r>
          </w:p>
        </w:tc>
      </w:tr>
      <w:tr>
        <w:trPr/>
        <w:tc>
          <w:tcPr>
            <w:tcW w:w="9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087"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GTT, Viya, Essextel</w:t>
            </w:r>
          </w:p>
        </w:tc>
        <w:tc>
          <w:tcPr>
            <w:tcW w:w="97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9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266" w:type="dxa"/>
            <w:tcBorders/>
            <w:vAlign w:val="center"/>
          </w:tcPr>
          <w:p>
            <w:pPr>
              <w:pStyle w:val="TableContents"/>
              <w:bidi w:val="0"/>
              <w:spacing w:before="0" w:after="0"/>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109" w:type="dxa"/>
            <w:tcBorders/>
            <w:vAlign w:val="center"/>
          </w:tcPr>
          <w:p>
            <w:pPr>
              <w:pStyle w:val="TableContents"/>
              <w:bidi w:val="0"/>
              <w:spacing w:before="0" w:after="0"/>
              <w:ind w:left="0" w:right="0" w:hanging="0"/>
              <w:jc w:val="left"/>
              <w:rPr/>
            </w:pPr>
            <w:r>
              <w:rPr/>
              <w:t>​</w:t>
            </w:r>
          </w:p>
        </w:tc>
        <w:tc>
          <w:tcPr>
            <w:tcW w:w="208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GTT, Viya, Brava, Fireminds (2)</w:t>
            </w:r>
          </w:p>
        </w:tc>
        <w:tc>
          <w:tcPr>
            <w:tcW w:w="97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266" w:type="dxa"/>
            <w:tcBorders/>
            <w:vAlign w:val="center"/>
          </w:tcPr>
          <w:p>
            <w:pPr>
              <w:pStyle w:val="TableContents"/>
              <w:bidi w:val="0"/>
              <w:spacing w:before="0" w:after="0"/>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0"/>
              <w:ind w:left="0" w:right="0" w:hanging="0"/>
              <w:jc w:val="left"/>
              <w:rPr/>
            </w:pPr>
            <w:r>
              <w:rPr/>
              <w:t>​</w:t>
            </w:r>
          </w:p>
        </w:tc>
        <w:tc>
          <w:tcPr>
            <w:tcW w:w="29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Choice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completed a rebranding in Guyana and GTT is now known as One Communications. We refer throughout this report to our business in Guyana as “OneGY.”</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completed a rebranding of our services offerings to government and large business customers, including those services formally known as Fireminds, which is now known as Brava.</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Carrier Managed Services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July 2019, we entered into a Network Build and Maintenance Agreement with AT&amp;T Mobility, LLC (“AT&amp;T”) that we subsequently amended through December 31, 2023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December 31, 2024, we have recorded $74 million in construction revenue and expect to record approximately $6 million in additional construction revenue and related costs as sites are completed. We expect to substantially complete the build by the end of 2025. Revenues from construction are expected to have minimal impact on the Company’s operating income.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On May 10, 2023, we entered into a Carrier Managed Services Master Agreement (the “Verizon CMS Agreement”) with Cellco Partnership d/b/a Verizon Wireless (“Verizon”), pursuant to which we will provide a variety of network, infrastructure and technical services that will help deliver next generation wireless services to Verizon’s subscribers in our current operating area in the southwestern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Pursuant to the Verizon CMS Agreement and subject to certain limitations contained therein, we will upgrade our wireless service in specific areas and provide services to Verizon for an initial term ending in 2030.</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Following acceptance of a cell site, we will continue to own the cell site. In addition to building the network, we will provide ongoing equipment and site maintenance and high-capacity transport to and from these cell sites for an initial term ending in 2030.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Universal Service Fund and Other Domestic Funding Programs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recognize revenue from several government funded programs including the USF, a subsidy program managed by the Federal Communications Commission (“FCC”), and state equivalents. For a discussion of the USF programs in which we participate, please refer to Part I - Item 1. Business – US Federal Regulation - Universal Service Support and Contributions.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Construction Grants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We have also been awarded construction grants to build network connectivity for eligible communities. The funding of these grants, used to reimburse us for our construction costs, is generally distributed after we incur reimbursable costs. Completion deadlines began in 2024 and once these projects are constructed, we are obligated to provide service to the participants. We expect to meet all requirements associated with these grants.  As of December 31, 2024, we were awarded $150.2 million of construction grants.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2024, we disbursed capital expenditures of $10.8 million under these programs and received reimbursement of $5.0 million.  These cash flows are classified as investing activities in our statement of cash flows.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We were identified as a sub recipient of grants under these programs totaling $178.3 million as of December 31, 2024.  Through December 31, 2024, we have received and spent $19.7 million of funding under these programs on construction obligations.  These amounts are recorded as operating cash flows in the Company’s statement of cash flows.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Replace and Remove Program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July 2022, we were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United States and in the US Virgin Islands, however, in December 2024 this program was fully funded for an increased allocation to the Company of approximately $517 million. The Replace and Remove Program requires each of our participating subsidiaries to complete the project no later than a specified deadline, which is currently in the third quarter of 2025.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have incurred total expenditures of $168.4 million related to this project, of which $104.0 million were incurred in 2024. Of these total expenditures, $140.9 million were classified as capital.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December 31, 2024, $25.0 million of capital expenditures were accrued and unpaid under the Replace and Remove Program. We expect to be reimbursed, within the next twelve months, for all amounts spent to date. During the year ended December 31, 2024, we received $113.6 million of reimbursement under the program, of which $22.8 million was classified as operating cash inflows and $90.8 million was classified as investing cash inflows in our statement of cash flows.</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Selected Segment Financial Information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Through December 31, 2024, the Company has the following two reportable and operating segments: (i) International Telecom and (ii) US Telecom.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for each operating segment (in thousands):</w:t>
      </w:r>
    </w:p>
    <w:p>
      <w:pPr>
        <w:pStyle w:val="TextBody"/>
        <w:bidi w:val="0"/>
        <w:spacing w:before="28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26"/>
        <w:gridCol w:w="326"/>
        <w:gridCol w:w="226"/>
        <w:gridCol w:w="840"/>
        <w:gridCol w:w="326"/>
        <w:gridCol w:w="211"/>
        <w:gridCol w:w="794"/>
        <w:gridCol w:w="326"/>
        <w:gridCol w:w="253"/>
        <w:gridCol w:w="953"/>
        <w:gridCol w:w="326"/>
        <w:gridCol w:w="223"/>
        <w:gridCol w:w="875"/>
      </w:tblGrid>
      <w:tr>
        <w:trPr/>
        <w:tc>
          <w:tcPr>
            <w:tcW w:w="4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74010" cy="175260"/>
                      <wp:effectExtent l="0" t="0" r="0" b="0"/>
                      <wp:wrapNone/>
                      <wp:docPr id="41" name="Frame39"/>
                      <a:graphic xmlns:a="http://schemas.openxmlformats.org/drawingml/2006/main">
                        <a:graphicData uri="http://schemas.microsoft.com/office/word/2010/wordprocessingShape">
                          <wps:wsp>
                            <wps:cNvSpPr txBox="1"/>
                            <wps:spPr>
                              <a:xfrm>
                                <a:off x="0" y="0"/>
                                <a:ext cx="287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3" name="Frame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3400" cy="175260"/>
                      <wp:effectExtent l="0" t="0" r="0" b="0"/>
                      <wp:wrapNone/>
                      <wp:docPr id="44" name="Frame4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04190" cy="175260"/>
                      <wp:effectExtent l="0" t="0" r="0" b="0"/>
                      <wp:wrapNone/>
                      <wp:docPr id="47" name="Frame45"/>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0655" cy="175260"/>
                      <wp:effectExtent l="0" t="0" r="0" b="0"/>
                      <wp:wrapNone/>
                      <wp:docPr id="49" name="Frame4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05155" cy="175260"/>
                      <wp:effectExtent l="0" t="0" r="0" b="0"/>
                      <wp:wrapNone/>
                      <wp:docPr id="50" name="Frame48"/>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1605" cy="175260"/>
                      <wp:effectExtent l="0" t="0" r="0" b="0"/>
                      <wp:wrapNone/>
                      <wp:docPr id="52" name="Frame5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55625" cy="175260"/>
                      <wp:effectExtent l="0" t="0" r="0" b="0"/>
                      <wp:wrapNone/>
                      <wp:docPr id="53" name="Frame51"/>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4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5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20,071</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89,901</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109,972</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125,439</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199,526</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258,838</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212,199</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458,364</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119,561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133,285</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371,770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335,988</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707,758</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377,463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351,612</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729,075</w:t>
            </w:r>
          </w:p>
        </w:tc>
      </w:tr>
      <w:tr>
        <w:trPr/>
        <w:tc>
          <w:tcPr>
            <w:tcW w:w="4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176,268</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312,256</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91,650</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228,869</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73,994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138,335</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and transfers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301,690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396,054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729,870</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(49,548)</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(50,171)</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(50,966)</w:t>
            </w:r>
          </w:p>
        </w:tc>
      </w:tr>
      <w:tr>
        <w:trPr/>
        <w:tc>
          <w:tcPr>
            <w:tcW w:w="4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38"/>
        <w:gridCol w:w="326"/>
        <w:gridCol w:w="226"/>
        <w:gridCol w:w="840"/>
        <w:gridCol w:w="326"/>
        <w:gridCol w:w="211"/>
        <w:gridCol w:w="781"/>
        <w:gridCol w:w="326"/>
        <w:gridCol w:w="256"/>
        <w:gridCol w:w="969"/>
        <w:gridCol w:w="109"/>
        <w:gridCol w:w="223"/>
        <w:gridCol w:w="874"/>
      </w:tblGrid>
      <w:tr>
        <w:trPr/>
        <w:tc>
          <w:tcPr>
            <w:tcW w:w="4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008630" cy="175260"/>
                      <wp:effectExtent l="0" t="0" r="0" b="0"/>
                      <wp:wrapNone/>
                      <wp:docPr id="54" name="Frame52"/>
                      <a:graphic xmlns:a="http://schemas.openxmlformats.org/drawingml/2006/main">
                        <a:graphicData uri="http://schemas.microsoft.com/office/word/2010/wordprocessingShape">
                          <wps:wsp>
                            <wps:cNvSpPr txBox="1"/>
                            <wps:spPr>
                              <a:xfrm>
                                <a:off x="0" y="0"/>
                                <a:ext cx="300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6"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33400" cy="175260"/>
                      <wp:effectExtent l="0" t="0" r="0" b="0"/>
                      <wp:wrapNone/>
                      <wp:docPr id="57" name="Frame5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60"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2560" cy="175260"/>
                      <wp:effectExtent l="0" t="0" r="0" b="0"/>
                      <wp:wrapNone/>
                      <wp:docPr id="62" name="Frame6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15315" cy="175260"/>
                      <wp:effectExtent l="0" t="0" r="0" b="0"/>
                      <wp:wrapNone/>
                      <wp:docPr id="63" name="Frame61"/>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1605" cy="175260"/>
                      <wp:effectExtent l="0" t="0" r="0" b="0"/>
                      <wp:wrapNone/>
                      <wp:docPr id="65" name="Frame6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54990" cy="175260"/>
                      <wp:effectExtent l="0" t="0" r="0" b="0"/>
                      <wp:wrapNone/>
                      <wp:docPr id="66" name="Frame64"/>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874" w:type="dxa"/>
            <w:tcBorders/>
            <w:shd w:fill="CCEEFF" w:val="clear"/>
            <w:vAlign w:val="center"/>
          </w:tcPr>
          <w:p>
            <w:pPr>
              <w:pStyle w:val="TableContents"/>
              <w:bidi w:val="0"/>
              <w:spacing w:before="0" w:after="0"/>
              <w:ind w:left="0" w:right="0" w:hanging="0"/>
              <w:jc w:val="center"/>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16,860</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95,663</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112,523</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143,322</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214,537</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90,283</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258,236</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233,605</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472,773</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142,881</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369,676</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735,082</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10,629</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370,733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391,483</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762,216</w:t>
            </w:r>
          </w:p>
        </w:tc>
      </w:tr>
      <w:tr>
        <w:trPr/>
        <w:tc>
          <w:tcPr>
            <w:tcW w:w="47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141,771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178,829</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319,723</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102,375</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242,697</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7,857</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11,228</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81,594</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141,627</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11,383</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12,636</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and transfers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317,313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397,005</w:t>
            </w:r>
          </w:p>
        </w:tc>
        <w:tc>
          <w:tcPr>
            <w:tcW w:w="326" w:type="dxa"/>
            <w:tcBorders/>
            <w:vAlign w:val="center"/>
          </w:tcPr>
          <w:p>
            <w:pPr>
              <w:pStyle w:val="TableContents"/>
              <w:bidi w:val="0"/>
              <w:spacing w:before="0" w:after="0"/>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34,723</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749,041</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(34,723)</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(42,686)</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(40,714)</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(27,539)</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11,321</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4,216</w:t>
            </w:r>
          </w:p>
        </w:tc>
      </w:tr>
    </w:tbl>
    <w:p>
      <w:pPr>
        <w:pStyle w:val="TextBody"/>
        <w:bidi w:val="0"/>
        <w:spacing w:before="0" w:after="0"/>
        <w:ind w:left="0" w:right="0" w:hanging="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331"/>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refer to corporate overhead costs and consolidating adjustments.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comparison of our segment results for the years ended December 31, 2024 and 2023 is as follows: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International Telecom.</w:t>
      </w:r>
      <w:r>
        <w:rPr>
          <w:rFonts w:ascii="Times New Roman;Times;serif" w:hAnsi="Times New Roman;Times;serif"/>
          <w:sz w:val="20"/>
        </w:rPr>
        <w:t xml:space="preserve"> Revenues within our International Telecom segment increased $6.8 million, or 1.8%, to $377.5 million from $370.7 million for the years ended December 31, 2024 and 2023, respectively, primarily as a result of an increase in fixed revenues of $7.0 million, or 2.9%, to $246.2 million from $239.2 million for the years ended December 31, 2024 and 2023, respectively. This increase in fixed revenues was primarily the result of network upgrades and expansions, which led to an increase in the number of homes passed by high-speed data solutions that allowed us to migrate customers to more durable and higher revenue-generating fiber services.   Partially offsetting the increase in Fixed revenues were decreases in both Mobility revenues, as a result of a decrease in prepaid subscribers, and Carrier Services revenues, primarily related to the amendment to certain carrier contracts.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expenses within our International Telecom segment decreased by $15.6 million, or 4.9%, to $301.7 million from $317.3 million for the years ended December 31, 2024 and 2023, respectively.  The net decrease was primarily the result of a $15.1 million increase in the gain on the dispositions of long-lived assets, primarily real estate, and certain cost savings initiatives, including reorganizations and reductions in force and contract terminations, that were implemented in the current and previous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a result, our International Telecom segment’s operating income increased $22.4 million, or 41.9%, to $75.8 million from $53.4 million for the years ended December 31, 2024 and 2023,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US Telecom</w:t>
      </w:r>
      <w:r>
        <w:rPr>
          <w:rFonts w:ascii="Times New Roman;Times;serif" w:hAnsi="Times New Roman;Times;serif"/>
          <w:sz w:val="20"/>
        </w:rPr>
        <w:t>.  Revenue within our US Telecom segment decreased by $39.9 million, or 10.2%, to $351.6 million from $391.5 million for the years ended December 31, 2024 and 2023, respectively, primarily as a result of a $21.4 million reduction in Fixed revenues which were negatively impacted by the conclusion of both the Emergency Connectivity Fund and the Affordable Care Program, both of which provided revenue through April 2024. In addition, the US Telecom segment’s Carrier Services revenue decreased by $8.6 million primarily as the result of the transition of legacy roaming arrangements to carrier service management contracts, construction revenue declined by $6.7 million as a result of a decrease in the number of sites completed during 2024 as compared to 2023 and Mobility revenue decreased $1.2 million within our retail operations due to a decrease in subscribers as we continue to put more emphasis on other revenue sources within this segment.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Operating expenses within our US Telecom segment decreased $0.9 million, or 0.2%, to $396.1 million from $397.0 million for the years ended December 31, 2024 and 2023, respectively, as a result of the impact of certain cost savings initiatives, including reorganization and reductions in force, that were implemented in the current and previous periods, and a $6.6 million decrease in the restructuring and reorganization expenses. Partially offsetting these decreases were the $35.3 million goodwill impairment charge that was recorded during the year ended December 31, 2024, as well as the $3.6 million increase in transaction-related expenses.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a result of the above, our US Telecom segment’s operating loss increased by $38.9 million to a loss of $44.4 million from a loss of $5.5 million for the years ended December 31,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discussion and analysis of our results of operations for the year ended December 31, 2023 compared to 2022 can be found under Item 7 of our Annual Report on Form 10-K for the fiscal year ended December 31, 2023, filed with the SEC on March 15, 2024, which is available on the SEC’s website at www.sec.gov and our Investor Relations website at https://.ir.atni.com under the “Financials and Filings” section.</w:t>
      </w:r>
    </w:p>
    <w:p>
      <w:pPr>
        <w:pStyle w:val="TextBody"/>
        <w:bidi w:val="0"/>
        <w:spacing w:before="0" w:after="240"/>
        <w:ind w:left="0" w:right="0" w:firstLine="720"/>
        <w:jc w:val="left"/>
        <w:rPr>
          <w:rFonts w:ascii="Times New Roman;Times;serif" w:hAnsi="Times New Roman;Times;serif"/>
          <w:sz w:val="20"/>
        </w:rPr>
      </w:pPr>
      <w:bookmarkStart w:id="67" w:name="resultsofoperationsfortheyearsendedDecem"/>
      <w:bookmarkEnd w:id="67"/>
      <w:r>
        <w:rPr>
          <w:rFonts w:ascii="Times New Roman;Times;serif" w:hAnsi="Times New Roman;Times;serif"/>
          <w:sz w:val="20"/>
        </w:rPr>
        <w:t>The following represents a year over year discussion and analysis of our results of operations for the years ended December 31, 2024 and 2023 (in thousands):</w:t>
      </w:r>
    </w:p>
    <w:tbl>
      <w:tblPr>
        <w:tblW w:w="10205" w:type="dxa"/>
        <w:jc w:val="left"/>
        <w:tblInd w:w="0" w:type="dxa"/>
        <w:tblLayout w:type="fixed"/>
        <w:tblCellMar>
          <w:top w:w="0" w:type="dxa"/>
          <w:left w:w="0" w:type="dxa"/>
          <w:bottom w:w="0" w:type="dxa"/>
          <w:right w:w="0" w:type="dxa"/>
        </w:tblCellMar>
      </w:tblPr>
      <w:tblGrid>
        <w:gridCol w:w="4690"/>
        <w:gridCol w:w="326"/>
        <w:gridCol w:w="211"/>
        <w:gridCol w:w="787"/>
        <w:gridCol w:w="326"/>
        <w:gridCol w:w="211"/>
        <w:gridCol w:w="787"/>
        <w:gridCol w:w="326"/>
        <w:gridCol w:w="211"/>
        <w:gridCol w:w="760"/>
        <w:gridCol w:w="326"/>
        <w:gridCol w:w="835"/>
        <w:gridCol w:w="409"/>
      </w:tblGrid>
      <w:tr>
        <w:trPr/>
        <w:tc>
          <w:tcPr>
            <w:tcW w:w="4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78150" cy="175895"/>
                      <wp:effectExtent l="0" t="0" r="0" b="0"/>
                      <wp:wrapNone/>
                      <wp:docPr id="67" name="Frame65"/>
                      <a:graphic xmlns:a="http://schemas.openxmlformats.org/drawingml/2006/main">
                        <a:graphicData uri="http://schemas.microsoft.com/office/word/2010/wordprocessingShape">
                          <wps:wsp>
                            <wps:cNvSpPr txBox="1"/>
                            <wps:spPr>
                              <a:xfrm>
                                <a:off x="0" y="0"/>
                                <a:ext cx="29781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895"/>
                      <wp:effectExtent l="0" t="0" r="0" b="0"/>
                      <wp:wrapNone/>
                      <wp:docPr id="68" name="Frame6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895"/>
                      <wp:effectExtent l="0" t="0" r="0" b="0"/>
                      <wp:wrapNone/>
                      <wp:docPr id="69" name="Frame6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9745" cy="175895"/>
                      <wp:effectExtent l="0" t="0" r="0" b="0"/>
                      <wp:wrapNone/>
                      <wp:docPr id="70" name="Frame68"/>
                      <a:graphic xmlns:a="http://schemas.openxmlformats.org/drawingml/2006/main">
                        <a:graphicData uri="http://schemas.microsoft.com/office/word/2010/wordprocessingShape">
                          <wps:wsp>
                            <wps:cNvSpPr txBox="1"/>
                            <wps:spPr>
                              <a:xfrm>
                                <a:off x="0" y="0"/>
                                <a:ext cx="499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895"/>
                      <wp:effectExtent l="0" t="0" r="0" b="0"/>
                      <wp:wrapNone/>
                      <wp:docPr id="71" name="Frame6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895"/>
                      <wp:effectExtent l="0" t="0" r="0" b="0"/>
                      <wp:wrapNone/>
                      <wp:docPr id="72" name="Frame7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9745" cy="175895"/>
                      <wp:effectExtent l="0" t="0" r="0" b="0"/>
                      <wp:wrapNone/>
                      <wp:docPr id="73" name="Frame71"/>
                      <a:graphic xmlns:a="http://schemas.openxmlformats.org/drawingml/2006/main">
                        <a:graphicData uri="http://schemas.microsoft.com/office/word/2010/wordprocessingShape">
                          <wps:wsp>
                            <wps:cNvSpPr txBox="1"/>
                            <wps:spPr>
                              <a:xfrm>
                                <a:off x="0" y="0"/>
                                <a:ext cx="499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895"/>
                      <wp:effectExtent l="0" t="0" r="0" b="0"/>
                      <wp:wrapNone/>
                      <wp:docPr id="74" name="Frame7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895"/>
                      <wp:effectExtent l="0" t="0" r="0" b="0"/>
                      <wp:wrapNone/>
                      <wp:docPr id="75" name="Frame7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82600" cy="175895"/>
                      <wp:effectExtent l="0" t="0" r="0" b="0"/>
                      <wp:wrapNone/>
                      <wp:docPr id="76" name="Frame74"/>
                      <a:graphic xmlns:a="http://schemas.openxmlformats.org/drawingml/2006/main">
                        <a:graphicData uri="http://schemas.microsoft.com/office/word/2010/wordprocessingShape">
                          <wps:wsp>
                            <wps:cNvSpPr txBox="1"/>
                            <wps:spPr>
                              <a:xfrm>
                                <a:off x="0" y="0"/>
                                <a:ext cx="4826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895"/>
                      <wp:effectExtent l="0" t="0" r="0" b="0"/>
                      <wp:wrapNone/>
                      <wp:docPr id="77" name="Frame7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30225" cy="175895"/>
                      <wp:effectExtent l="0" t="0" r="0" b="0"/>
                      <wp:wrapNone/>
                      <wp:docPr id="78" name="Frame76"/>
                      <a:graphic xmlns:a="http://schemas.openxmlformats.org/drawingml/2006/main">
                        <a:graphicData uri="http://schemas.microsoft.com/office/word/2010/wordprocessingShape">
                          <wps:wsp>
                            <wps:cNvSpPr txBox="1"/>
                            <wps:spPr>
                              <a:xfrm>
                                <a:off x="0" y="0"/>
                                <a:ext cx="5302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9715" cy="175895"/>
                      <wp:effectExtent l="0" t="0" r="0" b="0"/>
                      <wp:wrapNone/>
                      <wp:docPr id="79" name="Frame77"/>
                      <a:graphic xmlns:a="http://schemas.openxmlformats.org/drawingml/2006/main">
                        <a:graphicData uri="http://schemas.microsoft.com/office/word/2010/wordprocessingShape">
                          <wps:wsp>
                            <wps:cNvSpPr txBox="1"/>
                            <wps:spPr>
                              <a:xfrm>
                                <a:off x="0" y="0"/>
                                <a:ext cx="2597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690"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22"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1" w:after="1"/>
              <w:ind w:left="0" w:right="0" w:hanging="0"/>
              <w:jc w:val="left"/>
              <w:rPr/>
            </w:pPr>
            <w:r>
              <w:rPr/>
              <w:t>​</w:t>
            </w:r>
          </w:p>
        </w:tc>
        <w:tc>
          <w:tcPr>
            <w:tcW w:w="97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Amount of</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409" w:type="dxa"/>
            <w:tcBorders/>
            <w:vAlign w:val="center"/>
          </w:tcPr>
          <w:p>
            <w:pPr>
              <w:pStyle w:val="TableContents"/>
              <w:bidi w:val="0"/>
              <w:spacing w:before="1" w:after="1"/>
              <w:ind w:left="0" w:right="0" w:hanging="0"/>
              <w:jc w:val="left"/>
              <w:rPr/>
            </w:pPr>
            <w:r>
              <w:rPr/>
              <w:t> </w:t>
            </w:r>
          </w:p>
        </w:tc>
      </w:tr>
      <w:tr>
        <w:trPr/>
        <w:tc>
          <w:tcPr>
            <w:tcW w:w="4690"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22"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1" w:after="1"/>
              <w:ind w:left="0" w:right="0" w:hanging="0"/>
              <w:jc w:val="left"/>
              <w:rPr/>
            </w:pPr>
            <w:r>
              <w:rPr/>
              <w:t>​</w:t>
            </w:r>
          </w:p>
        </w:tc>
        <w:tc>
          <w:tcPr>
            <w:tcW w:w="97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409" w:type="dxa"/>
            <w:tcBorders/>
            <w:vAlign w:val="center"/>
          </w:tcPr>
          <w:p>
            <w:pPr>
              <w:pStyle w:val="TableContents"/>
              <w:bidi w:val="0"/>
              <w:spacing w:before="1" w:after="1"/>
              <w:ind w:left="0" w:right="0" w:hanging="0"/>
              <w:jc w:val="left"/>
              <w:rPr/>
            </w:pPr>
            <w:r>
              <w:rPr/>
              <w:t> </w:t>
            </w:r>
          </w:p>
        </w:tc>
      </w:tr>
      <w:tr>
        <w:trPr/>
        <w:tc>
          <w:tcPr>
            <w:tcW w:w="4690"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1"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1" w:after="1"/>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1"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409" w:type="dxa"/>
            <w:tcBorders/>
            <w:vAlign w:val="center"/>
          </w:tcPr>
          <w:p>
            <w:pPr>
              <w:pStyle w:val="TableContents"/>
              <w:bidi w:val="0"/>
              <w:spacing w:before="1" w:after="1"/>
              <w:ind w:left="0" w:right="0" w:hanging="0"/>
              <w:jc w:val="left"/>
              <w:rPr/>
            </w:pPr>
            <w:r>
              <w:rPr/>
              <w:t> </w:t>
            </w:r>
          </w:p>
        </w:tc>
      </w:tr>
      <w:tr>
        <w:trPr/>
        <w:tc>
          <w:tcPr>
            <w:tcW w:w="4690"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center"/>
              <w:rPr/>
            </w:pPr>
            <w:r>
              <w:rPr/>
              <w:t>​</w:t>
            </w:r>
          </w:p>
        </w:tc>
        <w:tc>
          <w:tcPr>
            <w:tcW w:w="787"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87"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60"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center"/>
              <w:rPr/>
            </w:pPr>
            <w:r>
              <w:rPr/>
              <w:t>​</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lef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left"/>
              <w:rPr/>
            </w:pPr>
            <w:r>
              <w:rPr/>
              <w:t>    </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707,758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735,082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(27,324)</w:t>
            </w:r>
          </w:p>
        </w:tc>
        <w:tc>
          <w:tcPr>
            <w:tcW w:w="32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0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10,629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(6,729)</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(63.3)</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17,417</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16,505</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729,075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762,216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(33,141)</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b/>
                <w:sz w:val="20"/>
              </w:rPr>
              <w:t>OPERATING EXPENSES</w:t>
            </w:r>
            <w:r>
              <w:rPr>
                <w:rFonts w:ascii="Times New Roman;Times;serif" w:hAnsi="Times New Roman;Times;serif"/>
                <w:sz w:val="20"/>
              </w:rPr>
              <w:t xml:space="preserve"> (</w:t>
            </w:r>
            <w:r>
              <w:rPr>
                <w:rFonts w:ascii="Times New Roman;Times;serif" w:hAnsi="Times New Roman;Times;serif"/>
                <w:i/>
                <w:sz w:val="20"/>
              </w:rPr>
              <w:t>excluding depreciation and amortization unless otherwise indicated</w:t>
            </w: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left"/>
              <w:rPr/>
            </w:pPr>
            <w:r>
              <w:rPr/>
              <w:t>​</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312,256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319,723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(7,467)</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3,866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10,345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(6,479)</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228,869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242,697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(13,828)</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8,237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8,535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Transaction-related charges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4,296</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779.7</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3,535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11,228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(7,693)</w:t>
            </w:r>
          </w:p>
        </w:tc>
        <w:tc>
          <w:tcPr>
            <w:tcW w:w="326" w:type="dxa"/>
            <w:tcBorders/>
            <w:vAlign w:val="center"/>
          </w:tcPr>
          <w:p>
            <w:pPr>
              <w:pStyle w:val="TableContents"/>
              <w:bidi w:val="0"/>
              <w:spacing w:before="1" w:after="1"/>
              <w:ind w:left="0" w:right="0" w:hanging="0"/>
              <w:jc w:val="left"/>
              <w:rPr/>
            </w:pPr>
            <w:r>
              <w:rPr/>
              <w:t>​</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(68.5)</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138,335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141,627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(3,292)</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7,907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12,636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(4,729)</w:t>
            </w:r>
          </w:p>
        </w:tc>
        <w:tc>
          <w:tcPr>
            <w:tcW w:w="32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35,269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35,269</w:t>
            </w:r>
          </w:p>
        </w:tc>
        <w:tc>
          <w:tcPr>
            <w:tcW w:w="326" w:type="dxa"/>
            <w:tcBorders/>
            <w:shd w:fill="CCEEFF" w:val="clear"/>
            <w:vAlign w:val="center"/>
          </w:tcPr>
          <w:p>
            <w:pPr>
              <w:pStyle w:val="TableContents"/>
              <w:bidi w:val="0"/>
              <w:spacing w:before="1" w:after="1"/>
              <w:ind w:left="0" w:right="0" w:hanging="0"/>
              <w:jc w:val="left"/>
              <w:rPr/>
            </w:pPr>
            <w:r>
              <w:rPr/>
              <w:t>​</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loss on disposition of assets and transfers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(13,251)</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(14,950)</w:t>
            </w:r>
          </w:p>
        </w:tc>
        <w:tc>
          <w:tcPr>
            <w:tcW w:w="32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(879.9)</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729,870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749,041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(19,171)</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13,175</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(13,970)</w:t>
            </w:r>
          </w:p>
        </w:tc>
        <w:tc>
          <w:tcPr>
            <w:tcW w:w="32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835" w:type="dxa"/>
            <w:tcBorders/>
            <w:shd w:fill="CCEEFF" w:val="clear"/>
            <w:vAlign w:val="center"/>
          </w:tcPr>
          <w:p>
            <w:pPr>
              <w:pStyle w:val="TableContents"/>
              <w:bidi w:val="0"/>
              <w:spacing w:before="1" w:after="1"/>
              <w:ind w:left="0" w:right="0" w:hanging="0"/>
              <w:jc w:val="left"/>
              <w:rPr/>
            </w:pPr>
            <w:r>
              <w:rPr/>
              <w:t>​</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149.2</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(49,548)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(42,686)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6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1,496</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vAlign w:val="center"/>
          </w:tcPr>
          <w:p>
            <w:pPr>
              <w:pStyle w:val="TableContents"/>
              <w:bidi w:val="0"/>
              <w:spacing w:before="1"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(220.9)</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(50,171)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(40,714)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(9,457)</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(50,966)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(27,539)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(23,427)</w:t>
            </w:r>
          </w:p>
        </w:tc>
        <w:tc>
          <w:tcPr>
            <w:tcW w:w="32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85.1</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(19,114)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(8,785)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117.6</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(31,852)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(18,754)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(13,098)</w:t>
            </w:r>
          </w:p>
        </w:tc>
        <w:tc>
          <w:tcPr>
            <w:tcW w:w="326" w:type="dxa"/>
            <w:tcBorders/>
            <w:vAlign w:val="center"/>
          </w:tcPr>
          <w:p>
            <w:pPr>
              <w:pStyle w:val="TableContents"/>
              <w:bidi w:val="0"/>
              <w:spacing w:before="1" w:after="1"/>
              <w:ind w:left="0" w:right="0" w:hanging="0"/>
              <w:jc w:val="left"/>
              <w:rPr/>
            </w:pPr>
            <w:r>
              <w:rPr/>
              <w:t> </w:t>
            </w:r>
          </w:p>
        </w:tc>
        <w:tc>
          <w:tcPr>
            <w:tcW w:w="83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409" w:type="dxa"/>
            <w:tcBorders/>
            <w:vAlign w:val="center"/>
          </w:tcPr>
          <w:p>
            <w:pPr>
              <w:pStyle w:val="TableContents"/>
              <w:bidi w:val="0"/>
              <w:spacing w:before="1" w:after="1"/>
              <w:ind w:left="0" w:right="0" w:hanging="0"/>
              <w:jc w:val="left"/>
              <w:rPr/>
            </w:pPr>
            <w:r>
              <w:rPr/>
              <w:t>​</w:t>
            </w:r>
          </w:p>
        </w:tc>
      </w:tr>
      <w:tr>
        <w:trPr/>
        <w:tc>
          <w:tcPr>
            <w:tcW w:w="46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 net of tax:</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5,423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4,216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1,207</w:t>
            </w:r>
          </w:p>
        </w:tc>
        <w:tc>
          <w:tcPr>
            <w:tcW w:w="326" w:type="dxa"/>
            <w:tcBorders/>
            <w:shd w:fill="CCEEFF" w:val="clear"/>
            <w:vAlign w:val="center"/>
          </w:tcPr>
          <w:p>
            <w:pPr>
              <w:pStyle w:val="TableContents"/>
              <w:bidi w:val="0"/>
              <w:spacing w:before="1"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409" w:type="dxa"/>
            <w:tcBorders/>
            <w:shd w:fill="CCEEFF" w:val="clear"/>
            <w:vAlign w:val="center"/>
          </w:tcPr>
          <w:p>
            <w:pPr>
              <w:pStyle w:val="TableContents"/>
              <w:bidi w:val="0"/>
              <w:spacing w:before="1" w:after="1"/>
              <w:ind w:left="0" w:right="0" w:hanging="0"/>
              <w:jc w:val="left"/>
              <w:rPr/>
            </w:pPr>
            <w:r>
              <w:rPr/>
              <w:t>​</w:t>
            </w:r>
          </w:p>
        </w:tc>
      </w:tr>
      <w:tr>
        <w:trPr/>
        <w:tc>
          <w:tcPr>
            <w:tcW w:w="4690"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NET LOSS ATTRIBUTABLE TO ATN INTERNATIONAL, INC. STOCKHOLDERS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(26,429)</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(14,538)</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(11,891)</w:t>
            </w:r>
          </w:p>
        </w:tc>
        <w:tc>
          <w:tcPr>
            <w:tcW w:w="326" w:type="dxa"/>
            <w:tcBorders/>
            <w:vAlign w:val="center"/>
          </w:tcPr>
          <w:p>
            <w:pPr>
              <w:pStyle w:val="TableContents"/>
              <w:bidi w:val="0"/>
              <w:spacing w:before="1" w:after="1"/>
              <w:ind w:left="0" w:right="0" w:hanging="0"/>
              <w:jc w:val="left"/>
              <w:rPr/>
            </w:pPr>
            <w:r>
              <w:rPr/>
              <w:t> </w:t>
            </w:r>
          </w:p>
        </w:tc>
        <w:tc>
          <w:tcPr>
            <w:tcW w:w="83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81.8</w:t>
            </w:r>
          </w:p>
        </w:tc>
        <w:tc>
          <w:tcPr>
            <w:tcW w:w="40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Communications services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Mobility Revenue. </w:t>
      </w:r>
      <w:r>
        <w:rPr>
          <w:rFonts w:ascii="Times New Roman;Times;serif" w:hAnsi="Times New Roman;Times;serif"/>
          <w:sz w:val="20"/>
          <w:shd w:fill="FFFFFF" w:val="clear"/>
        </w:rPr>
        <w:t>Our Mobility revenue consists of revenue generated within both our International Telecom and US Telecom segments by providing business and retail mobile voice and data services over our wireless networks as well as through the sale and repair services of related equipment, such as handsets and other accessories, to our subscribers.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Mobility revenue decreased by $2.5 million, or 2.2%, to $110.0 million for the year ended December 31, 2024 from $112.5 million for the year ended December 31, 2023. Of this decrease, Mobility revenue from consumer customers decreased by $5.8 million while Mobility revenue from business customers increased by $3.3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decrease in Mobility revenue, within our segments, consisted of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xml:space="preserve">. Within our International Telecom segment, Mobility revenue decreased by $1.3 million, or 1.2%, to $107.2 million for the year ended December 31, 2024 from $108.5 million for the year ended December 31, 2023. Consumer mobility revenue decreased $4.8 million primarily related to a decrease in the demand for prepaid voice services partially offset by an increase in the demand for data services partially offset by a $3.5 million increase in business Mobility revenue as a result of improved marketing strategies which led to an increase in business subscribers.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US Telecom. </w:t>
            </w:r>
            <w:r>
              <w:rPr>
                <w:rFonts w:ascii="Times New Roman;Times;serif" w:hAnsi="Times New Roman;Times;serif"/>
                <w:b w:val="false"/>
                <w:i w:val="false"/>
                <w:caps w:val="false"/>
                <w:smallCaps w:val="false"/>
                <w:sz w:val="20"/>
              </w:rPr>
              <w:t>Mobility revenue within our US Telecom segment decreased by $1.2 million, or 30.0%, to $2.8 million from $4.0 million for the years ended December 31, 2024 and 2023, respectively. This decrease related to the conclusion of the Company providing retail mobility services under its own brand name to retail customers.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Mobility revenue within our International Telecom may decrease as a result of increased competition and regulatory changes partially offset by our continued network upgrades, marketing efforts and conversion of our current subscriber base to higher margin prepaid and postpaid plans.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that Mobility revenue within our US Telecom segment will decrease as we no longer provide retail mobility services under our brand.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Fixed Revenue. </w:t>
      </w:r>
      <w:r>
        <w:rPr>
          <w:rFonts w:ascii="Times New Roman;Times;serif" w:hAnsi="Times New Roman;Times;serif"/>
          <w:sz w:val="20"/>
        </w:rPr>
        <w:t>Fixed revenue is primarily generated by broadband, voice, and video service revenues provided to retail and business customers over our wireline networks. Fixed revenue within our US Telecom segment also includes awards from the Connect America Fund Phase II program, the Enhanced Alternative Connect America Cost Model program, and the Alaska Universal Service Fund. In addition, and through early April 2024, Fixed revenue within the US Telecom segment also included revenue from the Emergency Connectivity Fund (ECF) and Affordable Care Program (ACP). Within our International Telecom segment, Fixed revenue includes funding under the FCC’s High- Cost Program in the US Virgin Islands.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Fixed revenue decreased by $14.4 million, or 3.0%, to $458.4 million from $472.8 million for the years ended December 31, 2024 and 2023, respectively. Of this decrease, $0.6 million pertained to an increase in Fixed revenue from consumer customers while Fixed revenue from business customers declined by $15.0 million, respectively. The net decrease in Fixed revenue,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xml:space="preserve">. Within our International Telecom segment, Fixed revenue increased by $7.0 million, or 2.9%, to $246.2 million from $239.2 million for the years ended December 31, 2024 and 2023, respectively. Of this increase, $4.1 million and $2.9 million related to increases in revenue from consumer and business customers, respectively. This increase was a result of network upgrades and expansions which allowed us to increase consumer and business customers. </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Fixed revenue within our US Telecom segment decreased by $21.4 million, or 9.2%, to $212.2 million from $233.6 million for the years ended December 31, 2024 and 2023, respectively. Of this decrease, $3.5 million and $17.9 million related to decreases in revenue from consumer and business customers, respectively, primarily as a result of the conclusion of the Emergency Connectivity Fund and Affordable Care Programs, both of which provided revenue through April 2024.</w:t>
            </w:r>
          </w:p>
        </w:tc>
      </w:tr>
    </w:tbl>
    <w:p>
      <w:pPr>
        <w:pStyle w:val="TextBody"/>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Fixed revenue within our International Telecom segment may continue to increase as we expect the popularity of video and audio streaming, the demand for cloud services and smart home, business and city solutions to increase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for broadband and other data services from consumers, businesses and governments. However, such increases may be offset by a decrease in demand for our legacy services due to subscribers using alternative methods to receive video and audio content.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Within our US Telecom segment, we expect Fixed revenue to decrease in the short term as a result of the impact of the expiration of the Emergency Connectivity Fund and Affordable Care Program. Over time, we expect these decreases to be partially offset by increases in other business revenue in Alaska and our western United States operations as we further deploy fiber and fiber-fed broadband with organic and government grants to access to both consumers and businesses.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Carrier Services Revenue. </w:t>
      </w:r>
      <w:r>
        <w:rPr>
          <w:rFonts w:ascii="Times New Roman;Times;serif" w:hAnsi="Times New Roman;Times;serif"/>
          <w:sz w:val="20"/>
          <w:shd w:fill="FFFFFF" w:val="clear"/>
        </w:rPr>
        <w:t>Carrier Services revenue is generated by both our International Telecom and US Telecom segments</w:t>
      </w:r>
      <w:r>
        <w:rPr>
          <w:rFonts w:ascii="Times New Roman;Times;serif" w:hAnsi="Times New Roman;Times;serif"/>
          <w:b/>
          <w:sz w:val="20"/>
          <w:shd w:fill="FFFFFF" w:val="clear"/>
        </w:rPr>
        <w:t>. </w:t>
      </w:r>
      <w:r>
        <w:rPr>
          <w:rFonts w:ascii="Times New Roman;Times;serif" w:hAnsi="Times New Roman;Times;serif"/>
          <w:sz w:val="20"/>
          <w:shd w:fill="FFFFFF" w:val="clear"/>
        </w:rPr>
        <w:t>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Carrier Managed Services Agreement, wholesale roaming revenues, the provision of network switching services, tower lease revenue and other services provided to other carriers.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Carrier Services revenue decreased by $9.6 million, or 6.7%, to $133.3 million from $142.9 million for the years ended December 31, 2024 and 2023, respectively. The decrease,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International Telecom. </w:t>
            </w:r>
            <w:r>
              <w:rPr>
                <w:rFonts w:ascii="Times New Roman;Times;serif" w:hAnsi="Times New Roman;Times;serif"/>
                <w:b w:val="false"/>
                <w:i w:val="false"/>
                <w:caps w:val="false"/>
                <w:smallCaps w:val="false"/>
                <w:sz w:val="20"/>
              </w:rPr>
              <w:t>Within our International Telecom segment, Carrier Services revenue decreased by $1.0 million, or 6.8%, to $13.7 million, from $14.7 million for the years ended December 31, 2024 and 2023, respectively, primarily as a result of a decrease in roaming revenues in some of our international markets.</w:t>
            </w:r>
            <w:r>
              <w:rPr/>
              <w:t xml:space="preserve">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Carrier Services revenue within our US Telecom segment decreased by $8.6 million, or 6.7%, to $119.6 million from $128.2 million, for the years ended December 31, 2024 and 2023, respectively. This decrease is primarily the result of the transition of legacy roaming arrangements to carrier service management contracts.</w:t>
            </w:r>
          </w:p>
        </w:tc>
      </w:tr>
    </w:tbl>
    <w:p>
      <w:pPr>
        <w:pStyle w:val="TextBody"/>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Within our International Telecom segment, Carrier Services revenue may increase if international travel increases. Such increases, however, may be partially offset by a decrease within our international long-distance business in Guyana as consumers seek to use alternative technology services to place long-distance calls.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Within our US Telecom segment, Carrier Services revenue may decrease as a result of the impact of recent carrier service management contracts.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Other Communications Services Revenue. </w:t>
      </w:r>
      <w:r>
        <w:rPr>
          <w:rFonts w:ascii="Times New Roman;Times;serif" w:hAnsi="Times New Roman;Times;serif"/>
          <w:sz w:val="20"/>
        </w:rPr>
        <w:t xml:space="preserve">Other Communications Services revenue includes miscellaneous services that the operations within our International Telecom segment provide to retail subscribers and project-related revenue generated within both our International and US Telecom segments. Other Communications Services revenue decreased $0.8 million, or 11.6%, to $6.1 million from $6.9 million for the years ended December 31, 2024 and 2023, respectively, as a result of a $2.3 million reduction in certain non-recurring project-related revenue being recognized in our US Telecom segment partially offset by an increase in such revenue in our International Telecom segment.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Other Communication Services revenue may decline in future periods as such non-recurring projects are completed.</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Construction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Construction revenue represents revenue generated within our US Telecom segment for the construction of network cell sites related to the FirstNet Agreement. During the years ended December 31, 2024 and 2023, Construction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decreased to $3.9 million from $10.6 million, respectively, as a result of customer-related delays which decreased the number of sites completed during 2024 as compared to 2023. We expect to substantially complete the build by the end of 2025.</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Managed Services Revenue. </w:t>
      </w:r>
      <w:r>
        <w:rPr>
          <w:rFonts w:ascii="Times New Roman;Times;serif" w:hAnsi="Times New Roman;Times;serif"/>
          <w:sz w:val="20"/>
        </w:rPr>
        <w:t xml:space="preserve">Managed Services revenue is generated within both our International and US Telecom segments and includes network, application, infrastructure, and hosting services.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Managed Services revenue increased by $0.9 million, or 5.5%, to $17.4 million from $16.5 million for the years ended December 31, 2024 and 2023, respectively. The increases, within our segments, which were driven by a continued effort to sell Managed Services solution to primarily business customers, consisted of the following:</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International Telecom.</w:t>
      </w:r>
      <w:r>
        <w:rPr>
          <w:rFonts w:ascii="Times New Roman;Times;serif" w:hAnsi="Times New Roman;Times;serif"/>
          <w:sz w:val="20"/>
        </w:rPr>
        <w:t xml:space="preserve"> Managed Services revenue in our International Telecom segment increased $0.4 million, or 7.5%, to $5.7 million from $5.3 million for the years ended December 31, 2024 and 2023,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US Telecom</w:t>
      </w:r>
      <w:r>
        <w:rPr>
          <w:rFonts w:ascii="Times New Roman;Times;serif" w:hAnsi="Times New Roman;Times;serif"/>
          <w:sz w:val="20"/>
        </w:rPr>
        <w:t>. Within our US Telecom segment, Managed Services revenue increased $0.5 million, or 4.5%, to $11.7 million from $11.2 million for the years ended December 31, 2024 and 2023, respectively.</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Managed Services revenue may continue to increase in both our US and International Telecom segments as a result of our continued effort to sell certain Managed Services solutions to primarily business customers in all of our markets.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Cost of communication services and other. </w:t>
      </w:r>
      <w:r>
        <w:rPr>
          <w:rFonts w:ascii="Times New Roman;Times;serif" w:hAnsi="Times New Roman;Times;serif"/>
          <w:sz w:val="20"/>
          <w:shd w:fill="FFFFFF" w:val="clear"/>
        </w:rPr>
        <w:t>Cost of communication services and other are charges that we incur 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Cost of communication services and other decreased by $7.4 million, or 2.3%, to $312.3 million from $319.7 million for the years ended December 31, 2024 and 2023, respectively. The net decrease in cost of communication services and other,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caps w:val="false"/>
                <w:smallCaps w:val="false"/>
              </w:rPr>
              <w:t xml:space="preserve"> </w:t>
            </w:r>
            <w:r>
              <w:rPr>
                <w:rFonts w:ascii="Times New Roman;Times;serif" w:hAnsi="Times New Roman;Times;serif"/>
                <w:b w:val="false"/>
                <w:i w:val="false"/>
                <w:caps w:val="false"/>
                <w:smallCaps w:val="false"/>
                <w:sz w:val="20"/>
              </w:rPr>
              <w:t>Within our International Telecom segment, cost of communication services and other decreased by $5.7 million, or 4.0%, to $136.1 million from $141.8 million, for the years ended December 31, 2024 and 2023, respectively. This segment decreased its cost of communication services and other expenses as a result of the impact of cost savings initiatives, including reorganizations and reductions in force and contract terminations, that were implemented in the current and previous periods partially offset by an increase in these costs to support this segment’s revenue growth.</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Cost of communication services and other within our US Telecom segment decreased by $2.5 million, or 1.4%, to $176.3 million from $178.8 million for the years ended December 31, 2024 and 2023, respectively. Such decrease was a result of the beneficial impact of certain cost savings initiatives, including reorganizations and reductions in force and contract terminations, that were implemented in the current and previous periods as well as a reduction in the costs associated with the Emergency Connectivity Fund program which was terminated during the second quarter of 2024. These decreases were partially offset by an increase in transport and cell site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Cost of communication services in both our International and US Telecom segments may decrease as a result of the ongoing cost reduction initiatives that commenced in previous periods, but such decrease may be partially offset by future inflationary pressure.</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Cost of construction revenue.</w:t>
      </w:r>
      <w:r>
        <w:rPr>
          <w:rFonts w:ascii="Times New Roman;Times;serif" w:hAnsi="Times New Roman;Times;serif"/>
          <w:sz w:val="20"/>
        </w:rPr>
        <w:t xml:space="preserve"> Cost of construction revenue includes the expenses incurred in connection with the construction of and the delivery to AT&amp;T of cell sites in accordance with our FirstNet Agreement. During the years ended December 31, 2024 and 2023, cost of construction revenue decreased to $3.9 million from $10.3 million as a result of a decrease in the number of sites completed during 2024 as compared to 2023. We expect to substantially complete the build by the end of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Selling, general and administrative expenses. </w:t>
      </w:r>
      <w:r>
        <w:rPr>
          <w:rFonts w:ascii="Times New Roman;Times;serif" w:hAnsi="Times New Roman;Times;serif"/>
          <w:sz w:val="20"/>
        </w:rPr>
        <w:t>Selling, general and administrative expenses include salaries and 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decreased by $13.8 million, or 5.7%, to $228.9 million from $242.7 million for the years ended December 31, 2024 and 2023, respectively. The net decrease in selling, general and administrative expenses,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our selling, general and administrative expenses increased by $1.2 million, or 1.1%, to $114.2 million from $113.0 million for the years ended December 31, 2024 and 2023, respectively. This increase was the result of an increase in marketing costs incurred in connection with the rebranding of our operations in certain markets partially offset by the beneficial impact of certain cost savings initiatives, including reorganizations and reductions in force and contract terminations, that were implemented in the current and previous periods.</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Selling, general and administrative expenses decreased within our US Telecom segment by $10.7 million, or 10.4%, to $91.7 million from $102.4 million, for the years ended December 31, 2024 and 2023, respectively. This decrease was primarily related to certain cost savings initiatives, including reorganizations and reductions in force and contract terminations, that were implemented in the current and previous periods.</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Corporate Overhead. </w:t>
            </w:r>
            <w:r>
              <w:rPr>
                <w:rFonts w:ascii="Times New Roman;Times;serif" w:hAnsi="Times New Roman;Times;serif"/>
                <w:b w:val="false"/>
                <w:i w:val="false"/>
                <w:caps w:val="false"/>
                <w:smallCaps w:val="false"/>
                <w:sz w:val="20"/>
              </w:rPr>
              <w:t>Selling, general and administrative expenses within our corporate overhead decreased by $4.3 million, or 15.8%, to $23.0 million from $27.3 million, for the years ended December 31, 2024 and 2023, respectively, primarily related to certain cost savings initiatives that were implemented in the current and previous periods.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in all our segments may continue to decrease as a result of the ongoing cost reduction initiatives that commenced in previous periods, but such decrease may be partially offset by future inflationary pressure.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Stock-based compensation. </w:t>
      </w:r>
      <w:r>
        <w:rPr>
          <w:rFonts w:ascii="Times New Roman;Times;serif" w:hAnsi="Times New Roman;Times;serif"/>
          <w:sz w:val="20"/>
        </w:rPr>
        <w:t>Stock-based compensation represents a non-cash expense related to the amortization of grants of equity awards to employees and directors.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Stock-based compensation for the years ended December 31, 2024 and 2023 was $8.2 million and $8.5 million,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Transaction-related charges.</w:t>
      </w:r>
      <w:r>
        <w:rPr>
          <w:rFonts w:ascii="Times New Roman;Times;serif" w:hAnsi="Times New Roman;Times;serif"/>
          <w:sz w:val="20"/>
        </w:rPr>
        <w:t>  Transaction-related charges include the external costs, such as legal, tax, 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incurred $4.8 million, primarily related to the extinguishment of the 2022 Alaska Credit Facility, as defined below, during the year ended December 31, 2024. We incurred $0.6 million of transaction-related charges during the year ended December 31, 2023.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Restructuring expenses and reorganization expenses. </w:t>
      </w:r>
      <w:r>
        <w:rPr>
          <w:rFonts w:ascii="Times New Roman;Times;serif" w:hAnsi="Times New Roman;Times;serif"/>
          <w:sz w:val="20"/>
        </w:rPr>
        <w:t>In our efforts to advance our cost management actions to drive higher operating efficiencies and margins, we incurred certain reductions in force and contract termination costs totaling $1.5 million, $1.1 million and $0.9 million within our International Telecom segment, US Telecom segment and Corporate and Other segment, respectively, during the year ended December 31, 2024.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2023, we incurred $7.7 million and $3.5 million of restructuring expenses within our International Telecom and US Telecom segment,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Depreciation and amortization expenses.</w:t>
      </w:r>
      <w:r>
        <w:rPr>
          <w:rFonts w:ascii="Times New Roman;Times;serif" w:hAnsi="Times New Roman;Times;serif"/>
          <w:sz w:val="20"/>
        </w:rPr>
        <w:t>  Depreciation and amortization expenses represent the depreciation and amortization charges we record on our property and equipment.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Depreciation and amortization expenses decreased by $3.3 million, or 2.3%, to $138.3 million from $141.6 million for the years ended December 31, 2024 and 2023, respectively.  The net decrease in depreciation and amortization expenses, within our segments, consisted primarily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Depreciation and amortization expenses increased within our International Telecom segment by $6.3 million, or 11.0%, to $63.7 million from $57.4 million, for the years ended December 31, 2024 and 2023, respectively. Increases were incurred in certain international markets as a result of recent capital expenditures used to expand and upgrade our network operations.</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Depreciation and amortization expenses decreased within our US Telecom segment by $7.6 million, or 9.3%, to $74.0 million from $81.6 million, for the years ended December 31, 2024 and 2023, respectively, primarily as a result of a decrease in capital expenditures and certain assets becoming fully depreciated in recent periods.</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Overhead</w:t>
            </w:r>
            <w:r>
              <w:rPr>
                <w:rFonts w:ascii="Times New Roman;Times;serif" w:hAnsi="Times New Roman;Times;serif"/>
                <w:b w:val="false"/>
                <w:i w:val="false"/>
                <w:caps w:val="false"/>
                <w:smallCaps w:val="false"/>
                <w:sz w:val="20"/>
              </w:rPr>
              <w:t>. Depreciation and amortization expenses decreased within our corporate overhead by $2.0 million, or 76.9%, to $0.6 million from $2.6 million, for the years ended December 31, 2024 and 2023, respectively, primarily as a result of certain assets becoming fully depreciated in recent periods.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depreciation and amortization expenses to decrease as a result of a decline in capital expenditures and as a result of some of our previously acquired assets becoming fully depreciated in recent periods.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Amortization of intangibles from acquisitions.</w:t>
      </w:r>
      <w:r>
        <w:rPr>
          <w:rFonts w:ascii="Times New Roman;Times;serif" w:hAnsi="Times New Roman;Times;serif"/>
          <w:sz w:val="20"/>
        </w:rPr>
        <w:t xml:space="preserve"> Amortization of intangibles from acquisitions include the amortization of customer relationships and trade names related to our completed acquisitions.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Amortization of intangibles from acquisitions decreased by $4.7 million to $7.9 million from $12.6 million for the years ended December 31, 2024 and 2023,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that amortization of intangibles from acquisitions will decrease in future periods as such costs continue to amortize.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(Gain) loss on disposition of assets and transfers</w:t>
      </w:r>
      <w:r>
        <w:rPr>
          <w:rFonts w:ascii="Times New Roman;Times;serif" w:hAnsi="Times New Roman;Times;serif"/>
          <w:sz w:val="20"/>
        </w:rPr>
        <w:t>. During the year ended December 31, 2024, we recorded a net gain on the disposition of assets of $13.3 million. This net gain is comprised of a $15.5 million gain, primarily related to the sale of real estate, within our International Telecom segment and a $0.6 million gain pertaining to the previously completed disposition of our renewable energy assets within our Corporate and Overhead segment. These gains were partially offset by a $2.5 million loss, within our US Telecom segment, primarily related to the transfer of certain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2023, we recorded a net loss on the disposition of long-lived assets of $1.7 million representing a $4.3 million loss in our US Telecom segment primarily relating to the recognition of contingent consideration related to the Sacred Wind Transaction partially offset by a $2.6 million gain pertaining to a settlement of the Vibrant Transaction.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Goodwill impairment.</w:t>
      </w:r>
      <w:r>
        <w:rPr>
          <w:rFonts w:ascii="Times New Roman;Times;serif" w:hAnsi="Times New Roman;Times;serif"/>
          <w:sz w:val="20"/>
          <w:shd w:fill="FFFFFF" w:val="clear"/>
        </w:rPr>
        <w:t xml:space="preserve"> During the quarter ended September 30, 2024, we completed our impairment assessment for our US Telecom segment after identifying events that indicated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a result of that analysis, we recorded an impairment of $35.3 million during the quarter ended September 30,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income.</w:t>
      </w:r>
      <w:r>
        <w:rPr>
          <w:rFonts w:ascii="Times New Roman;Times;serif" w:hAnsi="Times New Roman;Times;serif"/>
          <w:sz w:val="20"/>
        </w:rPr>
        <w:t xml:space="preserve"> Interest income represents interest earned on our cash, cash equivalents, restricted cash and short-term investment balances. Interest income was $1.2 million and $0.5 million for the years ended December 31, 2024 and 2023, respectively. Such increase was the result of increased cash, cash equivalents and restricted cash balances in addition to an increase in interest rates we earned on those balances.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expense.</w:t>
      </w:r>
      <w:r>
        <w:rPr>
          <w:rFonts w:ascii="Times New Roman;Times;serif" w:hAnsi="Times New Roman;Times;serif"/>
          <w:sz w:val="20"/>
        </w:rPr>
        <w:t>   We incur interest expense on the 2023 CoBank Credit Facility, the 2022 and 2024 Alaska Credit Facilities, the FirstNet Receivables Credit Facility, the OneGY Credit Facilities, the Sacred Wind Term Debt and the Viya Debt. In addition, interest expense includes commitment fees, letter of credit fees and the amortization of debt issuance costs.</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Interest expense increased to $49.5 million from $42.7 million for the years ended December 31, 2024 and 2023, respectively, as additional interest expense was incurred as a result of an increase in borrowings under our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Interest expense may increase in future periods as a result of additional borrowings or an increase in interest rates on those borrowings.</w:t>
      </w:r>
    </w:p>
    <w:p>
      <w:pPr>
        <w:pStyle w:val="TextBody"/>
        <w:bidi w:val="0"/>
        <w:spacing w:before="280" w:after="0"/>
        <w:ind w:left="0" w:right="0" w:firstLine="720"/>
        <w:jc w:val="left"/>
        <w:rPr>
          <w:rFonts w:ascii="Times New Roman;Times;serif" w:hAnsi="Times New Roman;Times;serif"/>
          <w:sz w:val="20"/>
        </w:rPr>
      </w:pPr>
      <w:bookmarkStart w:id="68" w:name="SCHEDULEII_169963"/>
      <w:bookmarkEnd w:id="68"/>
      <w:r>
        <w:rPr>
          <w:rFonts w:ascii="Times New Roman;Times;serif" w:hAnsi="Times New Roman;Times;serif"/>
          <w:b/>
          <w:sz w:val="20"/>
        </w:rPr>
        <w:t>Other income (expense).</w:t>
      </w:r>
      <w:r>
        <w:rPr>
          <w:rFonts w:ascii="Times New Roman;Times;serif" w:hAnsi="Times New Roman;Times;serif"/>
          <w:sz w:val="20"/>
        </w:rPr>
        <w:t>   For the year ended December 31, 2024, other income (expense) was $1.8 million of expense primarily related to $1.9 million in losses on foreign currency transactions, $0.8 million of expense on the extinguishment of the 2022 Alaska Credit Facility, as defined below, and $0.2 million of expenses incurred for certain employee benefit plans. These expenses were partially offset by $0.4 million of gains from our noncontrolling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 ended December 31, 2023, other income (expenses) was $1.5 million of income primarily related to $2.8 million of gains from our noncontrolling investments partially offset by $1.4 million of losses on foreign currency transactions.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xml:space="preserve"> Our effective tax rate for the years ended December 31, 2024 and 2023 was 37.5% and 31.9%,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effective tax rate for the year ended December 31, 2024 was primarily impacted by the following items: (i) a $7.1 million net benefit associated with the change in unrecognized tax positions, (ii) a $6.7 million net expense related to valuation allowances placed on certain deferred tax assets, (iii) a $3.4 million expense associated with Global Intangible Low Tax Income inclusion, (iv) a $3.8 million benefit related to state income taxes, net of federal benefit, and (v) a $12.3 million benefit associated with the mix of income generated among the foreign jurisdictions in which we operate.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Our effective tax rate for the year ended December 31, 2023 was primarily impacted by the following items: (i) a $2.8 million net increase of unrecognized tax positions, (ii) a $2.5 million net increase related to valuation allowances placed on certain deferred tax assets and (iii) the mix of income generated among the jurisdictions in which we operate along with the exclusion of losses in jurisdictions where valuation allowances have been established for deferred tax assets as required by ASC 740-270-30-36(a), primarily in the US Virgin Islands.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pStyle w:val="TextBody"/>
        <w:bidi w:val="0"/>
        <w:spacing w:before="280" w:after="0"/>
        <w:ind w:left="0" w:right="0" w:firstLine="720"/>
        <w:jc w:val="left"/>
        <w:rPr>
          <w:rFonts w:ascii="Times New Roman;Times;serif" w:hAnsi="Times New Roman;Times;serif"/>
          <w:sz w:val="20"/>
        </w:rPr>
      </w:pPr>
      <w:bookmarkStart w:id="69" w:name="RegulatoryandTaxIssues"/>
      <w:bookmarkEnd w:id="69"/>
      <w:r>
        <w:rPr>
          <w:rFonts w:ascii="Times New Roman;Times;serif" w:hAnsi="Times New Roman;Times;serif"/>
          <w:b/>
          <w:sz w:val="20"/>
        </w:rPr>
        <w:t>Net loss attributable to noncontrolling interests, net of tax.</w:t>
      </w:r>
      <w:r>
        <w:rPr>
          <w:rFonts w:ascii="Times New Roman;Times;serif" w:hAnsi="Times New Roman;Times;serif"/>
          <w:sz w:val="20"/>
        </w:rPr>
        <w:t>  Net loss attributable to noncontrolling interests, net of tax reflected an allocation of $5.4 million and $4.2 million of losses generated by our less than wholly owned subsidiaries for the years ended December 31, 2024 and 2023, respectively. Changes in net loss attributable to noncontrolling interests, net of tax,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net income attributable to noncontrolling interests, net of tax increased by $5.7 million, or 80.3%, to an allocation of $12.8 million of income from an allocation of $7.1 million of income for the years ended December 31, 2024 and 2023, respectively, largely as the result of the $15.5 million gain we recorded on the disposition of assets, primarily real estate, and the result of increased profitability at certain less than wholly owned subsidiaries.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Within our US Telecom segment, n</w:t>
            </w:r>
            <w:r>
              <w:rPr>
                <w:rFonts w:ascii="Times New Roman;Times;serif" w:hAnsi="Times New Roman;Times;serif"/>
                <w:b w:val="false"/>
                <w:i w:val="false"/>
                <w:caps w:val="false"/>
                <w:smallCaps w:val="false"/>
                <w:sz w:val="20"/>
              </w:rPr>
              <w:t xml:space="preserve">et loss attributable to noncontrolling interests, net of tax increased by $7.0 million, or 61.9%, to an allocation of losses of $18.3 million from an allocation of losses of $11.3 million for the years ended December 31, 2024 and 2023, respectively, as a result of </w:t>
            </w:r>
            <w:r>
              <w:rPr>
                <w:rFonts w:ascii="Times New Roman;Times;serif" w:hAnsi="Times New Roman;Times;serif"/>
                <w:b w:val="false"/>
                <w:i w:val="false"/>
                <w:caps w:val="false"/>
                <w:smallCaps w:val="false"/>
                <w:sz w:val="20"/>
                <w:shd w:fill="FFFFFF" w:val="clear"/>
              </w:rPr>
              <w:t>increased losses at our less than wholly owned subsidiaries within this segment</w:t>
            </w:r>
            <w:r>
              <w:rPr>
                <w:rFonts w:ascii="Times New Roman;Times;serif" w:hAnsi="Times New Roman;Times;serif"/>
                <w:b w:val="false"/>
                <w:i w:val="false"/>
                <w:caps w:val="false"/>
                <w:smallCaps w:val="false"/>
                <w:sz w:val="20"/>
              </w:rPr>
              <w:t>. </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Net loss attributable to ATN International, Inc. stockholders.  </w:t>
      </w:r>
      <w:r>
        <w:rPr>
          <w:rFonts w:ascii="Times New Roman;Times;serif" w:hAnsi="Times New Roman;Times;serif"/>
          <w:sz w:val="20"/>
        </w:rPr>
        <w:t xml:space="preserve">Net loss attributable to ATN International, Inc. stockholders was $26.4 million for the year ended December 31, 2024 as compared to $14.5 million for the year ended December 31, 2023.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 per diluted share basis, net loss was $2.10 per diluted share for the year ended December 31, 2024 as compared to $1.25 per diluted share for the year ended December 31, 2023. Such per share amounts were negatively impacted by accrued preferred dividends of $5.6 million and $4.9 million for the years ended December 31, 2024 and 2023, respectively.</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Regulatory and Tax Issues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are involved in a number of regulatory and tax proceedings. A material and adverse outcome in one or more of these proceedings could have a material adverse impact on our financial condition and future operations. For discussion of ongoing proceedings, see Note 13 to the Consolidated Financial Statements in this Report.</w:t>
      </w:r>
      <w:r>
        <w:rPr>
          <w:rFonts w:ascii="Times New Roman;Times;serif" w:hAnsi="Times New Roman;Times;serif"/>
          <w:color w:val="212529"/>
          <w:sz w:val="20"/>
        </w:rPr>
        <w:t> </w:t>
      </w:r>
    </w:p>
    <w:p>
      <w:pPr>
        <w:pStyle w:val="TextBody"/>
        <w:bidi w:val="0"/>
        <w:spacing w:before="280" w:after="0"/>
        <w:ind w:left="0" w:right="0" w:hanging="0"/>
        <w:jc w:val="left"/>
        <w:rPr>
          <w:rFonts w:ascii="Times New Roman;Times;serif" w:hAnsi="Times New Roman;Times;serif"/>
          <w:sz w:val="20"/>
        </w:rPr>
      </w:pPr>
      <w:bookmarkStart w:id="70" w:name="LiquidityandCapitalResources_57204"/>
      <w:bookmarkEnd w:id="70"/>
      <w:r>
        <w:rPr>
          <w:rFonts w:ascii="Times New Roman;Times;serif" w:hAnsi="Times New Roman;Times;serif"/>
          <w:b/>
          <w:sz w:val="20"/>
        </w:rPr>
        <w:t>Liquidity and Capital Resources</w:t>
      </w:r>
      <w:r>
        <w:rPr>
          <w:rFonts w:ascii="Times New Roman;Times;serif" w:hAnsi="Times New Roman;Times;serif"/>
          <w:sz w:val="20"/>
        </w:rPr>
        <w: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availability under our current credit facilities will be sufficient to meet our cash needs for at least the next twelve months for working capital and capital expenditure requirements.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Total liquidity.  </w:t>
      </w:r>
      <w:r>
        <w:rPr>
          <w:rFonts w:ascii="Times New Roman;Times;serif" w:hAnsi="Times New Roman;Times;serif"/>
          <w:sz w:val="20"/>
        </w:rPr>
        <w:t>As of December 31, 2024, we had approximately $89.2 million in cash, cash equivalents, and restricted cash. Of this amount, $32.2 million was held by our foreign subsidiaries and is indefinitely invested outside the United States. In addition, we had approximately $557.4 million of debt, net of unamortized deferred financing costs, as of December 31, 2024. How and when we deploy our balance sheet capacity, including the availability under our various credit facilities (as further described below), will figure prominently in our longer-term growth prospects and stockholder returns.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Uses of Cash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Acquisitions and investments.  </w:t>
      </w:r>
      <w:r>
        <w:rPr>
          <w:rFonts w:ascii="Times New Roman;Times;serif" w:hAnsi="Times New Roman;Times;serif"/>
          <w:sz w:val="20"/>
        </w:rPr>
        <w:t>We have historically funded our acquisitions with a combination of cash-on-hand, borrowings under our credit facilities as well as equity investor and seller financings.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used in investing activities. </w:t>
      </w:r>
      <w:r>
        <w:rPr>
          <w:rFonts w:ascii="Times New Roman;Times;serif" w:hAnsi="Times New Roman;Times;serif"/>
          <w:sz w:val="20"/>
        </w:rPr>
        <w:t xml:space="preserve">Cash used in investing activities decreased by $61.3 million to $103.8 million from $165.1 million for the years ended December 31, 2024 and 2023, respectively. This year-over-year decrease in cash used in investing activities was primarily the result of a $63.9 million increase in cash inflows related to the reimbursement of capital expenditures under certain government programs, a decrease in cash used for non- reimbursable capital expenditures of $52.9 million and the 2024 sale of certain assets, primarily real estate within our International Telecom segment, which generated $18.6 million in cash proceeds. These amounts were partially offset by the increase in cash outflows for reimbursable capital expenditures of $75.6 million.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Working Capital.  </w:t>
      </w:r>
      <w:r>
        <w:rPr>
          <w:rFonts w:ascii="Times New Roman;Times;serif" w:hAnsi="Times New Roman;Times;serif"/>
          <w:sz w:val="20"/>
        </w:rPr>
        <w:t>We have funded our working capital needs through a combination of internally generated funds 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year ended December 31, 2024, we spent approximately $110.4 million for capital expenditures and $108.5 million for capital expenditures that are reimbursable under certain government programs. For the year ended December 31, 2023, we spent approximately $163.3 million for capital expenditures and $32.9 million for capital expenditures that are reimbursable under certain government programs. The following notes our capital expenditures, by operating segment, for these periods (in thousands):</w:t>
      </w:r>
    </w:p>
    <w:tbl>
      <w:tblPr>
        <w:tblW w:w="7865" w:type="dxa"/>
        <w:jc w:val="left"/>
        <w:tblInd w:w="0" w:type="dxa"/>
        <w:tblLayout w:type="fixed"/>
        <w:tblCellMar>
          <w:top w:w="0" w:type="dxa"/>
          <w:left w:w="0" w:type="dxa"/>
          <w:bottom w:w="0" w:type="dxa"/>
          <w:right w:w="0" w:type="dxa"/>
        </w:tblCellMar>
      </w:tblPr>
      <w:tblGrid>
        <w:gridCol w:w="2026"/>
        <w:gridCol w:w="109"/>
        <w:gridCol w:w="326"/>
        <w:gridCol w:w="1066"/>
        <w:gridCol w:w="109"/>
        <w:gridCol w:w="326"/>
        <w:gridCol w:w="706"/>
        <w:gridCol w:w="109"/>
        <w:gridCol w:w="326"/>
        <w:gridCol w:w="1231"/>
        <w:gridCol w:w="109"/>
        <w:gridCol w:w="326"/>
        <w:gridCol w:w="109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86510" cy="175260"/>
                      <wp:effectExtent l="0" t="0" r="0" b="0"/>
                      <wp:wrapNone/>
                      <wp:docPr id="80" name="Frame78"/>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76910" cy="175260"/>
                      <wp:effectExtent l="0" t="0" r="0" b="0"/>
                      <wp:wrapNone/>
                      <wp:docPr id="83" name="Frame8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48310" cy="175260"/>
                      <wp:effectExtent l="0" t="0" r="0" b="0"/>
                      <wp:wrapNone/>
                      <wp:docPr id="86" name="Frame8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81685" cy="175260"/>
                      <wp:effectExtent l="0" t="0" r="0" b="0"/>
                      <wp:wrapNone/>
                      <wp:docPr id="89" name="Frame8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5960" cy="175260"/>
                      <wp:effectExtent l="0" t="0" r="0" b="0"/>
                      <wp:wrapNone/>
                      <wp:docPr id="92" name="Frame9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3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Capital</w:t>
            </w:r>
            <w:r>
              <w:rPr>
                <w:rFonts w:ascii="Times New Roman;Times;serif" w:hAnsi="Times New Roman;Times;serif"/>
                <w:sz w:val="16"/>
              </w:rPr>
              <w:t> </w:t>
            </w:r>
            <w:r>
              <w:rPr>
                <w:rFonts w:ascii="Times New Roman;Times;serif" w:hAnsi="Times New Roman;Times;serif"/>
                <w:b/>
                <w:sz w:val="16"/>
              </w:rPr>
              <w:t>Expenditures</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76,379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86,918</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163,297</w:t>
            </w:r>
          </w:p>
        </w:tc>
      </w:tr>
    </w:tbl>
    <w:tbl>
      <w:tblPr>
        <w:tblW w:w="7847" w:type="dxa"/>
        <w:jc w:val="left"/>
        <w:tblInd w:w="0" w:type="dxa"/>
        <w:tblLayout w:type="fixed"/>
        <w:tblCellMar>
          <w:top w:w="0" w:type="dxa"/>
          <w:left w:w="0" w:type="dxa"/>
          <w:bottom w:w="0" w:type="dxa"/>
          <w:right w:w="0" w:type="dxa"/>
        </w:tblCellMar>
      </w:tblPr>
      <w:tblGrid>
        <w:gridCol w:w="346"/>
        <w:gridCol w:w="75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5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items refer to corporate overhead costs and consolidating adjustments.</w:t>
            </w:r>
          </w:p>
        </w:tc>
      </w:tr>
    </w:tbl>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continuing to invest in our telecommunication networks along with our operating and business support systems in many of our markets.  For the year ending December 31, 2025, such investments are expected to total approximately $90 million to $100 million of non-reimbursable capital expenditures and will primarily relate to network expansion and upgrades which are expected to further drive subscriber and revenue growth in future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We have historically used cash-on-hand to make payments for income taxes. Our policy is to 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Dividends.  </w:t>
      </w:r>
      <w:r>
        <w:rPr>
          <w:rFonts w:ascii="Times New Roman;Times;serif" w:hAnsi="Times New Roman;Times;serif"/>
          <w:sz w:val="20"/>
        </w:rPr>
        <w:t xml:space="preserve"> For the year ended December 31, 2024, our Board of Directors declared $14.7 million of dividends to our stockholders which includes a $0.24 per share dividend declared on December 18, 2024 and paid on January 8, 2025. We have declared quarterly dividends since the fourth quarter of 1998.</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Stock Repurchase Plan.</w:t>
      </w:r>
      <w:r>
        <w:rPr>
          <w:rFonts w:ascii="Times New Roman;Times;serif" w:hAnsi="Times New Roman;Times;serif"/>
          <w:sz w:val="20"/>
        </w:rPr>
        <w:t xml:space="preserve"> On December 14, 2023, our Board of Directors authorized the repurchase of up to $25.0 million of our common stock, from time to time, on the open market or in privately negotiated transactions (the “2023 Repurchase Plan”). The 2023 Repurchase Plan replaced the previously approved 2016 Repurchase Plan and, as of December 31, 2024, had $15.0 million available to repurchase shares of our common stock. During the years ended December 31, 2024 and 2023 (and prior to the effectiveness of the 2023 Repurchase Plan), we repurchased $10.0 million and $15.0 million of our common stock, respectively.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Sources of Cash</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provided by operations.  </w:t>
      </w:r>
      <w:r>
        <w:rPr>
          <w:rFonts w:ascii="Times New Roman;Times;serif" w:hAnsi="Times New Roman;Times;serif"/>
          <w:sz w:val="20"/>
        </w:rPr>
        <w:t>Cash provided by operating activities was $127.9 million for the year ended December 31, 2024 as compared to $111.6 million for the year ended December 31, 2023.  The increase of $16.3 million was primarily related to improvements in working capital.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provided by financing activities. </w:t>
      </w:r>
      <w:r>
        <w:rPr>
          <w:rFonts w:ascii="Times New Roman;Times;serif" w:hAnsi="Times New Roman;Times;serif"/>
          <w:sz w:val="20"/>
        </w:rPr>
        <w:t xml:space="preserve">Cash provided by financing activities was $2.9 million and $55.9 million during the years ended December 31, 2024 and 2023, respectively. The decrease in cash provided by financing activities of $52.9 million was primarily the result of an increase in cash used for debt repayments, net of borrowings, of $55.9 million, an increase in cash used to pay debt issuance costs of $2.7 million and an increase in cash used for the payment of dividends to our common stockholders of $1.5 million. These increases in cash used for </w:t>
      </w:r>
      <w:r>
        <w:rPr>
          <w:rFonts w:ascii="Times New Roman;Times;serif" w:hAnsi="Times New Roman;Times;serif"/>
          <w:sz w:val="20"/>
          <w:shd w:fill="FFFFFF" w:val="clear"/>
        </w:rPr>
        <w:t>financing activities was partially offset by a decrease in cash used to repurchase our common stock (including shares repurchased from employees and directors to satisfy certain tax withholding obligations) of $4.5 million.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2023 CoBank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13, 2023, we, along with certain of our subsidiaries as guarantors, entered into a new Credit Agreement with CoBank, ACB and a syndicate of other lenders (as may be amended from time to time, the “2023 CoBank Credit Facility”). On July 10, 2024, we amended the 2023 CoBank Credit Facility credit facility to add certain subsidiaries as guarantors and to provide further flexibility in order to accept certain grant and government program obligations.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 Upon the closing of the 2023 CoBank Credit Facility, we drew all of the 2023 CoBank Term Loan and approximately $13.6 million of the 2023 CoBank Revolving Loan. These borrowings were used to repay all of the $139.5 million of debt outstanding under the 2019 CoBank Credit Facility, as defined below, at close.</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pStyle w:val="TextBody"/>
        <w:shd w:fill="FFFFFF" w:val="clear"/>
        <w:bidi w:val="0"/>
        <w:spacing w:before="0" w:after="0"/>
        <w:ind w:left="0" w:right="0" w:firstLine="720"/>
        <w:jc w:val="left"/>
        <w:rPr/>
      </w:pPr>
      <w:r>
        <w:rPr/>
        <w:t>​</w:t>
      </w:r>
    </w:p>
    <w:tbl>
      <w:tblPr>
        <w:tblW w:w="8807" w:type="dxa"/>
        <w:jc w:val="left"/>
        <w:tblInd w:w="0" w:type="dxa"/>
        <w:tblLayout w:type="fixed"/>
        <w:tblCellMar>
          <w:top w:w="0" w:type="dxa"/>
          <w:left w:w="0" w:type="dxa"/>
          <w:bottom w:w="0" w:type="dxa"/>
          <w:right w:w="0" w:type="dxa"/>
        </w:tblCellMar>
      </w:tblPr>
      <w:tblGrid>
        <w:gridCol w:w="4501"/>
        <w:gridCol w:w="4306"/>
      </w:tblGrid>
      <w:tr>
        <w:trPr/>
        <w:tc>
          <w:tcPr>
            <w:tcW w:w="450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50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Payment Dates</w:t>
            </w:r>
          </w:p>
        </w:tc>
        <w:tc>
          <w:tcPr>
            <w:tcW w:w="430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Repayments</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2023 – June 30, 2025</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$812,500 (2.5%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2025 – June 30, 2026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$1,625,000 (5%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2026 – June 30, 2029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$2,437,500 (7.5% per annum)</w:t>
            </w:r>
          </w:p>
        </w:tc>
      </w:tr>
    </w:tbl>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Term Loan and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capitalized $4.5 million of fees associated with the 2023 CoBank Credit Facility which are being amortized over the life of the debt and $3.3 million were unamortized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$125.9 million outstanding under the 2023 CoBank Term Loan as of December 31, 2024. Under the 2023 CoBank Revolving Loan, we had $58.6 million outstanding and $111.4 million of availability as of December 31, 2024. We were in compliance with all financial covenants as of December 31,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October 2023, we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$(0.3) million and $(0.5) million as of December 31, 2024 and 2023, respectively.</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2019 CoBank Credit Facility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all outstanding borrowings under the 2019 CoBank Credit Facility were repaid in full.</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 fee ranging from 0.150% to 0.375% of the average daily unused portion of the 2019 CoBank Credit Facility over each calendar quarter.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Letter of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14, 2022, we entered into a General Agreement of Indemnity to issue performance Standby Letters of Credit on behalf of us and our subsidiaries. As of December 31, 2024, $30.9 million of Standby Letters of Credit had been issued under this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2024 Alaska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December 31, 2024, $300.0 million was outstanding under the 2024 Alaska Term Facility.</w:t>
      </w:r>
    </w:p>
    <w:p>
      <w:pPr>
        <w:pStyle w:val="TextBody"/>
        <w:bidi w:val="0"/>
        <w:spacing w:before="280" w:after="0"/>
        <w:ind w:left="0" w:right="0" w:firstLine="720"/>
        <w:jc w:val="left"/>
        <w:rPr/>
      </w:pPr>
      <w:r>
        <w:rPr/>
        <w:t> </w:t>
      </w:r>
      <w:r>
        <w:rPr>
          <w:rFonts w:ascii="Times New Roman;Times;serif" w:hAnsi="Times New Roman;Times;serif"/>
          <w:sz w:val="20"/>
        </w:rPr>
        <w:t xml:space="preserve">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December 31, 2024, there were no outstanding borrowings under the 2024 Alaska Revolving Facility and $1.0 million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 were issued. As a result, $89.0 million was available under the 2024 Alaska Revolving Facility as of December 31, 2024.</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2024 Alaska Credit Facility, we incurred $6.9 million of fees and rolled over $2.1 million of fees for the 2022 Alaska Credit Facility to be amortized over the life of the debt. Additionally, we expensed $3.8 million of costs as transaction-related charges and $0.7 million of as a loss on extinguishment of debt, included in other expense, within our statement of operations during the year ended December 31, 2024. As of December 31, 2024, we had $8.4 million of unamortized fees, which are being amortized over the life of the debt, associated with the 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maturity date for the 2024 Alaska Credit Facility is August 29, 2029.</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outstanding under the 2024 Alaska Credit Facility bear an interest rate of the following:</w:t>
      </w:r>
    </w:p>
    <w:tbl>
      <w:tblPr>
        <w:tblW w:w="10205" w:type="dxa"/>
        <w:jc w:val="left"/>
        <w:tblInd w:w="0" w:type="dxa"/>
        <w:tblLayout w:type="fixed"/>
        <w:tblCellMar>
          <w:top w:w="0" w:type="dxa"/>
          <w:left w:w="0" w:type="dxa"/>
          <w:bottom w:w="0" w:type="dxa"/>
          <w:right w:w="0" w:type="dxa"/>
        </w:tblCellMar>
      </w:tblPr>
      <w:tblGrid>
        <w:gridCol w:w="814"/>
        <w:gridCol w:w="2375"/>
        <w:gridCol w:w="2459"/>
        <w:gridCol w:w="2681"/>
        <w:gridCol w:w="1876"/>
      </w:tblGrid>
      <w:tr>
        <w:trPr/>
        <w:tc>
          <w:tcPr>
            <w:tcW w:w="814" w:type="dxa"/>
            <w:tcBorders/>
            <w:vAlign w:val="center"/>
          </w:tcPr>
          <w:p>
            <w:pPr>
              <w:pStyle w:val="TableContents"/>
              <w:bidi w:val="0"/>
              <w:spacing w:before="1" w:after="1"/>
              <w:ind w:left="0" w:right="0" w:hanging="0"/>
              <w:jc w:val="left"/>
              <w:rPr/>
            </w:pPr>
            <w:r>
              <w:rPr/>
              <w:t>​</w:t>
            </w:r>
          </w:p>
        </w:tc>
        <w:tc>
          <w:tcPr>
            <w:tcW w:w="2375" w:type="dxa"/>
            <w:tcBorders/>
            <w:vAlign w:val="center"/>
          </w:tcPr>
          <w:p>
            <w:pPr>
              <w:pStyle w:val="TableContents"/>
              <w:bidi w:val="0"/>
              <w:spacing w:before="1" w:after="1"/>
              <w:ind w:left="0" w:right="0" w:hanging="0"/>
              <w:jc w:val="left"/>
              <w:rPr/>
            </w:pPr>
            <w:r>
              <w:rPr/>
              <w:t>​</w:t>
            </w:r>
          </w:p>
        </w:tc>
        <w:tc>
          <w:tcPr>
            <w:tcW w:w="2459" w:type="dxa"/>
            <w:tcBorders/>
            <w:vAlign w:val="center"/>
          </w:tcPr>
          <w:p>
            <w:pPr>
              <w:pStyle w:val="TableContents"/>
              <w:bidi w:val="0"/>
              <w:spacing w:before="1" w:after="1"/>
              <w:ind w:left="0" w:right="0" w:hanging="0"/>
              <w:jc w:val="left"/>
              <w:rPr/>
            </w:pPr>
            <w:r>
              <w:rPr/>
              <w:t>​</w:t>
            </w:r>
          </w:p>
        </w:tc>
        <w:tc>
          <w:tcPr>
            <w:tcW w:w="2681" w:type="dxa"/>
            <w:tcBorders/>
            <w:vAlign w:val="center"/>
          </w:tcPr>
          <w:p>
            <w:pPr>
              <w:pStyle w:val="TableContents"/>
              <w:bidi w:val="0"/>
              <w:spacing w:before="1" w:after="1"/>
              <w:ind w:left="0" w:right="0" w:hanging="0"/>
              <w:jc w:val="left"/>
              <w:rPr/>
            </w:pPr>
            <w:r>
              <w:rPr/>
              <w:t>​</w:t>
            </w:r>
          </w:p>
        </w:tc>
        <w:tc>
          <w:tcPr>
            <w:tcW w:w="1876" w:type="dxa"/>
            <w:tcBorders/>
            <w:vAlign w:val="center"/>
          </w:tcPr>
          <w:p>
            <w:pPr>
              <w:pStyle w:val="TableContents"/>
              <w:bidi w:val="0"/>
              <w:spacing w:before="1" w:after="1"/>
              <w:ind w:left="0" w:right="0" w:hanging="0"/>
              <w:jc w:val="left"/>
              <w:rPr/>
            </w:pPr>
            <w:r>
              <w:rPr/>
              <w:t>​</w:t>
            </w:r>
          </w:p>
        </w:tc>
      </w:tr>
      <w:tr>
        <w:trPr/>
        <w:tc>
          <w:tcPr>
            <w:tcW w:w="81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Tier / Level</w:t>
            </w:r>
          </w:p>
        </w:tc>
        <w:tc>
          <w:tcPr>
            <w:tcW w:w="237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Alaska Communications Total Net Leverage Ratio</w:t>
            </w:r>
          </w:p>
        </w:tc>
        <w:tc>
          <w:tcPr>
            <w:tcW w:w="2459"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Applicable Margin for Term SOFR Loans and L/C Participation Fees</w:t>
            </w:r>
          </w:p>
        </w:tc>
        <w:tc>
          <w:tcPr>
            <w:tcW w:w="26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Applicable Margin for Base Rate Loans and Reimbursement Obligations</w:t>
            </w:r>
          </w:p>
        </w:tc>
        <w:tc>
          <w:tcPr>
            <w:tcW w:w="187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Applicable Margin for Commitment Fees</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Greater than 4.00:1.00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4.50%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0.40%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Less than or equal to 4.00:1.00 but greater than 3.25:1.00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4.00%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0.35%</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Less than or equal to 3.25:1.00 but greater than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2.50%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0.30%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IV</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Less than or equal to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2.00%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100" w:after="10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pStyle w:val="TextBody"/>
        <w:bidi w:val="0"/>
        <w:spacing w:before="280" w:after="0"/>
        <w:ind w:left="0" w:right="0" w:firstLine="720"/>
        <w:jc w:val="left"/>
        <w:rPr/>
      </w:pPr>
      <w:r>
        <w:rPr/>
        <w:t> </w:t>
      </w:r>
      <w:r>
        <w:rPr>
          <w:rFonts w:ascii="Times New Roman;Times;serif" w:hAnsi="Times New Roman;Times;serif"/>
          <w:sz w:val="20"/>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pStyle w:val="TextBody"/>
        <w:bidi w:val="0"/>
        <w:spacing w:before="280" w:after="0"/>
        <w:ind w:left="0" w:right="0" w:firstLine="720"/>
        <w:jc w:val="left"/>
        <w:rPr/>
      </w:pPr>
      <w:r>
        <w:rPr/>
        <w:t> </w:t>
      </w:r>
      <w:r>
        <w:rPr>
          <w:rFonts w:ascii="Times New Roman;Times;serif" w:hAnsi="Times New Roman;Times;serif"/>
          <w:sz w:val="20"/>
        </w:rPr>
        <w:t xml:space="preserve">The 2024 Alaska Credit Facility is secured by substantially all of the personal property and certain material real property owned by Alaska Communications Systems Holdings, the parent company of Alaska Communications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(“Holdings”), the Borrower, and its wholly owned subsidiaries, excluding, among other things, certain federal and state licenses where a pledge is prohibited by applicable law or is permitted only with the consent of a governmental authority that has not been obtained.</w:t>
      </w:r>
    </w:p>
    <w:p>
      <w:pPr>
        <w:pStyle w:val="TextBody"/>
        <w:bidi w:val="0"/>
        <w:spacing w:before="280" w:after="0"/>
        <w:ind w:left="0" w:right="0" w:firstLine="720"/>
        <w:jc w:val="left"/>
        <w:rPr/>
      </w:pPr>
      <w:r>
        <w:rPr/>
        <w:t> </w:t>
      </w:r>
      <w:r>
        <w:rPr>
          <w:rFonts w:ascii="Times New Roman;Times;serif" w:hAnsi="Times New Roman;Times;serif"/>
          <w:sz w:val="20"/>
        </w:rPr>
        <w:t>The 2024 Alaska Credit Agreement contains usual and customary affirmative and negative covenants of the parties for credit facilities of this type or as otherwise deemed appropriate by the administrative agent, subject to customary exceptions and materiality standards. The 2024 Alaska Credit Agreement also contains certain customary covenants and events of default, as well as, in the event of an occurrence of an “Event of Default,” customary remedies for the lenders, including the acceleration of any amounts outstanding under the 2024 Alaska Credit Facility. Holdings and its wholly owned subsidiaries are guarantors of the Borrower’s obligations under the 2024 Alaska Credit Agreement. The Company is not a guarantor under the 2024 Alaska Credit Agreement, and the lenders have no recourse against the Company in the event of an occurrence of an “Event of Default.” Additionally, the 2024 Alaska Credit Agreement includes certain customary conditions that must be met for the Borrower to borrow under the 2024 Alaska Credit Agreement from time to time.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2022 Alaska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key terms and conditions of the 2022 Alaska Credit Facility included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Credit Agreement) or at an alternate base rate at a margin that is 1% lower than the counterpart SOFR margin;</w:t>
            </w:r>
          </w:p>
        </w:tc>
      </w:tr>
    </w:tbl>
    <w:p>
      <w:pPr>
        <w:pStyle w:val="TextBody"/>
        <w:bidi w:val="0"/>
        <w:spacing w:before="0" w:after="0"/>
        <w:ind w:left="0" w:right="0" w:firstLine="720"/>
        <w:jc w:val="left"/>
        <w:rPr/>
      </w:pPr>
      <w:r>
        <w:rPr/>
        <w:t>​</w:t>
      </w:r>
    </w:p>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repayments of $1.4 million were made quarterly commencing with the fourth quarter of 2023;</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Alaska Credit Facility was non-recourse to us and was secured by substantially all of the personal property and certain material real property owned by Alaska Communications.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29, 2024, all outstanding amounts under the 2022 Alaska Credit Facility were repaid in full using the proceeds received upon the completion of the 2024 Alaska Credit Facility.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15, 2022, Holdings entered into a secured lending arrangement with Bristol Bay Industrial, LLC (the “Alaska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three months ended June 30, 2024.</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Interest Rate Swap Agreements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2023, Alaska Communications entered into two forward starting 1-month floating to fixed SOFR interest rate swap agreements. The total non-amortizing notional amount of the agreements is $200 million, with fixed SOFR rates of 4.8695% and 4.8980% and both agreements mature on June 30, 2025. The swap agreements had an aggregate fair value of $(0.5) and $(1.2) million as of December 31, 2024 and 2023, respectively.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FirstNet Receivables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March 26, 2020, Commnet Finance, a wholly owned subsidiary of Commnet Wireless, entered into a receivables credit facility with us, Commnet Wireless, and CoBank, ACB (the “Receivables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December 27, 2024, CoBank amended the Receivables Credit Facility and extended the delayed draw period to December 31,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maturity date for each loan will be set by CoBank and will match the weighted average maturity of the certain receivables financed.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on the loans accrue at a fixed annual interest rate to be quoted by CoBank.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Receivables Credit Facility contains customary events of termination, representations and warranties, affirmative and negative covenants and events of default customary for facilities of this type.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2024, Commnet Wireless had $44.6 million outstanding, of which $8.0 million was classified as being current and $36.6 million as long-term on our balance sheet, and $9.2 million of availability under the Receivables Credit Facility. Commnet Wireless capitalized $0.8 million in fees associated with the Receivables Credit Facility which are being amortized over the life of the debt and $0.4 million were unamortized as of December 31, 2024.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OneGY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October 12, 2022 , OneGY entered into a $2.9 million term facility and a $5.7 million overdraft facility (the “Guyana Credit Facilities”) with Republic Bank (Guyana) Limited.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Guyana Credit Facilities were secured by real estate assets and carried a fixed interest rate of 7.5%. On November 29, 2024, the overdraft facility and term facility were canceled at the request of OneGY and there were no outstanding amounts at that time.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Sacred Wind Term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2024. Sacred Wind submitted a corrective action plan to comply with the financial covenant by December 31, 2028. The corrective action plan was accepted by the RUS and, as of December 31, 2024, we were in compliance with that corrective action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$24.9 million was outstanding under the Sacred Wind Term Debt. Of that amount, $3.5 million was current and $21.4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mortgage notes carry fixed interest rates ranging from 0.88% to 5.0%.</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Viya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and certain of our subsidiaries, have entered into a $60.0 million loan agreement (the “Viya Debt”) with National Cooperative Services Corporation (“NCSC”).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paid a fee of $0.9 million in 2016 to lock the interest rate at 4% per annum over the term of the Viya Debt. The fee was recorded as a reduction to the Viya Debt carrying amount and is being amortized over the life of the loan.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$60.0 million of the Viya Debt remained outstanding and $0.2 million of the rate lock fee was unamortized.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5, 2022, the Net Leverage Ratio was amended to 7.0 to 1.0 through the maturity date of July 1, 2026. The Ratio is tested annually, and we were in compliance with the Net Leverage Ratio as of December 31, 2024.</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Debt Maturity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the annual maturities of our debt instruments (amounts in thousands).</w:t>
      </w:r>
    </w:p>
    <w:tbl>
      <w:tblPr>
        <w:tblW w:w="8973" w:type="dxa"/>
        <w:jc w:val="left"/>
        <w:tblInd w:w="0" w:type="dxa"/>
        <w:tblLayout w:type="fixed"/>
        <w:tblCellMar>
          <w:top w:w="0" w:type="dxa"/>
          <w:left w:w="0" w:type="dxa"/>
          <w:bottom w:w="0" w:type="dxa"/>
          <w:right w:w="0" w:type="dxa"/>
        </w:tblCellMar>
      </w:tblPr>
      <w:tblGrid>
        <w:gridCol w:w="3136"/>
        <w:gridCol w:w="211"/>
        <w:gridCol w:w="781"/>
        <w:gridCol w:w="109"/>
        <w:gridCol w:w="253"/>
        <w:gridCol w:w="813"/>
        <w:gridCol w:w="109"/>
        <w:gridCol w:w="261"/>
        <w:gridCol w:w="969"/>
        <w:gridCol w:w="109"/>
        <w:gridCol w:w="211"/>
        <w:gridCol w:w="796"/>
        <w:gridCol w:w="258"/>
        <w:gridCol w:w="957"/>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91360" cy="175895"/>
                      <wp:effectExtent l="0" t="0" r="0" b="0"/>
                      <wp:wrapNone/>
                      <wp:docPr id="93" name="Frame91"/>
                      <a:graphic xmlns:a="http://schemas.openxmlformats.org/drawingml/2006/main">
                        <a:graphicData uri="http://schemas.microsoft.com/office/word/2010/wordprocessingShape">
                          <wps:wsp>
                            <wps:cNvSpPr txBox="1"/>
                            <wps:spPr>
                              <a:xfrm>
                                <a:off x="0" y="0"/>
                                <a:ext cx="19913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895"/>
                      <wp:effectExtent l="0" t="0" r="0" b="0"/>
                      <wp:wrapNone/>
                      <wp:docPr id="94" name="Frame9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895"/>
                      <wp:effectExtent l="0" t="0" r="0" b="0"/>
                      <wp:wrapNone/>
                      <wp:docPr id="95" name="Frame93"/>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895"/>
                      <wp:effectExtent l="0" t="0" r="0" b="0"/>
                      <wp:wrapNone/>
                      <wp:docPr id="96" name="Frame9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0655" cy="175895"/>
                      <wp:effectExtent l="0" t="0" r="0" b="0"/>
                      <wp:wrapNone/>
                      <wp:docPr id="97" name="Frame95"/>
                      <a:graphic xmlns:a="http://schemas.openxmlformats.org/drawingml/2006/main">
                        <a:graphicData uri="http://schemas.microsoft.com/office/word/2010/wordprocessingShape">
                          <wps:wsp>
                            <wps:cNvSpPr txBox="1"/>
                            <wps:spPr>
                              <a:xfrm>
                                <a:off x="0" y="0"/>
                                <a:ext cx="1606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16255" cy="175895"/>
                      <wp:effectExtent l="0" t="0" r="0" b="0"/>
                      <wp:wrapNone/>
                      <wp:docPr id="98" name="Frame96"/>
                      <a:graphic xmlns:a="http://schemas.openxmlformats.org/drawingml/2006/main">
                        <a:graphicData uri="http://schemas.microsoft.com/office/word/2010/wordprocessingShape">
                          <wps:wsp>
                            <wps:cNvSpPr txBox="1"/>
                            <wps:spPr>
                              <a:xfrm>
                                <a:off x="0" y="0"/>
                                <a:ext cx="516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895"/>
                      <wp:effectExtent l="0" t="0" r="0" b="0"/>
                      <wp:wrapNone/>
                      <wp:docPr id="99" name="Frame9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65735" cy="175895"/>
                      <wp:effectExtent l="0" t="0" r="0" b="0"/>
                      <wp:wrapNone/>
                      <wp:docPr id="100" name="Frame98"/>
                      <a:graphic xmlns:a="http://schemas.openxmlformats.org/drawingml/2006/main">
                        <a:graphicData uri="http://schemas.microsoft.com/office/word/2010/wordprocessingShape">
                          <wps:wsp>
                            <wps:cNvSpPr txBox="1"/>
                            <wps:spPr>
                              <a:xfrm>
                                <a:off x="0" y="0"/>
                                <a:ext cx="165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15315" cy="175895"/>
                      <wp:effectExtent l="0" t="0" r="0" b="0"/>
                      <wp:wrapNone/>
                      <wp:docPr id="101" name="Frame99"/>
                      <a:graphic xmlns:a="http://schemas.openxmlformats.org/drawingml/2006/main">
                        <a:graphicData uri="http://schemas.microsoft.com/office/word/2010/wordprocessingShape">
                          <wps:wsp>
                            <wps:cNvSpPr txBox="1"/>
                            <wps:spPr>
                              <a:xfrm>
                                <a:off x="0" y="0"/>
                                <a:ext cx="6153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895"/>
                      <wp:effectExtent l="0" t="0" r="0" b="0"/>
                      <wp:wrapNone/>
                      <wp:docPr id="102" name="Frame10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895"/>
                      <wp:effectExtent l="0" t="0" r="0" b="0"/>
                      <wp:wrapNone/>
                      <wp:docPr id="103" name="Frame10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05460" cy="175895"/>
                      <wp:effectExtent l="0" t="0" r="0" b="0"/>
                      <wp:wrapNone/>
                      <wp:docPr id="104" name="Frame102"/>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3830" cy="175895"/>
                      <wp:effectExtent l="0" t="0" r="0" b="0"/>
                      <wp:wrapNone/>
                      <wp:docPr id="105" name="Frame103"/>
                      <a:graphic xmlns:a="http://schemas.openxmlformats.org/drawingml/2006/main">
                        <a:graphicData uri="http://schemas.microsoft.com/office/word/2010/wordprocessingShape">
                          <wps:wsp>
                            <wps:cNvSpPr txBox="1"/>
                            <wps:spPr>
                              <a:xfrm>
                                <a:off x="0" y="0"/>
                                <a:ext cx="1638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07695" cy="175895"/>
                      <wp:effectExtent l="0" t="0" r="0" b="0"/>
                      <wp:wrapNone/>
                      <wp:docPr id="106" name="Frame104"/>
                      <a:graphic xmlns:a="http://schemas.openxmlformats.org/drawingml/2006/main">
                        <a:graphicData uri="http://schemas.microsoft.com/office/word/2010/wordprocessingShape">
                          <wps:wsp>
                            <wps:cNvSpPr txBox="1"/>
                            <wps:spPr>
                              <a:xfrm>
                                <a:off x="0" y="0"/>
                                <a:ext cx="6076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96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left"/>
              <w:rPr/>
            </w:pPr>
            <w:r>
              <w:rPr/>
              <w:t>​</w:t>
            </w:r>
          </w:p>
        </w:tc>
        <w:tc>
          <w:tcPr>
            <w:tcW w:w="121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Customer</w:t>
            </w:r>
          </w:p>
        </w:tc>
      </w:tr>
      <w:tr>
        <w:trPr/>
        <w:tc>
          <w:tcPr>
            <w:tcW w:w="3136" w:type="dxa"/>
            <w:tcBorders/>
            <w:vAlign w:val="center"/>
          </w:tcPr>
          <w:p>
            <w:pPr>
              <w:pStyle w:val="TableContents"/>
              <w:bidi w:val="0"/>
              <w:spacing w:before="1" w:after="1"/>
              <w:ind w:left="0" w:right="0" w:hanging="0"/>
              <w:jc w:val="left"/>
              <w:rPr/>
            </w:pPr>
            <w:r>
              <w:rPr/>
              <w:t>​</w:t>
            </w:r>
          </w:p>
        </w:tc>
        <w:tc>
          <w:tcPr>
            <w:tcW w:w="9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1" w:after="1"/>
              <w:ind w:left="0" w:right="0" w:hanging="0"/>
              <w:jc w:val="center"/>
              <w:rPr/>
            </w:pPr>
            <w:r>
              <w:rPr/>
              <w:t>​</w:t>
            </w:r>
          </w:p>
        </w:tc>
        <w:tc>
          <w:tcPr>
            <w:tcW w:w="1230"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21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3136" w:type="dxa"/>
            <w:tcBorders/>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Amounts Maturing During</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1"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12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Credit Facility</w:t>
            </w:r>
          </w:p>
        </w:tc>
      </w:tr>
      <w:tr>
        <w:trPr/>
        <w:tc>
          <w:tcPr>
            <w:tcW w:w="31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2025</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3,469</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4,757</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right w:val="single" w:sz="2" w:space="0" w:color="000000"/>
            </w:tcBorders>
            <w:shd w:fill="CCEEFF" w:val="clear"/>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8,226</w:t>
            </w:r>
          </w:p>
        </w:tc>
        <w:tc>
          <w:tcPr>
            <w:tcW w:w="258" w:type="dxa"/>
            <w:tcBorders>
              <w:left w:val="single" w:sz="2" w:space="0" w:color="000000"/>
            </w:tcBorders>
            <w:shd w:fill="CCEEFF" w:val="clear"/>
            <w:tcMar>
              <w:left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8,031</w:t>
            </w:r>
          </w:p>
        </w:tc>
      </w:tr>
      <w:tr>
        <w:trPr/>
        <w:tc>
          <w:tcPr>
            <w:tcW w:w="31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5,469</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9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8,125</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73,594</w:t>
            </w:r>
          </w:p>
        </w:tc>
        <w:tc>
          <w:tcPr>
            <w:tcW w:w="258" w:type="dxa"/>
            <w:tcBorders>
              <w:left w:val="single" w:sz="2" w:space="0" w:color="000000"/>
            </w:tcBorders>
            <w:tcMar>
              <w:left w:w="28" w:type="dxa"/>
            </w:tcMar>
            <w:vAlign w:val="center"/>
          </w:tcPr>
          <w:p>
            <w:pPr>
              <w:pStyle w:val="TableContents"/>
              <w:bidi w:val="0"/>
              <w:spacing w:before="1" w:after="1"/>
              <w:ind w:left="0" w:right="0" w:hanging="0"/>
              <w:jc w:val="left"/>
              <w:rPr/>
            </w:pPr>
            <w:r>
              <w:rPr/>
              <w:t>​</w:t>
            </w:r>
          </w:p>
        </w:tc>
        <w:tc>
          <w:tcPr>
            <w:tcW w:w="9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8,409</w:t>
            </w:r>
          </w:p>
        </w:tc>
      </w:tr>
      <w:tr>
        <w:trPr/>
        <w:tc>
          <w:tcPr>
            <w:tcW w:w="31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13,098</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shd w:fill="CCEEFF" w:val="clear"/>
            <w:vAlign w:val="center"/>
          </w:tcPr>
          <w:p>
            <w:pPr>
              <w:pStyle w:val="TableContents"/>
              <w:bidi w:val="0"/>
              <w:spacing w:before="1" w:after="1"/>
              <w:ind w:left="0" w:right="0" w:hanging="0"/>
              <w:jc w:val="left"/>
              <w:rPr/>
            </w:pPr>
            <w:r>
              <w:rPr/>
              <w:t>​</w:t>
            </w:r>
          </w:p>
        </w:tc>
        <w:tc>
          <w:tcPr>
            <w:tcW w:w="9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right w:val="single" w:sz="2" w:space="0" w:color="000000"/>
            </w:tcBorders>
            <w:shd w:fill="CCEEFF" w:val="clear"/>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22,848</w:t>
            </w:r>
          </w:p>
        </w:tc>
        <w:tc>
          <w:tcPr>
            <w:tcW w:w="258" w:type="dxa"/>
            <w:tcBorders>
              <w:left w:val="single" w:sz="2" w:space="0" w:color="000000"/>
            </w:tcBorders>
            <w:shd w:fill="CCEEFF" w:val="clear"/>
            <w:tcMar>
              <w:left w:w="28" w:type="dxa"/>
            </w:tcMar>
            <w:vAlign w:val="center"/>
          </w:tcPr>
          <w:p>
            <w:pPr>
              <w:pStyle w:val="TableContents"/>
              <w:bidi w:val="0"/>
              <w:spacing w:before="1" w:after="1"/>
              <w:ind w:left="0" w:right="0" w:hanging="0"/>
              <w:jc w:val="left"/>
              <w:rPr/>
            </w:pPr>
            <w:r>
              <w:rPr/>
              <w:t>​</w:t>
            </w:r>
          </w:p>
        </w:tc>
        <w:tc>
          <w:tcPr>
            <w:tcW w:w="9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8,807</w:t>
            </w:r>
          </w:p>
        </w:tc>
      </w:tr>
      <w:tr>
        <w:trPr/>
        <w:tc>
          <w:tcPr>
            <w:tcW w:w="31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18,858</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9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68,370</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87,228</w:t>
            </w:r>
          </w:p>
        </w:tc>
        <w:tc>
          <w:tcPr>
            <w:tcW w:w="258" w:type="dxa"/>
            <w:tcBorders>
              <w:left w:val="single" w:sz="2" w:space="0" w:color="000000"/>
            </w:tcBorders>
            <w:tcMar>
              <w:left w:w="28" w:type="dxa"/>
            </w:tcMar>
            <w:vAlign w:val="center"/>
          </w:tcPr>
          <w:p>
            <w:pPr>
              <w:pStyle w:val="TableContents"/>
              <w:bidi w:val="0"/>
              <w:spacing w:before="1" w:after="1"/>
              <w:ind w:left="0" w:right="0" w:hanging="0"/>
              <w:jc w:val="left"/>
              <w:rPr/>
            </w:pPr>
            <w:r>
              <w:rPr/>
              <w:t>​</w:t>
            </w:r>
          </w:p>
        </w:tc>
        <w:tc>
          <w:tcPr>
            <w:tcW w:w="9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9,229</w:t>
            </w:r>
          </w:p>
        </w:tc>
      </w:tr>
      <w:tr>
        <w:trPr/>
        <w:tc>
          <w:tcPr>
            <w:tcW w:w="31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277,749</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shd w:fill="CCEEFF" w:val="clear"/>
            <w:vAlign w:val="center"/>
          </w:tcPr>
          <w:p>
            <w:pPr>
              <w:pStyle w:val="TableContents"/>
              <w:bidi w:val="0"/>
              <w:spacing w:before="1" w:after="1"/>
              <w:ind w:left="0" w:right="0" w:hanging="0"/>
              <w:jc w:val="left"/>
              <w:rPr/>
            </w:pPr>
            <w:r>
              <w:rPr/>
              <w:t>​</w:t>
            </w:r>
          </w:p>
        </w:tc>
        <w:tc>
          <w:tcPr>
            <w:tcW w:w="9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93,556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right w:val="single" w:sz="2" w:space="0" w:color="000000"/>
            </w:tcBorders>
            <w:shd w:fill="CCEEFF" w:val="clear"/>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371,305</w:t>
            </w:r>
          </w:p>
        </w:tc>
        <w:tc>
          <w:tcPr>
            <w:tcW w:w="258" w:type="dxa"/>
            <w:tcBorders>
              <w:left w:val="single" w:sz="2" w:space="0" w:color="000000"/>
            </w:tcBorders>
            <w:shd w:fill="CCEEFF" w:val="clear"/>
            <w:tcMar>
              <w:left w:w="28" w:type="dxa"/>
            </w:tcMar>
            <w:vAlign w:val="center"/>
          </w:tcPr>
          <w:p>
            <w:pPr>
              <w:pStyle w:val="TableContents"/>
              <w:bidi w:val="0"/>
              <w:spacing w:before="1" w:after="1"/>
              <w:ind w:left="0" w:right="0" w:hanging="0"/>
              <w:jc w:val="left"/>
              <w:rPr/>
            </w:pPr>
            <w:r>
              <w:rPr/>
              <w:t>​</w:t>
            </w:r>
          </w:p>
        </w:tc>
        <w:tc>
          <w:tcPr>
            <w:tcW w:w="9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6,041</w:t>
            </w:r>
          </w:p>
        </w:tc>
      </w:tr>
      <w:tr>
        <w:trPr/>
        <w:tc>
          <w:tcPr>
            <w:tcW w:w="31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6,239</w:t>
            </w:r>
          </w:p>
        </w:tc>
        <w:tc>
          <w:tcPr>
            <w:tcW w:w="109" w:type="dxa"/>
            <w:tcBorders/>
            <w:vAlign w:val="center"/>
          </w:tcPr>
          <w:p>
            <w:pPr>
              <w:pStyle w:val="TableContents"/>
              <w:bidi w:val="0"/>
              <w:spacing w:before="1"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right w:val="single" w:sz="2" w:space="0" w:color="000000"/>
            </w:tcBorders>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6,239</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1"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4,085</w:t>
            </w:r>
          </w:p>
        </w:tc>
      </w:tr>
      <w:tr>
        <w:trPr/>
        <w:tc>
          <w:tcPr>
            <w:tcW w:w="31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324,882</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184,558</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569,440</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1" w:after="1"/>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44,602</w:t>
            </w:r>
          </w:p>
        </w:tc>
      </w:tr>
      <w:tr>
        <w:trPr/>
        <w:tc>
          <w:tcPr>
            <w:tcW w:w="31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Debt Discounts</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(8,641)</w:t>
            </w:r>
          </w:p>
        </w:tc>
        <w:tc>
          <w:tcPr>
            <w:tcW w:w="109" w:type="dxa"/>
            <w:tcBorders/>
            <w:vAlign w:val="center"/>
          </w:tcPr>
          <w:p>
            <w:pPr>
              <w:pStyle w:val="TableContents"/>
              <w:bidi w:val="0"/>
              <w:spacing w:before="1"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vAlign w:val="center"/>
          </w:tcPr>
          <w:p>
            <w:pPr>
              <w:pStyle w:val="TableContents"/>
              <w:bidi w:val="0"/>
              <w:spacing w:before="1"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(3,293)</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right w:val="single" w:sz="2" w:space="0" w:color="000000"/>
            </w:tcBorders>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(12,084)</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1"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31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Book Value as of December 31, 2024</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316,241</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59,850</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181,265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557,356</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44,234</w:t>
            </w:r>
          </w:p>
        </w:tc>
      </w:tr>
    </w:tbl>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Factors Affecting Sources of Liquidity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Internally generated funds. </w:t>
      </w:r>
      <w:r>
        <w:rPr>
          <w:rFonts w:ascii="Times New Roman;Times;serif" w:hAnsi="Times New Roman;Times;serif"/>
          <w:sz w:val="20"/>
        </w:rPr>
        <w:t>The key factors affecting our internally generated funds are demand for our services, competition, regulatory developments, economic conditions in the markets where we operate our businesses and industry trends within the telecommunications industry.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Restrictions under 2023 Credit Facility.  </w:t>
      </w:r>
      <w:r>
        <w:rPr>
          <w:rFonts w:ascii="Times New Roman;Times;serif" w:hAnsi="Times New Roman;Times;serif"/>
          <w:sz w:val="20"/>
        </w:rPr>
        <w:t>Our 2023 CoBank Credit Facility contains customary representations, warranties and covenants, including covenants limiting additional indebtedness, liens, guaranties, mergers and consolidations, substantial asset sales, investments and loans, sale and leasebacks, transactions with affiliates and fundamental changes.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addition, the 2023 CoBank Credit Facility contains a financial covenant that imposes a maximum ratio of indebtedness to EBITDA. As of December 31, 2024, we were in compliance with all of the financial covenants of the 2023 CoBank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Capital markets.  </w:t>
      </w:r>
      <w:r>
        <w:rPr>
          <w:rFonts w:ascii="Times New Roman;Times;serif" w:hAnsi="Times New Roman;Times;serif"/>
          <w:sz w:val="20"/>
        </w:rPr>
        <w:t>Our ability to raise funds in the capital markets depends on, among other things, general economic conditions, the conditions of the telecommunications industry, our financial performance, the state of the capital markets and our compliance with SEC requirements for the offering of securities. In August 2022, we filed a new “universal” shelf registration statement with the SEC, to register potential future offerings of up to $300 million of our securities.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Foreign Currency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years ended December 31, 2024 and 2023, we recorded $1.9 million and $1.4 million, respectively, in losses on foreign currency transactions. We will continue to assess the impact of our exposure to the Guyana Dollar.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Inflation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r>
        <w:rPr>
          <w:rFonts w:ascii="Times New Roman;Times;serif" w:hAnsi="Times New Roman;Times;serif"/>
          <w:sz w:val="20"/>
        </w:rPr>
        <w:t xml:space="preserve"> </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Material Cash Obligations and Sources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Capital Expenditures. </w:t>
      </w:r>
      <w:r>
        <w:rPr>
          <w:rFonts w:ascii="Times New Roman;Times;serif" w:hAnsi="Times New Roman;Times;serif"/>
          <w:sz w:val="20"/>
        </w:rPr>
        <w:t>We are continuing to invest in our telecommunication networks along with our operating and business support systems in many of our markets.  Such investments include the upgrade and expansion of both our mobility and fixed telecommunications networks as well as our service delivery platforms. For 2025, we expect capital expenditures to be approximately $90 million to $100 million (net of reimbursable amounts), and will primarily relate to network maintenance and upgrades. We expect to fund our 2025 capital expenditures primarily from our current cash balances, cash generated from operations and our existing credit facilities including the Receivables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To service our previously described debt facilities, we will be required to make future minimum principal repayments (not including interest, commitment fees or letter of credit fees) of $8.3 million in 2025 and then $73.6 million, $22.8 million, $87.2 million, and $371.2 million during 2026 through 2029, respectively, and then $6.2 million in subsequent years.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Lease Commitments.</w:t>
      </w:r>
      <w:r>
        <w:rPr>
          <w:rFonts w:ascii="Times New Roman;Times;serif" w:hAnsi="Times New Roman;Times;serif"/>
          <w:sz w:val="20"/>
        </w:rPr>
        <w:t xml:space="preserve"> We have operating and financing leases for towers, land, corporate offices, retail facilities, and data transport capacity. In order to comply with our lease agreements, we will be required to pay $22.4 million in 2025 and then $16.7 million, $13.8 million, $10.5 million and $7.6 million during 2026 through 2029, respectively, and then $81.5 million in subsequent years.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FirstNet Agreement.</w:t>
      </w:r>
      <w:r>
        <w:rPr>
          <w:rFonts w:ascii="Times New Roman;Times;serif" w:hAnsi="Times New Roman;Times;serif"/>
          <w:sz w:val="20"/>
        </w:rPr>
        <w:t xml:space="preserve"> In connection with the FirstNet Agreement, we are building a portion of AT&amp;T’s network for the First Responder Network Authority (“FirstNet”) in or near our current operating area in the western United States. We expect to incur construction costs of approximately $6 million, primarily during 2025 with the remainder in 2026, in order to complete the network build portion of that agreement. Following acceptance of the cell sites, AT&amp;T will own the sites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Connect America Fund II (CAF II).</w:t>
      </w:r>
      <w:r>
        <w:rPr>
          <w:rFonts w:ascii="Times New Roman;Times;serif" w:hAnsi="Times New Roman;Times;serif"/>
          <w:sz w:val="20"/>
        </w:rPr>
        <w:t xml:space="preserve"> We are a recipient under the Connect America Fund Phase II program which will offer subsidies to us in order to expand our broadband coverage in designated areas. In connection with this program, we are expecting to spend $16.2 million in capital expenditures during the year ended December 31, 2025 (which is included in our capital expenditure estimates for the US Telecom segment above in order to meet our build-out obligations under this program. We are not expecting any commitments under the CAF II program after 2025.</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i/>
          <w:sz w:val="20"/>
        </w:rPr>
        <w:t>Spectrum Buildout Commitments.</w:t>
      </w:r>
      <w:r>
        <w:rPr>
          <w:rFonts w:ascii="Times New Roman;Times;serif" w:hAnsi="Times New Roman;Times;serif"/>
          <w:sz w:val="20"/>
        </w:rPr>
        <w:t xml:space="preserve">  In connection with our spectrum licenses in the United States and other jurisdictions in which we operate, we will have to achieve certain spectrum build-out obligations. We expect to comply with all applicable requirements related to these licenses but cannot currently estimate the cost of building our network in the covered areas.  If we do not comply with such requirements in a certain area within timeframe specified in the applicable spectrum license, our spectrum license for that area may be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Construction grants. </w:t>
      </w:r>
      <w:r>
        <w:rPr>
          <w:rFonts w:ascii="Times New Roman;Times;serif" w:hAnsi="Times New Roman;Times;serif"/>
          <w:sz w:val="20"/>
        </w:rPr>
        <w:t>We have also been awarded construction grants to build network connectivity for eligible communities. The funding of these grants reimburse us for our construction costs. As of December 31, 2024, $150.2 million of such construction obligations remain with completion deadlines beginning in 2025. Once these projects are constructed, we are obligated to provide service to the participants.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Software licensing, maintenance and other business support systems.</w:t>
      </w:r>
      <w:r>
        <w:rPr>
          <w:rFonts w:ascii="Times New Roman;Times;serif" w:hAnsi="Times New Roman;Times;serif"/>
          <w:sz w:val="20"/>
        </w:rPr>
        <w:t xml:space="preserve"> We have committed to agreements with vendors to provide us with software licensing and maintenance services as well as other business support systems. These agreements expire primarily during the year ending December 31, 2025 and will require us to pay approximately $37.0 million in 2025, and then $12.8 million, $4.3 million, $2.7 million, and $2.4 million during 2026 through 2029, respectively and then $14.8 million thereafter.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Circuits and other transport costs</w:t>
      </w:r>
      <w:r>
        <w:rPr>
          <w:rFonts w:ascii="Times New Roman;Times;serif" w:hAnsi="Times New Roman;Times;serif"/>
          <w:sz w:val="20"/>
        </w:rPr>
        <w:t>. We expect to pay $32.5 million, $26.0 million, $14.3 million, $8.1 million and $4.3 million during the years ended December 31, 2025, 2026, 2027, 2028 and 2029, respectively, for circuit and other telecommunication transport costs. Thereafter, we are obligated to pay an additional $8.9 million for such services.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Sources of Cash. </w:t>
      </w:r>
      <w:r>
        <w:rPr>
          <w:rFonts w:ascii="Times New Roman;Times;serif" w:hAnsi="Times New Roman;Times;serif"/>
          <w:sz w:val="20"/>
        </w:rPr>
        <w:t>In addition to future internally generated funds, as of December 31, 2024, we have $111.4 million, $89.0 million and $9.2 million available to us under the CoBank Credit Facility, the Alaska Revolving Facility and the Receivables Credit Facility, respectively, and may be able to raise funds in the capital markets by making an offering under our universal shelf registration.</w:t>
      </w:r>
    </w:p>
    <w:p>
      <w:pPr>
        <w:pStyle w:val="TextBody"/>
        <w:bidi w:val="0"/>
        <w:spacing w:before="280" w:after="160"/>
        <w:ind w:left="0" w:right="0" w:hanging="0"/>
        <w:jc w:val="left"/>
        <w:rPr>
          <w:rFonts w:ascii="Times New Roman;Times;serif" w:hAnsi="Times New Roman;Times;serif"/>
          <w:sz w:val="20"/>
        </w:rPr>
      </w:pPr>
      <w:r>
        <w:rPr>
          <w:rFonts w:ascii="Times New Roman;Times;serif" w:hAnsi="Times New Roman;Times;serif"/>
          <w:b/>
          <w:sz w:val="20"/>
        </w:rPr>
        <w:t>Critical Accounting Estimates</w:t>
      </w:r>
      <w:r>
        <w:rPr>
          <w:rFonts w:ascii="Times New Roman;Times;serif" w:hAnsi="Times New Roman;Times;serif"/>
          <w:sz w:val="20"/>
        </w:rPr>
        <w:t xml:space="preserve"> </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have based our discussion and analysis of our financial condition and results of operations on our Consolidated Financial Statements, which have been prepared in accordance with accounting principles generally accepted in the United States of America (“GAAP”). We base our estimates on our operating experience and on various conditions existing in the market and we believe them to be reasonable under the circumstances. Our estimates form the basis for making judgments about the carrying values of assets and liabilities that are not readily apparent from other sources. Actual results may differ materially from these estimates under different assumptions or conditions.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identified the critical accounting estimates that we believe require significant judgment in the preparation of our Consolidated Financial Statements. We consider these accounting estimates to be critical because changes in the assumptions or estimates we have selected have the potential of materially impacting our financial statements.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In determining the appropriate amount of revenue to recognize for a particular transaction, we apply the criteria established by the authoritative guidance for revenue recognition and defer those items that do not meet the recognition criteria. As a result of the cutoff times of our billing cycles, we are often required to estimate the amount of revenues earned but not billed from the end of each billing cycle to the end of each reporting period. These estimates are based primarily on rate plans in effect and historical evidence with each customer or carrier. Adjustments affecting revenue can and occasionally do occur in periods subsequent to the period when the services were provided, billed and recorded as revenue, however, historically, these adjustments have not been material.</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apply our judgment when assessing the ultimate realization of receivables, including assessing the probability of collection and the current credit- worthiness of customers. We establish an allowance for credit losses on trade receivables sufficient to cover probable and reasonably estimable losses. Our estimate of the allowance for credit losses on trade receivables considers collection experience, aging of the accounts receivable, the credit quality of the customer and, where necessary, other macro-economic factors.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Goodwill and Long-Lived Intangible Assets.</w:t>
      </w:r>
      <w:r>
        <w:rPr>
          <w:rFonts w:ascii="Times New Roman;Times;serif" w:hAnsi="Times New Roman;Times;serif"/>
          <w:sz w:val="20"/>
        </w:rPr>
        <w:t xml:space="preserve"> In accordance with the authoritative guidance regarding the accounting for impairments or disposals of long-lived assets and the authoritative guidance for the accounting for goodwill and other intangible assets, we evaluate the carrying value of our long-lived assets, including property and equipment, whenever events or changes in circumstances indicate that the carrying amount of an asset may not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recoverable. An impairment loss exists when estimated </w:t>
      </w:r>
      <w:r>
        <w:rPr>
          <w:rFonts w:ascii="Times New Roman;Times;serif" w:hAnsi="Times New Roman;Times;serif"/>
          <w:i/>
          <w:sz w:val="20"/>
        </w:rPr>
        <w:t>undiscounted</w:t>
      </w:r>
      <w:r>
        <w:rPr>
          <w:rFonts w:ascii="Times New Roman;Times;serif" w:hAnsi="Times New Roman;Times;serif"/>
          <w:sz w:val="20"/>
        </w:rPr>
        <w:t> cash flows attributable to non-current assets subject to depreciation and amortization and </w:t>
      </w:r>
      <w:r>
        <w:rPr>
          <w:rFonts w:ascii="Times New Roman;Times;serif" w:hAnsi="Times New Roman;Times;serif"/>
          <w:i/>
          <w:sz w:val="20"/>
        </w:rPr>
        <w:t>discounted</w:t>
      </w:r>
      <w:r>
        <w:rPr>
          <w:rFonts w:ascii="Times New Roman;Times;serif" w:hAnsi="Times New Roman;Times;serif"/>
          <w:sz w:val="20"/>
        </w:rPr>
        <w:t xml:space="preserve"> cash flows for intangible assets not subject to amortization are less than their carrying amount. For long lived assets other than goodwill, if an asset is deemed to be impaired, the amount of the impairment loss recognized represents the excess of the asset’s carrying value as compared to its estimated fair value, based on management’s assumptions and projections.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estimates of the future cash flows attributable to our long-lived assets and the fair value of our businesses involve significant uncertainty. Those estimates are based on management’s assumptions of future results, growth trends and industry conditions. If those estimates are not met, we could have additional impairment charges in the future, and the amounts may be material.</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also assess the carrying value of goodwill and indefinite-lived intangible assets on an annual basis or more frequently if events or changes in circumstances indicate that the carrying value of goodwill may not be recoverable. The carrying value of each reporting unit, including goodwill assigned to that reporting unit, is compared to its fair value. If the carrying value of the reporting unit, including goodwill, exceeds the fair value of the reporting unit, an impairment charge is recorded equal to the excess, but not more than the total amount of goodwill allocated to the reporting unit.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assess the recoverability of the value of our telecommunications licenses using either a market or income approach. We believe that our telecommunications licenses generally have an indefinite life based on historical ability to renew such licenses, that such renewals may be obtained indefinitely and at little cost, and that the related technology used is not expected to be replaced in the foreseeable future. If the value of these assets was impaired by some factor, such as an adverse change in the subsidiary’s operating market, we may be required to record an impairment charge. We test the impairment of our telecommunications licenses annually or more frequently if events or changes in circumstances indicate that such assets might be impaired. The impairment test consists of a comparison of the fair value of telecommunications licenses with their carrying amount.</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During the quarter ended September 30, 2024, we completed our impairment assessment for our US Telecom segment after identifying events that indicated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 As a result of that analysis, we recorded an impairment of $35.3 million during the quarter ended September 30,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Contingencies.</w:t>
      </w:r>
      <w:r>
        <w:rPr>
          <w:rFonts w:ascii="Times New Roman;Times;serif" w:hAnsi="Times New Roman;Times;serif"/>
          <w:sz w:val="20"/>
        </w:rPr>
        <w:t xml:space="preserve"> We are subject to proceedings, lawsuits, tax audits and other claims related to lawsuits and other legal and regulatory proceedings that arise in the ordinary course of business as further described in Note 13 to the Consolidated Financial Statements included in this Report. We are required to assess the likelihood of any adverse judgments or outcomes to these matters as well as the potential ranges of probable losses. A determination of the amount of loss accruals required, if any, for these contingencies is made after careful analysis of each individual issue. We consult with legal counsel and other experts where necessary in connection with our assessment of any contingency. The required accrual for any such contingency may change materially in the future due to new developments or changes in each matter.  We believe that some adverse outcome is probable and have accordingly accrued $13.8 million as of December 31, 2024 for these matters.</w:t>
      </w:r>
    </w:p>
    <w:p>
      <w:pPr>
        <w:pStyle w:val="TextBody"/>
        <w:bidi w:val="0"/>
        <w:spacing w:before="280" w:after="240"/>
        <w:ind w:left="0" w:right="0" w:hanging="0"/>
        <w:jc w:val="left"/>
        <w:rPr>
          <w:rFonts w:ascii="Times New Roman;Times;serif" w:hAnsi="Times New Roman;Times;serif"/>
          <w:b/>
          <w:sz w:val="20"/>
        </w:rPr>
      </w:pPr>
      <w:bookmarkStart w:id="71" w:name="RecentAccountingPronouncements_66022"/>
      <w:bookmarkEnd w:id="71"/>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2 to the Consolidated Financial Statements included in this Report.</w:t>
      </w:r>
    </w:p>
    <w:p>
      <w:pPr>
        <w:pStyle w:val="TextBody"/>
        <w:bidi w:val="0"/>
        <w:spacing w:before="0" w:after="0"/>
        <w:ind w:left="0" w:right="0" w:hanging="0"/>
        <w:jc w:val="left"/>
        <w:rPr>
          <w:rFonts w:ascii="Times New Roman;Times;serif" w:hAnsi="Times New Roman;Times;serif"/>
          <w:b/>
          <w:sz w:val="20"/>
        </w:rPr>
      </w:pPr>
      <w:bookmarkStart w:id="72" w:name="ITEM7AQUANTITATIVEANDQUALITATIVEDISCLOSU"/>
      <w:bookmarkStart w:id="73" w:name="_7744c599_a6d4_4159_a85c_606820b5d9ee"/>
      <w:bookmarkEnd w:id="72"/>
      <w:bookmarkEnd w:id="73"/>
      <w:r>
        <w:rPr>
          <w:rFonts w:ascii="Times New Roman;Times;serif" w:hAnsi="Times New Roman;Times;serif"/>
          <w:b/>
          <w:sz w:val="20"/>
        </w:rPr>
        <w:t>ITEM 7A. QUANTITATIVE AND QUALITATIVE DISCLOSURES ABOUT MARKET RISK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Translation and Remeasurement.  </w:t>
      </w:r>
      <w:r>
        <w:rPr>
          <w:rFonts w:ascii="Times New Roman;Times;serif" w:hAnsi="Times New Roman;Times;serif"/>
          <w:sz w:val="20"/>
        </w:rPr>
        <w:t xml:space="preserve">We translate the assets and liabilities of our foreign subsidiaries from their respective functional currencies, primarily the Guyana Dollar, to US Dollars at the appropriate rates as of the balance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20"/>
        </w:rPr>
        <w:t>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w:t>
      </w:r>
      <w:r>
        <w:rPr>
          <w:rFonts w:ascii="Times New Roman;Times;serif" w:hAnsi="Times New Roman;Times;serif"/>
          <w:sz w:val="16"/>
        </w:rPr>
        <w:t> </w:t>
      </w:r>
    </w:p>
    <w:p>
      <w:pPr>
        <w:pStyle w:val="TextBody"/>
        <w:bidi w:val="0"/>
        <w:spacing w:before="280" w:after="0"/>
        <w:ind w:left="0" w:right="0" w:firstLine="720"/>
        <w:jc w:val="both"/>
        <w:rPr>
          <w:rFonts w:ascii="Times New Roman;Times;serif" w:hAnsi="Times New Roman;Times;serif"/>
          <w:sz w:val="16"/>
        </w:rPr>
      </w:pPr>
      <w:r>
        <w:rPr>
          <w:rFonts w:ascii="Times New Roman;Times;serif" w:hAnsi="Times New Roman;Times;serif"/>
          <w:sz w:val="20"/>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consolidated statements of operations.</w:t>
      </w:r>
      <w:r>
        <w:rPr>
          <w:rFonts w:ascii="Times New Roman;Times;serif" w:hAnsi="Times New Roman;Times;serif"/>
          <w:sz w:val="16"/>
        </w:rPr>
        <w:t>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i/>
          <w:sz w:val="20"/>
        </w:rPr>
        <w:t>Employee Benefit Plans. </w:t>
      </w:r>
      <w:r>
        <w:rPr>
          <w:rFonts w:ascii="Times New Roman;Times;serif" w:hAnsi="Times New Roman;Times;serif"/>
          <w:sz w:val="20"/>
        </w:rPr>
        <w:t>We sponsor pension and other post-retirement benefit plans for employees of certain subsidiaries.  Net periodic pension expense is recognized in our consolidated statements of operations. We recognize a pension or other postretirement plan’s funded status as either an asset or liability in our consolidated balance sheets.  Actuarial gains and losses are reported as a component of other comprehensive income and amortized through other income in subsequent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Interest Rate Sensitivity.</w:t>
      </w:r>
      <w:r>
        <w:rPr>
          <w:rFonts w:ascii="Times New Roman;Times;serif" w:hAnsi="Times New Roman;Times;serif"/>
          <w:sz w:val="20"/>
        </w:rPr>
        <w:t xml:space="preserve"> As of December 31, 2024, we had $484.6 million of variable rate debt outstanding, which is subject to fluctuations in interest rates.  Our interest expense may be affected by changes in interest rates.  We believe that a 100-basis-point change in the interest rates on our variable rate debt would result in a $4.8 million change in our annual interest expense.  We may have additional exposure to fluctuations in interest rates if we again borrow amounts under our revolver loans within our credit facilities.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4" w:name="ITEM8FINANCIALSTATEMENTSANDSUPPLEMENTARY"/>
      <w:bookmarkStart w:id="75" w:name="_69b0841d_54df_4d23_9f66_a9829023f1a2"/>
      <w:bookmarkEnd w:id="74"/>
      <w:bookmarkEnd w:id="75"/>
      <w:r>
        <w:rPr>
          <w:rFonts w:ascii="Times New Roman;Times;serif" w:hAnsi="Times New Roman;Times;serif"/>
          <w:b/>
          <w:sz w:val="20"/>
        </w:rPr>
        <w:t>ITEM 8. FINANCIAL STATEMENTS AND SUPPLEMENTARY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response to this item is submitted as a separate section to this Report. See “Item 15. Exhibits, Financial Statement Schedules.”</w:t>
      </w:r>
    </w:p>
    <w:p>
      <w:pPr>
        <w:pStyle w:val="TextBody"/>
        <w:bidi w:val="0"/>
        <w:spacing w:before="0" w:after="240"/>
        <w:ind w:left="0" w:right="0" w:hanging="0"/>
        <w:jc w:val="left"/>
        <w:rPr>
          <w:rFonts w:ascii="Times New Roman;Times;serif" w:hAnsi="Times New Roman;Times;serif"/>
          <w:sz w:val="20"/>
        </w:rPr>
      </w:pPr>
      <w:bookmarkStart w:id="76" w:name="ITEM9CHANGESINANDDISAGREEMENTSWITHACCOUN"/>
      <w:bookmarkStart w:id="77" w:name="_4107a758_2c66_4992_bd10_c522bcece4de"/>
      <w:bookmarkEnd w:id="76"/>
      <w:bookmarkEnd w:id="77"/>
      <w:r>
        <w:rPr>
          <w:rFonts w:ascii="Times New Roman;Times;serif" w:hAnsi="Times New Roman;Times;serif"/>
          <w:b/>
          <w:sz w:val="20"/>
        </w:rPr>
        <w:t>ITEM 9. 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8" w:name="ITEM9ACONTROLSANDPROCEDURES_510482"/>
      <w:bookmarkStart w:id="79" w:name="_5ab83b52_72d4_4bbc_a74f_02feb83bdef0"/>
      <w:bookmarkEnd w:id="78"/>
      <w:bookmarkEnd w:id="79"/>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bookmarkStart w:id="80" w:name="EvaluationofDisclosureControlsandProcedu"/>
      <w:bookmarkEnd w:id="80"/>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December 31, 2024.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 w:name="ManagementsReportonInternalControloverFi"/>
      <w:bookmarkEnd w:id="81"/>
      <w:r>
        <w:rPr>
          <w:rFonts w:ascii="Times New Roman;Times;serif" w:hAnsi="Times New Roman;Times;serif"/>
          <w:b/>
          <w:sz w:val="20"/>
        </w:rPr>
        <w:t>Management’s Report on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3D3F3F"/>
              </w:rPr>
            </w:pPr>
            <w:r>
              <w:rPr>
                <w:color w:val="3D3F3F"/>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3D3F3F"/>
              </w:rPr>
            </w:pPr>
            <w:r>
              <w:rPr>
                <w:color w:val="3D3F3F"/>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3D3F3F"/>
              </w:rPr>
            </w:pPr>
            <w:r>
              <w:rPr>
                <w:color w:val="3D3F3F"/>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management assessed the effectiveness of our internal control over financial reporting as of December 31, 2024. In making this assessment, our management used the criteria set forth by the Committee of Sponsoring Organizations of the Treadway Commission (“COSO”) in </w:t>
      </w:r>
      <w:r>
        <w:rPr>
          <w:rFonts w:ascii="Times New Roman;Times;serif" w:hAnsi="Times New Roman;Times;serif"/>
          <w:i/>
          <w:sz w:val="20"/>
        </w:rPr>
        <w:t>Internal Control—Integrated Framework</w:t>
      </w:r>
      <w:r>
        <w:rPr>
          <w:rFonts w:ascii="Times New Roman;Times;serif" w:hAnsi="Times New Roman;Times;serif"/>
          <w:sz w:val="20"/>
        </w:rPr>
        <w:t xml:space="preserve"> (2013). Based on its assessment, management concluded that, as of December 31, 2024, our internal control over financial reporting was effective based on those criteria.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effectiveness of our internal control over financial reporting as of December 31, 2024 has been audited by PricewaterhouseCoopers LLP, an independent registered public accounting firm, as stated in their report which appears on page F-2.</w:t>
      </w:r>
    </w:p>
    <w:p>
      <w:pPr>
        <w:pStyle w:val="TextBody"/>
        <w:bidi w:val="0"/>
        <w:spacing w:before="0" w:after="200"/>
        <w:ind w:left="0" w:right="0" w:hanging="0"/>
        <w:jc w:val="left"/>
        <w:rPr>
          <w:rFonts w:ascii="Times New Roman;Times;serif" w:hAnsi="Times New Roman;Times;serif"/>
          <w:b/>
          <w:sz w:val="20"/>
        </w:rPr>
      </w:pPr>
      <w:bookmarkStart w:id="82" w:name="ChangesinInternalControlOverFinancialRep"/>
      <w:bookmarkEnd w:id="82"/>
      <w:r>
        <w:rPr>
          <w:rFonts w:ascii="Times New Roman;Times;serif" w:hAnsi="Times New Roman;Times;serif"/>
          <w:b/>
          <w:sz w:val="20"/>
        </w:rPr>
        <w:t>Changes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no changes in our internal control over financial reporting (as defined in Rules 13a-15(f) and 15d-15(f) under the Exchange Act) that occurred during the quarter ended December 31, 2024 that have materially affected, or are reasonably likely to materially affect, our internal control over financial reporting.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3" w:name="ITEM9BOTHERINFORMATION_227924"/>
      <w:bookmarkStart w:id="84" w:name="_ec2e4e04_fe89_4886_9cda_517de3129d0e"/>
      <w:bookmarkEnd w:id="83"/>
      <w:bookmarkEnd w:id="84"/>
      <w:r>
        <w:rPr>
          <w:rFonts w:ascii="Times New Roman;Times;serif" w:hAnsi="Times New Roman;Times;serif"/>
          <w:b/>
          <w:sz w:val="20"/>
        </w:rPr>
        <w:t xml:space="preserve">ITEM 9B. OTHER INFORMATION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While the Company does allow for its officers and directors to enter into trading arrangements intended to satisfy the affirmative defense conditions of Rule 10b5-1 with the Company’s prior approval, during the quarter ended December 31, 2024, none of the Company's directors or officers informed the Company of the adoption, modification, or termination of a “Rule 10b5-1 trading arrangement” or “non-Rule 10b5-1 trading arrangement”, as those terms are defined in Regulation S-K, Item 408.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sz w:val="20"/>
        </w:rPr>
      </w:pPr>
      <w:bookmarkStart w:id="85" w:name="DisclosureRegardingForeignJurisdictionst"/>
      <w:bookmarkStart w:id="86" w:name="Item9c"/>
      <w:bookmarkStart w:id="87" w:name="_b8ae6106_c695_4f86_b194_9e8251d2da7e"/>
      <w:bookmarkEnd w:id="85"/>
      <w:bookmarkEnd w:id="86"/>
      <w:bookmarkEnd w:id="87"/>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9C. Disclosure Regarding Foreign Jurisdictions that Prevent Inspections</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20"/>
        </w:rPr>
        <w:t>Not</w:t>
      </w:r>
      <w:r>
        <w:rPr>
          <w:rFonts w:ascii="Times New Roman;Times;serif" w:hAnsi="Times New Roman;Times;serif"/>
          <w:sz w:val="18"/>
        </w:rPr>
        <w:t xml:space="preserve"> </w:t>
      </w:r>
      <w:r>
        <w:rPr>
          <w:rFonts w:ascii="Times New Roman;Times;serif" w:hAnsi="Times New Roman;Times;serif"/>
          <w:sz w:val="20"/>
        </w:rPr>
        <w:t>applicable</w:t>
      </w:r>
      <w:r>
        <w:rPr>
          <w:rFonts w:ascii="Times New Roman;Times;serif" w:hAnsi="Times New Roman;Times;serif"/>
          <w:sz w:val="18"/>
        </w:rPr>
        <w:t>.</w:t>
      </w:r>
    </w:p>
    <w:p>
      <w:pPr>
        <w:pStyle w:val="TextBody"/>
        <w:bidi w:val="0"/>
        <w:spacing w:before="0" w:after="240"/>
        <w:ind w:left="0" w:right="0" w:hanging="0"/>
        <w:jc w:val="center"/>
        <w:rPr>
          <w:rFonts w:ascii="Times New Roman;Times;serif" w:hAnsi="Times New Roman;Times;serif"/>
          <w:b/>
          <w:sz w:val="20"/>
        </w:rPr>
      </w:pPr>
      <w:bookmarkStart w:id="88" w:name="PARTIII_64894"/>
      <w:bookmarkStart w:id="89" w:name="_bf3014d5_dbbf_4c38_bb32_5a555472ecd4"/>
      <w:bookmarkEnd w:id="88"/>
      <w:bookmarkEnd w:id="89"/>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0" w:name="ITEM10DIRECTORSEXECUTIVEOFFICERSANDCORPO"/>
      <w:bookmarkEnd w:id="90"/>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regarding our executive officers is contained in Part I of this Form 10-K under the caption “Information About Our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directors as of March 17, 2025:</w:t>
      </w:r>
    </w:p>
    <w:tbl>
      <w:tblPr>
        <w:tblW w:w="5815" w:type="dxa"/>
        <w:jc w:val="left"/>
        <w:tblInd w:w="0" w:type="dxa"/>
        <w:tblLayout w:type="fixed"/>
        <w:tblCellMar>
          <w:top w:w="0" w:type="dxa"/>
          <w:left w:w="0" w:type="dxa"/>
          <w:bottom w:w="0" w:type="dxa"/>
          <w:right w:w="0" w:type="dxa"/>
        </w:tblCellMar>
      </w:tblPr>
      <w:tblGrid>
        <w:gridCol w:w="1651"/>
        <w:gridCol w:w="326"/>
        <w:gridCol w:w="391"/>
        <w:gridCol w:w="326"/>
        <w:gridCol w:w="312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48385" cy="175260"/>
                      <wp:effectExtent l="0" t="0" r="0" b="0"/>
                      <wp:wrapNone/>
                      <wp:docPr id="107" name="Frame10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8285" cy="175260"/>
                      <wp:effectExtent l="0" t="0" r="0" b="0"/>
                      <wp:wrapNone/>
                      <wp:docPr id="109" name="Frame10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81835" cy="175260"/>
                      <wp:effectExtent l="0" t="0" r="0" b="0"/>
                      <wp:wrapNone/>
                      <wp:docPr id="111" name="Frame109"/>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left"/>
              <w:rPr/>
            </w:pPr>
            <w:r>
              <w:rPr/>
              <w:t>    </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T. Prior</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 and 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Bernard J. Bulkin</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J. Ganong</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April V. Henry </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Derek G. Hudson</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Patricia A. Jacobs</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Pamela F. Lenehan</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pBdr/>
        <w:bidi w:val="0"/>
        <w:spacing w:lineRule="auto" w:line="288" w:before="0" w:after="0"/>
        <w:ind w:left="0" w:right="0" w:hanging="0"/>
        <w:jc w:val="left"/>
        <w:rPr>
          <w:rFonts w:ascii="Times New Roman;Times;serif" w:hAnsi="Times New Roman;Times;serif"/>
          <w:b/>
          <w:sz w:val="21"/>
        </w:rPr>
      </w:pPr>
      <w:r>
        <w:rPr>
          <w:rFonts w:ascii="Times New Roman;Times;serif" w:hAnsi="Times New Roman;Times;serif"/>
          <w:b/>
          <w:sz w:val="21"/>
        </w:rPr>
        <w:t>Employee Director</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Brad W. Martin</w:t>
      </w:r>
      <w:r>
        <w:rPr>
          <w:rFonts w:ascii="Times New Roman;Times;serif" w:hAnsi="Times New Roman;Times;serif"/>
          <w:sz w:val="20"/>
        </w:rPr>
        <w:t xml:space="preserve"> </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Brad Martin is our Chief Executive Officer and a member of our Board of Directors. Brad joined the Company in April 2018 as Executive Vice President and became our Chief Operating Officer in 2021. In January 2024, Brad was appointed our Chief Executive Officer and a member of our Board of Directors. Prior to joining us in 2018, he previously served as Chief Operating Officer for Senet Inc., a leading "low power wide area" network (LPWAN) operator and global service provider. From 2013 through 2015, Brad served as Senior Vice President and Chief Quality Officer with Extreme Networks, a global leader in software-driven networking solutions for Enterprise and Service Provider customers. Between 2008 and 2013, he served as Vice President of Engineering Operations and Quality with Siemens Enterprise Communications and Enterasys Networks, delivering voice and data networking hardware and software solutions to global enterprises. Brad holds a B.S. in Mechanical Engineering from the University of Maine and is a published author and featured industry speaker.</w:t>
      </w:r>
    </w:p>
    <w:p>
      <w:pPr>
        <w:pStyle w:val="TextBody"/>
        <w:shd w:fill="FFFFFF" w:val="clear"/>
        <w:bidi w:val="0"/>
        <w:spacing w:before="100" w:after="100"/>
        <w:ind w:left="0" w:right="0" w:hanging="0"/>
        <w:jc w:val="left"/>
        <w:rPr/>
      </w:pPr>
      <w:r>
        <w:rPr/>
        <w:t>​</w:t>
      </w:r>
    </w:p>
    <w:p>
      <w:pPr>
        <w:pStyle w:val="TextBody"/>
        <w:bidi w:val="0"/>
        <w:spacing w:lineRule="auto" w:line="288" w:before="0" w:after="240"/>
        <w:ind w:left="0" w:right="0" w:hanging="0"/>
        <w:jc w:val="left"/>
        <w:rPr>
          <w:rFonts w:ascii="Times New Roman;Times;serif" w:hAnsi="Times New Roman;Times;serif"/>
          <w:b/>
          <w:sz w:val="21"/>
        </w:rPr>
      </w:pPr>
      <w:r>
        <w:rPr>
          <w:rFonts w:ascii="Times New Roman;Times;serif" w:hAnsi="Times New Roman;Times;serif"/>
          <w:b/>
          <w:sz w:val="21"/>
        </w:rPr>
        <w:t>Non-Employee Directors</w:t>
      </w:r>
    </w:p>
    <w:p>
      <w:pPr>
        <w:pStyle w:val="TextBody"/>
        <w:bidi w:val="0"/>
        <w:spacing w:lineRule="auto" w:line="290" w:before="0" w:after="0"/>
        <w:ind w:left="0" w:right="0" w:hanging="0"/>
        <w:jc w:val="left"/>
        <w:rPr>
          <w:rFonts w:ascii="Times New Roman;Times;serif" w:hAnsi="Times New Roman;Times;serif"/>
          <w:b/>
          <w:sz w:val="20"/>
        </w:rPr>
      </w:pPr>
      <w:r>
        <w:rPr>
          <w:rFonts w:ascii="Times New Roman;Times;serif" w:hAnsi="Times New Roman;Times;serif"/>
          <w:b/>
          <w:sz w:val="20"/>
        </w:rPr>
        <w:t>Michael T. Prior</w:t>
      </w:r>
    </w:p>
    <w:p>
      <w:pPr>
        <w:pStyle w:val="TextBody"/>
        <w:bidi w:val="0"/>
        <w:spacing w:lineRule="auto" w:line="290"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p>
      <w:pPr>
        <w:pStyle w:val="TextBody"/>
        <w:bidi w:val="0"/>
        <w:spacing w:lineRule="auto" w:line="290" w:before="0" w:after="240"/>
        <w:ind w:left="0" w:right="0" w:hanging="0"/>
        <w:jc w:val="left"/>
        <w:rPr/>
      </w:pPr>
      <w:r>
        <w:rPr/>
        <w:t>​</w:t>
      </w:r>
    </w:p>
    <w:p>
      <w:pPr>
        <w:pStyle w:val="TextBody"/>
        <w:bidi w:val="0"/>
        <w:spacing w:lineRule="auto" w:line="290" w:before="0" w:after="0"/>
        <w:ind w:left="0" w:right="0" w:firstLine="720"/>
        <w:jc w:val="both"/>
        <w:rPr>
          <w:rFonts w:ascii="Times New Roman;Times;serif" w:hAnsi="Times New Roman;Times;serif"/>
          <w:sz w:val="20"/>
        </w:rPr>
      </w:pPr>
      <w:r>
        <w:rPr>
          <w:rFonts w:ascii="Times New Roman;Times;serif" w:hAnsi="Times New Roman;Times;serif"/>
          <w:sz w:val="21"/>
        </w:rPr>
        <w:t>Michael Prior is the Executive Chairman of the Board of Directors and was our President and Chief Executive Officer from December 2005 through December 2023. He is currently a member of our Investment Committee. He was elected to the Board in May 2008 and had been an officer of the Company since 2003. Prior to joining the Company, Mr. Prior was a partner with Q Advisors LLC, a Denver 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0"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Dr. Bernard J. Bulkin</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Dr. Bernard Bulkin has been a director of the Company since March 2016 and is currently the Independent Lead Director of our Board of Directors. He is also Chair of our Nominating and Corporate Governance Committee and a member of our Audit Committee. Dr. Bulkin is also a shareholder director of a holding company for the Company's renewable energy business operating under the "Vibrant" name in India. He held several senior management roles throughout his approximately twenty-year career at British Petroleum (BP), including Director of the refining business, Vice President Environmental Affairs, and Chief Scientist, and left BP in 2003. Dr. Bulkin is currently a director of VH-Global Sustainable Energy Opportunities Plc (LDN:GSEO) (Chairman), and QLM Technology Ltd (Chairman). Dr. Bulkin has served on the boards of Severn Trent plc, Ludgate Investments Limited, HMN Colmworth Ltd., Chemrec AB and REAC Fuel AB, each a Swedish biofuel technology developer, ARQ Ltd, K3 Solar Ltd,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(2010to 2017) and has held several other UK government roles in sustainable energy and transport. He earned a B.S. in Chemistry from the Polytechnic Institute of Brooklyn and a Ph.D. in Physical Chemistry from Purdue University. Dr. Bulkin is an Emeritus Professorial Fellow at the University of Cambridge and is the author of Crash Course (2015) and Solving Chemistry (2019). He was awarded the Honour of Officer of the Order of the British Empire (OBE) in the 2017 New Year Honours List.</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Richard J. Ganong</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Richard Ganong has been a director of the Company since June 2018 and is Chair of our Compensation Committee and a member of our Investment Committee. Mr. Ganong has more than 25 years of experience in the financial services industry with a focus on venture capital and hedge fund investing. He was a Partner at the Tudor Investment Corporation, an internationally recognized diversified investment management firm, from 1993 to 2009, including as a Partner from 2000 to 2009,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an investment and advisory boutique. Mr. Ganong also is an emeritus member of the Board of Overseers at The Tuck School at Dartmouth. He is currently a member of the Board of Directors for LMCG Investments, LLC, the Gasparilla Island Conservation and Improvement Association of Boca Grande and The Island School of Boca Grande. Mr. Ganong holds a B.A. from Bowdoin College and an M.B.A. from the Tuck School at Dartmouth.</w:t>
      </w:r>
    </w:p>
    <w:p>
      <w:pPr>
        <w:pStyle w:val="TextBody"/>
        <w:shd w:fill="FFFFFF" w:val="clear"/>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April V. Henry</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April Henry has been a director of the Company since March 2022. She is the Chair of our Investment Committee and a member of our Compensation Committee. She is the Managing Partner of Hawkeye Digital, a management consulting firm that is focused on driving revenue growth, core decision-making and business and human capital transformation for businesses at critical points in their growth cycle. Previously, Ms. Henry was a director of SciPlay Corporation (Nasdaq: SCPL) until its sale to Light &amp; Wonder on October 23, 2023. Prior to her current roles, Ms. Henry was the Executive Vice President of Corporate Development for Science Inc. and Science Strategic Acquisition Corp. Alpha (Nasdaq: SSAA) from 2020 to 2022, Co-Founder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and a special advisor to S4 Capital, PLC. Ms. Henry received her undergraduate degree in Political Science from Columbia University.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Derek G. Hudson</w:t>
      </w:r>
    </w:p>
    <w:p>
      <w:pPr>
        <w:pStyle w:val="TextBody"/>
        <w:shd w:fill="FFFFFF" w:val="clear"/>
        <w:bidi w:val="0"/>
        <w:spacing w:before="100" w:after="10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Derek Hudson has been a director of the Company since June 2023 and is a member of our Audit and Investment Committees. Mr. Hudson currently serves as the Chairman of the Board of Scotia Bank Trinidad and Tobago Limited and has been a member of the Board since June 2016. Following his retirement from his role as Shell's Vice President and Country Chairman, Trinidad &amp; Tobago, from June 2016 to June 2019, Mr. Hudson served as a business advisor to Shell's Integrated Gas Business until June 2021. Prior to the combination of Royal Dutch Shell and BG Group in February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has also served on the board of Atlantic LNG, a joint venture owned by Shell, BP, and the National Gas Company of Trinidad and Tobago, and at present is a Non-Executive Director of Trinity Energy, a UK-registered independent company focused on Trinidad and Tobago. He has also served on NGOs and other voluntary organizations in Trinidad and Tobago, and performed the role of Non-Executive Chairman of the Port Authority of Trinidad and Tobago from 2005 to 2010.</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Patricia A. Jacobs</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Patricia Jacobs has been a director of the Company since June 2023 and is a member of our Compensation and Nominating and Corporate Governance Committees. Ms. Jacobs held several leadership positions during her 37-year career in telecommunications, energy, and government, including President, New England Region for AT&amp;T from 2010 to 2020, and President, Northern Region from March 2020 until her retirement from the company in November 2022. Prior to such positions, Ms. Jacobs also served as Vice President for International Public Affairs, where she led international initiatives and corporate reputation campaigns globally; and Regional Vice President for Federal Public Affairs, where she worked on several mergers and a wide range of federal legislative and regulatory matters. Prior to joining AT&amp;T, Ms. Jacobs served as an aide to then Congressman Edward J. Markey (D-MA) at the Subcommittee on Energy and Power, as a member of the staff of the Massachusetts Senate's Commerce and Labor Committee. Ms. Jacobs was appointed to the Board of Directors of the Massachusetts Port Authority in August of 2016, and currently serves as Chair of the Board, and Chairs the Audit and Finance, and the Human Resources, Compensation and Diversity Committees. Ms. Jacobs also serves on the board of Avangrid (NYSE: NGR) and is a member of the Compensation and Nominating and the Unaffiliated Committees. Additionally, she is Vice Chair of the New England Council and serves on the boards of the JFK Presidential Library Foundation, the Boys and Girls Clubs of Boston, and is on the Leadership Council for Home Base (a partnership of Mass General Hospital and the Red Sox Foundation). Ms. Jacobs holds a B.A. from the University of Texas at Austin, and an M.A. and Ph.D. in Political Science from Boston College.</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Pamela F. Lenehan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Pamela Lenehan has been a director of the Company since June 2020 and is Chair of our Audit Committee and a member of our Nominating and Corporate Governance Committee. Ms. Lenehan spent more than 20 years in financial services. In June 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 Lenehan is also a director of the Center for Women &amp; Enterprise, the National Association of Corporate Directors New England Chapter, and is co-chair of the Boston Chapter of Women Corporate Directors. Ms. Lenehan previously served on the boards of Rithm Capital, Monotype Imaging, Civitas Solutions, American Superconductor, Spartech Corporation and Avid Technology. Ms. Lenehan has a B.A. in Mathematical Economics, cum laude and with honors, and a M.A. in Economics from Brown University. Ms. Lenehan holds a NACD Director Certification from the National Association of Corporate Directors.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1"/>
        </w:rPr>
      </w:pPr>
      <w:r>
        <w:rPr>
          <w:rFonts w:ascii="Times New Roman;Times;serif" w:hAnsi="Times New Roman;Times;serif"/>
          <w:b/>
          <w:sz w:val="21"/>
        </w:rPr>
        <w:t>Insider Trading Policy</w:t>
      </w:r>
    </w:p>
    <w:p>
      <w:pPr>
        <w:pStyle w:val="TextBody"/>
        <w:pBdr/>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We have adopted an insider trading policy and procedures governing the purchase, sale, and/or other dispositions of our securities (the “Insider Trading Policy”) that applies to all directors, officers, employees, consultants, contractors of the Company and its subsidiaries, as well as the Company itself. We believe that the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is filed as Exhibit 19 to this Report.</w:t>
      </w:r>
    </w:p>
    <w:p>
      <w:pPr>
        <w:pStyle w:val="TextBody"/>
        <w:shd w:fill="FFFFFF" w:val="clear"/>
        <w:bidi w:val="0"/>
        <w:spacing w:before="0" w:after="10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Additional information required by this Item 10 will be set forth in our Definitive Proxy Statement for the 2025 Annual Meeting of Stockholders (the “2025 Proxy Statement”) and is incorporated herein by reference. </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 w:name="ITEM11EXECUTIVECOMPENSATION_438684"/>
      <w:bookmarkStart w:id="92" w:name="_61846879_b5b0_4d1b_8671_b7dc1e3fe773"/>
      <w:bookmarkEnd w:id="91"/>
      <w:bookmarkEnd w:id="92"/>
      <w:r>
        <w:rPr>
          <w:rFonts w:ascii="Times New Roman;Times;serif" w:hAnsi="Times New Roman;Times;serif"/>
          <w:b/>
          <w:sz w:val="20"/>
        </w:rPr>
        <w:t>ITEM 11. EXECUTIVE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11 will be set forth in our 2025 Proxy Statement and is incorporated herein by reference.</w:t>
      </w:r>
    </w:p>
    <w:p>
      <w:pPr>
        <w:pStyle w:val="TextBody"/>
        <w:bidi w:val="0"/>
        <w:spacing w:before="0" w:after="240"/>
        <w:ind w:left="0" w:right="0" w:hanging="0"/>
        <w:jc w:val="left"/>
        <w:rPr>
          <w:rFonts w:ascii="Times New Roman;Times;serif" w:hAnsi="Times New Roman;Times;serif"/>
          <w:sz w:val="20"/>
        </w:rPr>
      </w:pPr>
      <w:bookmarkStart w:id="93" w:name="ITEM12SECURITYOWNERSHIPOFCERTAINBENEFICI"/>
      <w:bookmarkStart w:id="94" w:name="_845c34c1_429f_49dc_98d0_61d22d21a6ff"/>
      <w:bookmarkEnd w:id="93"/>
      <w:bookmarkEnd w:id="94"/>
      <w:r>
        <w:rPr>
          <w:rFonts w:ascii="Times New Roman;Times;serif" w:hAnsi="Times New Roman;Times;serif"/>
          <w:b/>
          <w:sz w:val="20"/>
        </w:rPr>
        <w:t>ITEM 12. 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12 will be set forth in our 2025 Proxy Statement and is incorporated herein by reference.</w:t>
      </w:r>
    </w:p>
    <w:p>
      <w:pPr>
        <w:pStyle w:val="TextBody"/>
        <w:bidi w:val="0"/>
        <w:spacing w:before="0" w:after="240"/>
        <w:ind w:left="0" w:right="0" w:hanging="0"/>
        <w:jc w:val="left"/>
        <w:rPr>
          <w:rFonts w:ascii="Times New Roman;Times;serif" w:hAnsi="Times New Roman;Times;serif"/>
          <w:sz w:val="20"/>
        </w:rPr>
      </w:pPr>
      <w:bookmarkStart w:id="95" w:name="ITEM13CERTAINRELATIONSHIPSANDRELATEDTRAN"/>
      <w:bookmarkStart w:id="96" w:name="_185b17bc_e341_415c_981a_e8ad369cb585"/>
      <w:bookmarkEnd w:id="95"/>
      <w:bookmarkEnd w:id="96"/>
      <w:r>
        <w:rPr>
          <w:rFonts w:ascii="Times New Roman;Times;serif" w:hAnsi="Times New Roman;Times;serif"/>
          <w:b/>
          <w:sz w:val="20"/>
        </w:rPr>
        <w:t>ITEM 13. 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13 will be set forth in our 2025 Proxy Statement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97" w:name="ITEM14PRINCIPALACCOUNTANTFEESANDSERVICES"/>
      <w:bookmarkStart w:id="98" w:name="_1c56ae42_c951_4873_96d4_eac34dda5274"/>
      <w:bookmarkEnd w:id="97"/>
      <w:bookmarkEnd w:id="98"/>
      <w:r>
        <w:rPr>
          <w:rFonts w:ascii="Times New Roman;Times;serif" w:hAnsi="Times New Roman;Times;serif"/>
          <w:b/>
          <w:sz w:val="20"/>
        </w:rPr>
        <w:t>ITEM 14. PRINCIPAL ACCOUNTANT FEES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Information required by this Item 14 will be set forth in our 2025 Proxy Statement and is incorporated herein by reference.</w:t>
      </w:r>
    </w:p>
    <w:p>
      <w:pPr>
        <w:pStyle w:val="TextBody"/>
        <w:bidi w:val="0"/>
        <w:spacing w:before="0" w:after="240"/>
        <w:ind w:left="0" w:right="0" w:firstLine="4320"/>
        <w:jc w:val="left"/>
        <w:rPr>
          <w:rFonts w:ascii="Times New Roman;Times;serif" w:hAnsi="Times New Roman;Times;serif"/>
          <w:b/>
          <w:sz w:val="20"/>
        </w:rPr>
      </w:pPr>
      <w:bookmarkStart w:id="99" w:name="PARTIV_619400"/>
      <w:bookmarkStart w:id="100" w:name="_0c75a480_06b7_4b5e_864e_a16c88bc81e9"/>
      <w:bookmarkEnd w:id="99"/>
      <w:bookmarkEnd w:id="100"/>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1" w:name="ITEM15EXHIBITSFINANCIALSTATEMENTSCHEDULE"/>
      <w:bookmarkEnd w:id="101"/>
      <w:r>
        <w:rPr>
          <w:rFonts w:ascii="Times New Roman;Times;serif" w:hAnsi="Times New Roman;Times;serif"/>
          <w:b/>
          <w:sz w:val="20"/>
        </w:rPr>
        <w:t xml:space="preserve">ITEM 15. EXHIBITS, FINANCIAL STATEMENT SCHEDULES </w:t>
      </w:r>
    </w:p>
    <w:tbl>
      <w:tblPr>
        <w:tblW w:w="5057" w:type="dxa"/>
        <w:jc w:val="left"/>
        <w:tblInd w:w="0" w:type="dxa"/>
        <w:tblLayout w:type="fixed"/>
        <w:tblCellMar>
          <w:top w:w="0" w:type="dxa"/>
          <w:left w:w="0" w:type="dxa"/>
          <w:bottom w:w="0" w:type="dxa"/>
          <w:right w:w="0" w:type="dxa"/>
        </w:tblCellMar>
      </w:tblPr>
      <w:tblGrid>
        <w:gridCol w:w="331"/>
        <w:gridCol w:w="472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Financial Statements.</w:t>
            </w:r>
            <w:r>
              <w:rPr>
                <w:caps w:val="false"/>
                <w:smallCaps w:val="false"/>
              </w:rPr>
              <w:t xml:space="preserve"> </w:t>
            </w:r>
            <w:r>
              <w:rPr>
                <w:rFonts w:ascii="Times New Roman;Times;serif" w:hAnsi="Times New Roman;Times;serif"/>
                <w:b w:val="false"/>
                <w:i w:val="false"/>
                <w:caps w:val="false"/>
                <w:smallCaps w:val="false"/>
                <w:sz w:val="20"/>
              </w:rPr>
              <w:t>See Index to Consolidated Financial Statements, which appears on page F-1 hereof. The financial statements listed in the accompanying Index to Consolidated Financial Statements are filed herewith in response to this Item 15.</w:t>
            </w:r>
          </w:p>
        </w:tc>
      </w:tr>
    </w:tbl>
    <w:tbl>
      <w:tblPr>
        <w:tblW w:w="10205" w:type="dxa"/>
        <w:jc w:val="left"/>
        <w:tblInd w:w="0" w:type="dxa"/>
        <w:tblLayout w:type="fixed"/>
        <w:tblCellMar>
          <w:top w:w="28" w:type="dxa"/>
          <w:left w:w="28" w:type="dxa"/>
          <w:bottom w:w="28" w:type="dxa"/>
          <w:right w:w="28"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Schedule II.</w:t>
            </w:r>
            <w:r>
              <w:rPr>
                <w:caps w:val="false"/>
                <w:smallCaps w:val="false"/>
              </w:rPr>
              <w:t xml:space="preserve"> </w:t>
            </w:r>
            <w:r>
              <w:rPr>
                <w:rFonts w:ascii="Times New Roman;Times;serif" w:hAnsi="Times New Roman;Times;serif"/>
                <w:b w:val="false"/>
                <w:i w:val="false"/>
                <w:caps w:val="false"/>
                <w:smallCaps w:val="false"/>
                <w:sz w:val="20"/>
              </w:rPr>
              <w:t>Valuation and Qualifying Accounts for the years ended December 31, 2022, 2023, and 2024 which appears on page F-66 hereof.</w:t>
            </w:r>
          </w:p>
        </w:tc>
      </w:tr>
    </w:tbl>
    <w:tbl>
      <w:tblPr>
        <w:tblW w:w="7116" w:type="dxa"/>
        <w:jc w:val="left"/>
        <w:tblInd w:w="0" w:type="dxa"/>
        <w:tblLayout w:type="fixed"/>
        <w:tblCellMar>
          <w:top w:w="28" w:type="dxa"/>
          <w:left w:w="28" w:type="dxa"/>
          <w:bottom w:w="28" w:type="dxa"/>
          <w:right w:w="28" w:type="dxa"/>
        </w:tblCellMar>
      </w:tblPr>
      <w:tblGrid>
        <w:gridCol w:w="124"/>
        <w:gridCol w:w="331"/>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Exhibits.</w:t>
            </w:r>
            <w:r>
              <w:rPr>
                <w:caps w:val="false"/>
                <w:smallCaps w:val="false"/>
              </w:rPr>
              <w:t xml:space="preserve"> </w:t>
            </w:r>
            <w:r>
              <w:rPr>
                <w:rFonts w:ascii="Times New Roman;Times;serif" w:hAnsi="Times New Roman;Times;serif"/>
                <w:b w:val="false"/>
                <w:i w:val="false"/>
                <w:caps w:val="false"/>
                <w:smallCaps w:val="false"/>
                <w:sz w:val="20"/>
              </w:rPr>
              <w:t>The exhibits listed below are filed herewith in response to this Item 15.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EXHIBIT INDEX </w:t>
      </w:r>
    </w:p>
    <w:p>
      <w:pPr>
        <w:pStyle w:val="TextBody"/>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 Form 10-K for the Year Ended December 31, 2024 </w:t>
      </w:r>
    </w:p>
    <w:p>
      <w:pPr>
        <w:pStyle w:val="TextBody"/>
        <w:bidi w:val="0"/>
        <w:spacing w:lineRule="auto" w:line="304" w:before="0" w:after="0"/>
        <w:ind w:left="0" w:right="0" w:hanging="0"/>
        <w:jc w:val="center"/>
        <w:rPr/>
      </w:pPr>
      <w:r>
        <w:rPr/>
        <w:t>​</w:t>
      </w:r>
    </w:p>
    <w:tbl>
      <w:tblPr>
        <w:tblW w:w="10205" w:type="dxa"/>
        <w:jc w:val="left"/>
        <w:tblInd w:w="0" w:type="dxa"/>
        <w:shd w:fill="FFFFFF" w:val="clear"/>
        <w:tblLayout w:type="fixed"/>
        <w:tblCellMar>
          <w:top w:w="0" w:type="dxa"/>
          <w:left w:w="0" w:type="dxa"/>
          <w:bottom w:w="0" w:type="dxa"/>
          <w:right w:w="0" w:type="dxa"/>
        </w:tblCellMar>
      </w:tblPr>
      <w:tblGrid>
        <w:gridCol w:w="586"/>
        <w:gridCol w:w="326"/>
        <w:gridCol w:w="9293"/>
      </w:tblGrid>
      <w:tr>
        <w:trPr/>
        <w:tc>
          <w:tcPr>
            <w:tcW w:w="58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293"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01055" cy="29210"/>
                      <wp:effectExtent l="0" t="0" r="0" b="0"/>
                      <wp:wrapNone/>
                      <wp:docPr id="112" name="Frame110"/>
                      <a:graphic xmlns:a="http://schemas.openxmlformats.org/drawingml/2006/main">
                        <a:graphicData uri="http://schemas.microsoft.com/office/word/2010/wordprocessingShape">
                          <wps:wsp>
                            <wps:cNvSpPr txBox="1"/>
                            <wps:spPr>
                              <a:xfrm>
                                <a:off x="0" y="0"/>
                                <a:ext cx="59010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8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293"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01055" cy="29210"/>
                      <wp:effectExtent l="0" t="0" r="0" b="0"/>
                      <wp:wrapNone/>
                      <wp:docPr id="113" name="Frame111"/>
                      <a:graphic xmlns:a="http://schemas.openxmlformats.org/drawingml/2006/main">
                        <a:graphicData uri="http://schemas.microsoft.com/office/word/2010/wordprocessingShape">
                          <wps:wsp>
                            <wps:cNvSpPr txBox="1"/>
                            <wps:spPr>
                              <a:xfrm>
                                <a:off x="0" y="0"/>
                                <a:ext cx="59010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FFFFFF" w:val="clear"/>
            <w:vAlign w:val="center"/>
          </w:tcPr>
          <w:p>
            <w:pPr>
              <w:pStyle w:val="TableContents"/>
              <w:bidi w:val="0"/>
              <w:spacing w:before="0" w:after="0"/>
              <w:ind w:left="0" w:right="0" w:hanging="0"/>
              <w:jc w:val="left"/>
              <w:rPr/>
            </w:pPr>
            <w:r>
              <w:rPr/>
              <w:t>    </w:t>
            </w:r>
          </w:p>
        </w:tc>
        <w:tc>
          <w:tcPr>
            <w:tcW w:w="9293" w:type="dxa"/>
            <w:tcBorders/>
            <w:shd w:fill="FFFF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Agreement and Plan of Merger, dated as of December 31, 2020, by and among Alaska Communications Systems Group, Inc., Project 8 Buyer, LLC and Project 8 Mergersub, Inc. (incorporated by reference to Exhibit 2.1 to the Company’s Current Report on Form 8-K (File No. 001-12593) filed on January 4, 2021).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FFFFFF" w:val="clear"/>
            <w:vAlign w:val="center"/>
          </w:tcPr>
          <w:p>
            <w:pPr>
              <w:pStyle w:val="TableContents"/>
              <w:bidi w:val="0"/>
              <w:spacing w:before="0" w:after="0"/>
              <w:ind w:left="0" w:right="0" w:hanging="0"/>
              <w:jc w:val="left"/>
              <w:rPr/>
            </w:pPr>
            <w:r>
              <w:rPr/>
              <w:t>​</w:t>
            </w:r>
          </w:p>
        </w:tc>
        <w:tc>
          <w:tcPr>
            <w:tcW w:w="9293" w:type="dxa"/>
            <w:tcBorders/>
            <w:shd w:fill="FFFFFF" w:val="cle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Restated Certificate of Incorporation of ATN International, Inc. (incorporated by reference to Exhibit 4.1 to the Company’s Registration Statement on Form S-8 (File No. 333-62416) filed on June 6, 2001).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FFFFFF" w:val="clear"/>
            <w:vAlign w:val="center"/>
          </w:tcPr>
          <w:p>
            <w:pPr>
              <w:pStyle w:val="TableContents"/>
              <w:bidi w:val="0"/>
              <w:spacing w:before="0" w:after="0"/>
              <w:ind w:left="0" w:right="0" w:hanging="0"/>
              <w:jc w:val="left"/>
              <w:rPr/>
            </w:pPr>
            <w:r>
              <w:rPr/>
              <w:t>​</w:t>
            </w:r>
          </w:p>
        </w:tc>
        <w:tc>
          <w:tcPr>
            <w:tcW w:w="9293" w:type="dxa"/>
            <w:tcBorders/>
            <w:shd w:fill="FFFF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the Restated Certificate of Incorporation of ATN International, Inc., as filed with the Delaware Secretary of State on August 14, 2006 (incorporated by reference to Exhibit 3.2 to the Company’s Quarterly Report on Form 10-Q (File No. 001-12593) for the quarterly period ended June 30, 2006 filed on August 14, 2006).</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FFFFFF" w:val="clear"/>
            <w:vAlign w:val="center"/>
          </w:tcPr>
          <w:p>
            <w:pPr>
              <w:pStyle w:val="TableContents"/>
              <w:bidi w:val="0"/>
              <w:spacing w:before="0" w:after="0"/>
              <w:ind w:left="0" w:right="0" w:hanging="0"/>
              <w:jc w:val="left"/>
              <w:rPr/>
            </w:pPr>
            <w:r>
              <w:rPr/>
              <w:t>​</w:t>
            </w:r>
          </w:p>
        </w:tc>
        <w:tc>
          <w:tcPr>
            <w:tcW w:w="9293" w:type="dxa"/>
            <w:tcBorders/>
            <w:shd w:fill="FFFFFF" w:val="cle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Amendment to the Company’s Restated Certificate of Incorporation, filed June 10, 2016 and effective June 21, 2016 (incorporated by reference to Exhibit 3.1 to the Company’s Current Report on Form 8-K (File No. 001-12593) filed on June 27, 2016).</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293" w:type="dxa"/>
            <w:tcBorders/>
            <w:shd w:fill="FFFFFF" w:val="cle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By-Laws, effective as of March 8, 2023 (incorporated by reference to Exhibit 3.1 to the Company’s Current Report on Form 8-K (File No. 001-12593) filed on March 14, 2023).</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FFFFFF" w:val="clear"/>
            <w:vAlign w:val="center"/>
          </w:tcPr>
          <w:p>
            <w:pPr>
              <w:pStyle w:val="TableContents"/>
              <w:bidi w:val="0"/>
              <w:spacing w:before="0" w:after="0"/>
              <w:ind w:left="0" w:right="0" w:hanging="0"/>
              <w:jc w:val="left"/>
              <w:rPr/>
            </w:pPr>
            <w:r>
              <w:rPr/>
              <w:t>​</w:t>
            </w:r>
          </w:p>
        </w:tc>
        <w:tc>
          <w:tcPr>
            <w:tcW w:w="9293" w:type="dxa"/>
            <w:tcBorders/>
            <w:shd w:fill="FFFFFF" w:val="cle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Description of ATN International, Inc. securities registered pursuant to Section 12 of the Exchange Act (incorporated by reference to Exhibit 4.1 to the Company’s Annual Report on Form 10 K (File No. 001 12593) for the year ended December 31, 2019 filed on March 2, 2020).</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ATN International, Inc. 2008 Equity Incentive Plan, as amended and restated (incorporated by reference to Appendix C of the Definitive Proxy Statement on Schedule 14A (File No. 001-12593) filed on May 2, 2011).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Notice of Grant of Restricted Stock and Restricted Stock Agreement under 2008 Equity Incentive Plan (Non-Employee Directors) (incorporated by reference to Exhibit 10.2 to the Company’s Current Report on Form 8-K (File No. 001-12593) filed on May 21, 2008).</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Notice of Grant of Restricted Stock and Restricted Stock Agreement under 2008 Equity Incentive Plan (incorporated by reference to Exhibit 10.3 to the Company’s Current Report on Form 8-K (File No. 001- 12593) filed on May 21, 2008).</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Notice of Grant of Incentive Stock Option and Option Agreement under 2008 Equity Incentive Plan (incorporated by reference to Exhibit 10.4 to the Company’s Current Report on Form 8-K (File No. 001- 12593) filed on May 21, 2008).</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Notice of Grant of Nonqualified Stock Option and Option Agreement under 2008 Equity Incentive Plan (incorporated by reference to Exhibit 10.5 to the Company’s Current Report on Form 8-K (File No. 001- 12593) filed on May 21, 2008).</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Deferred Compensation Plan for Select Employees of ATN International, Inc. (incorporated by reference to Exhibit 10.1 to the Company’s Current Report on Form 8-K (File No. 001-12593) filed on January 6, 2009).</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Restricted Stock Unit Agreement under the 2008 Equity Incentive Plan (incorporated by reference to Exhibit 10.2 to the Company’s Quarterly Report on Form 10-Q (File No. 001-12593) filed on May 9, 2018).</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Restricted Stock Unit Award Grant Notice and Restricted Stock Unit Agreement under the 2008 Equity Incentive Plan (incorporated by reference to Exhibit 10.2 to the Company’s Current Report on Form 8-K (File No. 001-12593) filed on March 15, 2021).</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Performance Stock Unit Award Grant Notice and Performance Stock Unit Agreement (incorporated by reference to Exhibit 10.1 to the Company’s Current Report on Form 8-K (File No. 001-12593) filed on March 15, 2021).</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lineRule="auto" w:line="304"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Severance Agreement with Non-CEO Executive Officers (incorporated by reference to Exhibit 10.2 to the Company’s Current Report on Form 8-K (File No. 001-12593) filed on March 19, 2019).</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lineRule="auto" w:line="304"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Severance Agreement with Non-CEO Executive Officers (incorporated by reference to Exhibit 10.11 to the Company’s Annual Report on Form 10-K (File No. 001-12593) filed on March 15, 2023)</w:t>
              </w:r>
            </w:hyperlink>
            <w:r>
              <w:rPr>
                <w:rFonts w:ascii="Times New Roman;Times;serif" w:hAnsi="Times New Roman;Times;serif"/>
                <w:sz w:val="20"/>
              </w:rPr>
              <w:t>.</w:t>
            </w:r>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ⱡ</w:t>
            </w:r>
          </w:p>
        </w:tc>
        <w:tc>
          <w:tcPr>
            <w:tcW w:w="9293" w:type="dxa"/>
            <w:tcBorders/>
            <w:shd w:fill="FFFFFF" w:val="clear"/>
            <w:vAlign w:val="center"/>
          </w:tcPr>
          <w:p>
            <w:pPr>
              <w:pStyle w:val="TableContents"/>
              <w:bidi w:val="0"/>
              <w:spacing w:lineRule="auto" w:line="302"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Severance Agreement with Chief Executive Officer (incorporated by reference to Exhibit 10.12 to the Company’s Annual Report on Form 10-K (File No. 001-12593) filed on March 15, 2023)</w:t>
              </w:r>
            </w:hyperlink>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586"/>
        <w:gridCol w:w="109"/>
        <w:gridCol w:w="9510"/>
      </w:tblGrid>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109" w:type="dxa"/>
            <w:tcBorders/>
            <w:shd w:fill="FFFFFF" w:val="clear"/>
            <w:vAlign w:val="center"/>
          </w:tcPr>
          <w:p>
            <w:pPr>
              <w:pStyle w:val="TableContents"/>
              <w:bidi w:val="0"/>
              <w:spacing w:lineRule="auto" w:line="302" w:before="0" w:after="0"/>
              <w:ind w:left="0" w:right="0" w:hanging="0"/>
              <w:jc w:val="left"/>
              <w:rPr/>
            </w:pPr>
            <w:r>
              <w:rPr/>
              <w:t>​</w:t>
            </w:r>
          </w:p>
        </w:tc>
        <w:tc>
          <w:tcPr>
            <w:tcW w:w="9510" w:type="dxa"/>
            <w:tcBorders/>
            <w:shd w:fill="FFFFFF" w:val="clear"/>
            <w:vAlign w:val="center"/>
          </w:tcPr>
          <w:p>
            <w:pPr>
              <w:pStyle w:val="TableContents"/>
              <w:bidi w:val="0"/>
              <w:spacing w:lineRule="auto" w:line="302" w:before="0" w:after="0"/>
              <w:ind w:left="0" w:right="0" w:hanging="0"/>
              <w:jc w:val="left"/>
              <w:rPr/>
            </w:pPr>
            <w:hyperlink r:id="rId22">
              <w:r>
                <w:rPr>
                  <w:rStyle w:val="InternetLink"/>
                  <w:rFonts w:ascii="Times New Roman;Times;serif" w:hAnsi="Times New Roman;Times;serif"/>
                  <w:b w:val="false"/>
                  <w:i w:val="false"/>
                  <w:caps w:val="false"/>
                  <w:smallCaps w:val="false"/>
                  <w:sz w:val="20"/>
                </w:rPr>
                <w:t>Fourth Amended and Restated Credit Agreement dated as of December 19, 2014, by and among the Company, as Borrower, CoBank, ACB, as Administrative Agent, Lead Arranger, Swingline Lender, an Issuing Lender and a Lender, Fifth Third Bank, as a Joint Lead Arranger, MUFG Union Bank, N.A., as a Joint Lead Arranger and an Issuing Lender, the Guarantors named therein and the other Lenders named therein (incorporated by reference to Exhibit 10.1 to the Company’s Current Report on Form 8-K (File No. 001-12593) filed on December 23, 2014).</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109" w:type="dxa"/>
            <w:tcBorders/>
            <w:shd w:fill="FFFFFF" w:val="clear"/>
            <w:vAlign w:val="center"/>
          </w:tcPr>
          <w:p>
            <w:pPr>
              <w:pStyle w:val="TableContents"/>
              <w:bidi w:val="0"/>
              <w:spacing w:lineRule="auto" w:line="302" w:before="0" w:after="0"/>
              <w:ind w:left="0" w:right="0" w:hanging="0"/>
              <w:jc w:val="left"/>
              <w:rPr/>
            </w:pPr>
            <w:r>
              <w:rPr/>
              <w:t>​</w:t>
            </w:r>
          </w:p>
        </w:tc>
        <w:tc>
          <w:tcPr>
            <w:tcW w:w="9510" w:type="dxa"/>
            <w:tcBorders/>
            <w:shd w:fill="FFFFFF" w:val="clear"/>
            <w:vAlign w:val="center"/>
          </w:tcPr>
          <w:p>
            <w:pPr>
              <w:pStyle w:val="TableContents"/>
              <w:bidi w:val="0"/>
              <w:spacing w:lineRule="auto" w:line="302" w:before="0" w:after="0"/>
              <w:ind w:left="0" w:right="0" w:hanging="0"/>
              <w:jc w:val="left"/>
              <w:rPr/>
            </w:pPr>
            <w:hyperlink r:id="rId23">
              <w:r>
                <w:rPr>
                  <w:rStyle w:val="InternetLink"/>
                  <w:rFonts w:ascii="Times New Roman;Times;serif" w:hAnsi="Times New Roman;Times;serif"/>
                  <w:b w:val="false"/>
                  <w:i w:val="false"/>
                  <w:caps w:val="false"/>
                  <w:smallCaps w:val="false"/>
                  <w:sz w:val="20"/>
                </w:rPr>
                <w:t>Amendment, Consent and Confirmation Agreement, dated January 11, 2016, by and among ATN International, Inc., as Borrower, CoBank, ACB, as Administrative Agent, and the Guarantors and other Lenders named therein (incorporated by reference to Exhibit 10.1 to the Company’s Current Report on Form 8-K (File No. 001-12593) filed on January 15, 2016).</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lineRule="auto" w:line="304" w:before="0" w:after="0"/>
              <w:ind w:left="0" w:right="0" w:hanging="0"/>
              <w:jc w:val="left"/>
              <w:rPr/>
            </w:pPr>
            <w:hyperlink r:id="rId24">
              <w:r>
                <w:rPr>
                  <w:rStyle w:val="InternetLink"/>
                  <w:rFonts w:ascii="Times New Roman;Times;serif" w:hAnsi="Times New Roman;Times;serif"/>
                  <w:b w:val="false"/>
                  <w:i w:val="false"/>
                  <w:caps w:val="false"/>
                  <w:smallCaps w:val="false"/>
                  <w:sz w:val="20"/>
                </w:rPr>
                <w:t>Third Amendment and Confirmation Agreement dated as of April 10, 2019 by and among the Company, as Borrower, CoBank, ACB, as Administrative Agent, the Guarantors named therein and the other Lenders named therein (incorporated by reference to Exhibit 10.1 to the Company’s Current Report on Form 8-K (File No. 001-12593) filed on April 16, 2019).</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lineRule="auto" w:line="304" w:before="0" w:after="0"/>
              <w:ind w:left="0" w:right="0" w:hanging="0"/>
              <w:jc w:val="left"/>
              <w:rPr/>
            </w:pPr>
            <w:hyperlink r:id="rId25">
              <w:r>
                <w:rPr>
                  <w:rStyle w:val="InternetLink"/>
                  <w:rFonts w:ascii="Times New Roman;Times;serif" w:hAnsi="Times New Roman;Times;serif"/>
                  <w:b w:val="false"/>
                  <w:i w:val="false"/>
                  <w:caps w:val="false"/>
                  <w:smallCaps w:val="false"/>
                  <w:sz w:val="20"/>
                  <w:shd w:fill="FFFFFF" w:val="clear"/>
                </w:rPr>
                <w:t>Fourth Amendment, Consent and Confirmation Agreement, dated November 7, 2022, among ATN International, Inc., each of the Guarantors named therein, CoBank, ACB, and each of the Lenders named therein (incorporated by reference to Exhibit 10.1 to the Company’s Quarterly Report on Form 10-Q (File No. 001 12593) filed on November 9, 2022).</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lineRule="auto" w:line="304" w:before="0" w:after="0"/>
              <w:ind w:left="0" w:right="0" w:hanging="0"/>
              <w:jc w:val="left"/>
              <w:rPr/>
            </w:pPr>
            <w:hyperlink r:id="rId26">
              <w:r>
                <w:rPr>
                  <w:rStyle w:val="InternetLink"/>
                  <w:rFonts w:ascii="Times New Roman;Times;serif" w:hAnsi="Times New Roman;Times;serif"/>
                  <w:b w:val="false"/>
                  <w:i w:val="false"/>
                  <w:caps w:val="false"/>
                  <w:smallCaps w:val="false"/>
                  <w:sz w:val="20"/>
                </w:rPr>
                <w:t>Amendment Agreement, dated as of December 28, 2022 , among, ATN International, Inc., as Borrower, CoBank, ACB, as Administrative Agent, and the Lenders and Guarantors party thereto (incorporated by reference to Exhibit 10.3 to the Company’s Current Report on Form 8-K (File No. 001-12593) filed on December 30, 2022).</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lineRule="auto" w:line="304" w:before="0" w:after="0"/>
              <w:ind w:left="0" w:right="0" w:hanging="0"/>
              <w:jc w:val="left"/>
              <w:rPr/>
            </w:pPr>
            <w:hyperlink r:id="rId27">
              <w:r>
                <w:rPr>
                  <w:rStyle w:val="InternetLink"/>
                  <w:rFonts w:ascii="Times New Roman;Times;serif" w:hAnsi="Times New Roman;Times;serif"/>
                  <w:b w:val="false"/>
                  <w:i w:val="false"/>
                  <w:caps w:val="false"/>
                  <w:smallCaps w:val="false"/>
                  <w:sz w:val="20"/>
                </w:rPr>
                <w:t>Credit Agreement, dated as of March 26, 2020, among Commnet Finance, LLC, as Borrower, Commnet Wireless, LLC, as Originator and Servicer, ATN International, Inc., as Limited Guarantor, CoBank, ACB, as Administrative Agent, Lead Arranger, and Sole Bookrunner, and the Lenders party thereto (incorporated by reference to Exhibit 10.1 to the Company’s Current Report on Form 8-K (File No. 001-12593) filed on April 1, 2020).</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Consent, Release and Confirmation Agreement, entered into as of March 26, 2020, among ATN International, Inc., as Borrower, each of the subsidiaries of ATN International, Inc., identified as guarantors on the signature pages thereto, CoBank, ACB, as Administrative Agent, and each of the financial institutions identified as a Lender on the signature pages thereto (incorporated by reference to Exhibit 10.2 to the Company’s Current Report on Form 8-K (File No. 001-12593) filed on April 1, 2020).</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Amendment and Confirmation Agreement, effective as of December 22, 2022 , among Commnet Finance, LLC, as Borrower, Commnet Wireless, LLC, as Originator and Servicer, ATN International, Inc., as Limited Guarantor, CoBank, ACB, as Administrative Agent, Lead Arranger, and Sole Bookrunner, and the Lenders party thereto (incorporated by reference to Exhibit 10.1 to the Company’s Current Report on Form 8-K (File No. 001-12593) filed on December 30, 2022).</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Agreement between the Government of the Co-Operative Republic of Guyana and Atlantic Tele- Network, Inc., dated June 18, 1990 (incorporated by reference to Exhibit 10.1 to the Company's Quarterly Report on Form 10-Q (File No. 001-12593) for the quarterly period ended March 31, 2006 filed on May 15, 2006).</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Amendment to the Agreement between the Government of the Co-Operative Republic of Guyana and ATN International, Inc., dated November 2, 2012 (incorporated by reference to Exhibit 10.20 to the Company’s Annual Report on Form 10-K (File No. 001-12593) for the year ended December 31, 2012 filed on March 18, 2013).</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10.23</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Loan Agreement, dated as of July 1, 2016, by and among ATN VI Holdings, LLC, Caribbean Asset Holdings LLC, and Rural Telephone Finance Cooperative (incorporated by reference to Exhibit 10.2 to the Company’s Quarterly Report on Form 10-Q (File No. 001-12593) for the quarterly period ended June 30, 2016 filed on August 9, 2016).</w:t>
              </w:r>
            </w:hyperlink>
          </w:p>
        </w:tc>
      </w:tr>
      <w:tr>
        <w:trPr/>
        <w:tc>
          <w:tcPr>
            <w:tcW w:w="586"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109" w:type="dxa"/>
            <w:tcBorders/>
            <w:shd w:fill="FFFFFF" w:val="clear"/>
            <w:vAlign w:val="center"/>
          </w:tcPr>
          <w:p>
            <w:pPr>
              <w:pStyle w:val="TableContents"/>
              <w:bidi w:val="0"/>
              <w:spacing w:lineRule="auto" w:line="304" w:before="0" w:after="0"/>
              <w:ind w:left="0" w:right="0" w:hanging="0"/>
              <w:jc w:val="left"/>
              <w:rPr/>
            </w:pPr>
            <w:r>
              <w:rPr/>
              <w:t>​</w:t>
            </w:r>
          </w:p>
        </w:tc>
        <w:tc>
          <w:tcPr>
            <w:tcW w:w="9510" w:type="dxa"/>
            <w:tcBorders/>
            <w:shd w:fill="FFFFFF" w:val="clear"/>
            <w:vAlign w:val="center"/>
          </w:tcPr>
          <w:p>
            <w:pPr>
              <w:pStyle w:val="TableContents"/>
              <w:bidi w:val="0"/>
              <w:spacing w:lineRule="auto" w:line="304" w:before="0" w:after="0"/>
              <w:ind w:left="0" w:right="0" w:hanging="0"/>
              <w:jc w:val="left"/>
              <w:rPr/>
            </w:pPr>
            <w:hyperlink r:id="rId33">
              <w:r>
                <w:rPr>
                  <w:rStyle w:val="InternetLink"/>
                  <w:rFonts w:ascii="Times New Roman;Times;serif" w:hAnsi="Times New Roman;Times;serif"/>
                  <w:b w:val="false"/>
                  <w:i w:val="false"/>
                  <w:caps w:val="false"/>
                  <w:smallCaps w:val="false"/>
                  <w:sz w:val="20"/>
                </w:rPr>
                <w:t>Limited Waiver of Net Leverage Ratio dated as of February 27, 2018, between ATN VI Holdings, LLC and the Rural Telephone Finance Cooperative (incorporated by reference to Exhibit 10.25 to the Company’s Annual Report on Form 10-K (File No. 001-12593) filed on February 28, 2018).</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586"/>
        <w:gridCol w:w="211"/>
        <w:gridCol w:w="9408"/>
      </w:tblGrid>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408" w:type="dxa"/>
            <w:tcBorders/>
            <w:shd w:fill="FFFFFF" w:val="clear"/>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Limited Waiver of Net Leverage Ratio dated as of February 25, 2019, between ATN VI Holdings, LLC and the Rural Telephone Finance Cooperative (incorporated by reference to Exhibit 10.19 to the Company’s Annual Report on Form 10-K (File No. 001-12593) filed on February 28, 2019)</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408" w:type="dxa"/>
            <w:tcBorders/>
            <w:shd w:fill="FFFFFF" w:val="clear"/>
            <w:vAlign w:val="center"/>
          </w:tcPr>
          <w:p>
            <w:pPr>
              <w:pStyle w:val="TableContents"/>
              <w:bidi w:val="0"/>
              <w:spacing w:lineRule="auto" w:line="302" w:before="0" w:after="0"/>
              <w:ind w:left="0" w:right="0" w:hanging="0"/>
              <w:jc w:val="left"/>
              <w:rPr/>
            </w:pPr>
            <w:hyperlink r:id="rId35">
              <w:r>
                <w:rPr>
                  <w:rStyle w:val="InternetLink"/>
                  <w:rFonts w:ascii="Times New Roman;Times;serif" w:hAnsi="Times New Roman;Times;serif"/>
                  <w:b w:val="false"/>
                  <w:i w:val="false"/>
                  <w:caps w:val="false"/>
                  <w:smallCaps w:val="false"/>
                  <w:sz w:val="20"/>
                </w:rPr>
                <w:t>Limited Waiver of Net Leverage Ratio dated as of February 26, 2020, between ATN VI Holdings, LLC and the Rural Telephone Finance Cooperative (incorporated by reference to Exhibit 10.18 to the Company’s Annual Report on Form 10-K (File No. 001-12593) for the year ended December 31, 2019 filed on March 2, 2020).</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408" w:type="dxa"/>
            <w:tcBorders/>
            <w:shd w:fill="FFFFFF" w:val="clear"/>
            <w:vAlign w:val="center"/>
          </w:tcPr>
          <w:p>
            <w:pPr>
              <w:pStyle w:val="TableContents"/>
              <w:bidi w:val="0"/>
              <w:spacing w:lineRule="auto" w:line="302" w:before="0" w:after="0"/>
              <w:ind w:left="0" w:right="0" w:hanging="0"/>
              <w:jc w:val="left"/>
              <w:rPr/>
            </w:pPr>
            <w:hyperlink r:id="rId36">
              <w:r>
                <w:rPr>
                  <w:rStyle w:val="InternetLink"/>
                  <w:rFonts w:ascii="Times New Roman;Times;serif" w:hAnsi="Times New Roman;Times;serif"/>
                  <w:b w:val="false"/>
                  <w:i w:val="false"/>
                  <w:caps w:val="false"/>
                  <w:smallCaps w:val="false"/>
                  <w:sz w:val="20"/>
                </w:rPr>
                <w:t>Limited Waiver of Net Leverage Ratio dated as of February 25, 2021, between ATN VI Holdings, LLC and the Rural Telephone Finance Cooperative (incorporated by reference to Exhibit 10.21 to the Company’s Annual Report on Form 10-K (File No. 001 12593) filed on March 1, 2021).</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408" w:type="dxa"/>
            <w:tcBorders/>
            <w:shd w:fill="FFFFFF" w:val="clear"/>
            <w:vAlign w:val="center"/>
          </w:tcPr>
          <w:p>
            <w:pPr>
              <w:pStyle w:val="TableContents"/>
              <w:bidi w:val="0"/>
              <w:spacing w:lineRule="auto" w:line="302" w:before="0" w:after="0"/>
              <w:ind w:left="0" w:right="0" w:hanging="0"/>
              <w:jc w:val="left"/>
              <w:rPr/>
            </w:pPr>
            <w:hyperlink r:id="rId37">
              <w:r>
                <w:rPr>
                  <w:rStyle w:val="InternetLink"/>
                  <w:rFonts w:ascii="Times New Roman;Times;serif" w:hAnsi="Times New Roman;Times;serif"/>
                  <w:b w:val="false"/>
                  <w:i w:val="false"/>
                  <w:caps w:val="false"/>
                  <w:smallCaps w:val="false"/>
                  <w:sz w:val="20"/>
                </w:rPr>
                <w:t>Consent and Waiver between Rural Telephone Finance Cooperative, Caribbean Asset Holdings, LLC and DTR Holdings, LLC, dated May 7, 2018. (incorporated by reference to Exhibit 10.1 to the Company’s Quarterly Report on Form 10-Q (File No. 001-12593) filed on May 9, 2018)</w:t>
              </w:r>
            </w:hyperlink>
            <w:r>
              <w:rPr>
                <w:rFonts w:ascii="Times New Roman;Times;serif" w:hAnsi="Times New Roman;Times;serif"/>
                <w:sz w:val="20"/>
              </w:rPr>
              <w:t>.</w:t>
            </w:r>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408" w:type="dxa"/>
            <w:tcBorders/>
            <w:shd w:fill="FFFFFF" w:val="clear"/>
            <w:vAlign w:val="center"/>
          </w:tcPr>
          <w:p>
            <w:pPr>
              <w:pStyle w:val="TableContents"/>
              <w:bidi w:val="0"/>
              <w:spacing w:lineRule="auto" w:line="302" w:before="0" w:after="0"/>
              <w:ind w:left="0" w:right="0" w:hanging="0"/>
              <w:jc w:val="left"/>
              <w:rPr/>
            </w:pPr>
            <w:hyperlink r:id="rId38">
              <w:r>
                <w:rPr>
                  <w:rStyle w:val="InternetLink"/>
                  <w:rFonts w:ascii="Times New Roman;Times;serif" w:hAnsi="Times New Roman;Times;serif"/>
                  <w:b w:val="false"/>
                  <w:i w:val="false"/>
                  <w:caps w:val="false"/>
                  <w:smallCaps w:val="false"/>
                  <w:sz w:val="20"/>
                </w:rPr>
                <w:t>Consent and Waiver between Rural Telephone Finance Cooperative, Caribbean Asset Holdings, LLC and DTR Holdings, LLC, dated August 3, 2018. (incorporated by reference to Exhibit 10.1 to the Company’s Quarterly Report on Form 10-Q (File No. 001-12593) filed on August 8, 2018).</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211" w:type="dxa"/>
            <w:tcBorders/>
            <w:shd w:fill="FFFFFF" w:val="clear"/>
            <w:vAlign w:val="center"/>
          </w:tcPr>
          <w:p>
            <w:pPr>
              <w:pStyle w:val="TableContents"/>
              <w:bidi w:val="0"/>
              <w:spacing w:lineRule="auto" w:line="302" w:before="0" w:after="0"/>
              <w:ind w:left="0" w:right="0" w:hanging="0"/>
              <w:jc w:val="left"/>
              <w:rPr/>
            </w:pPr>
            <w:r>
              <w:rPr/>
              <w:t>​</w:t>
            </w:r>
          </w:p>
        </w:tc>
        <w:tc>
          <w:tcPr>
            <w:tcW w:w="9408" w:type="dxa"/>
            <w:tcBorders/>
            <w:shd w:fill="FFFFFF" w:val="clear"/>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shd w:fill="FFFFFF" w:val="clear"/>
                </w:rPr>
                <w:t>Amendment to Loan Agreement dated May 5, 2022 between ATN VI Holdings, LLC and Rural Telephone Finance Cooperative (incorporated by reference to Exhibit 10.1 to the Company’s Quarterly Report on Form 10-Q (file No. 001-12593) for the quarterly period ended March 31, 2022 filed on May 10, 2022).</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shd w:fill="FFFFFF" w:val="clear"/>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Network Build and Maintenance Agreement, dated as of July 31, 2019, by and between Commnet Wireless, LLC, a wholly owned subsidiary of ATN International, Inc., and AT&amp;T Mobility LLC (incorporated by reference to Exhibit 10.1 to the Company’s Quarterly Report on Form 10-Q (File No. 001-12593) for the quarterly period ended September 30, 2019 filed on November 8, 2019).</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10.32</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shd w:fill="FFFFFF" w:val="clear"/>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First Amendment to Network Build and Maintenance Agreement dated as of 6th day of August, 2020 and effective as of the 1st day of July, 2020 by and between Commnet Wireless, LLC and AT&amp;T Mobility LLC (incorporated by reference to Exhibit 10.1 to the Company’s Quarterly Report on Form 10-Q (File No. 001-12593) filed on November 4, 2020).</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shd w:fill="FFFFFF" w:val="clear"/>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Second Amendment to Network Build and Maintenance Agreement dated as of the 4th day of May, 2021 and effective as of the 1st day of January, 2021 by and between Commnet Wireless, LLC and AT&amp;T Mobility LLC (incorporated by reference to Exhibit 10.1 to the Company’s Quarterly Report on Form 10-Q (File No. 001-12593) filed on May 10, 2021).</w:t>
              </w:r>
            </w:hyperlink>
          </w:p>
        </w:tc>
      </w:tr>
      <w:tr>
        <w:trPr/>
        <w:tc>
          <w:tcPr>
            <w:tcW w:w="586" w:type="dxa"/>
            <w:tcBorders/>
            <w:shd w:fill="FFFFFF" w:val="clear"/>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211" w:type="dxa"/>
            <w:tcBorders/>
            <w:shd w:fill="FFFFFF" w:val="clear"/>
            <w:vAlign w:val="center"/>
          </w:tcPr>
          <w:p>
            <w:pPr>
              <w:pStyle w:val="TableContents"/>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shd w:fill="FFFFFF" w:val="clear"/>
            <w:vAlign w:val="center"/>
          </w:tcPr>
          <w:p>
            <w:pPr>
              <w:pStyle w:val="TableContents"/>
              <w:bidi w:val="0"/>
              <w:spacing w:lineRule="auto" w:line="302" w:before="0" w:after="0"/>
              <w:ind w:left="0" w:right="0" w:hanging="0"/>
              <w:jc w:val="left"/>
              <w:rPr/>
            </w:pPr>
            <w:hyperlink r:id="rId43">
              <w:r>
                <w:rPr>
                  <w:rStyle w:val="InternetLink"/>
                  <w:rFonts w:ascii="Times New Roman;Times;serif" w:hAnsi="Times New Roman;Times;serif"/>
                  <w:b w:val="false"/>
                  <w:i w:val="false"/>
                  <w:caps w:val="false"/>
                  <w:smallCaps w:val="false"/>
                  <w:sz w:val="20"/>
                  <w:shd w:fill="FFFFFF" w:val="clear"/>
                </w:rPr>
                <w:t>Third Amendment to Network Build and Maintenance Agreement dated as of the 4th day of August, 2022 and effective as of the 1st day of January, 2022 by and between Commnet Wireless, LLC and AT&amp;T Mobility LLC , incorporated by reference to Exhibit 10.2 to the Company’s Quarterly Report on Form 10-Q (file No. 001-12593) for the quarterly period ended June 30, 2022 filed on August 8, 2022.</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2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shd w:fill="FFFFFF" w:val="clear"/>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Fourth Amendment to Network Build and Maintenance Agreement dated as of December 21, 2023 and effective as of the 30th day of September, 2023, by and between Commnet Wireless, LLC and AT&amp;T Mobility LLC (incorporated by reference to Exhibit 10.46 to the Company’s Annual Report on Form 10-K (file No. 001-12593) for the year ended December 31, 2023 filed on March 15, 2024).</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2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shd w:fill="FFFFFF" w:val="clear"/>
            <w:vAlign w:val="center"/>
          </w:tcPr>
          <w:p>
            <w:pPr>
              <w:pStyle w:val="TableContents"/>
              <w:bidi w:val="0"/>
              <w:spacing w:before="0" w:after="0"/>
              <w:ind w:left="0" w:right="0" w:hanging="0"/>
              <w:jc w:val="left"/>
              <w:rPr/>
            </w:pPr>
            <w:hyperlink w:anchor="atni-20241231xex10d36.htm">
              <w:r>
                <w:rPr>
                  <w:rStyle w:val="InternetLink"/>
                  <w:rFonts w:ascii="Times New Roman;Times;serif" w:hAnsi="Times New Roman;Times;serif"/>
                  <w:b w:val="false"/>
                  <w:i w:val="false"/>
                  <w:caps w:val="false"/>
                  <w:smallCaps w:val="false"/>
                  <w:sz w:val="20"/>
                </w:rPr>
                <w:t>Fifth Amendment to Network Build and Maintenance Agreement dated as of March 4, 2025 and effective as of January 1, 2025, by and between Commnet Wireless, LLC and AT&amp;T Mobility LLC.</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211" w:type="dxa"/>
            <w:tcBorders/>
            <w:shd w:fill="FFFFFF" w:val="clear"/>
            <w:vAlign w:val="center"/>
          </w:tcPr>
          <w:p>
            <w:pPr>
              <w:pStyle w:val="TableContents"/>
              <w:bidi w:val="0"/>
              <w:spacing w:before="0" w:after="0"/>
              <w:ind w:left="0" w:right="0" w:hanging="0"/>
              <w:jc w:val="left"/>
              <w:rPr/>
            </w:pPr>
            <w:r>
              <w:rPr/>
              <w:t>​</w:t>
            </w:r>
          </w:p>
        </w:tc>
        <w:tc>
          <w:tcPr>
            <w:tcW w:w="9408" w:type="dxa"/>
            <w:tcBorders/>
            <w:shd w:fill="FFFFFF" w:val="clear"/>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Amended and Restated Limited Liability Company Agreement of ALSK Holdings, dated as of July 21, 2021 by and among ALSK Holdings, the Company, F3C IV, certain affiliates of F3C IV, and certain other institutional investors (incorporated by reference to Exhibit 10.1 to the Company’s Current Report on Form 8-K (File No. 001-12593) filed on July 22, 2021).</w:t>
              </w:r>
            </w:hyperlink>
          </w:p>
        </w:tc>
      </w:tr>
      <w:tr>
        <w:trPr/>
        <w:tc>
          <w:tcPr>
            <w:tcW w:w="58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211" w:type="dxa"/>
            <w:tcBorders/>
            <w:shd w:fill="FFFFFF" w:val="clear"/>
            <w:vAlign w:val="center"/>
          </w:tcPr>
          <w:p>
            <w:pPr>
              <w:pStyle w:val="TableContents"/>
              <w:bidi w:val="0"/>
              <w:spacing w:before="0" w:after="0"/>
              <w:ind w:left="0" w:right="0" w:hanging="0"/>
              <w:jc w:val="left"/>
              <w:rPr/>
            </w:pPr>
            <w:r>
              <w:rPr/>
              <w:t>​</w:t>
            </w:r>
          </w:p>
        </w:tc>
        <w:tc>
          <w:tcPr>
            <w:tcW w:w="9408" w:type="dxa"/>
            <w:tcBorders/>
            <w:shd w:fill="FFFFFF" w:val="clear"/>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Credit Agreement, dated as of July 22, 2021, by and among the Borrower, Parent and certain of the Parent’s direct and indirect subsidiaries, as guarantors, Fifth Third Bank, National Association, as Administrative Agent, and the lenders party thereto (incorporated by reference to Exhibit 10.2 to the Company’s Current Report on Form 8-K (File No. 001-12593) filed on July 22, 2021).</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594"/>
        <w:gridCol w:w="211"/>
        <w:gridCol w:w="9400"/>
      </w:tblGrid>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First Amendment Agreement, dated as of December 23, 2022 , among Alaska Communications Systems Group, Inc., Alaska Management, Inc., the other Guarantors identified on the signature pages thereto, the Lenders party thereto, and Fifth Third Bank, National Association, as Administrative Agent, an L/C Issuer and Swing Line Lender and Bank of the West, as an L/C Issuer (incorporated by reference to Exhibit 10.2 to the Company’s Current Report on Form 8-K (File No. 001-12593) filed on December 30, 2022).</w:t>
              </w:r>
            </w:hyperlink>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Credit Agreement, dated as of August 29, 2024 among Alaska Communications Systems Group, Inc., as borrower (the “Borrower”), and its holding company, Alaska Management, Inc. (“Holdings”), and certain of Holdings’ direct and indirect subsidiaries, as guarantors, Bank of America, N.A., as administrative agent, an L/C issuer and swing line lender, Fifth Third Bank, National Association, as an L/C issuer, the lenders party thereto, and BofA Securities, Inc, Fifth Third Bank, National Association, BMO Bank NA, The Huntington Bank National Association, and MUFG Bank Ltd., as joint lead arrangers, and BofA Securities, Inc, Fifth Third Bank, National Association, and MUFG Union Bank, N.A., as joint bookrunners, and Fifth Third Bank, National Association, and MUFG Bank Ltd., as co-syndication agents, and BMO Bank NA, The Huntington Bank National Association and CoBank ACB, as co-documentation agents, incorporated by reference to Exhibit 10.1 to the Company’s Current Report on Form 8-K (file No. 001-12593) filed on August 30, 2024.</w:t>
              </w:r>
            </w:hyperlink>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w:t>
            </w:r>
          </w:p>
          <w:p>
            <w:pPr>
              <w:pStyle w:val="TableContents"/>
              <w:bidi w:val="0"/>
              <w:spacing w:before="0" w:after="0"/>
              <w:ind w:left="0" w:right="0" w:hanging="0"/>
              <w:jc w:val="righ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ATN International, Inc. 2023 Equity Incentive Plan (incorporated by reference to Exhibit 10.1 to the Company’s Current Report on Form 8-K (File No. 001-12593) filed on June 13,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Form of Restricted Stock Unit Award Grant Notice and Restricted Stock Unit Agreement under the 2023 Equity Incentive Plan (incorporated by reference to Exhibit 10.2 to the Company’s Current Report on Form 8-K (File No. 001-12593) filed on June 13,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Form of Performance Stock Unit Award Grant Notice and Performance Stock Unit Agreement under the 2023 Equity Incentive Plan (incorporated by reference to Exhibit 10.3 to the Company’s Current Report on Form 8-K (File No. 001-12593) filed on June 13,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Credit Agreement, dated as of July 13, 2023, among ATN International, Inc. as Borrower, CoBank, ACB, as Administrative Agent, Fifth Third Bank, N.A., MUFG Bank, Ltd. and the Guarantors party thereto (incorporated by reference to Exhibit 10.1 to the Company’s Current Report on Form 8-K (File No. 001-12593) filed on July 17,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Carrier Managed Services Master Agreement, dated as of May 10, 2023, between Commnet Wireless LLC, a wholly owned subsidiary of ATN International, Inc., and Cellco Partnership d/b/a Verizon Wireless (incorporated by reference to Exhibit 10.1 to the Company’s Quarterly Report on Form 10-Q (File No. 001-12593) filed on August 9,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 ⱡ</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Form of Notice of Grant of Restricted Stock and Restricted Stock Agreement under 2023 Equity Incentive Plan (Non-Employee Directors) (incorporated by reference to Exhibit 10.2 to the Company’s Quarterly Report on Form 10-Q (File No. 001-12593) filed on August 9,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 ⱡ</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Offer Letter and Restricted Covenant Agreement by and between ATN International, Inc. and Carlos Doglioli, dated November 13, 2023 (incorporated by reference to Exhibit 10.1 to the Company’s Current Report on Form 8-K (File No. 001-12593) filed on November 16, 2023)</w:t>
              </w:r>
            </w:hyperlink>
            <w:r>
              <w:rPr>
                <w:rFonts w:ascii="Times New Roman;Times;serif" w:hAnsi="Times New Roman;Times;serif"/>
                <w:sz w:val="20"/>
              </w:rPr>
              <w:t>.</w:t>
            </w:r>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Third Amendment and Confirmation Agreement, effective as of December 19, 2023, among Commnet Finance, LLC, as Borrower, Commnet Wireless, LLC, as Originator and Servicer, ATN International, Inc., as Limited Guarantor, CoBank, ACB, as Administrative Agent and the Lenders party thereto (incorporated by reference to Exhibit 10.45 to the Company’s Annual Report on Form 10-K (File No. 001-12593) for the year ended December 31, 2023 filed on March 15, 2024).</w:t>
              </w:r>
            </w:hyperlink>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211" w:type="dxa"/>
            <w:tcBorders/>
            <w:shd w:fill="FFFFFF" w:val="clear"/>
            <w:vAlign w:val="center"/>
          </w:tcPr>
          <w:p>
            <w:pPr>
              <w:pStyle w:val="TableContents"/>
              <w:bidi w:val="0"/>
              <w:spacing w:before="0" w:after="0"/>
              <w:ind w:left="0" w:right="0" w:hanging="0"/>
              <w:jc w:val="left"/>
              <w:rPr/>
            </w:pPr>
            <w:r>
              <w:rPr/>
              <w:t>​</w:t>
            </w:r>
          </w:p>
        </w:tc>
        <w:tc>
          <w:tcPr>
            <w:tcW w:w="9400" w:type="dxa"/>
            <w:tcBorders/>
            <w:shd w:fill="FFFFFF" w:val="clear"/>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Joinder, Consent, First Amendment and Reaffirmation Agreement, dated July 10, 2024, among ATN International, Inc as Borrower, SWC Telesolutions, Inc., ATN International Telecom Group, LLC, CoBank, ACB, as Administrative Agent, Fifth Third Bank, N.A., MUFG Bank, Ltd. and the Guarantors party thereto, incorporated by reference to Exhibit 10.1 to the Company’s Quarterly Report on Form 10-Q (file No. 001-12593) filed on August 9, 2024</w:t>
              </w:r>
            </w:hyperlink>
            <w:hyperlink r:id="rId58">
              <w:r>
                <w:rPr>
                  <w:rStyle w:val="InternetLink"/>
                  <w:rFonts w:ascii="Times New Roman;Times;serif" w:hAnsi="Times New Roman;Times;serif"/>
                  <w:b w:val="false"/>
                  <w:i w:val="false"/>
                  <w:caps w:val="false"/>
                  <w:smallCaps w:val="false"/>
                  <w:sz w:val="20"/>
                  <w:shd w:fill="FFFFFF" w:val="clear"/>
                </w:rPr>
                <w:t>.</w:t>
              </w:r>
            </w:hyperlink>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211"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400" w:type="dxa"/>
            <w:tcBorders/>
            <w:shd w:fill="FFFFFF" w:val="clear"/>
            <w:vAlign w:val="center"/>
          </w:tcPr>
          <w:p>
            <w:pPr>
              <w:pStyle w:val="TableContents"/>
              <w:bidi w:val="0"/>
              <w:spacing w:before="0" w:after="0"/>
              <w:ind w:left="0" w:right="0" w:hanging="0"/>
              <w:jc w:val="left"/>
              <w:rPr/>
            </w:pPr>
            <w:hyperlink w:anchor="atni-20241231xex19.htm">
              <w:r>
                <w:rPr>
                  <w:rStyle w:val="InternetLink"/>
                  <w:rFonts w:ascii="Times New Roman;Times;serif" w:hAnsi="Times New Roman;Times;serif"/>
                  <w:b w:val="false"/>
                  <w:i w:val="false"/>
                  <w:caps w:val="false"/>
                  <w:smallCaps w:val="false"/>
                  <w:sz w:val="20"/>
                </w:rPr>
                <w:t>Insider Trading Policy.</w:t>
              </w:r>
            </w:hyperlink>
          </w:p>
        </w:tc>
      </w:tr>
      <w:tr>
        <w:trPr/>
        <w:tc>
          <w:tcPr>
            <w:tcW w:w="5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 </w:t>
            </w:r>
          </w:p>
        </w:tc>
        <w:tc>
          <w:tcPr>
            <w:tcW w:w="2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0" w:type="dxa"/>
            <w:tcBorders/>
            <w:shd w:fill="FFFFFF" w:val="clear"/>
            <w:vAlign w:val="center"/>
          </w:tcPr>
          <w:p>
            <w:pPr>
              <w:pStyle w:val="TableContents"/>
              <w:bidi w:val="0"/>
              <w:spacing w:before="0" w:after="0"/>
              <w:ind w:left="0" w:right="0" w:hanging="0"/>
              <w:jc w:val="left"/>
              <w:rPr/>
            </w:pPr>
            <w:hyperlink w:anchor="atni-20241231xex21.htm">
              <w:r>
                <w:rPr>
                  <w:rStyle w:val="InternetLink"/>
                  <w:rFonts w:ascii="Times New Roman;Times;serif" w:hAnsi="Times New Roman;Times;serif"/>
                  <w:b w:val="false"/>
                  <w:i w:val="false"/>
                  <w:caps w:val="false"/>
                  <w:smallCaps w:val="false"/>
                  <w:sz w:val="20"/>
                </w:rPr>
                <w:t>Subsidiaries of ATN International, Inc.</w:t>
              </w:r>
            </w:hyperlink>
          </w:p>
        </w:tc>
      </w:tr>
      <w:tr>
        <w:trPr/>
        <w:tc>
          <w:tcPr>
            <w:tcW w:w="594"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21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0" w:type="dxa"/>
            <w:tcBorders/>
            <w:shd w:fill="FFFFFF" w:val="clear"/>
            <w:vAlign w:val="center"/>
          </w:tcPr>
          <w:p>
            <w:pPr>
              <w:pStyle w:val="TableContents"/>
              <w:bidi w:val="0"/>
              <w:spacing w:lineRule="auto" w:line="304" w:before="0" w:after="0"/>
              <w:ind w:left="0" w:right="0" w:hanging="0"/>
              <w:jc w:val="left"/>
              <w:rPr/>
            </w:pPr>
            <w:hyperlink w:anchor="atni-20241231xex23d1.htm">
              <w:r>
                <w:rPr>
                  <w:rStyle w:val="InternetLink"/>
                  <w:rFonts w:ascii="Times New Roman;Times;serif" w:hAnsi="Times New Roman;Times;serif"/>
                  <w:b w:val="false"/>
                  <w:i w:val="false"/>
                  <w:caps w:val="false"/>
                  <w:smallCaps w:val="false"/>
                  <w:sz w:val="20"/>
                </w:rPr>
                <w:t>Consent of Independent Registered Public Accounting Firm—PricewaterhouseCoopers LLP.</w:t>
              </w:r>
            </w:hyperlink>
          </w:p>
        </w:tc>
      </w:tr>
      <w:tr>
        <w:trPr/>
        <w:tc>
          <w:tcPr>
            <w:tcW w:w="594"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21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0" w:type="dxa"/>
            <w:tcBorders/>
            <w:shd w:fill="FFFFFF" w:val="clear"/>
            <w:vAlign w:val="center"/>
          </w:tcPr>
          <w:p>
            <w:pPr>
              <w:pStyle w:val="TableContents"/>
              <w:bidi w:val="0"/>
              <w:spacing w:lineRule="auto" w:line="304" w:before="0" w:after="0"/>
              <w:ind w:left="0" w:right="0" w:hanging="0"/>
              <w:jc w:val="left"/>
              <w:rPr/>
            </w:pPr>
            <w:hyperlink w:anchor="atni-20241231xex31d1.htm">
              <w:r>
                <w:rPr>
                  <w:rStyle w:val="InternetLink"/>
                  <w:rFonts w:ascii="Times New Roman;Times;serif" w:hAnsi="Times New Roman;Times;serif"/>
                  <w:b w:val="false"/>
                  <w:i w:val="false"/>
                  <w:caps w:val="false"/>
                  <w:smallCaps w:val="false"/>
                  <w:sz w:val="20"/>
                </w:rPr>
                <w:t>Certification of Principal Executive Officer pursuant to Rule 13a- 14(a) of the Securities Exchange Act of 1934, as adopted pursuant to Rule 302 of the Sarbanes-Oxley Act of 2002.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663"/>
        <w:gridCol w:w="255"/>
        <w:gridCol w:w="9287"/>
      </w:tblGrid>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25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7" w:type="dxa"/>
            <w:tcBorders/>
            <w:shd w:fill="FFFFFF" w:val="clear"/>
            <w:vAlign w:val="center"/>
          </w:tcPr>
          <w:p>
            <w:pPr>
              <w:pStyle w:val="TableContents"/>
              <w:bidi w:val="0"/>
              <w:spacing w:lineRule="auto" w:line="304" w:before="0" w:after="0"/>
              <w:ind w:left="0" w:right="0" w:hanging="0"/>
              <w:jc w:val="left"/>
              <w:rPr/>
            </w:pPr>
            <w:hyperlink w:anchor="atni-20241231xex31d2.htm">
              <w:r>
                <w:rPr>
                  <w:rStyle w:val="InternetLink"/>
                  <w:rFonts w:ascii="Times New Roman;Times;serif" w:hAnsi="Times New Roman;Times;serif"/>
                  <w:b w:val="false"/>
                  <w:i w:val="false"/>
                  <w:caps w:val="false"/>
                  <w:smallCaps w:val="false"/>
                  <w:sz w:val="20"/>
                </w:rPr>
                <w:t>Certification of Principal Financial Officer pursuant to Rule 13a- 14(a) of the Securities Exchange Act of 1934, as adopted pursuant to Rule 302 of the Sarbanes-Oxley Act of 2002.</w:t>
              </w:r>
            </w:hyperlink>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25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7" w:type="dxa"/>
            <w:tcBorders/>
            <w:shd w:fill="FFFFFF" w:val="clear"/>
            <w:vAlign w:val="center"/>
          </w:tcPr>
          <w:p>
            <w:pPr>
              <w:pStyle w:val="TableContents"/>
              <w:bidi w:val="0"/>
              <w:spacing w:lineRule="auto" w:line="304" w:before="0" w:after="0"/>
              <w:ind w:left="0" w:right="0" w:hanging="0"/>
              <w:jc w:val="left"/>
              <w:rPr/>
            </w:pPr>
            <w:hyperlink w:anchor="atni-2024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255"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7" w:type="dxa"/>
            <w:tcBorders/>
            <w:shd w:fill="FFFFFF" w:val="clear"/>
            <w:vAlign w:val="center"/>
          </w:tcPr>
          <w:p>
            <w:pPr>
              <w:pStyle w:val="TableContents"/>
              <w:bidi w:val="0"/>
              <w:spacing w:lineRule="auto" w:line="304" w:before="0" w:after="0"/>
              <w:ind w:left="0" w:right="0" w:hanging="0"/>
              <w:jc w:val="left"/>
              <w:rPr/>
            </w:pPr>
            <w:hyperlink w:anchor="atni-2024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pPr>
            <w:hyperlink r:id="rId59">
              <w:r>
                <w:rPr>
                  <w:rStyle w:val="InternetLink"/>
                  <w:rFonts w:ascii="Times New Roman;Times;serif" w:hAnsi="Times New Roman;Times;serif"/>
                  <w:b w:val="false"/>
                  <w:i w:val="false"/>
                  <w:caps w:val="false"/>
                  <w:smallCaps w:val="false"/>
                  <w:sz w:val="20"/>
                </w:rPr>
                <w:t>ATN International, Inc. Executive Compensation Recoupment Policy (incorporated by reference to Exhibit 97.1 to the Company’s Annual Report on Form 10 K (File No. 001 12593) for the year ended December 31, 2023 filed on March 15, 2024.</w:t>
              </w:r>
            </w:hyperlink>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63" w:type="dxa"/>
            <w:tcBorders/>
            <w:shd w:fill="FFFF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255" w:type="dxa"/>
            <w:tcBorders/>
            <w:shd w:fill="FFFFFF" w:val="clear"/>
            <w:vAlign w:val="center"/>
          </w:tcPr>
          <w:p>
            <w:pPr>
              <w:pStyle w:val="TableContents"/>
              <w:bidi w:val="0"/>
              <w:spacing w:lineRule="auto" w:line="304" w:before="0" w:after="0"/>
              <w:ind w:left="0" w:right="0" w:hanging="0"/>
              <w:jc w:val="left"/>
              <w:rPr/>
            </w:pPr>
            <w:r>
              <w:rPr/>
              <w:t>​</w:t>
            </w:r>
          </w:p>
        </w:tc>
        <w:tc>
          <w:tcPr>
            <w:tcW w:w="9287"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embedded within Exhibit 101).</w:t>
            </w:r>
          </w:p>
        </w:tc>
      </w:tr>
    </w:tbl>
    <w:p>
      <w:pPr>
        <w:pStyle w:val="TextBody"/>
        <w:bidi w:val="0"/>
        <w:spacing w:before="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181"/>
        <w:gridCol w:w="5026"/>
      </w:tblGrid>
      <w:tr>
        <w:trPr/>
        <w:tc>
          <w:tcPr>
            <w:tcW w:w="18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ⱡ</w:t>
            </w:r>
          </w:p>
        </w:tc>
        <w:tc>
          <w:tcPr>
            <w:tcW w:w="50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Portions of this exhibit (indicated by asterisks) have been omitted in accordance with the rules of the Securities and Exchange Commission.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 w:name="ITEM16FORM10KSUMMARY_221003"/>
      <w:bookmarkStart w:id="103" w:name="_97bc3879_2145_4fc5_9d40_031b4b557e88"/>
      <w:bookmarkEnd w:id="102"/>
      <w:bookmarkEnd w:id="103"/>
      <w:r>
        <w:rPr>
          <w:rFonts w:ascii="Times New Roman;Times;serif" w:hAnsi="Times New Roman;Times;serif"/>
          <w:b/>
          <w:sz w:val="20"/>
        </w:rPr>
        <w:t>ITEM 16. FORM 10-K SUMMARY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4" w:name="SIGNATURES_711619"/>
      <w:bookmarkStart w:id="105" w:name="_504758f1_55f3_40f5_a595_25c913da5abb"/>
      <w:bookmarkEnd w:id="104"/>
      <w:bookmarkEnd w:id="105"/>
      <w:r>
        <w:rPr>
          <w:rFonts w:ascii="Times New Roman;Times;serif" w:hAnsi="Times New Roman;Times;serif"/>
          <w:b/>
          <w:sz w:val="20"/>
        </w:rPr>
        <w:t xml:space="preserve">SIGNATURES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and Exchange Act of 1934, the registrant has duly caused this report to be signed on its behalf by the undersigned, thereunto duly authorized, in Beverly, Massachusetts on the 17th day of March, 2025.</w:t>
      </w:r>
    </w:p>
    <w:tbl>
      <w:tblPr>
        <w:tblW w:w="2912" w:type="dxa"/>
        <w:jc w:val="left"/>
        <w:tblInd w:w="0" w:type="dxa"/>
        <w:tblLayout w:type="fixed"/>
        <w:tblCellMar>
          <w:top w:w="0" w:type="dxa"/>
          <w:left w:w="0" w:type="dxa"/>
          <w:bottom w:w="0" w:type="dxa"/>
          <w:right w:w="0" w:type="dxa"/>
        </w:tblCellMar>
      </w:tblPr>
      <w:tblGrid>
        <w:gridCol w:w="124"/>
        <w:gridCol w:w="326"/>
        <w:gridCol w:w="406"/>
        <w:gridCol w:w="20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8740" cy="175260"/>
                      <wp:effectExtent l="0" t="0" r="0" b="0"/>
                      <wp:wrapNone/>
                      <wp:docPr id="114" name="Frame1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29210"/>
                      <wp:effectExtent l="0" t="0" r="0" b="0"/>
                      <wp:wrapNone/>
                      <wp:docPr id="115" name="Frame113"/>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 W. MARTIN</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indicated on the 17th day of March, 2025.</w:t>
      </w:r>
    </w:p>
    <w:tbl>
      <w:tblPr>
        <w:tblW w:w="6388" w:type="dxa"/>
        <w:jc w:val="left"/>
        <w:tblInd w:w="0" w:type="dxa"/>
        <w:tblLayout w:type="fixed"/>
        <w:tblCellMar>
          <w:top w:w="0" w:type="dxa"/>
          <w:left w:w="0" w:type="dxa"/>
          <w:bottom w:w="0" w:type="dxa"/>
          <w:right w:w="0" w:type="dxa"/>
        </w:tblCellMar>
      </w:tblPr>
      <w:tblGrid>
        <w:gridCol w:w="2296"/>
        <w:gridCol w:w="326"/>
        <w:gridCol w:w="376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57960" cy="29210"/>
                      <wp:effectExtent l="0" t="0" r="0" b="0"/>
                      <wp:wrapNone/>
                      <wp:docPr id="116" name="Frame114"/>
                      <a:graphic xmlns:a="http://schemas.openxmlformats.org/drawingml/2006/main">
                        <a:graphicData uri="http://schemas.microsoft.com/office/word/2010/wordprocessingShape">
                          <wps:wsp>
                            <wps:cNvSpPr txBox="1"/>
                            <wps:spPr>
                              <a:xfrm>
                                <a:off x="0" y="0"/>
                                <a:ext cx="1457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29210"/>
                      <wp:effectExtent l="0" t="0" r="0" b="0"/>
                      <wp:wrapNone/>
                      <wp:docPr id="117" name="Frame11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391410" cy="29210"/>
                      <wp:effectExtent l="0" t="0" r="0" b="0"/>
                      <wp:wrapNone/>
                      <wp:docPr id="118" name="Frame116"/>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w:t>
            </w:r>
          </w:p>
        </w:tc>
      </w:tr>
      <w:tr>
        <w:trPr/>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BRAD W. MARTIN</w:t>
            </w:r>
          </w:p>
        </w:tc>
        <w:tc>
          <w:tcPr>
            <w:tcW w:w="32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Brad W. Martin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CARLOS R. DOGLIOLI</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Carlos R. Doglioli</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T. PRIOR</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T. Prior</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BERNARD J. BULKIN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Bernard J. Bulkin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RICHARD J. GANONG</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Richard J. Ganong</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APRIL V. HENRY</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V. Henry</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DEREK G. HUDSON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Derek Hudson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PATRICIA A. JACOBS</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Patricia Jacobs</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PAMELA F. LENEHAN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Pamela F. Lenehan</w:t>
            </w:r>
          </w:p>
        </w:tc>
        <w:tc>
          <w:tcPr>
            <w:tcW w:w="3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6" w:name="_86a67d4d_d56c_488b_b659_fc570319aa1f"/>
      <w:bookmarkEnd w:id="106"/>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107" w:name="CONSOLIDATEDFINANCIALSTATEMENTSANDFINANC"/>
      <w:bookmarkEnd w:id="107"/>
      <w:r>
        <w:rPr>
          <w:rFonts w:ascii="Times New Roman;Times;serif" w:hAnsi="Times New Roman;Times;serif"/>
          <w:b/>
          <w:sz w:val="20"/>
        </w:rPr>
        <w:t>CONSOLIDATED FINANCIAL STATEMENTS AND FINANCIAL STATEMENT SCHEDULE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2024,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w:t>
      </w:r>
    </w:p>
    <w:tbl>
      <w:tblPr>
        <w:tblW w:w="9531" w:type="dxa"/>
        <w:jc w:val="left"/>
        <w:tblInd w:w="0" w:type="dxa"/>
        <w:tblLayout w:type="fixed"/>
        <w:tblCellMar>
          <w:top w:w="0" w:type="dxa"/>
          <w:left w:w="0" w:type="dxa"/>
          <w:bottom w:w="0" w:type="dxa"/>
          <w:right w:w="0" w:type="dxa"/>
        </w:tblCellMar>
      </w:tblPr>
      <w:tblGrid>
        <w:gridCol w:w="8896"/>
        <w:gridCol w:w="109"/>
        <w:gridCol w:w="526"/>
      </w:tblGrid>
      <w:tr>
        <w:trPr/>
        <w:tc>
          <w:tcPr>
            <w:tcW w:w="8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r>
        <w:trPr/>
        <w:tc>
          <w:tcPr>
            <w:tcW w:w="8896" w:type="dxa"/>
            <w:tcBorders/>
            <w:vAlign w:val="center"/>
          </w:tcPr>
          <w:p>
            <w:pPr>
              <w:pStyle w:val="TableContents"/>
              <w:pBdr/>
              <w:bidi w:val="0"/>
              <w:spacing w:before="0" w:after="0"/>
              <w:ind w:left="0" w:right="0" w:hanging="0"/>
              <w:jc w:val="left"/>
              <w:rPr/>
            </w:pPr>
            <w:hyperlink w:anchor="Accountingfirmrepor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238)</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8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8896" w:type="dxa"/>
            <w:tcBorders/>
            <w:vAlign w:val="center"/>
          </w:tcPr>
          <w:p>
            <w:pPr>
              <w:pStyle w:val="TableContents"/>
              <w:pBdr/>
              <w:bidi w:val="0"/>
              <w:spacing w:before="0" w:after="0"/>
              <w:ind w:left="0" w:right="0" w:hanging="0"/>
              <w:jc w:val="left"/>
              <w:rPr/>
            </w:pPr>
            <w:hyperlink w:anchor="CONSOLIDATEDBALANCESHEETS_796714">
              <w:r>
                <w:rPr>
                  <w:rStyle w:val="InternetLink"/>
                  <w:rFonts w:ascii="Times New Roman;Times;serif" w:hAnsi="Times New Roman;Times;serif"/>
                  <w:b w:val="false"/>
                  <w:i w:val="false"/>
                  <w:caps w:val="false"/>
                  <w:smallCaps w:val="false"/>
                  <w:sz w:val="20"/>
                </w:rPr>
                <w:t>Consolidated Balance Sheets—December 31, 2024 and 2023</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8896" w:type="dxa"/>
            <w:tcBorders/>
            <w:vAlign w:val="center"/>
          </w:tcPr>
          <w:p>
            <w:pPr>
              <w:pStyle w:val="TableContents"/>
              <w:pBdr/>
              <w:bidi w:val="0"/>
              <w:spacing w:before="0" w:after="0"/>
              <w:ind w:left="0" w:right="0" w:hanging="0"/>
              <w:jc w:val="left"/>
              <w:rPr/>
            </w:pPr>
            <w:hyperlink w:anchor="CONSOLIDATEDINCOMESTATEMENTS_212942">
              <w:r>
                <w:rPr>
                  <w:rStyle w:val="InternetLink"/>
                  <w:rFonts w:ascii="Times New Roman;Times;serif" w:hAnsi="Times New Roman;Times;serif"/>
                  <w:b w:val="false"/>
                  <w:i w:val="false"/>
                  <w:caps w:val="false"/>
                  <w:smallCaps w:val="false"/>
                  <w:sz w:val="20"/>
                </w:rPr>
                <w:t>Consolidated Income Statements for the Years Ended December 31, 2024, 2023 and 2022</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8896"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Years Ended December 31, 2024, 2023 and 2022</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8896" w:type="dxa"/>
            <w:tcBorders/>
            <w:vAlign w:val="center"/>
          </w:tcPr>
          <w:p>
            <w:pPr>
              <w:pStyle w:val="TableContents"/>
              <w:pBdr/>
              <w:bidi w:val="0"/>
              <w:spacing w:before="0" w:after="0"/>
              <w:ind w:left="0" w:right="0" w:hanging="0"/>
              <w:jc w:val="left"/>
              <w:rPr/>
            </w:pPr>
            <w:hyperlink w:anchor="CONSOLIDATEDSTATEMENTSOFEQUITY_18266">
              <w:r>
                <w:rPr>
                  <w:rStyle w:val="InternetLink"/>
                  <w:rFonts w:ascii="Times New Roman;Times;serif" w:hAnsi="Times New Roman;Times;serif"/>
                  <w:b w:val="false"/>
                  <w:i w:val="false"/>
                  <w:caps w:val="false"/>
                  <w:smallCaps w:val="false"/>
                  <w:sz w:val="20"/>
                </w:rPr>
                <w:t>Consolidated Statements of Equity for the Years Ended December 31, 2024, 2023 and 2022</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8896" w:type="dxa"/>
            <w:tcBorders/>
            <w:vAlign w:val="center"/>
          </w:tcPr>
          <w:p>
            <w:pPr>
              <w:pStyle w:val="TableContents"/>
              <w:pBdr/>
              <w:bidi w:val="0"/>
              <w:spacing w:before="0" w:after="0"/>
              <w:ind w:left="0" w:right="0" w:hanging="0"/>
              <w:jc w:val="left"/>
              <w:rPr/>
            </w:pPr>
            <w:hyperlink w:anchor="CONSOLIDATEDSTATEMENTSOFCASHFLOWS_286597">
              <w:r>
                <w:rPr>
                  <w:rStyle w:val="InternetLink"/>
                  <w:rFonts w:ascii="Times New Roman;Times;serif" w:hAnsi="Times New Roman;Times;serif"/>
                  <w:b w:val="false"/>
                  <w:i w:val="false"/>
                  <w:caps w:val="false"/>
                  <w:smallCaps w:val="false"/>
                  <w:sz w:val="20"/>
                </w:rPr>
                <w:t>Consolidated Statements of Cash Flows for the Years Ended December 31, 2024, 2023 and 2022</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8896" w:type="dxa"/>
            <w:tcBorders/>
            <w:vAlign w:val="center"/>
          </w:tcPr>
          <w:p>
            <w:pPr>
              <w:pStyle w:val="TableContents"/>
              <w:pBdr/>
              <w:bidi w:val="0"/>
              <w:spacing w:before="0" w:after="0"/>
              <w:ind w:left="0" w:right="0" w:hanging="0"/>
              <w:jc w:val="left"/>
              <w:rPr/>
            </w:pPr>
            <w:hyperlink w:anchor="Notes_7805">
              <w:r>
                <w:rPr>
                  <w:rStyle w:val="InternetLink"/>
                  <w:rFonts w:ascii="Times New Roman;Times;serif" w:hAnsi="Times New Roman;Times;serif"/>
                  <w:b w:val="false"/>
                  <w:i w:val="false"/>
                  <w:caps w:val="false"/>
                  <w:smallCaps w:val="false"/>
                  <w:sz w:val="20"/>
                </w:rPr>
                <w:t>NOTES TO CONSOLIDATED FINANCIAL STATEMENTS</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8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8896" w:type="dxa"/>
            <w:tcBorders/>
            <w:vAlign w:val="center"/>
          </w:tcPr>
          <w:p>
            <w:pPr>
              <w:pStyle w:val="TableContents"/>
              <w:pBdr/>
              <w:bidi w:val="0"/>
              <w:spacing w:before="0" w:after="0"/>
              <w:ind w:left="0" w:right="0" w:hanging="0"/>
              <w:jc w:val="left"/>
              <w:rPr/>
            </w:pPr>
            <w:hyperlink w:anchor="SCHEDULEII_173671">
              <w:r>
                <w:rPr>
                  <w:rStyle w:val="InternetLink"/>
                  <w:rFonts w:ascii="Times New Roman;Times;serif" w:hAnsi="Times New Roman;Times;serif"/>
                  <w:b w:val="false"/>
                  <w:i w:val="false"/>
                  <w:caps w:val="false"/>
                  <w:smallCaps w:val="false"/>
                  <w:sz w:val="20"/>
                </w:rPr>
                <w:t>Schedule II—Valuation and Qualifying Accounts for the Years Ended December 31, 2024, 2023 and 2022</w:t>
              </w:r>
            </w:hyperlink>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108" w:name="eXC_Paragraph_10"/>
      <w:bookmarkStart w:id="109" w:name="_65829286_56fd_45ce_9403_751579eb27f2"/>
      <w:bookmarkStart w:id="110" w:name="eXC_Paragraph_9"/>
      <w:bookmarkStart w:id="111" w:name="Accountingfirmreport"/>
      <w:bookmarkEnd w:id="108"/>
      <w:bookmarkEnd w:id="109"/>
      <w:bookmarkEnd w:id="110"/>
      <w:bookmarkEnd w:id="111"/>
      <w:r>
        <w:rPr>
          <w:rFonts w:ascii="Times New Roman;Times;serif" w:hAnsi="Times New Roman;Times;serif"/>
          <w:b/>
          <w:sz w:val="20"/>
        </w:rPr>
        <w:t>Report of Independent Registered Public Accounting Firm</w:t>
      </w:r>
    </w:p>
    <w:p>
      <w:pPr>
        <w:pStyle w:val="TextBody"/>
        <w:bidi w:val="0"/>
        <w:spacing w:lineRule="auto" w:line="328"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 the Board of Directors and Stockholders of ATN International, Inc.</w:t>
      </w:r>
    </w:p>
    <w:p>
      <w:pPr>
        <w:pStyle w:val="TextBody"/>
        <w:bidi w:val="0"/>
        <w:spacing w:lineRule="atLeast" w:line="200" w:before="200" w:after="0"/>
        <w:ind w:left="0" w:right="0" w:hanging="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lineRule="atLeast" w:line="200" w:before="200" w:after="0"/>
        <w:ind w:left="0" w:right="0" w:hanging="0"/>
        <w:jc w:val="left"/>
        <w:rPr>
          <w:rFonts w:ascii="Times New Roman;Times;serif" w:hAnsi="Times New Roman;Times;serif"/>
          <w:sz w:val="20"/>
        </w:rPr>
      </w:pPr>
      <w:bookmarkStart w:id="112" w:name="eXC_Paragraph_26"/>
      <w:bookmarkEnd w:id="112"/>
      <w:r>
        <w:rPr>
          <w:rFonts w:ascii="Times New Roman;Times;serif" w:hAnsi="Times New Roman;Times;serif"/>
          <w:sz w:val="20"/>
        </w:rPr>
        <w:t>We have audited the accompanying consolidated balance sheets of ATN International, Inc. and its subsidiaries (the "Company") as of December 31, 2024 and 2023, and the related consolidated statements of income, of comprehensive income, of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pStyle w:val="TextBody"/>
        <w:bidi w:val="0"/>
        <w:spacing w:lineRule="atLeast" w:line="200" w:before="200" w:after="0"/>
        <w:ind w:left="0" w:right="0" w:hanging="0"/>
        <w:jc w:val="left"/>
        <w:rPr>
          <w:rFonts w:ascii="Times New Roman;Times;serif" w:hAnsi="Times New Roman;Times;serif"/>
          <w:b/>
          <w:i/>
          <w:sz w:val="20"/>
        </w:rPr>
      </w:pPr>
      <w:bookmarkStart w:id="113" w:name="eXC_Paragraph_16"/>
      <w:bookmarkEnd w:id="113"/>
      <w:r>
        <w:rPr>
          <w:rFonts w:ascii="Times New Roman;Times;serif" w:hAnsi="Times New Roman;Times;serif"/>
          <w:b/>
          <w:i/>
          <w:sz w:val="20"/>
        </w:rPr>
        <w:t>Basis for Opinions</w:t>
      </w:r>
    </w:p>
    <w:p>
      <w:pPr>
        <w:pStyle w:val="TextBody"/>
        <w:bidi w:val="0"/>
        <w:spacing w:lineRule="atLeast" w:line="200" w:before="200" w:after="0"/>
        <w:ind w:left="0" w:right="0" w:hanging="0"/>
        <w:jc w:val="left"/>
        <w:rPr>
          <w:rFonts w:ascii="Times New Roman;Times;serif" w:hAnsi="Times New Roman;Times;serif"/>
          <w:sz w:val="20"/>
        </w:rPr>
      </w:pPr>
      <w:bookmarkStart w:id="114" w:name="Paragraph_13"/>
      <w:bookmarkEnd w:id="114"/>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tLeast" w:line="200" w:before="200" w:after="0"/>
        <w:ind w:left="0" w:right="0" w:hanging="0"/>
        <w:jc w:val="left"/>
        <w:rPr>
          <w:rFonts w:ascii="Times New Roman;Times;serif" w:hAnsi="Times New Roman;Times;serif"/>
          <w:sz w:val="20"/>
        </w:rPr>
      </w:pPr>
      <w:bookmarkStart w:id="115" w:name="eXC_Paragraph_21"/>
      <w:bookmarkEnd w:id="115"/>
      <w:r>
        <w:rPr>
          <w:rFonts w:ascii="Times New Roman;Times;serif" w:hAnsi="Times New Roman;Times;serif"/>
          <w:sz w:val="20"/>
        </w:rPr>
        <w:t xml:space="preserve">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lineRule="atLeast" w:line="200" w:before="200" w:after="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tLeast" w:line="200" w:before="240" w:after="24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tLeast" w:line="200" w:before="240" w:after="240"/>
        <w:ind w:left="0" w:right="0" w:hanging="0"/>
        <w:jc w:val="left"/>
        <w:rPr>
          <w:rFonts w:ascii="Times New Roman;Times;serif" w:hAnsi="Times New Roman;Times;serif"/>
          <w:i/>
          <w:sz w:val="20"/>
        </w:rPr>
      </w:pPr>
      <w:r>
        <w:rPr>
          <w:rFonts w:ascii="Times New Roman;Times;serif" w:hAnsi="Times New Roman;Times;serif"/>
          <w:i/>
          <w:sz w:val="20"/>
        </w:rPr>
        <w:t>Goodwill impairment assessment for a certain reporting unit in the US Telecom segment</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As described in Notes 2 and 7 to the consolidated financial statements, the Company’s consolidated goodwill balance was $4.8 million as of December 31, 2024, and the goodwill impairment charge recorded for a certain reporting unit in the US Telecom segment was $35.3 million for the year ended December 31, 2024. Management assesses goodwill for impairment on an annual basis in the fourth quarter or more frequently when events or circumstances occur indicating that the fair value of a reporting unit may be below its carrying value. If the carrying value of the reporting unit, including goodwill, exceeds the fair value of the reporting unit, an impairment charge is recorded equal to the excess, but not more than the total amount of goodwill allocated to the reporting unit. As of September 30, 2024, the Company completed an impairment assessment for the goodwill held in its US Telecom segment after identifying events that indicate that the fair value of the reporting unit may be below its carrying value. Management determined the fair value of the reporting unit using the income approach. The income approach is based on a discounted cash flow model. The discounted cash flow model requires the exercise of significant judgment, including judgments and assumptions about appropriate discount rates and revenue growth.</w:t>
      </w:r>
    </w:p>
    <w:p>
      <w:pPr>
        <w:pStyle w:val="TextBody"/>
        <w:bidi w:val="0"/>
        <w:spacing w:lineRule="atLeast" w:line="200" w:before="200" w:after="0"/>
        <w:ind w:left="0" w:right="0" w:hanging="0"/>
        <w:jc w:val="left"/>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goodwill impairment assessment for a certain reporting unit in the US Telecom segment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revenue growth and the discount rate; and (iii) the audit effort involved the use of professionals with specialized skill and knowledge.</w:t>
      </w:r>
    </w:p>
    <w:p>
      <w:pPr>
        <w:pStyle w:val="TextBody"/>
        <w:bidi w:val="0"/>
        <w:spacing w:lineRule="atLeast" w:line="200" w:before="200" w:after="0"/>
        <w:ind w:left="0" w:right="0" w:hanging="0"/>
        <w:jc w:val="left"/>
        <w:rPr>
          <w:rFonts w:ascii="Georgia" w:hAnsi="Georgia"/>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for a certain reporting unit in the US Telecom segment.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significant assumptions used by management related to revenue growth and the discount rate. Evaluating the reasonableness of management’s significant assumptions related to revenue growth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discounted cash flow model and (ii) the reasonableness of the discount rate assumption.</w:t>
      </w:r>
      <w:r>
        <w:rPr>
          <w:rFonts w:ascii="Georgia" w:hAnsi="Georgia"/>
          <w:sz w:val="20"/>
        </w:rPr>
        <w:t xml:space="preserve"> </w:t>
      </w:r>
    </w:p>
    <w:p>
      <w:pPr>
        <w:pStyle w:val="TextBody"/>
        <w:shd w:fill="FFFFFF" w:val="clear"/>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bookmarkStart w:id="116" w:name="eXC_Paragraph_28"/>
      <w:bookmarkStart w:id="117" w:name="eXC_Paragraph_27"/>
      <w:bookmarkEnd w:id="116"/>
      <w:bookmarkEnd w:id="117"/>
      <w:r>
        <w:rPr/>
        <w:t>  </w:t>
      </w:r>
    </w:p>
    <w:p>
      <w:pPr>
        <w:pStyle w:val="TextBody"/>
        <w:bidi w:val="0"/>
        <w:spacing w:lineRule="atLeast" w:line="200" w:before="0" w:after="0"/>
        <w:ind w:left="0" w:right="0" w:hanging="0"/>
        <w:jc w:val="left"/>
        <w:rPr>
          <w:rFonts w:ascii="Georgia" w:hAnsi="Georgia"/>
          <w:sz w:val="20"/>
        </w:rPr>
      </w:pPr>
      <w:bookmarkStart w:id="118" w:name="eXC_Paragraph_29"/>
      <w:bookmarkEnd w:id="118"/>
      <w:r>
        <w:rPr>
          <w:rFonts w:ascii="Times New Roman;Times;serif" w:hAnsi="Times New Roman;Times;serif"/>
          <w:sz w:val="20"/>
        </w:rPr>
        <w:t>/s/ PricewaterhouseCoopers LLP</w:t>
      </w:r>
      <w:r>
        <w:rPr>
          <w:rFonts w:ascii="Georgia" w:hAnsi="Georgia"/>
          <w:sz w:val="20"/>
        </w:rPr>
        <w:t xml:space="preserve"> </w:t>
      </w:r>
    </w:p>
    <w:p>
      <w:pPr>
        <w:pStyle w:val="TextBody"/>
        <w:bidi w:val="0"/>
        <w:spacing w:lineRule="atLeast" w:line="200" w:before="0" w:after="0"/>
        <w:ind w:left="0" w:right="0" w:hanging="0"/>
        <w:jc w:val="left"/>
        <w:rPr>
          <w:rFonts w:ascii="Times New Roman;Times;serif" w:hAnsi="Times New Roman;Times;serif"/>
          <w:sz w:val="20"/>
        </w:rPr>
      </w:pPr>
      <w:bookmarkStart w:id="119" w:name="eXC_Paragraph_30"/>
      <w:bookmarkEnd w:id="119"/>
      <w:r>
        <w:rPr>
          <w:rFonts w:ascii="Times New Roman;Times;serif" w:hAnsi="Times New Roman;Times;serif"/>
          <w:sz w:val="20"/>
        </w:rPr>
        <w:t>Boston, Massachusetts</w:t>
      </w:r>
    </w:p>
    <w:p>
      <w:pPr>
        <w:pStyle w:val="TextBody"/>
        <w:bidi w:val="0"/>
        <w:spacing w:lineRule="atLeast" w:line="200" w:before="0" w:after="0"/>
        <w:ind w:left="0" w:right="0" w:hanging="0"/>
        <w:jc w:val="left"/>
        <w:rPr>
          <w:rFonts w:ascii="Times New Roman;Times;serif" w:hAnsi="Times New Roman;Times;serif"/>
          <w:sz w:val="20"/>
        </w:rPr>
      </w:pPr>
      <w:bookmarkStart w:id="120" w:name="eXC_Paragraph_31"/>
      <w:bookmarkEnd w:id="120"/>
      <w:r>
        <w:rPr>
          <w:rFonts w:ascii="Times New Roman;Times;serif" w:hAnsi="Times New Roman;Times;serif"/>
          <w:sz w:val="20"/>
        </w:rPr>
        <w:t>March 17, 2025</w:t>
      </w:r>
    </w:p>
    <w:p>
      <w:pPr>
        <w:pStyle w:val="TextBody"/>
        <w:bidi w:val="0"/>
        <w:spacing w:lineRule="atLeast" w:line="200" w:before="200" w:after="0"/>
        <w:ind w:left="0" w:right="0" w:hanging="0"/>
        <w:jc w:val="left"/>
        <w:rPr>
          <w:rFonts w:ascii="Times New Roman;Times;serif" w:hAnsi="Times New Roman;Times;serif"/>
          <w:sz w:val="20"/>
        </w:rPr>
      </w:pPr>
      <w:bookmarkStart w:id="121" w:name="Paragraph_26"/>
      <w:bookmarkEnd w:id="121"/>
      <w:r>
        <w:rPr>
          <w:rFonts w:ascii="Times New Roman;Times;serif" w:hAnsi="Times New Roman;Times;serif"/>
          <w:sz w:val="20"/>
        </w:rPr>
        <w:t>We have served as the Company’s auditor since 2002.</w:t>
      </w:r>
    </w:p>
    <w:p>
      <w:pPr>
        <w:pStyle w:val="TextBody"/>
        <w:bidi w:val="0"/>
        <w:spacing w:lineRule="auto" w:line="285"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16"/>
        </w:rPr>
      </w:pPr>
      <w:bookmarkStart w:id="122" w:name="_eb083cea_eb15_4ecd_96f5_e350b03d963d"/>
      <w:bookmarkEnd w:id="122"/>
      <w:r>
        <w:rPr>
          <w:rFonts w:ascii="Times New Roman;Times;serif" w:hAnsi="Times New Roman;Times;serif"/>
          <w:b/>
          <w:sz w:val="16"/>
        </w:rPr>
        <w:t>ATN INTERNATIONAL, INC. AND SUBSIDIARIES</w:t>
      </w:r>
    </w:p>
    <w:p>
      <w:pPr>
        <w:pStyle w:val="TextBody"/>
        <w:bidi w:val="0"/>
        <w:spacing w:before="0" w:after="240"/>
        <w:ind w:left="0" w:right="0" w:hanging="0"/>
        <w:jc w:val="center"/>
        <w:rPr>
          <w:rFonts w:ascii="Times New Roman;Times;serif" w:hAnsi="Times New Roman;Times;serif"/>
          <w:b/>
          <w:sz w:val="16"/>
        </w:rPr>
      </w:pPr>
      <w:bookmarkStart w:id="123" w:name="CONSOLIDATEDBALANCESHEETS_796714"/>
      <w:bookmarkEnd w:id="123"/>
      <w:r>
        <w:rPr>
          <w:rFonts w:ascii="Times New Roman;Times;serif" w:hAnsi="Times New Roman;Times;serif"/>
          <w:b/>
          <w:sz w:val="16"/>
        </w:rPr>
        <w:t>CONSOLIDATED BALANCE SHEETS</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December 31, 2024 and 2023</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(In Thousands, Except Share Data)</w:t>
      </w:r>
    </w:p>
    <w:p>
      <w:pPr>
        <w:pStyle w:val="Normal"/>
        <w:bidi w:val="0"/>
        <w:spacing w:before="0" w:after="0"/>
        <w:jc w:val="left"/>
        <w:rPr>
          <w:sz w:val="4"/>
          <w:szCs w:val="4"/>
        </w:rPr>
      </w:pPr>
      <w:r>
        <w:rPr>
          <w:sz w:val="4"/>
          <w:szCs w:val="4"/>
        </w:rPr>
      </w:r>
      <w:bookmarkStart w:id="124" w:name="Tc_ea66qyc6zU-sqImxIpD8nw_54_5"/>
      <w:bookmarkStart w:id="125" w:name="Tc_lL2ubRLtSkyGqzmKcPjM-g_54_2"/>
      <w:bookmarkStart w:id="126" w:name="Tc_4FdYlJEFtE2RXaB0xfUI1w_54_0"/>
      <w:bookmarkStart w:id="127" w:name="Tc_vkJStQK-9U-fI-snxtcdbA_53_0"/>
      <w:bookmarkStart w:id="128" w:name="Tc_s555B2_Iskut0CK8Ucu5wg_52_0"/>
      <w:bookmarkStart w:id="129" w:name="Tc_TpZRBQ5Xb0qvm-2B0tKN-Q_51_0"/>
      <w:bookmarkStart w:id="130" w:name="Tc_jznDaniacE2yge_JKZ4Gcw_50_0"/>
      <w:bookmarkStart w:id="131" w:name="Tc_KlXxRzjeX0u7rfCgYHhnWw_49_0"/>
      <w:bookmarkStart w:id="132" w:name="Tc_ky97UWlYzkyRK2Py4Ztrpw_48_0"/>
      <w:bookmarkStart w:id="133" w:name="Tc_5CRQny6GBkWnuoc4dG6kzA_47_0"/>
      <w:bookmarkStart w:id="134" w:name="Tc_i5oApbSeW0ec5FaLc8dxSQ_46_0"/>
      <w:bookmarkStart w:id="135" w:name="_0f43016e_d744_4a13_ad51_e2b415b96fb8_3"/>
      <w:bookmarkStart w:id="136" w:name="_0f43016e_d744_4a13_ad51_e2b415b96fb8_2"/>
      <w:bookmarkStart w:id="137" w:name="_0f43016e_d744_4a13_ad51_e2b415b96fb8"/>
      <w:bookmarkStart w:id="138" w:name="Tc_2aPgsh6vQ0my88PAqUQcyA_45_0"/>
      <w:bookmarkStart w:id="139" w:name="Tc_7ATdIbOlIkCievjvxTFTtw_44_0"/>
      <w:bookmarkStart w:id="140" w:name="Tc_YgeolY0p3EOdJTgeseTdxQ_43_0"/>
      <w:bookmarkStart w:id="141" w:name="Tc_Zqgtj3YTjkKWT_sW4DF8WA_42_0"/>
      <w:bookmarkStart w:id="142" w:name="Tc_yCzM8Ka2IkiHZlsioJo29g_41_0"/>
      <w:bookmarkStart w:id="143" w:name="Tc_T3OaoT8R8UyIed1qVGpOyg_40_0"/>
      <w:bookmarkStart w:id="144" w:name="Tc_zApH8408aEGEuwN7T4GEAA_39_0"/>
      <w:bookmarkStart w:id="145" w:name="Tc_uDvAsrr0hk-3qXTjE6HGqw_38_0"/>
      <w:bookmarkStart w:id="146" w:name="Tc_224TyHXRF0uwHLKOvRXwzQ_37_0"/>
      <w:bookmarkStart w:id="147" w:name="Tc__-y4dWWuREOQ8u1icq2vTg_36_0"/>
      <w:bookmarkStart w:id="148" w:name="Tc_lzgtLJ5ovEOJ0V4ElZgNbg_35_0"/>
      <w:bookmarkStart w:id="149" w:name="Tc_vacBfXmZPUCsXmtkMgIjDg_34_0"/>
      <w:bookmarkStart w:id="150" w:name="Tc_8tcmM35-qEul8Qy4Y1sItA_33_0"/>
      <w:bookmarkStart w:id="151" w:name="Tc_MI13syHau0W8oqFXJ3CscQ_32_0"/>
      <w:bookmarkStart w:id="152" w:name="Tc_RGzcrIJVF0mwc87V_TUOJg_31_0"/>
      <w:bookmarkStart w:id="153" w:name="Tc_aq_VgQNB90CuIXCDnfMhVg_30_0"/>
      <w:bookmarkStart w:id="154" w:name="Tc_YSJa3y1xUkyMXIGU0Y_8yg_29_0"/>
      <w:bookmarkStart w:id="155" w:name="Tc_Oa1HXz13VEynp2wo3PVEhA_28_0"/>
      <w:bookmarkStart w:id="156" w:name="Tc_2Wmm1RNvYUCB26yLIDoJJg_27_0"/>
      <w:bookmarkStart w:id="157" w:name="Tc_UmRUNGk3rE2HSJigH5h9nQ_26_0"/>
      <w:bookmarkStart w:id="158" w:name="Tc_oOnSMY8X9UmrGOrO-YIK3w_25_5"/>
      <w:bookmarkStart w:id="159" w:name="Tc_ak8YWlleikSzxkjl62VKUw_25_2"/>
      <w:bookmarkStart w:id="160" w:name="Tc_0Tz_0gwTEkiXRx5rtKNBSw_25_0"/>
      <w:bookmarkStart w:id="161" w:name="Tc_RMyDp24eNEGX_oj5XG4awA_24_0"/>
      <w:bookmarkStart w:id="162" w:name="Tc_90jGzfoHpEm2ftqIZ2Nl6A_23_0"/>
      <w:bookmarkStart w:id="163" w:name="Tc_kHY2IJI1OEu0wawmBh8BuA_22_5"/>
      <w:bookmarkStart w:id="164" w:name="Tc_-S6xuFiIa0yyH7gFLpbQxA_22_2"/>
      <w:bookmarkStart w:id="165" w:name="Tc_YM4repEOuE2ilh4joyPniA_22_0"/>
      <w:bookmarkStart w:id="166" w:name="Tc_BL2v1OcAtkC_RNFF7Eo_bg_21_0"/>
      <w:bookmarkStart w:id="167" w:name="Tc_ByzwVKapB0ufxKpsM6yc6A_20_0"/>
      <w:bookmarkStart w:id="168" w:name="Tc_Cca7zSFdfU2nu2GWzLDzcw_19_0"/>
      <w:bookmarkStart w:id="169" w:name="Tc_5dJfFLj7YEy77OaYmDrCrA_18_0"/>
      <w:bookmarkStart w:id="170" w:name="Tc_tlAzpL6fGU2nU4GpkKAX1w_17_0"/>
      <w:bookmarkStart w:id="171" w:name="Tc_eOx1218qo0mTiiofHUALNg_16_0"/>
      <w:bookmarkStart w:id="172" w:name="Tc_5uT_sydKm06QrKZuMt-ywQ_15_0"/>
      <w:bookmarkStart w:id="173" w:name="Tc_6jTdQkLCX0qRRZI10HuGAA_13_0"/>
      <w:bookmarkStart w:id="174" w:name="Tc_RBhEoJvw90CCe2fI3_Ukxw_12_0"/>
      <w:bookmarkStart w:id="175" w:name="Tc_QLuH1VFBFEOdHHOwKrc1jQ_11_0"/>
      <w:bookmarkStart w:id="176" w:name="Tc_uHW1bKgxZESDUF1x84E54A_10_0"/>
      <w:bookmarkStart w:id="177" w:name="Tc_MNorOP_YlUycnkofCqvr8w_9_0"/>
      <w:bookmarkStart w:id="178" w:name="Tc_G7EwqToPaUuiJASzKRArZg_8_0"/>
      <w:bookmarkStart w:id="179" w:name="Tc_LD0hxK4Qd0qJWJD9AITlQQ_7_0"/>
      <w:bookmarkStart w:id="180" w:name="Tc_OT6oiM53lEmNLL4CEuGWQQ_6_0"/>
      <w:bookmarkStart w:id="181" w:name="Tc_qLONwd7h00Ovw8vMoxsYBg_5_5"/>
      <w:bookmarkStart w:id="182" w:name="Tc_sH3yjK3icEOYBRJVb9dN9g_5_2"/>
      <w:bookmarkStart w:id="183" w:name="Tc_DaGrLi9LqkOa4aJyXP8LsQ_5_0"/>
      <w:bookmarkStart w:id="184" w:name="Tc_c8JsjoWz3EqniACSQY-0gg_4_0"/>
      <w:bookmarkStart w:id="185" w:name="Tc_3JV0nL4ExEauhtfG0IZtxQ_3_0"/>
      <w:bookmarkStart w:id="186" w:name="Tc_Yz-beayTfUS-4mDFFObT8w_2_5"/>
      <w:bookmarkStart w:id="187" w:name="Tc_74mW8BWspEOaYP57DwcHqQ_2_2"/>
      <w:bookmarkStart w:id="188" w:name="Tc_sKX0OYCHTk--hRTT8b3GoQ_1_5"/>
      <w:bookmarkStart w:id="189" w:name="Tc_huoXiFGxyU6I_gQdGzb7gQ_1_2"/>
      <w:bookmarkStart w:id="190" w:name="_12cfc4f8_ed0a_43b6_b74c_9a823fe0e6fd"/>
      <w:bookmarkStart w:id="191" w:name="Tc_ea66qyc6zU-sqImxIpD8nw_54_5"/>
      <w:bookmarkStart w:id="192" w:name="Tc_lL2ubRLtSkyGqzmKcPjM-g_54_2"/>
      <w:bookmarkStart w:id="193" w:name="Tc_4FdYlJEFtE2RXaB0xfUI1w_54_0"/>
      <w:bookmarkStart w:id="194" w:name="Tc_vkJStQK-9U-fI-snxtcdbA_53_0"/>
      <w:bookmarkStart w:id="195" w:name="Tc_s555B2_Iskut0CK8Ucu5wg_52_0"/>
      <w:bookmarkStart w:id="196" w:name="Tc_TpZRBQ5Xb0qvm-2B0tKN-Q_51_0"/>
      <w:bookmarkStart w:id="197" w:name="Tc_jznDaniacE2yge_JKZ4Gcw_50_0"/>
      <w:bookmarkStart w:id="198" w:name="Tc_KlXxRzjeX0u7rfCgYHhnWw_49_0"/>
      <w:bookmarkStart w:id="199" w:name="Tc_ky97UWlYzkyRK2Py4Ztrpw_48_0"/>
      <w:bookmarkStart w:id="200" w:name="Tc_5CRQny6GBkWnuoc4dG6kzA_47_0"/>
      <w:bookmarkStart w:id="201" w:name="Tc_i5oApbSeW0ec5FaLc8dxSQ_46_0"/>
      <w:bookmarkStart w:id="202" w:name="_0f43016e_d744_4a13_ad51_e2b415b96fb8_3"/>
      <w:bookmarkStart w:id="203" w:name="_0f43016e_d744_4a13_ad51_e2b415b96fb8_2"/>
      <w:bookmarkStart w:id="204" w:name="_0f43016e_d744_4a13_ad51_e2b415b96fb8"/>
      <w:bookmarkStart w:id="205" w:name="Tc_2aPgsh6vQ0my88PAqUQcyA_45_0"/>
      <w:bookmarkStart w:id="206" w:name="Tc_7ATdIbOlIkCievjvxTFTtw_44_0"/>
      <w:bookmarkStart w:id="207" w:name="Tc_YgeolY0p3EOdJTgeseTdxQ_43_0"/>
      <w:bookmarkStart w:id="208" w:name="Tc_Zqgtj3YTjkKWT_sW4DF8WA_42_0"/>
      <w:bookmarkStart w:id="209" w:name="Tc_yCzM8Ka2IkiHZlsioJo29g_41_0"/>
      <w:bookmarkStart w:id="210" w:name="Tc_T3OaoT8R8UyIed1qVGpOyg_40_0"/>
      <w:bookmarkStart w:id="211" w:name="Tc_zApH8408aEGEuwN7T4GEAA_39_0"/>
      <w:bookmarkStart w:id="212" w:name="Tc_uDvAsrr0hk-3qXTjE6HGqw_38_0"/>
      <w:bookmarkStart w:id="213" w:name="Tc_224TyHXRF0uwHLKOvRXwzQ_37_0"/>
      <w:bookmarkStart w:id="214" w:name="Tc__-y4dWWuREOQ8u1icq2vTg_36_0"/>
      <w:bookmarkStart w:id="215" w:name="Tc_lzgtLJ5ovEOJ0V4ElZgNbg_35_0"/>
      <w:bookmarkStart w:id="216" w:name="Tc_vacBfXmZPUCsXmtkMgIjDg_34_0"/>
      <w:bookmarkStart w:id="217" w:name="Tc_8tcmM35-qEul8Qy4Y1sItA_33_0"/>
      <w:bookmarkStart w:id="218" w:name="Tc_MI13syHau0W8oqFXJ3CscQ_32_0"/>
      <w:bookmarkStart w:id="219" w:name="Tc_RGzcrIJVF0mwc87V_TUOJg_31_0"/>
      <w:bookmarkStart w:id="220" w:name="Tc_aq_VgQNB90CuIXCDnfMhVg_30_0"/>
      <w:bookmarkStart w:id="221" w:name="Tc_YSJa3y1xUkyMXIGU0Y_8yg_29_0"/>
      <w:bookmarkStart w:id="222" w:name="Tc_Oa1HXz13VEynp2wo3PVEhA_28_0"/>
      <w:bookmarkStart w:id="223" w:name="Tc_2Wmm1RNvYUCB26yLIDoJJg_27_0"/>
      <w:bookmarkStart w:id="224" w:name="Tc_UmRUNGk3rE2HSJigH5h9nQ_26_0"/>
      <w:bookmarkStart w:id="225" w:name="Tc_oOnSMY8X9UmrGOrO-YIK3w_25_5"/>
      <w:bookmarkStart w:id="226" w:name="Tc_ak8YWlleikSzxkjl62VKUw_25_2"/>
      <w:bookmarkStart w:id="227" w:name="Tc_0Tz_0gwTEkiXRx5rtKNBSw_25_0"/>
      <w:bookmarkStart w:id="228" w:name="Tc_RMyDp24eNEGX_oj5XG4awA_24_0"/>
      <w:bookmarkStart w:id="229" w:name="Tc_90jGzfoHpEm2ftqIZ2Nl6A_23_0"/>
      <w:bookmarkStart w:id="230" w:name="Tc_kHY2IJI1OEu0wawmBh8BuA_22_5"/>
      <w:bookmarkStart w:id="231" w:name="Tc_-S6xuFiIa0yyH7gFLpbQxA_22_2"/>
      <w:bookmarkStart w:id="232" w:name="Tc_YM4repEOuE2ilh4joyPniA_22_0"/>
      <w:bookmarkStart w:id="233" w:name="Tc_BL2v1OcAtkC_RNFF7Eo_bg_21_0"/>
      <w:bookmarkStart w:id="234" w:name="Tc_ByzwVKapB0ufxKpsM6yc6A_20_0"/>
      <w:bookmarkStart w:id="235" w:name="Tc_Cca7zSFdfU2nu2GWzLDzcw_19_0"/>
      <w:bookmarkStart w:id="236" w:name="Tc_5dJfFLj7YEy77OaYmDrCrA_18_0"/>
      <w:bookmarkStart w:id="237" w:name="Tc_tlAzpL6fGU2nU4GpkKAX1w_17_0"/>
      <w:bookmarkStart w:id="238" w:name="Tc_eOx1218qo0mTiiofHUALNg_16_0"/>
      <w:bookmarkStart w:id="239" w:name="Tc_5uT_sydKm06QrKZuMt-ywQ_15_0"/>
      <w:bookmarkStart w:id="240" w:name="Tc_6jTdQkLCX0qRRZI10HuGAA_13_0"/>
      <w:bookmarkStart w:id="241" w:name="Tc_RBhEoJvw90CCe2fI3_Ukxw_12_0"/>
      <w:bookmarkStart w:id="242" w:name="Tc_QLuH1VFBFEOdHHOwKrc1jQ_11_0"/>
      <w:bookmarkStart w:id="243" w:name="Tc_uHW1bKgxZESDUF1x84E54A_10_0"/>
      <w:bookmarkStart w:id="244" w:name="Tc_MNorOP_YlUycnkofCqvr8w_9_0"/>
      <w:bookmarkStart w:id="245" w:name="Tc_G7EwqToPaUuiJASzKRArZg_8_0"/>
      <w:bookmarkStart w:id="246" w:name="Tc_LD0hxK4Qd0qJWJD9AITlQQ_7_0"/>
      <w:bookmarkStart w:id="247" w:name="Tc_OT6oiM53lEmNLL4CEuGWQQ_6_0"/>
      <w:bookmarkStart w:id="248" w:name="Tc_qLONwd7h00Ovw8vMoxsYBg_5_5"/>
      <w:bookmarkStart w:id="249" w:name="Tc_sH3yjK3icEOYBRJVb9dN9g_5_2"/>
      <w:bookmarkStart w:id="250" w:name="Tc_DaGrLi9LqkOa4aJyXP8LsQ_5_0"/>
      <w:bookmarkStart w:id="251" w:name="Tc_c8JsjoWz3EqniACSQY-0gg_4_0"/>
      <w:bookmarkStart w:id="252" w:name="Tc_3JV0nL4ExEauhtfG0IZtxQ_3_0"/>
      <w:bookmarkStart w:id="253" w:name="Tc_Yz-beayTfUS-4mDFFObT8w_2_5"/>
      <w:bookmarkStart w:id="254" w:name="Tc_74mW8BWspEOaYP57DwcHqQ_2_2"/>
      <w:bookmarkStart w:id="255" w:name="Tc_sKX0OYCHTk--hRTT8b3GoQ_1_5"/>
      <w:bookmarkStart w:id="256" w:name="Tc_huoXiFGxyU6I_gQdGzb7gQ_1_2"/>
      <w:bookmarkStart w:id="257" w:name="_12cfc4f8_ed0a_43b6_b74c_9a823fe0e6fd"/>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10205" w:type="dxa"/>
        <w:jc w:val="left"/>
        <w:tblInd w:w="0" w:type="dxa"/>
        <w:tblLayout w:type="fixed"/>
        <w:tblCellMar>
          <w:top w:w="0" w:type="dxa"/>
          <w:left w:w="0" w:type="dxa"/>
          <w:bottom w:w="0" w:type="dxa"/>
          <w:right w:w="0" w:type="dxa"/>
        </w:tblCellMar>
      </w:tblPr>
      <w:tblGrid>
        <w:gridCol w:w="7404"/>
        <w:gridCol w:w="326"/>
        <w:gridCol w:w="196"/>
        <w:gridCol w:w="826"/>
        <w:gridCol w:w="326"/>
        <w:gridCol w:w="196"/>
        <w:gridCol w:w="931"/>
      </w:tblGrid>
      <w:tr>
        <w:trPr/>
        <w:tc>
          <w:tcPr>
            <w:tcW w:w="74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24510" cy="175260"/>
                      <wp:effectExtent l="0" t="0" r="0" b="0"/>
                      <wp:wrapNone/>
                      <wp:docPr id="121" name="Frame1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91185" cy="175260"/>
                      <wp:effectExtent l="0" t="0" r="0" b="0"/>
                      <wp:wrapNone/>
                      <wp:docPr id="124" name="Frame1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74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74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49,225</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12,942</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$15.1 million and $16.4 million,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88,030</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grant receivables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50,586</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7,249</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materials and supplies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19,133</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53,807</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309,161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281,272</w:t>
            </w:r>
          </w:p>
        </w:tc>
      </w:tr>
      <w:tr>
        <w:trPr/>
        <w:tc>
          <w:tcPr>
            <w:tcW w:w="74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1,040,193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1,080,659</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Telecommunication licenses,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113,319</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40,104</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19,585</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99,335</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 - long term</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45,676</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107,148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103,764</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1,783,714</w:t>
            </w:r>
          </w:p>
        </w:tc>
      </w:tr>
      <w:tr>
        <w:trPr/>
        <w:tc>
          <w:tcPr>
            <w:tcW w:w="74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REDEEMABLE NONCONTROLLING INTERESTS AND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24,290</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Current portion of customer receivable credit facility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182,069</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3,701</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10,876</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15,164</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Advance payments and deposits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49,984</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267,314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293,194</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19,775</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excluding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76,936</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long-term</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64,035</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74,531</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 credit facility, net of 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38,943</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excluding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549,130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492,580</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1,055,349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1,059,994</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redeemable noncontrolling interests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60,094</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25,823</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redeemable noncontrolling interests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85,917</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ATN International, Inc.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$0.01 par value per share; 10,000,000 shares authorized, none issued and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$0.01 par value per share; 50,000,000 shares authorized; 17,879,110 and 17,702,476 shares issued, respectively, 15,114,216 and 15,421,481 shares outstanding,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 at cost; 2,764,894 and 2,280,995 shares, respectively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(90,447)</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205,797</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368,191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417,282</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8,268</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ATN International, Inc.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489,493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541,073</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96,730</w:t>
            </w:r>
          </w:p>
        </w:tc>
      </w:tr>
      <w:tr>
        <w:trPr/>
        <w:tc>
          <w:tcPr>
            <w:tcW w:w="7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595,451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637,803</w:t>
            </w:r>
          </w:p>
        </w:tc>
      </w:tr>
      <w:tr>
        <w:trPr/>
        <w:tc>
          <w:tcPr>
            <w:tcW w:w="7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redeemable noncontrolling interests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1,727,103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1,783,714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center"/>
        <w:rPr>
          <w:rFonts w:ascii="Times New Roman;Times;serif" w:hAnsi="Times New Roman;Times;serif"/>
          <w:b/>
          <w:sz w:val="20"/>
        </w:rPr>
      </w:pPr>
      <w:bookmarkStart w:id="258" w:name="_fac56b89_db38_45e2_8731_1b87650fcd7f"/>
      <w:bookmarkEnd w:id="258"/>
      <w:r>
        <w:rPr>
          <w:rFonts w:ascii="Times New Roman;Times;serif" w:hAnsi="Times New Roman;Times;serif"/>
          <w:b/>
          <w:sz w:val="20"/>
        </w:rPr>
        <w:t>ATN INTERNATIONAL, INC. AND SUBSIDIARIES</w:t>
      </w:r>
    </w:p>
    <w:p>
      <w:pPr>
        <w:pStyle w:val="TextBody"/>
        <w:bidi w:val="0"/>
        <w:spacing w:before="0" w:after="240"/>
        <w:ind w:left="0" w:right="0" w:hanging="0"/>
        <w:jc w:val="center"/>
        <w:rPr>
          <w:rFonts w:ascii="Times New Roman;Times;serif" w:hAnsi="Times New Roman;Times;serif"/>
          <w:b/>
          <w:sz w:val="20"/>
        </w:rPr>
      </w:pPr>
      <w:bookmarkStart w:id="259" w:name="CONSOLIDATEDINCOMESTATEMENTS_212942"/>
      <w:bookmarkEnd w:id="259"/>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2024,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260" w:name="Tc_UWvUdkXBeEi2lPhq1hRJJA_37_8"/>
      <w:bookmarkStart w:id="261" w:name="Tc_avTkim-D-U-_dwH2UPtKUg_37_5"/>
      <w:bookmarkStart w:id="262" w:name="Tc_jNDn-1lb0kC_0wsvrZl3eA_37_2"/>
      <w:bookmarkStart w:id="263" w:name="Tc_4DqmO7e_QkGSRgXzfog6ZA_37_0"/>
      <w:bookmarkStart w:id="264" w:name="Tc_lIcgQvbaOkSfcgZh6YGGWg_36_0"/>
      <w:bookmarkStart w:id="265" w:name="Tc_aZvjNjnzck2WzoDvcYCVCg_35_0"/>
      <w:bookmarkStart w:id="266" w:name="Tc_R9G2wXnddk-JB6TZlZmS9Q_34_0"/>
      <w:bookmarkStart w:id="267" w:name="Tc_kpXKjpJg60S-MhV6C3zi1w_33_8"/>
      <w:bookmarkStart w:id="268" w:name="Tc_njwPt6fde0aok4JBciNg4A_33_5"/>
      <w:bookmarkStart w:id="269" w:name="Tc_pZV97YtSTkqbQcIfAYuOtw_33_2"/>
      <w:bookmarkStart w:id="270" w:name="Tc_hUbZVdRFRkGIk49rgifmzQ_33_0"/>
      <w:bookmarkStart w:id="271" w:name="Tc_PVIA9c_4lUmocWSksfUjow_32_8"/>
      <w:bookmarkStart w:id="272" w:name="Tc_YYLbyL3BZk-R6IAwubBGoQ_32_5"/>
      <w:bookmarkStart w:id="273" w:name="Tc_IdXNQiSLIEusfqi5uSEJFA_32_2"/>
      <w:bookmarkStart w:id="274" w:name="Tc_aIEzD6_g_0Gp9zptdRwPrA_32_0"/>
      <w:bookmarkStart w:id="275" w:name="Tc_wIyRt5ZNjEaVWu-LJR4B4w_31_0"/>
      <w:bookmarkStart w:id="276" w:name="Tc_5WEWVrm0oEWFdEQkJLaRcA_30_8"/>
      <w:bookmarkStart w:id="277" w:name="Tc_65OHRnYPDEC6CF96z2X8lA_30_5"/>
      <w:bookmarkStart w:id="278" w:name="Tc_1ah_NHCYiUK8eQqlCMTN1g_30_2"/>
      <w:bookmarkStart w:id="279" w:name="Tc_dFiOA_-d9EaUMLfiqcXwaQ_30_0"/>
      <w:bookmarkStart w:id="280" w:name="Tc_VoossdWu6EuWRCjBmwJ4xg_29_0"/>
      <w:bookmarkStart w:id="281" w:name="Tc_XiUWksvkTUCfHWhqxPaNBg_28_0"/>
      <w:bookmarkStart w:id="282" w:name="Tc__y2ptTmDk0q6Gngh13kdgw_27_0"/>
      <w:bookmarkStart w:id="283" w:name="Tc_o5CLac_D8UuZi1aE1A42zA_26_0"/>
      <w:bookmarkStart w:id="284" w:name="Tc_TRkARXmL_0m7QNi06urHPw_25_0"/>
      <w:bookmarkStart w:id="285" w:name="Tc_qDbVLAnuXUqFCca-stE5jw_24_0"/>
      <w:bookmarkStart w:id="286" w:name="Tc_yHVBQbk720SZV-UVMHPIdA_23_0"/>
      <w:bookmarkStart w:id="287" w:name="Tc_mWzf77KR6kyaYB0HMHrjgg_22_0"/>
      <w:bookmarkStart w:id="288" w:name="Tc_OSfgk90q0kuk_lGMm-j62A_21_0"/>
      <w:bookmarkStart w:id="289" w:name="Tc_kAYsfSfhhEmwGmxHbNY6fg_20_0"/>
      <w:bookmarkStart w:id="290" w:name="Tc_hrh-vk6fzka66ZdkuJ6RjQ_19_0"/>
      <w:bookmarkStart w:id="291" w:name="Tc_VaUStM7Ygk-8bFYxZDGTqg_18_9"/>
      <w:bookmarkStart w:id="292" w:name="Tc_JcYw_WFeCkSW2YO4evKdbQ_18_6"/>
      <w:bookmarkStart w:id="293" w:name="Tc_Hs5VymhWtU2j8PXrWBK2_w_18_0"/>
      <w:bookmarkStart w:id="294" w:name="Tc_p5ZiIBiuiUqBQ_LsgtJWGg_17_0"/>
      <w:bookmarkStart w:id="295" w:name="Tc_B3GRWWstekitHQ0CZ8YRhg_16_0"/>
      <w:bookmarkStart w:id="296" w:name="Tc_D-f-OC_caU6H_KwKtasZyA_15_0"/>
      <w:bookmarkStart w:id="297" w:name="Tc_EihEJbNlKEyBi5mFa5lFxQ_14_9"/>
      <w:bookmarkStart w:id="298" w:name="Tc_0VLUyA_dWk6WEPU_dagLdA_14_0"/>
      <w:bookmarkStart w:id="299" w:name="Tc_XAlzzbmCnkmINVxvfHa1kA_13_0"/>
      <w:bookmarkStart w:id="300" w:name="Tc_l1KZRyxD40q1wb60703lGA_12_0"/>
      <w:bookmarkStart w:id="301" w:name="Tc_JFuHyndMEkWyORccOgyREg_11_0"/>
      <w:bookmarkStart w:id="302" w:name="Tc_mtxoicbqY0qRVTp6vdvojA_10_0"/>
      <w:bookmarkStart w:id="303" w:name="Tc_RsRsf5qPd02v4sJQAf-s0Q_9_0"/>
      <w:bookmarkStart w:id="304" w:name="Tc_CHZ8ffictUGTmWzrf8kkIw_8_0"/>
      <w:bookmarkStart w:id="305" w:name="Tc_Pb2vFPZbHkOf1NEBgmMgPA_7_0"/>
      <w:bookmarkStart w:id="306" w:name="Tc_ewOd0Blc4EeK4iA_khFGhA_6_0"/>
      <w:bookmarkStart w:id="307" w:name="Tc_Ao2593Cx70qi33TxO6Nk8w_5_0"/>
      <w:bookmarkStart w:id="308" w:name="Tc_D4iUvyxmU0ytFErKyzDRZA_4_8"/>
      <w:bookmarkStart w:id="309" w:name="Tc_mMKMc2YaXEGgDgH9LsNBIw_4_5"/>
      <w:bookmarkStart w:id="310" w:name="Tc_Dhu_mIqSFkm4p4m4l1X8AQ_4_2"/>
      <w:bookmarkStart w:id="311" w:name="Tc_wmgCuNl8p0WLbaCGhn3cRQ_4_0"/>
      <w:bookmarkStart w:id="312" w:name="Tc_HgrSZoOYFEGEuZ49cJLqjg_3_0"/>
      <w:bookmarkStart w:id="313" w:name="Tc_CKKx425VekqthHo1f665Kg_2_8"/>
      <w:bookmarkStart w:id="314" w:name="Tc_roWGRHnmmkipl_DPmZG7jw_2_5"/>
      <w:bookmarkStart w:id="315" w:name="Tc_vJnLRrkNOU-jt9nhZ55a-A_2_2"/>
      <w:bookmarkStart w:id="316" w:name="Tc_4qmPCssvRkGSvQ4GkBat3A_1_2"/>
      <w:bookmarkStart w:id="317" w:name="_21f111b9_01ba_411c_990c_a0c016530a89"/>
      <w:bookmarkStart w:id="318" w:name="Tc_UWvUdkXBeEi2lPhq1hRJJA_37_8"/>
      <w:bookmarkStart w:id="319" w:name="Tc_avTkim-D-U-_dwH2UPtKUg_37_5"/>
      <w:bookmarkStart w:id="320" w:name="Tc_jNDn-1lb0kC_0wsvrZl3eA_37_2"/>
      <w:bookmarkStart w:id="321" w:name="Tc_4DqmO7e_QkGSRgXzfog6ZA_37_0"/>
      <w:bookmarkStart w:id="322" w:name="Tc_lIcgQvbaOkSfcgZh6YGGWg_36_0"/>
      <w:bookmarkStart w:id="323" w:name="Tc_aZvjNjnzck2WzoDvcYCVCg_35_0"/>
      <w:bookmarkStart w:id="324" w:name="Tc_R9G2wXnddk-JB6TZlZmS9Q_34_0"/>
      <w:bookmarkStart w:id="325" w:name="Tc_kpXKjpJg60S-MhV6C3zi1w_33_8"/>
      <w:bookmarkStart w:id="326" w:name="Tc_njwPt6fde0aok4JBciNg4A_33_5"/>
      <w:bookmarkStart w:id="327" w:name="Tc_pZV97YtSTkqbQcIfAYuOtw_33_2"/>
      <w:bookmarkStart w:id="328" w:name="Tc_hUbZVdRFRkGIk49rgifmzQ_33_0"/>
      <w:bookmarkStart w:id="329" w:name="Tc_PVIA9c_4lUmocWSksfUjow_32_8"/>
      <w:bookmarkStart w:id="330" w:name="Tc_YYLbyL3BZk-R6IAwubBGoQ_32_5"/>
      <w:bookmarkStart w:id="331" w:name="Tc_IdXNQiSLIEusfqi5uSEJFA_32_2"/>
      <w:bookmarkStart w:id="332" w:name="Tc_aIEzD6_g_0Gp9zptdRwPrA_32_0"/>
      <w:bookmarkStart w:id="333" w:name="Tc_wIyRt5ZNjEaVWu-LJR4B4w_31_0"/>
      <w:bookmarkStart w:id="334" w:name="Tc_5WEWVrm0oEWFdEQkJLaRcA_30_8"/>
      <w:bookmarkStart w:id="335" w:name="Tc_65OHRnYPDEC6CF96z2X8lA_30_5"/>
      <w:bookmarkStart w:id="336" w:name="Tc_1ah_NHCYiUK8eQqlCMTN1g_30_2"/>
      <w:bookmarkStart w:id="337" w:name="Tc_dFiOA_-d9EaUMLfiqcXwaQ_30_0"/>
      <w:bookmarkStart w:id="338" w:name="Tc_VoossdWu6EuWRCjBmwJ4xg_29_0"/>
      <w:bookmarkStart w:id="339" w:name="Tc_XiUWksvkTUCfHWhqxPaNBg_28_0"/>
      <w:bookmarkStart w:id="340" w:name="Tc__y2ptTmDk0q6Gngh13kdgw_27_0"/>
      <w:bookmarkStart w:id="341" w:name="Tc_o5CLac_D8UuZi1aE1A42zA_26_0"/>
      <w:bookmarkStart w:id="342" w:name="Tc_TRkARXmL_0m7QNi06urHPw_25_0"/>
      <w:bookmarkStart w:id="343" w:name="Tc_qDbVLAnuXUqFCca-stE5jw_24_0"/>
      <w:bookmarkStart w:id="344" w:name="Tc_yHVBQbk720SZV-UVMHPIdA_23_0"/>
      <w:bookmarkStart w:id="345" w:name="Tc_mWzf77KR6kyaYB0HMHrjgg_22_0"/>
      <w:bookmarkStart w:id="346" w:name="Tc_OSfgk90q0kuk_lGMm-j62A_21_0"/>
      <w:bookmarkStart w:id="347" w:name="Tc_kAYsfSfhhEmwGmxHbNY6fg_20_0"/>
      <w:bookmarkStart w:id="348" w:name="Tc_hrh-vk6fzka66ZdkuJ6RjQ_19_0"/>
      <w:bookmarkStart w:id="349" w:name="Tc_VaUStM7Ygk-8bFYxZDGTqg_18_9"/>
      <w:bookmarkStart w:id="350" w:name="Tc_JcYw_WFeCkSW2YO4evKdbQ_18_6"/>
      <w:bookmarkStart w:id="351" w:name="Tc_Hs5VymhWtU2j8PXrWBK2_w_18_0"/>
      <w:bookmarkStart w:id="352" w:name="Tc_p5ZiIBiuiUqBQ_LsgtJWGg_17_0"/>
      <w:bookmarkStart w:id="353" w:name="Tc_B3GRWWstekitHQ0CZ8YRhg_16_0"/>
      <w:bookmarkStart w:id="354" w:name="Tc_D-f-OC_caU6H_KwKtasZyA_15_0"/>
      <w:bookmarkStart w:id="355" w:name="Tc_EihEJbNlKEyBi5mFa5lFxQ_14_9"/>
      <w:bookmarkStart w:id="356" w:name="Tc_0VLUyA_dWk6WEPU_dagLdA_14_0"/>
      <w:bookmarkStart w:id="357" w:name="Tc_XAlzzbmCnkmINVxvfHa1kA_13_0"/>
      <w:bookmarkStart w:id="358" w:name="Tc_l1KZRyxD40q1wb60703lGA_12_0"/>
      <w:bookmarkStart w:id="359" w:name="Tc_JFuHyndMEkWyORccOgyREg_11_0"/>
      <w:bookmarkStart w:id="360" w:name="Tc_mtxoicbqY0qRVTp6vdvojA_10_0"/>
      <w:bookmarkStart w:id="361" w:name="Tc_RsRsf5qPd02v4sJQAf-s0Q_9_0"/>
      <w:bookmarkStart w:id="362" w:name="Tc_CHZ8ffictUGTmWzrf8kkIw_8_0"/>
      <w:bookmarkStart w:id="363" w:name="Tc_Pb2vFPZbHkOf1NEBgmMgPA_7_0"/>
      <w:bookmarkStart w:id="364" w:name="Tc_ewOd0Blc4EeK4iA_khFGhA_6_0"/>
      <w:bookmarkStart w:id="365" w:name="Tc_Ao2593Cx70qi33TxO6Nk8w_5_0"/>
      <w:bookmarkStart w:id="366" w:name="Tc_D4iUvyxmU0ytFErKyzDRZA_4_8"/>
      <w:bookmarkStart w:id="367" w:name="Tc_mMKMc2YaXEGgDgH9LsNBIw_4_5"/>
      <w:bookmarkStart w:id="368" w:name="Tc_Dhu_mIqSFkm4p4m4l1X8AQ_4_2"/>
      <w:bookmarkStart w:id="369" w:name="Tc_wmgCuNl8p0WLbaCGhn3cRQ_4_0"/>
      <w:bookmarkStart w:id="370" w:name="Tc_HgrSZoOYFEGEuZ49cJLqjg_3_0"/>
      <w:bookmarkStart w:id="371" w:name="Tc_CKKx425VekqthHo1f665Kg_2_8"/>
      <w:bookmarkStart w:id="372" w:name="Tc_roWGRHnmmkipl_DPmZG7jw_2_5"/>
      <w:bookmarkStart w:id="373" w:name="Tc_vJnLRrkNOU-jt9nhZ55a-A_2_2"/>
      <w:bookmarkStart w:id="374" w:name="Tc_4qmPCssvRkGSvQ4GkBat3A_1_2"/>
      <w:bookmarkStart w:id="375" w:name="_21f111b9_01ba_411c_990c_a0c016530a89"/>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tbl>
      <w:tblPr>
        <w:tblW w:w="10205" w:type="dxa"/>
        <w:jc w:val="left"/>
        <w:tblInd w:w="0" w:type="dxa"/>
        <w:tblLayout w:type="fixed"/>
        <w:tblCellMar>
          <w:top w:w="0" w:type="dxa"/>
          <w:left w:w="0" w:type="dxa"/>
          <w:bottom w:w="0" w:type="dxa"/>
          <w:right w:w="0" w:type="dxa"/>
        </w:tblCellMar>
      </w:tblPr>
      <w:tblGrid>
        <w:gridCol w:w="6469"/>
        <w:gridCol w:w="326"/>
        <w:gridCol w:w="196"/>
        <w:gridCol w:w="708"/>
        <w:gridCol w:w="326"/>
        <w:gridCol w:w="196"/>
        <w:gridCol w:w="708"/>
        <w:gridCol w:w="326"/>
        <w:gridCol w:w="196"/>
        <w:gridCol w:w="754"/>
      </w:tblGrid>
      <w:tr>
        <w:trPr/>
        <w:tc>
          <w:tcPr>
            <w:tcW w:w="6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49580" cy="175260"/>
                      <wp:effectExtent l="0" t="0" r="0" b="0"/>
                      <wp:wrapNone/>
                      <wp:docPr id="127" name="Frame125"/>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29"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9580" cy="175260"/>
                      <wp:effectExtent l="0" t="0" r="0" b="0"/>
                      <wp:wrapNone/>
                      <wp:docPr id="130" name="Frame128"/>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78790" cy="175260"/>
                      <wp:effectExtent l="0" t="0" r="0" b="0"/>
                      <wp:wrapNone/>
                      <wp:docPr id="133" name="Frame13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6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0"/>
              <w:ind w:left="0" w:right="0" w:hanging="0"/>
              <w:jc w:val="center"/>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Communication services</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707,758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735,082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692,221</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15,762</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17,417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17,762</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729,075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725,745</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OPERATING EXPENSES </w:t>
            </w:r>
            <w:r>
              <w:rPr>
                <w:rFonts w:ascii="Times New Roman;Times;serif" w:hAnsi="Times New Roman;Times;serif"/>
                <w:i/>
                <w:sz w:val="16"/>
              </w:rPr>
              <w:t>(excluding depreciation and amortization unless otherwise indicated)</w:t>
            </w: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communication services and other</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319,723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312,895</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construction revenue</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15,763</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228,869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224,399</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7,406</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Transaction-related charges</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4,798</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Restructuring and reorganization expenses</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pPr>
            <w:r>
              <w:rPr/>
              <w:t>—</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141,627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135,137</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 from acquisitions</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13,016</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disposition of assets and transfers</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4,389</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 impairment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729,870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749,041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717,803</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7,942</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(20,417)</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4,245</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(15,998)</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(8,056)</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(7,583)</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noncontrolling interests, net of tax (benefit) expense of $(3.1) million, $(2.3) million and $(0.8) million respectively</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1,938</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ATTRIBUTABLE TO ATN INTERNATIONAL, INC. STOCKHOLDERS</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PER WEIGHTED AVERAGE SHARE ATTRIBUTABLE TO ATN INTERNATIONAL, INC.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(0.67)</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(0.67)</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WEIGHTED AVERAGE COMMON SHARES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15,751</w:t>
            </w:r>
          </w:p>
        </w:tc>
      </w:tr>
      <w:tr>
        <w:trPr/>
        <w:tc>
          <w:tcPr>
            <w:tcW w:w="64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15,751</w:t>
            </w:r>
          </w:p>
        </w:tc>
      </w:tr>
      <w:tr>
        <w:trPr/>
        <w:tc>
          <w:tcPr>
            <w:tcW w:w="64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DIVIDENDS PER SHARE APPLICABLE TO COMMON STOCK</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0.72</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6" w:name="_d023b451_5b89_4806_ad58_27bcda9f3d4d"/>
      <w:bookmarkEnd w:id="376"/>
      <w:r>
        <w:rPr>
          <w:rFonts w:ascii="Times New Roman;Times;serif" w:hAnsi="Times New Roman;Times;serif"/>
          <w:b/>
          <w:sz w:val="20"/>
        </w:rPr>
        <w:t>ATN INTERNATIONAL, INC. AND SUBSIDIARIES</w:t>
      </w:r>
    </w:p>
    <w:p>
      <w:pPr>
        <w:pStyle w:val="TextBody"/>
        <w:bidi w:val="0"/>
        <w:spacing w:before="0" w:after="240"/>
        <w:ind w:left="0" w:right="0" w:hanging="0"/>
        <w:jc w:val="center"/>
        <w:rPr>
          <w:rFonts w:ascii="Times New Roman;Times;serif" w:hAnsi="Times New Roman;Times;serif"/>
          <w:sz w:val="20"/>
        </w:rPr>
      </w:pPr>
      <w:bookmarkStart w:id="377" w:name="CONSOLIDATEDSTATEMENTSOFCOMPREHENSIVEINC"/>
      <w:bookmarkEnd w:id="377"/>
      <w:r>
        <w:rPr>
          <w:rFonts w:ascii="Times New Roman;Times;serif" w:hAnsi="Times New Roman;Times;serif"/>
          <w:b/>
          <w:sz w:val="20"/>
        </w:rPr>
        <w:t>CONSOLIDATED STATEMENTS OF COMPREHENSIVE INCOME</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2024,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78" w:name="Tc_qjVTLm71NUKqwaAoCUT2Ew_13_7"/>
      <w:bookmarkStart w:id="379" w:name="Tc_rGZptUV6aEOubPB64KBrRA_13_4"/>
      <w:bookmarkStart w:id="380" w:name="Tc__q4D2hz3sE2u5Ru6Ht4Mhw_13_1"/>
      <w:bookmarkStart w:id="381" w:name="Tc_7oTrqv1Wv0-4hpJzGC68ug_13_0"/>
      <w:bookmarkStart w:id="382" w:name="Tc_L8ZuvyYcQEyH8scRTNKoRQ_12_0"/>
      <w:bookmarkStart w:id="383" w:name="Tc_7-4HRq1yr0yYaks1PsZ-sg_11_0"/>
      <w:bookmarkStart w:id="384" w:name="Tc_V7ZX25fyn0W5tpTafA6pfg_10_0"/>
      <w:bookmarkStart w:id="385" w:name="Tc_z-M7uEkYHU-7jDPgK7Y-Lg_9_0"/>
      <w:bookmarkStart w:id="386" w:name="Tc_yUUaysaYNk2vppeDq4kpBw_8_2"/>
      <w:bookmarkStart w:id="387" w:name="Tc_7mPDS3-ybEOqN_andSTTcQ_8_0"/>
      <w:bookmarkStart w:id="388" w:name="Tc_vCp3w_U6IUmIdDfAzNwVXQ_7_2"/>
      <w:bookmarkStart w:id="389" w:name="Tc_u4_yzYXuMUS9PnFHweHdvQ_7_0"/>
      <w:bookmarkStart w:id="390" w:name="Tc_ehchjEV2YUeCwmhBloEfzQ_6_0"/>
      <w:bookmarkStart w:id="391" w:name="Tc_Kxu4xayoEEeWyeaMJuoi-A_5_2"/>
      <w:bookmarkStart w:id="392" w:name="Tc_IJasudQyeUOwFR9VYCiBzA_5_0"/>
      <w:bookmarkStart w:id="393" w:name="Tc_9_BNps-nPUuefsNuawTFPQ_4_0"/>
      <w:bookmarkStart w:id="394" w:name="Tc__CEe_hf6KkuWbidZEOrSqQ_3_7"/>
      <w:bookmarkStart w:id="395" w:name="Tc__HU5hpxwtUauah3ERhEQ8Q_3_4"/>
      <w:bookmarkStart w:id="396" w:name="Tc_4LySrp6EUEye-qjJYOtzdA_3_1"/>
      <w:bookmarkStart w:id="397" w:name="Tc_MQ2VV0PMGU-FtLnkusvMyg_3_0"/>
      <w:bookmarkStart w:id="398" w:name="Tc_e2-htcymSEa_z9-ShiP9Qg_2_7"/>
      <w:bookmarkStart w:id="399" w:name="Tc_AAwunF8PgEqO4kWg3r_Amw_2_4"/>
      <w:bookmarkStart w:id="400" w:name="Tc_S-OEAck9d0ONgy-B1yCAww_2_1"/>
      <w:bookmarkStart w:id="401" w:name="Tc_le14Q-BCZUeXly9l1q9k8Q_1_1"/>
      <w:bookmarkStart w:id="402" w:name="_5cb565c2_2ad9_4253_a54c_23f3f485f1c9"/>
      <w:bookmarkStart w:id="403" w:name="Tc_qjVTLm71NUKqwaAoCUT2Ew_13_7"/>
      <w:bookmarkStart w:id="404" w:name="Tc_rGZptUV6aEOubPB64KBrRA_13_4"/>
      <w:bookmarkStart w:id="405" w:name="Tc__q4D2hz3sE2u5Ru6Ht4Mhw_13_1"/>
      <w:bookmarkStart w:id="406" w:name="Tc_7oTrqv1Wv0-4hpJzGC68ug_13_0"/>
      <w:bookmarkStart w:id="407" w:name="Tc_L8ZuvyYcQEyH8scRTNKoRQ_12_0"/>
      <w:bookmarkStart w:id="408" w:name="Tc_7-4HRq1yr0yYaks1PsZ-sg_11_0"/>
      <w:bookmarkStart w:id="409" w:name="Tc_V7ZX25fyn0W5tpTafA6pfg_10_0"/>
      <w:bookmarkStart w:id="410" w:name="Tc_z-M7uEkYHU-7jDPgK7Y-Lg_9_0"/>
      <w:bookmarkStart w:id="411" w:name="Tc_yUUaysaYNk2vppeDq4kpBw_8_2"/>
      <w:bookmarkStart w:id="412" w:name="Tc_7mPDS3-ybEOqN_andSTTcQ_8_0"/>
      <w:bookmarkStart w:id="413" w:name="Tc_vCp3w_U6IUmIdDfAzNwVXQ_7_2"/>
      <w:bookmarkStart w:id="414" w:name="Tc_u4_yzYXuMUS9PnFHweHdvQ_7_0"/>
      <w:bookmarkStart w:id="415" w:name="Tc_ehchjEV2YUeCwmhBloEfzQ_6_0"/>
      <w:bookmarkStart w:id="416" w:name="Tc_Kxu4xayoEEeWyeaMJuoi-A_5_2"/>
      <w:bookmarkStart w:id="417" w:name="Tc_IJasudQyeUOwFR9VYCiBzA_5_0"/>
      <w:bookmarkStart w:id="418" w:name="Tc_9_BNps-nPUuefsNuawTFPQ_4_0"/>
      <w:bookmarkStart w:id="419" w:name="Tc__CEe_hf6KkuWbidZEOrSqQ_3_7"/>
      <w:bookmarkStart w:id="420" w:name="Tc__HU5hpxwtUauah3ERhEQ8Q_3_4"/>
      <w:bookmarkStart w:id="421" w:name="Tc_4LySrp6EUEye-qjJYOtzdA_3_1"/>
      <w:bookmarkStart w:id="422" w:name="Tc_MQ2VV0PMGU-FtLnkusvMyg_3_0"/>
      <w:bookmarkStart w:id="423" w:name="Tc_e2-htcymSEa_z9-ShiP9Qg_2_7"/>
      <w:bookmarkStart w:id="424" w:name="Tc_AAwunF8PgEqO4kWg3r_Amw_2_4"/>
      <w:bookmarkStart w:id="425" w:name="Tc_S-OEAck9d0ONgy-B1yCAww_2_1"/>
      <w:bookmarkStart w:id="426" w:name="Tc_le14Q-BCZUeXly9l1q9k8Q_1_1"/>
      <w:bookmarkStart w:id="427" w:name="_5cb565c2_2ad9_4253_a54c_23f3f485f1c9"/>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tbl>
      <w:tblPr>
        <w:tblW w:w="10205" w:type="dxa"/>
        <w:jc w:val="left"/>
        <w:tblInd w:w="0" w:type="dxa"/>
        <w:tblLayout w:type="fixed"/>
        <w:tblCellMar>
          <w:top w:w="0" w:type="dxa"/>
          <w:left w:w="0" w:type="dxa"/>
          <w:bottom w:w="0" w:type="dxa"/>
          <w:right w:w="0" w:type="dxa"/>
        </w:tblCellMar>
      </w:tblPr>
      <w:tblGrid>
        <w:gridCol w:w="6882"/>
        <w:gridCol w:w="211"/>
        <w:gridCol w:w="771"/>
        <w:gridCol w:w="109"/>
        <w:gridCol w:w="211"/>
        <w:gridCol w:w="771"/>
        <w:gridCol w:w="326"/>
        <w:gridCol w:w="211"/>
        <w:gridCol w:w="713"/>
      </w:tblGrid>
      <w:tr>
        <w:trPr/>
        <w:tc>
          <w:tcPr>
            <w:tcW w:w="6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70070" cy="175260"/>
                      <wp:effectExtent l="0" t="0" r="0" b="0"/>
                      <wp:wrapNone/>
                      <wp:docPr id="134" name="Frame132"/>
                      <a:graphic xmlns:a="http://schemas.openxmlformats.org/drawingml/2006/main">
                        <a:graphicData uri="http://schemas.microsoft.com/office/word/2010/wordprocessingShape">
                          <wps:wsp>
                            <wps:cNvSpPr txBox="1"/>
                            <wps:spPr>
                              <a:xfrm>
                                <a:off x="0" y="0"/>
                                <a:ext cx="437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89585" cy="175260"/>
                      <wp:effectExtent l="0" t="0" r="0" b="0"/>
                      <wp:wrapNone/>
                      <wp:docPr id="136" name="Frame13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89585" cy="175260"/>
                      <wp:effectExtent l="0" t="0" r="0" b="0"/>
                      <wp:wrapNone/>
                      <wp:docPr id="139" name="Frame137"/>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52755" cy="175260"/>
                      <wp:effectExtent l="0" t="0" r="0" b="0"/>
                      <wp:wrapNone/>
                      <wp:docPr id="142" name="Frame14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2" w:type="dxa"/>
            <w:tcBorders/>
            <w:vAlign w:val="center"/>
          </w:tcPr>
          <w:p>
            <w:pPr>
              <w:pStyle w:val="TableContents"/>
              <w:bidi w:val="0"/>
              <w:spacing w:before="0" w:after="0"/>
              <w:ind w:left="0" w:right="0" w:hanging="0"/>
              <w:jc w:val="left"/>
              <w:rPr/>
            </w:pPr>
            <w:r>
              <w:rPr/>
              <w:t>​</w:t>
            </w:r>
          </w:p>
        </w:tc>
        <w:tc>
          <w:tcPr>
            <w:tcW w:w="33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882" w:type="dxa"/>
            <w:tcBorders/>
            <w:vAlign w:val="center"/>
          </w:tcPr>
          <w:p>
            <w:pPr>
              <w:pStyle w:val="TableContents"/>
              <w:bidi w:val="0"/>
              <w:spacing w:before="0" w:after="0"/>
              <w:ind w:left="0" w:right="0" w:hanging="0"/>
              <w:jc w:val="left"/>
              <w:rPr/>
            </w:pPr>
            <w:r>
              <w:rPr/>
              <w:t>​</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6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w:t>
            </w:r>
          </w:p>
        </w:tc>
      </w:tr>
      <w:tr>
        <w:trPr/>
        <w:tc>
          <w:tcPr>
            <w:tcW w:w="6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21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r>
      <w:tr>
        <w:trPr/>
        <w:tc>
          <w:tcPr>
            <w:tcW w:w="6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 expense of $0, $0, and $(0.2) million</w:t>
            </w:r>
          </w:p>
        </w:tc>
        <w:tc>
          <w:tcPr>
            <w:tcW w:w="211"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6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pension and postretirement benefit obligations, net of tax expense of $(0.1) million, $0 and $(0.2) million, respectively</w:t>
            </w:r>
          </w:p>
        </w:tc>
        <w:tc>
          <w:tcPr>
            <w:tcW w:w="21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r>
      <w:tr>
        <w:trPr/>
        <w:tc>
          <w:tcPr>
            <w:tcW w:w="6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loss on pension settlement, net of $0, $(0.2) million and $(0.8) million of tax</w:t>
            </w:r>
          </w:p>
        </w:tc>
        <w:tc>
          <w:tcPr>
            <w:tcW w:w="211" w:type="dxa"/>
            <w:tcBorders/>
            <w:shd w:fill="CCEEFF" w:val="clear"/>
            <w:vAlign w:val="center"/>
          </w:tcPr>
          <w:p>
            <w:pPr>
              <w:pStyle w:val="TableContents"/>
              <w:bidi w:val="0"/>
              <w:spacing w:before="0" w:after="0"/>
              <w:ind w:left="0" w:right="0" w:hanging="0"/>
              <w:jc w:val="righ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r>
      <w:tr>
        <w:trPr/>
        <w:tc>
          <w:tcPr>
            <w:tcW w:w="6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foreign currency (gains) losses on assets, net of tax expense of $0, $0, and $0.2 million</w:t>
            </w:r>
          </w:p>
        </w:tc>
        <w:tc>
          <w:tcPr>
            <w:tcW w:w="21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6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derivatives, net of tax expense of $(0.5) million, $0.6 million, and $0</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r>
      <w:tr>
        <w:trPr/>
        <w:tc>
          <w:tcPr>
            <w:tcW w:w="6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211"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(6,146)</w:t>
            </w:r>
          </w:p>
        </w:tc>
      </w:tr>
      <w:tr>
        <w:trPr/>
        <w:tc>
          <w:tcPr>
            <w:tcW w:w="68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r>
      <w:tr>
        <w:trPr/>
        <w:tc>
          <w:tcPr>
            <w:tcW w:w="6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ATN International, Inc.</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center"/>
        <w:rPr>
          <w:rFonts w:ascii="Times New Roman;Times;serif" w:hAnsi="Times New Roman;Times;serif"/>
          <w:b/>
          <w:sz w:val="16"/>
        </w:rPr>
      </w:pPr>
      <w:bookmarkStart w:id="428" w:name="_9a8d1855_65f9_4170_ad2b_30e87f79b381"/>
      <w:bookmarkEnd w:id="428"/>
      <w:r>
        <w:rPr>
          <w:rFonts w:ascii="Times New Roman;Times;serif" w:hAnsi="Times New Roman;Times;serif"/>
          <w:b/>
          <w:sz w:val="16"/>
        </w:rPr>
        <w:t>ATN INTERNATIONAL, INC. AND SUBSIDIARIES</w:t>
      </w:r>
    </w:p>
    <w:p>
      <w:pPr>
        <w:pStyle w:val="TextBody"/>
        <w:bidi w:val="0"/>
        <w:spacing w:before="0" w:after="80"/>
        <w:ind w:left="0" w:right="0" w:hanging="0"/>
        <w:jc w:val="center"/>
        <w:rPr>
          <w:rFonts w:ascii="Times New Roman;Times;serif" w:hAnsi="Times New Roman;Times;serif"/>
          <w:b/>
          <w:sz w:val="16"/>
        </w:rPr>
      </w:pPr>
      <w:bookmarkStart w:id="429" w:name="CONSOLIDATEDSTATEMENTSOFEQUITY_18266"/>
      <w:bookmarkEnd w:id="429"/>
      <w:r>
        <w:rPr>
          <w:rFonts w:ascii="Times New Roman;Times;serif" w:hAnsi="Times New Roman;Times;serif"/>
          <w:b/>
          <w:sz w:val="16"/>
        </w:rPr>
        <w:t>CONSOLIDATED STATEMENTS OF EQUITY</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December 31, 2024, 2023 and 2022 </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(In Thousands, Except Share Data)</w:t>
      </w:r>
    </w:p>
    <w:p>
      <w:pPr>
        <w:pStyle w:val="Normal"/>
        <w:bidi w:val="0"/>
        <w:spacing w:before="0" w:after="0"/>
        <w:jc w:val="left"/>
        <w:rPr>
          <w:sz w:val="4"/>
          <w:szCs w:val="4"/>
        </w:rPr>
      </w:pPr>
      <w:r>
        <w:rPr>
          <w:sz w:val="4"/>
          <w:szCs w:val="4"/>
        </w:rPr>
      </w:r>
      <w:bookmarkStart w:id="430" w:name="Tc_oh3lIGRj9EGYte4-mVgASA_46_15"/>
      <w:bookmarkStart w:id="431" w:name="Tc_CzJmYPJnYESDo3fiycf0_A_46_13"/>
      <w:bookmarkStart w:id="432" w:name="Tc_Pbqz64it90C81d17lWpgNw_46_11"/>
      <w:bookmarkStart w:id="433" w:name="Tc_XO2yX_pUJUKUSp1VvHDm7Q_46_9"/>
      <w:bookmarkStart w:id="434" w:name="Tc_a0Pbz_cP-k-CbJxgAjIxIA_46_7"/>
      <w:bookmarkStart w:id="435" w:name="Tc_6H2xFvG0-UeHGAMkiZ47hA_46_5"/>
      <w:bookmarkStart w:id="436" w:name="Tc_ccTl2z7gkUOI_ZozBR206w_46_3"/>
      <w:bookmarkStart w:id="437" w:name="Tc_CBSmRIC_fkyg8lwk3NHMUQ_46_1"/>
      <w:bookmarkStart w:id="438" w:name="Tc_opI4KxiCAEW1ZKeILbu4Ag_46_0"/>
      <w:bookmarkStart w:id="439" w:name="Tc_-5q4DKoaZ0u2QrR5od9fFg_45_6"/>
      <w:bookmarkStart w:id="440" w:name="Tc_mSnrzcCACkuZqIr9NT3b_w_45_4"/>
      <w:bookmarkStart w:id="441" w:name="Tc_-oJxHZnqVESlmPy4WO7wgg_45_2"/>
      <w:bookmarkStart w:id="442" w:name="Tc_OR1DfFs6D0yphYpMK---6Q_45_0"/>
      <w:bookmarkStart w:id="443" w:name="Tc_uakZbXAvJUmRbQLjJvS2IA_44_14"/>
      <w:bookmarkStart w:id="444" w:name="Tc_m6uUS1NCSEqXkRqXu6AE2g_44_8"/>
      <w:bookmarkStart w:id="445" w:name="Tc_8jVnwtYK_EOxkpxwzE90vw_44_6"/>
      <w:bookmarkStart w:id="446" w:name="Tc_2UtI4E76fk2NW6tVraJ7Vg_44_4"/>
      <w:bookmarkStart w:id="447" w:name="Tc_MYWGdu_ttUKf-DUV8sXtPg_44_2"/>
      <w:bookmarkStart w:id="448" w:name="Tc_svfb2Iw4BkOaB4jHcsJkzw_44_0"/>
      <w:bookmarkStart w:id="449" w:name="Tc_CxyxsHmqik-1yFCRGq0eMw_43_10"/>
      <w:bookmarkStart w:id="450" w:name="Tc_E47Hw8kWUU6P_PwpmOPW9Q_43_6"/>
      <w:bookmarkStart w:id="451" w:name="Tc_F0oukd3AokWC2G28uBWpqA_43_4"/>
      <w:bookmarkStart w:id="452" w:name="Tc_gyX4sk-G-k-QrIhvBKM-AA_43_2"/>
      <w:bookmarkStart w:id="453" w:name="Tc_dsU492qSTUy1XZvDm-Ahxg_43_0"/>
      <w:bookmarkStart w:id="454" w:name="Tc_eP2B8QAgCUiuMkmzPeygNw_42_0"/>
      <w:bookmarkStart w:id="455" w:name="Tc_qL_hXBug2UuZ4avqduyniA_41_10"/>
      <w:bookmarkStart w:id="456" w:name="Tc_fs9XGrLUPEKQEp5S4qs4iw_41_6"/>
      <w:bookmarkStart w:id="457" w:name="Tc_J7SRJIyS00Gb2nHiMMvU1Q_41_4"/>
      <w:bookmarkStart w:id="458" w:name="Tc_ZwB2zRBxXEq1wn8evQ7dSg_41_2"/>
      <w:bookmarkStart w:id="459" w:name="Tc_vXZjeWLQi0GBcXaUcj7qvA_41_0"/>
      <w:bookmarkStart w:id="460" w:name="Tc_ALCpe2-nTU6F547p4YNG1w_40_14"/>
      <w:bookmarkStart w:id="461" w:name="Tc_GZoJhhJCZkyhKwYoHMBVGw_40_10"/>
      <w:bookmarkStart w:id="462" w:name="Tc_-vj4be5640KlIOfNzNV6Rw_40_6"/>
      <w:bookmarkStart w:id="463" w:name="Tc_6FDkxmCYEkancuLbpNSGlA_40_4"/>
      <w:bookmarkStart w:id="464" w:name="Tc_oovp3-tgEUuXBWOTKN91Vg_40_2"/>
      <w:bookmarkStart w:id="465" w:name="Tc_RfhgM-ihbEyWVTR6xndojg_40_0"/>
      <w:bookmarkStart w:id="466" w:name="Tc_g6ReX3DHckechK_cJAQrcw_39_10"/>
      <w:bookmarkStart w:id="467" w:name="Tc_r99iKJLgWEyh5uf7FjD85g_39_8"/>
      <w:bookmarkStart w:id="468" w:name="Tc_xytNTKQYxEC2w66Ub0Qjhg_39_4"/>
      <w:bookmarkStart w:id="469" w:name="Tc_9zANmByGO02JY7ntr5wN-g_39_2"/>
      <w:bookmarkStart w:id="470" w:name="Tc_TVMZpe_TYkWS8ScRaWtLAw_39_0"/>
      <w:bookmarkStart w:id="471" w:name="Tc_eoWAI4ZG00uqKEuTbH58fg_38_12"/>
      <w:bookmarkStart w:id="472" w:name="Tc_mB5kUHd4t0mCHFzI1C1jgA_38_10"/>
      <w:bookmarkStart w:id="473" w:name="Tc_JJrwU0kBHkixQwFk7gWgkA_38_8"/>
      <w:bookmarkStart w:id="474" w:name="Tc_LraLGvGr-kCdffOToc4y8g_38_6"/>
      <w:bookmarkStart w:id="475" w:name="Tc__wzV1nrAvU6VDOYO-TbvTw_38_4"/>
      <w:bookmarkStart w:id="476" w:name="Tc_XoZ55NyyZ0GcFIA-CnmGqA_38_2"/>
      <w:bookmarkStart w:id="477" w:name="Tc_EXsR2_lAMU67_0Ull2DSkA_38_0"/>
      <w:bookmarkStart w:id="478" w:name="Tc_qyF-6MKq6kqX1EB62A8nHA_37_10"/>
      <w:bookmarkStart w:id="479" w:name="Tc_rFWN8GVBtkiAA1lSVojCGQ_37_6"/>
      <w:bookmarkStart w:id="480" w:name="Tc_QnvJ8ItR406AHPUTG_4Zfw_37_4"/>
      <w:bookmarkStart w:id="481" w:name="Tc__-UXLWaZhk-liOz6IMAxeA_37_2"/>
      <w:bookmarkStart w:id="482" w:name="Tc_ka6JfOlY10uEs2Hr9Y_AIg_37_0"/>
      <w:bookmarkStart w:id="483" w:name="Tc_gDnoVjmpIkGjeFKhb07U_w_36_10"/>
      <w:bookmarkStart w:id="484" w:name="Tc_cyeqtS1GXEiTcta89fONuw_36_8"/>
      <w:bookmarkStart w:id="485" w:name="Tc_hkLENlrNcUSDi59m-MFDVw_36_4"/>
      <w:bookmarkStart w:id="486" w:name="Tc_yfst29WOC0mpV5WqZdjrtQ_36_2"/>
      <w:bookmarkStart w:id="487" w:name="Tc_OPfZ_19jnUuXWjV9V31G3g_36_0"/>
      <w:bookmarkStart w:id="488" w:name="Tc_G82voideeUKf8KPQBpkKIg_35_14"/>
      <w:bookmarkStart w:id="489" w:name="Tc_2MIaooLBHES0mlRLPLBEtA_35_10"/>
      <w:bookmarkStart w:id="490" w:name="Tc_6rPGBfZsAEuZcJuGgVAAdA_35_8"/>
      <w:bookmarkStart w:id="491" w:name="Tc_C4XlJ_FCy0O5nZ-KaybznA_35_6"/>
      <w:bookmarkStart w:id="492" w:name="Tc_mP7GLYvRcEm37_Uy9a8ziA_35_2"/>
      <w:bookmarkStart w:id="493" w:name="Tc_e5nfFgHlDkiWeCbO_UqP2g_35_0"/>
      <w:bookmarkStart w:id="494" w:name="Tc_8vk1ixRP70OLpe2oqoA1Jw_34_14"/>
      <w:bookmarkStart w:id="495" w:name="Tc_yX8_K86XI0KhKK9cpDoOyQ_34_10"/>
      <w:bookmarkStart w:id="496" w:name="Tc_-MA5WKj-S0WgvEvlrMup_g_34_8"/>
      <w:bookmarkStart w:id="497" w:name="Tc_CCORsSpmR0m4YiO8DrVDmg_34_6"/>
      <w:bookmarkStart w:id="498" w:name="Tc_rknqn8Z3t0e1jRPv8U8QrQ_34_4"/>
      <w:bookmarkStart w:id="499" w:name="Tc_WUsydBNVW0e4molNqufQGA_34_0"/>
      <w:bookmarkStart w:id="500" w:name="Tc_b07OIioKSEaGx42GRqo3sg_33_15"/>
      <w:bookmarkStart w:id="501" w:name="Tc_VaxZ4fxnikaL7yiyNskjlQ_33_13"/>
      <w:bookmarkStart w:id="502" w:name="Tc_tQvnNS4Y20-vC1RqR82mWQ_33_11"/>
      <w:bookmarkStart w:id="503" w:name="Tc_ftSNbWu180GQ4RYsAHIxhQ_33_9"/>
      <w:bookmarkStart w:id="504" w:name="Tc_i-A26ALvMEiYEfglulQsWg_33_7"/>
      <w:bookmarkStart w:id="505" w:name="Tc_PaJRIUTe_0aD2vgiiNu6AQ_33_5"/>
      <w:bookmarkStart w:id="506" w:name="Tc_8CuBZj3i-0yjVtQFqRELfA_33_3"/>
      <w:bookmarkStart w:id="507" w:name="Tc_tKOJm7EW1USaV4fuJU3Egg_33_1"/>
      <w:bookmarkStart w:id="508" w:name="Tc_YD79kRPRrEe2B7E478PUpQ_33_0"/>
      <w:bookmarkStart w:id="509" w:name="Tc_43JnkzVYQEac8JHRCIlAug_31_15"/>
      <w:bookmarkStart w:id="510" w:name="Tc_RkOFTQpKbkeESbItnimvtw_31_13"/>
      <w:bookmarkStart w:id="511" w:name="Tc_kvbxb7caFkGBMVmVQuHvTg_31_11"/>
      <w:bookmarkStart w:id="512" w:name="Tc_9cL66T3myU-O51J4bN4l1A_31_9"/>
      <w:bookmarkStart w:id="513" w:name="Tc_cEvjiKBrmE6S_xGJDCHyXQ_31_7"/>
      <w:bookmarkStart w:id="514" w:name="Tc_o-PsqCug1Eif_Tz6_Cg1RA_31_5"/>
      <w:bookmarkStart w:id="515" w:name="Tc_lO8djQm0sU6rjozAuoDrrg_31_3"/>
      <w:bookmarkStart w:id="516" w:name="Tc_Ddd5no4_wUa_C8B1CLTybA_31_1"/>
      <w:bookmarkStart w:id="517" w:name="Tc_j33La4opnkOkf126CsHPVw_31_0"/>
      <w:bookmarkStart w:id="518" w:name="Tc_Ohtlka1gL0qvhTdbWt-NJQ_30_6"/>
      <w:bookmarkStart w:id="519" w:name="Tc_sZRHjtRnUUyurkdWWZpNoA_30_4"/>
      <w:bookmarkStart w:id="520" w:name="Tc_WAyfqxFUEku33e0V-fD1aA_30_2"/>
      <w:bookmarkStart w:id="521" w:name="Tc_qiN56MH2OE2VZ8QsJw3Ckg_30_0"/>
      <w:bookmarkStart w:id="522" w:name="Tc_khWK2822-UOZ9edAg2FGNg_29_14"/>
      <w:bookmarkStart w:id="523" w:name="Tc_S2BlUne_3UWzEOIA2lYkJA_29_8"/>
      <w:bookmarkStart w:id="524" w:name="Tc_r5wKohx30UygbNh3uQRsGg_29_6"/>
      <w:bookmarkStart w:id="525" w:name="Tc_VU515-XdqEG19WDON__c7A_29_4"/>
      <w:bookmarkStart w:id="526" w:name="Tc_W4i5TZ6B306bu11hxZwxCQ_29_2"/>
      <w:bookmarkStart w:id="527" w:name="Tc_yP3iliG5jU2-WOr93YIGgA_29_0"/>
      <w:bookmarkStart w:id="528" w:name="Tc_cZ5MwiySIE-_4iFP6aPB5Q_28_10"/>
      <w:bookmarkStart w:id="529" w:name="Tc_UZotEnRkKEqqJoPZ8W7Xbw_28_6"/>
      <w:bookmarkStart w:id="530" w:name="Tc_120roqM4D0mHFyD5jl_atA_28_4"/>
      <w:bookmarkStart w:id="531" w:name="Tc_ehRC9iw_3EejcBQkinTXCg_28_2"/>
      <w:bookmarkStart w:id="532" w:name="Tc_pO-TsYZ3B0Wx6JMAQxr79w_28_0"/>
      <w:bookmarkStart w:id="533" w:name="Tc_MmLj5cxy4Uu7azrCuR2fuA_27_0"/>
      <w:bookmarkStart w:id="534" w:name="Tc_atRGasIcLUChdEyY5oSCeQ_26_10"/>
      <w:bookmarkStart w:id="535" w:name="Tc_bPg0h9gXlUKhMdhr988TIA_26_6"/>
      <w:bookmarkStart w:id="536" w:name="Tc_jSZ3vJb-vkG0DS6gytrb2Q_26_4"/>
      <w:bookmarkStart w:id="537" w:name="Tc_USu2GcxeSU6KLBxeXKlLfQ_26_2"/>
      <w:bookmarkStart w:id="538" w:name="Tc_we8NUcpFnUCSmEL7yBVe0A_26_0"/>
      <w:bookmarkStart w:id="539" w:name="Tc_gcN_wt0pTUGceKbNRh8p9Q_25_14"/>
      <w:bookmarkStart w:id="540" w:name="Tc_qsKh2SCKN0yYwxcAcTdzGA_25_10"/>
      <w:bookmarkStart w:id="541" w:name="Tc_V8UeAuVxKEiQoDS0i3l1hA_25_6"/>
      <w:bookmarkStart w:id="542" w:name="Tc_Omnm-mwT702r_VJxFSWLJQ_25_4"/>
      <w:bookmarkStart w:id="543" w:name="Tc_oGXnknxw10G_OWezdcfzvw_25_2"/>
      <w:bookmarkStart w:id="544" w:name="Tc_BiHmxsH4ek6IDJcdZqv9nw_25_0"/>
      <w:bookmarkStart w:id="545" w:name="Tc_1_FFKx868ECQqBkZf2wOPA_24_10"/>
      <w:bookmarkStart w:id="546" w:name="Tc_vt5HEhx0jEWGnFDWZZ5mJQ_24_8"/>
      <w:bookmarkStart w:id="547" w:name="Tc_4CNj8fJB7kCDx0KhMqIMqg_24_4"/>
      <w:bookmarkStart w:id="548" w:name="Tc_AcYmT34EFkmoaR6nZvqYgQ_24_2"/>
      <w:bookmarkStart w:id="549" w:name="Tc_WKbFHEf8IEWkCPsh0cgtdA_24_0"/>
      <w:bookmarkStart w:id="550" w:name="Tc_JkdKkmPojUeqkmkdVpLuIQ_23_10"/>
      <w:bookmarkStart w:id="551" w:name="Tc_JpoLAuGrXU2kzbkegBCwuQ_23_6"/>
      <w:bookmarkStart w:id="552" w:name="Tc_GNO_MknG7kyA_P30oq8u1A_23_4"/>
      <w:bookmarkStart w:id="553" w:name="Tc_EYA7zcRWNk2SH9jAKv9Hkg_23_2"/>
      <w:bookmarkStart w:id="554" w:name="Tc_hs_ybCuIREuPIPMqy78G2w_23_0"/>
      <w:bookmarkStart w:id="555" w:name="Tc_4VY8XgYX6UeC2bRFNcERWg_22_10"/>
      <w:bookmarkStart w:id="556" w:name="Tc_8VZKDd2RbkSAJm5bQxHnsQ_22_8"/>
      <w:bookmarkStart w:id="557" w:name="Tc_7Dau7Kef0kaISoFBnlWjMQ_22_4"/>
      <w:bookmarkStart w:id="558" w:name="Tc_DvkmIUkr3E-TTD2IYhNBZA_22_2"/>
      <w:bookmarkStart w:id="559" w:name="Tc_r6Y1fSxls0eNKkIq6N7UmQ_22_0"/>
      <w:bookmarkStart w:id="560" w:name="Tc__PPEsvAfEUCFcuoZf4CGbw_21_14"/>
      <w:bookmarkStart w:id="561" w:name="Tc_1kShN6vuF0-VtUQpN-O8dg_21_10"/>
      <w:bookmarkStart w:id="562" w:name="Tc_4zU6yQSuLUqgZaVW-x0j7g_21_8"/>
      <w:bookmarkStart w:id="563" w:name="Tc_dvk2pqaoaU2gxp_l3R1P9Q_21_6"/>
      <w:bookmarkStart w:id="564" w:name="Tc_DHJ6x8u0W02DGWh97gINQw_21_2"/>
      <w:bookmarkStart w:id="565" w:name="Tc_luEokz1xLEq6aiZVRhpi4w_21_0"/>
      <w:bookmarkStart w:id="566" w:name="Tc_UgZzTFTBxkGxGGMK0tfpMg_20_15"/>
      <w:bookmarkStart w:id="567" w:name="Tc_QcRnhenNyk-t35ieSnIOog_20_13"/>
      <w:bookmarkStart w:id="568" w:name="Tc_7PV1fBI3EUCtqcSFJDLhQg_20_11"/>
      <w:bookmarkStart w:id="569" w:name="Tc_L6sYb2axak6CzHKEAvTvNw_20_9"/>
      <w:bookmarkStart w:id="570" w:name="Tc_VpvWWILE8UmVe9tj-LZQjQ_20_7"/>
      <w:bookmarkStart w:id="571" w:name="Tc_Z8dHczyp6kC87YZfqmIAvw_20_5"/>
      <w:bookmarkStart w:id="572" w:name="Tc_PTvEgz3EmEmrFaznjbp19g_20_3"/>
      <w:bookmarkStart w:id="573" w:name="Tc_ut6ma_8Da0GpCF14xeZzdQ_20_1"/>
      <w:bookmarkStart w:id="574" w:name="Tc_OSfF2VgPMEOYzrqvAccKMw_20_0"/>
      <w:bookmarkStart w:id="575" w:name="Tc_CSHXCuV5wkKV5cjQw1snTA_18_15"/>
      <w:bookmarkStart w:id="576" w:name="Tc_KIjVFhLogUmhKWjW1acOJw_18_13"/>
      <w:bookmarkStart w:id="577" w:name="Tc_YELEJYXE-EuFKvHU4bi03A_18_11"/>
      <w:bookmarkStart w:id="578" w:name="Tc_D37PWdiTd0C0OSBsYzPXNg_18_9"/>
      <w:bookmarkStart w:id="579" w:name="Tc_hpMzCSUA4kimucJBqJayVg_18_7"/>
      <w:bookmarkStart w:id="580" w:name="Tc_Xt4S3F_qwUyA9-8UNVXPow_18_5"/>
      <w:bookmarkStart w:id="581" w:name="Tc_u48F_QltsUa09xwHhY200g_18_3"/>
      <w:bookmarkStart w:id="582" w:name="Tc_EEwl3l7rpUGFZ5aHyW0gXQ_18_1"/>
      <w:bookmarkStart w:id="583" w:name="Tc_3bjdLrZ9X06phjGpO5bW2A_18_0"/>
      <w:bookmarkStart w:id="584" w:name="Tc_9oBdgKJv30SWzTKmKiwyAg_17_6"/>
      <w:bookmarkStart w:id="585" w:name="Tc_xlbNp1IXV0SrA2w6c7dDVQ_17_4"/>
      <w:bookmarkStart w:id="586" w:name="Tc_S3R7p-lmqk60CPIqnk4RLg_17_2"/>
      <w:bookmarkStart w:id="587" w:name="Tc_nyPif54VpU2jl-WFAxQrFQ_17_0"/>
      <w:bookmarkStart w:id="588" w:name="Tc_d4SGLsQsd0-EIe2So-HYIg_16_14"/>
      <w:bookmarkStart w:id="589" w:name="Tc_6YXX6DHHk0SiZToqC8sROg_16_8"/>
      <w:bookmarkStart w:id="590" w:name="Tc_SSz25vm1W0yG1N_ESbPcwg_16_6"/>
      <w:bookmarkStart w:id="591" w:name="Tc_-32--NBYUkWcUcuZkAFxAg_16_4"/>
      <w:bookmarkStart w:id="592" w:name="Tc_5ToPEEE91UGWBCYxFl5wUA_16_2"/>
      <w:bookmarkStart w:id="593" w:name="Tc_gZNhHVNhxEqguTd7uGE61A_16_0"/>
      <w:bookmarkStart w:id="594" w:name="Tc_1Bh-dAJDhk2A5H1YD92rKg_15_10"/>
      <w:bookmarkStart w:id="595" w:name="Tc_4ZPYmH9nRkac5--VWi_okQ_15_6"/>
      <w:bookmarkStart w:id="596" w:name="Tc_0RQg8DL6u0yhHLW-31G8ZQ_15_4"/>
      <w:bookmarkStart w:id="597" w:name="Tc_yi5fi2S8_0aOYLWqZe6U7g_15_2"/>
      <w:bookmarkStart w:id="598" w:name="Tc_xVh_J1mlBUqLN_HrBgxjEg_15_0"/>
      <w:bookmarkStart w:id="599" w:name="Tc_o_NWrLfzfkycJSLaaZDDFQ_14_0"/>
      <w:bookmarkStart w:id="600" w:name="Tc_iarZY_ctUEOit7znY4XXZw_13_10"/>
      <w:bookmarkStart w:id="601" w:name="Tc_OUuH2fmb3kmKiwlQKOQGGA_13_6"/>
      <w:bookmarkStart w:id="602" w:name="Tc_uu0BKEqZ3kazN4kMbB9wDw_13_4"/>
      <w:bookmarkStart w:id="603" w:name="Tc_1deBWsAtpkiabgl3w2xWJw_13_2"/>
      <w:bookmarkStart w:id="604" w:name="Tc_YWRu_BBLVkSgqJ1L6ZHGvg_13_0"/>
      <w:bookmarkStart w:id="605" w:name="Tc_8nKFkmoFeEOtFQbSu2bnOA_12_14"/>
      <w:bookmarkStart w:id="606" w:name="Tc_9WlVH-XmU061Zw2g9HW7Nw_12_10"/>
      <w:bookmarkStart w:id="607" w:name="Tc_PQBZwPOA50Wh5ImVhFyX4w_12_6"/>
      <w:bookmarkStart w:id="608" w:name="Tc_6652KDJhyEymWrzmsVLVaA_12_4"/>
      <w:bookmarkStart w:id="609" w:name="Tc_Qycy0f4IREuoNfvfSRb4uw_12_2"/>
      <w:bookmarkStart w:id="610" w:name="Tc_84_ShK1H8UmQxyvSepE_0w_12_0"/>
      <w:bookmarkStart w:id="611" w:name="Tc_VgL_jhJTZkmCH3brOvcqLw_11_10"/>
      <w:bookmarkStart w:id="612" w:name="Tc_xa89Dx0V6UuVMmVFLrikdg_11_8"/>
      <w:bookmarkStart w:id="613" w:name="Tc_VqJxsuHG1kGlWCGxu6E2hw_11_4"/>
      <w:bookmarkStart w:id="614" w:name="Tc__KdiuoM-YEOBYYRHb7Qiwg_11_2"/>
      <w:bookmarkStart w:id="615" w:name="Tc_etjk3bbkG0Gu8gxzmsWKWg_11_0"/>
      <w:bookmarkStart w:id="616" w:name="Tc_kH6pUkvK-keNMnf-fvPaCw_10_16"/>
      <w:bookmarkStart w:id="617" w:name="Tc_lTBCKQ0yaka1CxbyCrSo-Q_10_14"/>
      <w:bookmarkStart w:id="618" w:name="Tc_I46v-Kxdpk-WCJt-OvuD4A_10_12"/>
      <w:bookmarkStart w:id="619" w:name="Tc_BvXxLbsqR0CZDbp2LDxpkg_10_10"/>
      <w:bookmarkStart w:id="620" w:name="Tc_vFkT20wFlkSc-Hk43rq-ZA_10_8"/>
      <w:bookmarkStart w:id="621" w:name="Tc_9OsjfycEy0KOW8I5P0ixvg_10_6"/>
      <w:bookmarkStart w:id="622" w:name="Tc_sDgfTgeHU0a0RBzv1w-c5g_10_4"/>
      <w:bookmarkStart w:id="623" w:name="Tc_QDfiqVl9i0qP_px-BOsEJw_10_2"/>
      <w:bookmarkStart w:id="624" w:name="Tc_NgQrfvpMW0K3jQCx-MAuIA_10_0"/>
      <w:bookmarkStart w:id="625" w:name="Tc_xSVU6P4Rg0KuVMBwwIZpBA_9_10"/>
      <w:bookmarkStart w:id="626" w:name="Tc__iTfghFte0it7hPMbpWpsA_9_6"/>
      <w:bookmarkStart w:id="627" w:name="Tc_2qzjZLDSjku_tGeTDpbcNw_9_4"/>
      <w:bookmarkStart w:id="628" w:name="Tc_euFob6SX8U-6vzEoVUwUvQ_9_2"/>
      <w:bookmarkStart w:id="629" w:name="Tc_vh7cqd6D_UWkzjjbSc2AYw_9_0"/>
      <w:bookmarkStart w:id="630" w:name="Tc_FGSfKuCVSkO4bQCX3TK0TQ_8_10"/>
      <w:bookmarkStart w:id="631" w:name="Tc_WfjB__L0_UmY0XU-5p-dPQ_8_8"/>
      <w:bookmarkStart w:id="632" w:name="Tc__ro5w0eOi0WcBpNSUBIxCQ_8_4"/>
      <w:bookmarkStart w:id="633" w:name="Tc_8nsULixu_E-GQrSHDWbadg_8_2"/>
      <w:bookmarkStart w:id="634" w:name="Tc_QN3Onc-wikCHhoIlIZKHiw_8_0"/>
      <w:bookmarkStart w:id="635" w:name="Tc_gTO7K1dTF06K1MyqO2pYSg_7_14"/>
      <w:bookmarkStart w:id="636" w:name="Tc_Tj5X20-rJ0yIjluLpcn2rg_7_10"/>
      <w:bookmarkStart w:id="637" w:name="Tc_gEwwZHcgsEq-06v76b291g_7_8"/>
      <w:bookmarkStart w:id="638" w:name="Tc_yOT5r1BpvEmusmIH-1Yh2Q_7_6"/>
      <w:bookmarkStart w:id="639" w:name="Tc_pJGkcizXEEqz4Zv3_ZS3gA_7_2"/>
      <w:bookmarkStart w:id="640" w:name="Tc_lnTfx8BmQECRV7K6WJnOWA_7_0"/>
      <w:bookmarkStart w:id="641" w:name="Tc_OP8Ii1TBgUalSPw-Dv-eOg_6_14"/>
      <w:bookmarkStart w:id="642" w:name="Tc_3uPZLyYsnU6guU_5PG4SvA_6_10"/>
      <w:bookmarkStart w:id="643" w:name="Tc__JFtd1p6xEqDg-HwvpZaJw_6_8"/>
      <w:bookmarkStart w:id="644" w:name="Tc_afMtUMRCy0ySakH7mJ6-Tw_6_6"/>
      <w:bookmarkStart w:id="645" w:name="Tc_tSkVWTLQqEiJN00Cl8PfTA_6_4"/>
      <w:bookmarkStart w:id="646" w:name="Tc_gEtSMnymeUuP_66W3lcjRQ_6_0"/>
      <w:bookmarkStart w:id="647" w:name="Tc_JvUsyTv_eEW74I5aUQwwMw_5_15"/>
      <w:bookmarkStart w:id="648" w:name="Tc_qg7jq-Srn0uPQectogklEw_5_13"/>
      <w:bookmarkStart w:id="649" w:name="Tc_inZj05BQ6EiUYVKLN2UUwQ_5_11"/>
      <w:bookmarkStart w:id="650" w:name="Tc__ZG6n5n55EWSE9M1Bsgiig_5_9"/>
      <w:bookmarkStart w:id="651" w:name="Tc_fVwgy2Ivq0KRyQGSUBqV5A_5_7"/>
      <w:bookmarkStart w:id="652" w:name="Tc_jjsx8NpslE25wblG7S5pkg_5_5"/>
      <w:bookmarkStart w:id="653" w:name="Tc_IdIb8EgtukiLznyvrnTtNw_5_3"/>
      <w:bookmarkStart w:id="654" w:name="Tc_J45WptKD_0uK2braJFbueA_5_1"/>
      <w:bookmarkStart w:id="655" w:name="Tc_ncYq8g-iwU2NwdVcb7ea3A_5_0"/>
      <w:bookmarkStart w:id="656" w:name="Tc_V7-hXt0R10yh77JRCuHlhQ_4_16"/>
      <w:bookmarkStart w:id="657" w:name="Tc_8wFc1WFE4ECv1TomuWqShg_4_14"/>
      <w:bookmarkStart w:id="658" w:name="Tc_VD33L-TMXkaJHgMkdBkeEA_4_12"/>
      <w:bookmarkStart w:id="659" w:name="Tc_j_JpiQc9eEyDqRLxTCCnSQ_4_10"/>
      <w:bookmarkStart w:id="660" w:name="Tc_ONuqDZoQzUC5en8gXnlnAg_4_8"/>
      <w:bookmarkStart w:id="661" w:name="Tc_U-KtpJwI706YPKYwOQ3nJg_4_6"/>
      <w:bookmarkStart w:id="662" w:name="Tc_FN2LdZA9f0itAa9UX0maUA_4_4"/>
      <w:bookmarkStart w:id="663" w:name="Tc_buDeJRIox06qzIFZk1LtlQ_4_2"/>
      <w:bookmarkStart w:id="664" w:name="Tc_q5K4bLpTl0iu5Aa1_JXbJA_3_16"/>
      <w:bookmarkStart w:id="665" w:name="Tc_MNDhKMHIJUKYDucVTT28Ng_3_14"/>
      <w:bookmarkStart w:id="666" w:name="Tc_BKJ2b4lCRk6_LN-bV2PccQ_3_12"/>
      <w:bookmarkStart w:id="667" w:name="Tc_6UKoga2Ql0OaAVsTIITIFw_3_10"/>
      <w:bookmarkStart w:id="668" w:name="Tc_1zSy-ix-h0ixNG7uUz7nHg_3_8"/>
      <w:bookmarkStart w:id="669" w:name="Tc_ekF1WG7dOkaWogjNU5-zTA_3_6"/>
      <w:bookmarkStart w:id="670" w:name="Tc_wRCkqO7TEUq0ZmlBs3hZxQ_3_4"/>
      <w:bookmarkStart w:id="671" w:name="Tc_TYqT5Crsvkeov1OFw8gibA_3_2"/>
      <w:bookmarkStart w:id="672" w:name="Tc_GE7XPW4yvUSoMwfhOInu3w_2_14"/>
      <w:bookmarkStart w:id="673" w:name="Tc_14jTEh0SxUCotDHbnXc0Zw_2_12"/>
      <w:bookmarkStart w:id="674" w:name="Tc_DeaahvZRBEytQ582a4giNA_2_10"/>
      <w:bookmarkStart w:id="675" w:name="Tc_sE4-TCRmIE6vmcWKd7aDTw_2_6"/>
      <w:bookmarkStart w:id="676" w:name="Tc_dzMLxgHYq0iCa37j7g3VxA_2_4"/>
      <w:bookmarkStart w:id="677" w:name="Tc_D3WyJZTqIUGV4AiqAWYXsg_1_1"/>
      <w:bookmarkStart w:id="678" w:name="_69496c6b_3403_475e_9a8e_b9dd7a5dd2ed"/>
      <w:bookmarkStart w:id="679" w:name="Tc_oh3lIGRj9EGYte4-mVgASA_46_15"/>
      <w:bookmarkStart w:id="680" w:name="Tc_CzJmYPJnYESDo3fiycf0_A_46_13"/>
      <w:bookmarkStart w:id="681" w:name="Tc_Pbqz64it90C81d17lWpgNw_46_11"/>
      <w:bookmarkStart w:id="682" w:name="Tc_XO2yX_pUJUKUSp1VvHDm7Q_46_9"/>
      <w:bookmarkStart w:id="683" w:name="Tc_a0Pbz_cP-k-CbJxgAjIxIA_46_7"/>
      <w:bookmarkStart w:id="684" w:name="Tc_6H2xFvG0-UeHGAMkiZ47hA_46_5"/>
      <w:bookmarkStart w:id="685" w:name="Tc_ccTl2z7gkUOI_ZozBR206w_46_3"/>
      <w:bookmarkStart w:id="686" w:name="Tc_CBSmRIC_fkyg8lwk3NHMUQ_46_1"/>
      <w:bookmarkStart w:id="687" w:name="Tc_opI4KxiCAEW1ZKeILbu4Ag_46_0"/>
      <w:bookmarkStart w:id="688" w:name="Tc_-5q4DKoaZ0u2QrR5od9fFg_45_6"/>
      <w:bookmarkStart w:id="689" w:name="Tc_mSnrzcCACkuZqIr9NT3b_w_45_4"/>
      <w:bookmarkStart w:id="690" w:name="Tc_-oJxHZnqVESlmPy4WO7wgg_45_2"/>
      <w:bookmarkStart w:id="691" w:name="Tc_OR1DfFs6D0yphYpMK---6Q_45_0"/>
      <w:bookmarkStart w:id="692" w:name="Tc_uakZbXAvJUmRbQLjJvS2IA_44_14"/>
      <w:bookmarkStart w:id="693" w:name="Tc_m6uUS1NCSEqXkRqXu6AE2g_44_8"/>
      <w:bookmarkStart w:id="694" w:name="Tc_8jVnwtYK_EOxkpxwzE90vw_44_6"/>
      <w:bookmarkStart w:id="695" w:name="Tc_2UtI4E76fk2NW6tVraJ7Vg_44_4"/>
      <w:bookmarkStart w:id="696" w:name="Tc_MYWGdu_ttUKf-DUV8sXtPg_44_2"/>
      <w:bookmarkStart w:id="697" w:name="Tc_svfb2Iw4BkOaB4jHcsJkzw_44_0"/>
      <w:bookmarkStart w:id="698" w:name="Tc_CxyxsHmqik-1yFCRGq0eMw_43_10"/>
      <w:bookmarkStart w:id="699" w:name="Tc_E47Hw8kWUU6P_PwpmOPW9Q_43_6"/>
      <w:bookmarkStart w:id="700" w:name="Tc_F0oukd3AokWC2G28uBWpqA_43_4"/>
      <w:bookmarkStart w:id="701" w:name="Tc_gyX4sk-G-k-QrIhvBKM-AA_43_2"/>
      <w:bookmarkStart w:id="702" w:name="Tc_dsU492qSTUy1XZvDm-Ahxg_43_0"/>
      <w:bookmarkStart w:id="703" w:name="Tc_eP2B8QAgCUiuMkmzPeygNw_42_0"/>
      <w:bookmarkStart w:id="704" w:name="Tc_qL_hXBug2UuZ4avqduyniA_41_10"/>
      <w:bookmarkStart w:id="705" w:name="Tc_fs9XGrLUPEKQEp5S4qs4iw_41_6"/>
      <w:bookmarkStart w:id="706" w:name="Tc_J7SRJIyS00Gb2nHiMMvU1Q_41_4"/>
      <w:bookmarkStart w:id="707" w:name="Tc_ZwB2zRBxXEq1wn8evQ7dSg_41_2"/>
      <w:bookmarkStart w:id="708" w:name="Tc_vXZjeWLQi0GBcXaUcj7qvA_41_0"/>
      <w:bookmarkStart w:id="709" w:name="Tc_ALCpe2-nTU6F547p4YNG1w_40_14"/>
      <w:bookmarkStart w:id="710" w:name="Tc_GZoJhhJCZkyhKwYoHMBVGw_40_10"/>
      <w:bookmarkStart w:id="711" w:name="Tc_-vj4be5640KlIOfNzNV6Rw_40_6"/>
      <w:bookmarkStart w:id="712" w:name="Tc_6FDkxmCYEkancuLbpNSGlA_40_4"/>
      <w:bookmarkStart w:id="713" w:name="Tc_oovp3-tgEUuXBWOTKN91Vg_40_2"/>
      <w:bookmarkStart w:id="714" w:name="Tc_RfhgM-ihbEyWVTR6xndojg_40_0"/>
      <w:bookmarkStart w:id="715" w:name="Tc_g6ReX3DHckechK_cJAQrcw_39_10"/>
      <w:bookmarkStart w:id="716" w:name="Tc_r99iKJLgWEyh5uf7FjD85g_39_8"/>
      <w:bookmarkStart w:id="717" w:name="Tc_xytNTKQYxEC2w66Ub0Qjhg_39_4"/>
      <w:bookmarkStart w:id="718" w:name="Tc_9zANmByGO02JY7ntr5wN-g_39_2"/>
      <w:bookmarkStart w:id="719" w:name="Tc_TVMZpe_TYkWS8ScRaWtLAw_39_0"/>
      <w:bookmarkStart w:id="720" w:name="Tc_eoWAI4ZG00uqKEuTbH58fg_38_12"/>
      <w:bookmarkStart w:id="721" w:name="Tc_mB5kUHd4t0mCHFzI1C1jgA_38_10"/>
      <w:bookmarkStart w:id="722" w:name="Tc_JJrwU0kBHkixQwFk7gWgkA_38_8"/>
      <w:bookmarkStart w:id="723" w:name="Tc_LraLGvGr-kCdffOToc4y8g_38_6"/>
      <w:bookmarkStart w:id="724" w:name="Tc__wzV1nrAvU6VDOYO-TbvTw_38_4"/>
      <w:bookmarkStart w:id="725" w:name="Tc_XoZ55NyyZ0GcFIA-CnmGqA_38_2"/>
      <w:bookmarkStart w:id="726" w:name="Tc_EXsR2_lAMU67_0Ull2DSkA_38_0"/>
      <w:bookmarkStart w:id="727" w:name="Tc_qyF-6MKq6kqX1EB62A8nHA_37_10"/>
      <w:bookmarkStart w:id="728" w:name="Tc_rFWN8GVBtkiAA1lSVojCGQ_37_6"/>
      <w:bookmarkStart w:id="729" w:name="Tc_QnvJ8ItR406AHPUTG_4Zfw_37_4"/>
      <w:bookmarkStart w:id="730" w:name="Tc__-UXLWaZhk-liOz6IMAxeA_37_2"/>
      <w:bookmarkStart w:id="731" w:name="Tc_ka6JfOlY10uEs2Hr9Y_AIg_37_0"/>
      <w:bookmarkStart w:id="732" w:name="Tc_gDnoVjmpIkGjeFKhb07U_w_36_10"/>
      <w:bookmarkStart w:id="733" w:name="Tc_cyeqtS1GXEiTcta89fONuw_36_8"/>
      <w:bookmarkStart w:id="734" w:name="Tc_hkLENlrNcUSDi59m-MFDVw_36_4"/>
      <w:bookmarkStart w:id="735" w:name="Tc_yfst29WOC0mpV5WqZdjrtQ_36_2"/>
      <w:bookmarkStart w:id="736" w:name="Tc_OPfZ_19jnUuXWjV9V31G3g_36_0"/>
      <w:bookmarkStart w:id="737" w:name="Tc_G82voideeUKf8KPQBpkKIg_35_14"/>
      <w:bookmarkStart w:id="738" w:name="Tc_2MIaooLBHES0mlRLPLBEtA_35_10"/>
      <w:bookmarkStart w:id="739" w:name="Tc_6rPGBfZsAEuZcJuGgVAAdA_35_8"/>
      <w:bookmarkStart w:id="740" w:name="Tc_C4XlJ_FCy0O5nZ-KaybznA_35_6"/>
      <w:bookmarkStart w:id="741" w:name="Tc_mP7GLYvRcEm37_Uy9a8ziA_35_2"/>
      <w:bookmarkStart w:id="742" w:name="Tc_e5nfFgHlDkiWeCbO_UqP2g_35_0"/>
      <w:bookmarkStart w:id="743" w:name="Tc_8vk1ixRP70OLpe2oqoA1Jw_34_14"/>
      <w:bookmarkStart w:id="744" w:name="Tc_yX8_K86XI0KhKK9cpDoOyQ_34_10"/>
      <w:bookmarkStart w:id="745" w:name="Tc_-MA5WKj-S0WgvEvlrMup_g_34_8"/>
      <w:bookmarkStart w:id="746" w:name="Tc_CCORsSpmR0m4YiO8DrVDmg_34_6"/>
      <w:bookmarkStart w:id="747" w:name="Tc_rknqn8Z3t0e1jRPv8U8QrQ_34_4"/>
      <w:bookmarkStart w:id="748" w:name="Tc_WUsydBNVW0e4molNqufQGA_34_0"/>
      <w:bookmarkStart w:id="749" w:name="Tc_b07OIioKSEaGx42GRqo3sg_33_15"/>
      <w:bookmarkStart w:id="750" w:name="Tc_VaxZ4fxnikaL7yiyNskjlQ_33_13"/>
      <w:bookmarkStart w:id="751" w:name="Tc_tQvnNS4Y20-vC1RqR82mWQ_33_11"/>
      <w:bookmarkStart w:id="752" w:name="Tc_ftSNbWu180GQ4RYsAHIxhQ_33_9"/>
      <w:bookmarkStart w:id="753" w:name="Tc_i-A26ALvMEiYEfglulQsWg_33_7"/>
      <w:bookmarkStart w:id="754" w:name="Tc_PaJRIUTe_0aD2vgiiNu6AQ_33_5"/>
      <w:bookmarkStart w:id="755" w:name="Tc_8CuBZj3i-0yjVtQFqRELfA_33_3"/>
      <w:bookmarkStart w:id="756" w:name="Tc_tKOJm7EW1USaV4fuJU3Egg_33_1"/>
      <w:bookmarkStart w:id="757" w:name="Tc_YD79kRPRrEe2B7E478PUpQ_33_0"/>
      <w:bookmarkStart w:id="758" w:name="Tc_43JnkzVYQEac8JHRCIlAug_31_15"/>
      <w:bookmarkStart w:id="759" w:name="Tc_RkOFTQpKbkeESbItnimvtw_31_13"/>
      <w:bookmarkStart w:id="760" w:name="Tc_kvbxb7caFkGBMVmVQuHvTg_31_11"/>
      <w:bookmarkStart w:id="761" w:name="Tc_9cL66T3myU-O51J4bN4l1A_31_9"/>
      <w:bookmarkStart w:id="762" w:name="Tc_cEvjiKBrmE6S_xGJDCHyXQ_31_7"/>
      <w:bookmarkStart w:id="763" w:name="Tc_o-PsqCug1Eif_Tz6_Cg1RA_31_5"/>
      <w:bookmarkStart w:id="764" w:name="Tc_lO8djQm0sU6rjozAuoDrrg_31_3"/>
      <w:bookmarkStart w:id="765" w:name="Tc_Ddd5no4_wUa_C8B1CLTybA_31_1"/>
      <w:bookmarkStart w:id="766" w:name="Tc_j33La4opnkOkf126CsHPVw_31_0"/>
      <w:bookmarkStart w:id="767" w:name="Tc_Ohtlka1gL0qvhTdbWt-NJQ_30_6"/>
      <w:bookmarkStart w:id="768" w:name="Tc_sZRHjtRnUUyurkdWWZpNoA_30_4"/>
      <w:bookmarkStart w:id="769" w:name="Tc_WAyfqxFUEku33e0V-fD1aA_30_2"/>
      <w:bookmarkStart w:id="770" w:name="Tc_qiN56MH2OE2VZ8QsJw3Ckg_30_0"/>
      <w:bookmarkStart w:id="771" w:name="Tc_khWK2822-UOZ9edAg2FGNg_29_14"/>
      <w:bookmarkStart w:id="772" w:name="Tc_S2BlUne_3UWzEOIA2lYkJA_29_8"/>
      <w:bookmarkStart w:id="773" w:name="Tc_r5wKohx30UygbNh3uQRsGg_29_6"/>
      <w:bookmarkStart w:id="774" w:name="Tc_VU515-XdqEG19WDON__c7A_29_4"/>
      <w:bookmarkStart w:id="775" w:name="Tc_W4i5TZ6B306bu11hxZwxCQ_29_2"/>
      <w:bookmarkStart w:id="776" w:name="Tc_yP3iliG5jU2-WOr93YIGgA_29_0"/>
      <w:bookmarkStart w:id="777" w:name="Tc_cZ5MwiySIE-_4iFP6aPB5Q_28_10"/>
      <w:bookmarkStart w:id="778" w:name="Tc_UZotEnRkKEqqJoPZ8W7Xbw_28_6"/>
      <w:bookmarkStart w:id="779" w:name="Tc_120roqM4D0mHFyD5jl_atA_28_4"/>
      <w:bookmarkStart w:id="780" w:name="Tc_ehRC9iw_3EejcBQkinTXCg_28_2"/>
      <w:bookmarkStart w:id="781" w:name="Tc_pO-TsYZ3B0Wx6JMAQxr79w_28_0"/>
      <w:bookmarkStart w:id="782" w:name="Tc_MmLj5cxy4Uu7azrCuR2fuA_27_0"/>
      <w:bookmarkStart w:id="783" w:name="Tc_atRGasIcLUChdEyY5oSCeQ_26_10"/>
      <w:bookmarkStart w:id="784" w:name="Tc_bPg0h9gXlUKhMdhr988TIA_26_6"/>
      <w:bookmarkStart w:id="785" w:name="Tc_jSZ3vJb-vkG0DS6gytrb2Q_26_4"/>
      <w:bookmarkStart w:id="786" w:name="Tc_USu2GcxeSU6KLBxeXKlLfQ_26_2"/>
      <w:bookmarkStart w:id="787" w:name="Tc_we8NUcpFnUCSmEL7yBVe0A_26_0"/>
      <w:bookmarkStart w:id="788" w:name="Tc_gcN_wt0pTUGceKbNRh8p9Q_25_14"/>
      <w:bookmarkStart w:id="789" w:name="Tc_qsKh2SCKN0yYwxcAcTdzGA_25_10"/>
      <w:bookmarkStart w:id="790" w:name="Tc_V8UeAuVxKEiQoDS0i3l1hA_25_6"/>
      <w:bookmarkStart w:id="791" w:name="Tc_Omnm-mwT702r_VJxFSWLJQ_25_4"/>
      <w:bookmarkStart w:id="792" w:name="Tc_oGXnknxw10G_OWezdcfzvw_25_2"/>
      <w:bookmarkStart w:id="793" w:name="Tc_BiHmxsH4ek6IDJcdZqv9nw_25_0"/>
      <w:bookmarkStart w:id="794" w:name="Tc_1_FFKx868ECQqBkZf2wOPA_24_10"/>
      <w:bookmarkStart w:id="795" w:name="Tc_vt5HEhx0jEWGnFDWZZ5mJQ_24_8"/>
      <w:bookmarkStart w:id="796" w:name="Tc_4CNj8fJB7kCDx0KhMqIMqg_24_4"/>
      <w:bookmarkStart w:id="797" w:name="Tc_AcYmT34EFkmoaR6nZvqYgQ_24_2"/>
      <w:bookmarkStart w:id="798" w:name="Tc_WKbFHEf8IEWkCPsh0cgtdA_24_0"/>
      <w:bookmarkStart w:id="799" w:name="Tc_JkdKkmPojUeqkmkdVpLuIQ_23_10"/>
      <w:bookmarkStart w:id="800" w:name="Tc_JpoLAuGrXU2kzbkegBCwuQ_23_6"/>
      <w:bookmarkStart w:id="801" w:name="Tc_GNO_MknG7kyA_P30oq8u1A_23_4"/>
      <w:bookmarkStart w:id="802" w:name="Tc_EYA7zcRWNk2SH9jAKv9Hkg_23_2"/>
      <w:bookmarkStart w:id="803" w:name="Tc_hs_ybCuIREuPIPMqy78G2w_23_0"/>
      <w:bookmarkStart w:id="804" w:name="Tc_4VY8XgYX6UeC2bRFNcERWg_22_10"/>
      <w:bookmarkStart w:id="805" w:name="Tc_8VZKDd2RbkSAJm5bQxHnsQ_22_8"/>
      <w:bookmarkStart w:id="806" w:name="Tc_7Dau7Kef0kaISoFBnlWjMQ_22_4"/>
      <w:bookmarkStart w:id="807" w:name="Tc_DvkmIUkr3E-TTD2IYhNBZA_22_2"/>
      <w:bookmarkStart w:id="808" w:name="Tc_r6Y1fSxls0eNKkIq6N7UmQ_22_0"/>
      <w:bookmarkStart w:id="809" w:name="Tc__PPEsvAfEUCFcuoZf4CGbw_21_14"/>
      <w:bookmarkStart w:id="810" w:name="Tc_1kShN6vuF0-VtUQpN-O8dg_21_10"/>
      <w:bookmarkStart w:id="811" w:name="Tc_4zU6yQSuLUqgZaVW-x0j7g_21_8"/>
      <w:bookmarkStart w:id="812" w:name="Tc_dvk2pqaoaU2gxp_l3R1P9Q_21_6"/>
      <w:bookmarkStart w:id="813" w:name="Tc_DHJ6x8u0W02DGWh97gINQw_21_2"/>
      <w:bookmarkStart w:id="814" w:name="Tc_luEokz1xLEq6aiZVRhpi4w_21_0"/>
      <w:bookmarkStart w:id="815" w:name="Tc_UgZzTFTBxkGxGGMK0tfpMg_20_15"/>
      <w:bookmarkStart w:id="816" w:name="Tc_QcRnhenNyk-t35ieSnIOog_20_13"/>
      <w:bookmarkStart w:id="817" w:name="Tc_7PV1fBI3EUCtqcSFJDLhQg_20_11"/>
      <w:bookmarkStart w:id="818" w:name="Tc_L6sYb2axak6CzHKEAvTvNw_20_9"/>
      <w:bookmarkStart w:id="819" w:name="Tc_VpvWWILE8UmVe9tj-LZQjQ_20_7"/>
      <w:bookmarkStart w:id="820" w:name="Tc_Z8dHczyp6kC87YZfqmIAvw_20_5"/>
      <w:bookmarkStart w:id="821" w:name="Tc_PTvEgz3EmEmrFaznjbp19g_20_3"/>
      <w:bookmarkStart w:id="822" w:name="Tc_ut6ma_8Da0GpCF14xeZzdQ_20_1"/>
      <w:bookmarkStart w:id="823" w:name="Tc_OSfF2VgPMEOYzrqvAccKMw_20_0"/>
      <w:bookmarkStart w:id="824" w:name="Tc_CSHXCuV5wkKV5cjQw1snTA_18_15"/>
      <w:bookmarkStart w:id="825" w:name="Tc_KIjVFhLogUmhKWjW1acOJw_18_13"/>
      <w:bookmarkStart w:id="826" w:name="Tc_YELEJYXE-EuFKvHU4bi03A_18_11"/>
      <w:bookmarkStart w:id="827" w:name="Tc_D37PWdiTd0C0OSBsYzPXNg_18_9"/>
      <w:bookmarkStart w:id="828" w:name="Tc_hpMzCSUA4kimucJBqJayVg_18_7"/>
      <w:bookmarkStart w:id="829" w:name="Tc_Xt4S3F_qwUyA9-8UNVXPow_18_5"/>
      <w:bookmarkStart w:id="830" w:name="Tc_u48F_QltsUa09xwHhY200g_18_3"/>
      <w:bookmarkStart w:id="831" w:name="Tc_EEwl3l7rpUGFZ5aHyW0gXQ_18_1"/>
      <w:bookmarkStart w:id="832" w:name="Tc_3bjdLrZ9X06phjGpO5bW2A_18_0"/>
      <w:bookmarkStart w:id="833" w:name="Tc_9oBdgKJv30SWzTKmKiwyAg_17_6"/>
      <w:bookmarkStart w:id="834" w:name="Tc_xlbNp1IXV0SrA2w6c7dDVQ_17_4"/>
      <w:bookmarkStart w:id="835" w:name="Tc_S3R7p-lmqk60CPIqnk4RLg_17_2"/>
      <w:bookmarkStart w:id="836" w:name="Tc_nyPif54VpU2jl-WFAxQrFQ_17_0"/>
      <w:bookmarkStart w:id="837" w:name="Tc_d4SGLsQsd0-EIe2So-HYIg_16_14"/>
      <w:bookmarkStart w:id="838" w:name="Tc_6YXX6DHHk0SiZToqC8sROg_16_8"/>
      <w:bookmarkStart w:id="839" w:name="Tc_SSz25vm1W0yG1N_ESbPcwg_16_6"/>
      <w:bookmarkStart w:id="840" w:name="Tc_-32--NBYUkWcUcuZkAFxAg_16_4"/>
      <w:bookmarkStart w:id="841" w:name="Tc_5ToPEEE91UGWBCYxFl5wUA_16_2"/>
      <w:bookmarkStart w:id="842" w:name="Tc_gZNhHVNhxEqguTd7uGE61A_16_0"/>
      <w:bookmarkStart w:id="843" w:name="Tc_1Bh-dAJDhk2A5H1YD92rKg_15_10"/>
      <w:bookmarkStart w:id="844" w:name="Tc_4ZPYmH9nRkac5--VWi_okQ_15_6"/>
      <w:bookmarkStart w:id="845" w:name="Tc_0RQg8DL6u0yhHLW-31G8ZQ_15_4"/>
      <w:bookmarkStart w:id="846" w:name="Tc_yi5fi2S8_0aOYLWqZe6U7g_15_2"/>
      <w:bookmarkStart w:id="847" w:name="Tc_xVh_J1mlBUqLN_HrBgxjEg_15_0"/>
      <w:bookmarkStart w:id="848" w:name="Tc_o_NWrLfzfkycJSLaaZDDFQ_14_0"/>
      <w:bookmarkStart w:id="849" w:name="Tc_iarZY_ctUEOit7znY4XXZw_13_10"/>
      <w:bookmarkStart w:id="850" w:name="Tc_OUuH2fmb3kmKiwlQKOQGGA_13_6"/>
      <w:bookmarkStart w:id="851" w:name="Tc_uu0BKEqZ3kazN4kMbB9wDw_13_4"/>
      <w:bookmarkStart w:id="852" w:name="Tc_1deBWsAtpkiabgl3w2xWJw_13_2"/>
      <w:bookmarkStart w:id="853" w:name="Tc_YWRu_BBLVkSgqJ1L6ZHGvg_13_0"/>
      <w:bookmarkStart w:id="854" w:name="Tc_8nKFkmoFeEOtFQbSu2bnOA_12_14"/>
      <w:bookmarkStart w:id="855" w:name="Tc_9WlVH-XmU061Zw2g9HW7Nw_12_10"/>
      <w:bookmarkStart w:id="856" w:name="Tc_PQBZwPOA50Wh5ImVhFyX4w_12_6"/>
      <w:bookmarkStart w:id="857" w:name="Tc_6652KDJhyEymWrzmsVLVaA_12_4"/>
      <w:bookmarkStart w:id="858" w:name="Tc_Qycy0f4IREuoNfvfSRb4uw_12_2"/>
      <w:bookmarkStart w:id="859" w:name="Tc_84_ShK1H8UmQxyvSepE_0w_12_0"/>
      <w:bookmarkStart w:id="860" w:name="Tc_VgL_jhJTZkmCH3brOvcqLw_11_10"/>
      <w:bookmarkStart w:id="861" w:name="Tc_xa89Dx0V6UuVMmVFLrikdg_11_8"/>
      <w:bookmarkStart w:id="862" w:name="Tc_VqJxsuHG1kGlWCGxu6E2hw_11_4"/>
      <w:bookmarkStart w:id="863" w:name="Tc__KdiuoM-YEOBYYRHb7Qiwg_11_2"/>
      <w:bookmarkStart w:id="864" w:name="Tc_etjk3bbkG0Gu8gxzmsWKWg_11_0"/>
      <w:bookmarkStart w:id="865" w:name="Tc_kH6pUkvK-keNMnf-fvPaCw_10_16"/>
      <w:bookmarkStart w:id="866" w:name="Tc_lTBCKQ0yaka1CxbyCrSo-Q_10_14"/>
      <w:bookmarkStart w:id="867" w:name="Tc_I46v-Kxdpk-WCJt-OvuD4A_10_12"/>
      <w:bookmarkStart w:id="868" w:name="Tc_BvXxLbsqR0CZDbp2LDxpkg_10_10"/>
      <w:bookmarkStart w:id="869" w:name="Tc_vFkT20wFlkSc-Hk43rq-ZA_10_8"/>
      <w:bookmarkStart w:id="870" w:name="Tc_9OsjfycEy0KOW8I5P0ixvg_10_6"/>
      <w:bookmarkStart w:id="871" w:name="Tc_sDgfTgeHU0a0RBzv1w-c5g_10_4"/>
      <w:bookmarkStart w:id="872" w:name="Tc_QDfiqVl9i0qP_px-BOsEJw_10_2"/>
      <w:bookmarkStart w:id="873" w:name="Tc_NgQrfvpMW0K3jQCx-MAuIA_10_0"/>
      <w:bookmarkStart w:id="874" w:name="Tc_xSVU6P4Rg0KuVMBwwIZpBA_9_10"/>
      <w:bookmarkStart w:id="875" w:name="Tc__iTfghFte0it7hPMbpWpsA_9_6"/>
      <w:bookmarkStart w:id="876" w:name="Tc_2qzjZLDSjku_tGeTDpbcNw_9_4"/>
      <w:bookmarkStart w:id="877" w:name="Tc_euFob6SX8U-6vzEoVUwUvQ_9_2"/>
      <w:bookmarkStart w:id="878" w:name="Tc_vh7cqd6D_UWkzjjbSc2AYw_9_0"/>
      <w:bookmarkStart w:id="879" w:name="Tc_FGSfKuCVSkO4bQCX3TK0TQ_8_10"/>
      <w:bookmarkStart w:id="880" w:name="Tc_WfjB__L0_UmY0XU-5p-dPQ_8_8"/>
      <w:bookmarkStart w:id="881" w:name="Tc__ro5w0eOi0WcBpNSUBIxCQ_8_4"/>
      <w:bookmarkStart w:id="882" w:name="Tc_8nsULixu_E-GQrSHDWbadg_8_2"/>
      <w:bookmarkStart w:id="883" w:name="Tc_QN3Onc-wikCHhoIlIZKHiw_8_0"/>
      <w:bookmarkStart w:id="884" w:name="Tc_gTO7K1dTF06K1MyqO2pYSg_7_14"/>
      <w:bookmarkStart w:id="885" w:name="Tc_Tj5X20-rJ0yIjluLpcn2rg_7_10"/>
      <w:bookmarkStart w:id="886" w:name="Tc_gEwwZHcgsEq-06v76b291g_7_8"/>
      <w:bookmarkStart w:id="887" w:name="Tc_yOT5r1BpvEmusmIH-1Yh2Q_7_6"/>
      <w:bookmarkStart w:id="888" w:name="Tc_pJGkcizXEEqz4Zv3_ZS3gA_7_2"/>
      <w:bookmarkStart w:id="889" w:name="Tc_lnTfx8BmQECRV7K6WJnOWA_7_0"/>
      <w:bookmarkStart w:id="890" w:name="Tc_OP8Ii1TBgUalSPw-Dv-eOg_6_14"/>
      <w:bookmarkStart w:id="891" w:name="Tc_3uPZLyYsnU6guU_5PG4SvA_6_10"/>
      <w:bookmarkStart w:id="892" w:name="Tc__JFtd1p6xEqDg-HwvpZaJw_6_8"/>
      <w:bookmarkStart w:id="893" w:name="Tc_afMtUMRCy0ySakH7mJ6-Tw_6_6"/>
      <w:bookmarkStart w:id="894" w:name="Tc_tSkVWTLQqEiJN00Cl8PfTA_6_4"/>
      <w:bookmarkStart w:id="895" w:name="Tc_gEtSMnymeUuP_66W3lcjRQ_6_0"/>
      <w:bookmarkStart w:id="896" w:name="Tc_JvUsyTv_eEW74I5aUQwwMw_5_15"/>
      <w:bookmarkStart w:id="897" w:name="Tc_qg7jq-Srn0uPQectogklEw_5_13"/>
      <w:bookmarkStart w:id="898" w:name="Tc_inZj05BQ6EiUYVKLN2UUwQ_5_11"/>
      <w:bookmarkStart w:id="899" w:name="Tc__ZG6n5n55EWSE9M1Bsgiig_5_9"/>
      <w:bookmarkStart w:id="900" w:name="Tc_fVwgy2Ivq0KRyQGSUBqV5A_5_7"/>
      <w:bookmarkStart w:id="901" w:name="Tc_jjsx8NpslE25wblG7S5pkg_5_5"/>
      <w:bookmarkStart w:id="902" w:name="Tc_IdIb8EgtukiLznyvrnTtNw_5_3"/>
      <w:bookmarkStart w:id="903" w:name="Tc_J45WptKD_0uK2braJFbueA_5_1"/>
      <w:bookmarkStart w:id="904" w:name="Tc_ncYq8g-iwU2NwdVcb7ea3A_5_0"/>
      <w:bookmarkStart w:id="905" w:name="Tc_V7-hXt0R10yh77JRCuHlhQ_4_16"/>
      <w:bookmarkStart w:id="906" w:name="Tc_8wFc1WFE4ECv1TomuWqShg_4_14"/>
      <w:bookmarkStart w:id="907" w:name="Tc_VD33L-TMXkaJHgMkdBkeEA_4_12"/>
      <w:bookmarkStart w:id="908" w:name="Tc_j_JpiQc9eEyDqRLxTCCnSQ_4_10"/>
      <w:bookmarkStart w:id="909" w:name="Tc_ONuqDZoQzUC5en8gXnlnAg_4_8"/>
      <w:bookmarkStart w:id="910" w:name="Tc_U-KtpJwI706YPKYwOQ3nJg_4_6"/>
      <w:bookmarkStart w:id="911" w:name="Tc_FN2LdZA9f0itAa9UX0maUA_4_4"/>
      <w:bookmarkStart w:id="912" w:name="Tc_buDeJRIox06qzIFZk1LtlQ_4_2"/>
      <w:bookmarkStart w:id="913" w:name="Tc_q5K4bLpTl0iu5Aa1_JXbJA_3_16"/>
      <w:bookmarkStart w:id="914" w:name="Tc_MNDhKMHIJUKYDucVTT28Ng_3_14"/>
      <w:bookmarkStart w:id="915" w:name="Tc_BKJ2b4lCRk6_LN-bV2PccQ_3_12"/>
      <w:bookmarkStart w:id="916" w:name="Tc_6UKoga2Ql0OaAVsTIITIFw_3_10"/>
      <w:bookmarkStart w:id="917" w:name="Tc_1zSy-ix-h0ixNG7uUz7nHg_3_8"/>
      <w:bookmarkStart w:id="918" w:name="Tc_ekF1WG7dOkaWogjNU5-zTA_3_6"/>
      <w:bookmarkStart w:id="919" w:name="Tc_wRCkqO7TEUq0ZmlBs3hZxQ_3_4"/>
      <w:bookmarkStart w:id="920" w:name="Tc_TYqT5Crsvkeov1OFw8gibA_3_2"/>
      <w:bookmarkStart w:id="921" w:name="Tc_GE7XPW4yvUSoMwfhOInu3w_2_14"/>
      <w:bookmarkStart w:id="922" w:name="Tc_14jTEh0SxUCotDHbnXc0Zw_2_12"/>
      <w:bookmarkStart w:id="923" w:name="Tc_DeaahvZRBEytQ582a4giNA_2_10"/>
      <w:bookmarkStart w:id="924" w:name="Tc_sE4-TCRmIE6vmcWKd7aDTw_2_6"/>
      <w:bookmarkStart w:id="925" w:name="Tc_dzMLxgHYq0iCa37j7g3VxA_2_4"/>
      <w:bookmarkStart w:id="926" w:name="Tc_D3WyJZTqIUGV4AiqAWYXsg_1_1"/>
      <w:bookmarkStart w:id="927" w:name="_69496c6b_3403_475e_9a8e_b9dd7a5dd2ed"/>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tbl>
      <w:tblPr>
        <w:tblW w:w="10205" w:type="dxa"/>
        <w:jc w:val="left"/>
        <w:tblInd w:w="0" w:type="dxa"/>
        <w:tblLayout w:type="fixed"/>
        <w:tblCellMar>
          <w:top w:w="0" w:type="dxa"/>
          <w:left w:w="0" w:type="dxa"/>
          <w:bottom w:w="0" w:type="dxa"/>
          <w:right w:w="0" w:type="dxa"/>
        </w:tblCellMar>
      </w:tblPr>
      <w:tblGrid>
        <w:gridCol w:w="3432"/>
        <w:gridCol w:w="181"/>
        <w:gridCol w:w="541"/>
        <w:gridCol w:w="181"/>
        <w:gridCol w:w="679"/>
        <w:gridCol w:w="181"/>
        <w:gridCol w:w="601"/>
        <w:gridCol w:w="181"/>
        <w:gridCol w:w="612"/>
        <w:gridCol w:w="181"/>
        <w:gridCol w:w="826"/>
        <w:gridCol w:w="181"/>
        <w:gridCol w:w="728"/>
        <w:gridCol w:w="181"/>
        <w:gridCol w:w="646"/>
        <w:gridCol w:w="181"/>
        <w:gridCol w:w="692"/>
      </w:tblGrid>
      <w:tr>
        <w:trPr/>
        <w:tc>
          <w:tcPr>
            <w:tcW w:w="3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79320" cy="175260"/>
                      <wp:effectExtent l="0" t="0" r="0" b="0"/>
                      <wp:wrapNone/>
                      <wp:docPr id="143" name="Frame141"/>
                      <a:graphic xmlns:a="http://schemas.openxmlformats.org/drawingml/2006/main">
                        <a:graphicData uri="http://schemas.microsoft.com/office/word/2010/wordprocessingShape">
                          <wps:wsp>
                            <wps:cNvSpPr txBox="1"/>
                            <wps:spPr>
                              <a:xfrm>
                                <a:off x="0" y="0"/>
                                <a:ext cx="217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14935" cy="175260"/>
                      <wp:effectExtent l="0" t="0" r="0" b="0"/>
                      <wp:wrapNone/>
                      <wp:docPr id="144" name="Frame14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43535" cy="175260"/>
                      <wp:effectExtent l="0" t="0" r="0" b="0"/>
                      <wp:wrapNone/>
                      <wp:docPr id="145" name="Frame14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4935" cy="175260"/>
                      <wp:effectExtent l="0" t="0" r="0" b="0"/>
                      <wp:wrapNone/>
                      <wp:docPr id="146" name="Frame1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1165" cy="175260"/>
                      <wp:effectExtent l="0" t="0" r="0" b="0"/>
                      <wp:wrapNone/>
                      <wp:docPr id="147" name="Frame145"/>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4935" cy="175260"/>
                      <wp:effectExtent l="0" t="0" r="0" b="0"/>
                      <wp:wrapNone/>
                      <wp:docPr id="148" name="Frame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81635" cy="175260"/>
                      <wp:effectExtent l="0" t="0" r="0" b="0"/>
                      <wp:wrapNone/>
                      <wp:docPr id="149" name="Frame14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4935" cy="175260"/>
                      <wp:effectExtent l="0" t="0" r="0" b="0"/>
                      <wp:wrapNone/>
                      <wp:docPr id="150" name="Frame1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88620" cy="175260"/>
                      <wp:effectExtent l="0" t="0" r="0" b="0"/>
                      <wp:wrapNone/>
                      <wp:docPr id="151" name="Frame14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4935" cy="175260"/>
                      <wp:effectExtent l="0" t="0" r="0" b="0"/>
                      <wp:wrapNone/>
                      <wp:docPr id="152" name="Frame1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24510" cy="175260"/>
                      <wp:effectExtent l="0" t="0" r="0" b="0"/>
                      <wp:wrapNone/>
                      <wp:docPr id="153" name="Frame1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4935" cy="175260"/>
                      <wp:effectExtent l="0" t="0" r="0" b="0"/>
                      <wp:wrapNone/>
                      <wp:docPr id="154" name="Frame1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62280" cy="175260"/>
                      <wp:effectExtent l="0" t="0" r="0" b="0"/>
                      <wp:wrapNone/>
                      <wp:docPr id="155" name="Frame153"/>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4935" cy="175260"/>
                      <wp:effectExtent l="0" t="0" r="0" b="0"/>
                      <wp:wrapNone/>
                      <wp:docPr id="156" name="Frame1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10210" cy="175260"/>
                      <wp:effectExtent l="0" t="0" r="0" b="0"/>
                      <wp:wrapNone/>
                      <wp:docPr id="157" name="Frame15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14935" cy="175260"/>
                      <wp:effectExtent l="0" t="0" r="0" b="0"/>
                      <wp:wrapNone/>
                      <wp:docPr id="158" name="Frame1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9420" cy="175260"/>
                      <wp:effectExtent l="0" t="0" r="0" b="0"/>
                      <wp:wrapNone/>
                      <wp:docPr id="159" name="Frame15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2" w:type="dxa"/>
            <w:tcBorders/>
            <w:vAlign w:val="center"/>
          </w:tcPr>
          <w:p>
            <w:pPr>
              <w:pStyle w:val="TableContents"/>
              <w:bidi w:val="0"/>
              <w:spacing w:before="0" w:after="0"/>
              <w:ind w:left="0" w:right="0" w:hanging="0"/>
              <w:jc w:val="left"/>
              <w:rPr/>
            </w:pPr>
            <w:r>
              <w:rPr/>
              <w:t>​</w:t>
            </w:r>
          </w:p>
        </w:tc>
        <w:tc>
          <w:tcPr>
            <w:tcW w:w="6773" w:type="dxa"/>
            <w:gridSpan w:val="16"/>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 Equity</w:t>
            </w:r>
          </w:p>
        </w:tc>
      </w:tr>
      <w:tr>
        <w:trPr/>
        <w:tc>
          <w:tcPr>
            <w:tcW w:w="3432"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Treasury</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Additional</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Other</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ATNI</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Non-</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3432"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Common</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Paid In</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Retained</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Comprehensive</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Stockholders’</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Controlling</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Total</w:t>
            </w:r>
          </w:p>
        </w:tc>
      </w:tr>
      <w:tr>
        <w:trPr/>
        <w:tc>
          <w:tcPr>
            <w:tcW w:w="3432"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 cost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Capital</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Earnings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Income/(Loss)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Interests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2023</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(90,447)</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205,797</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417,282</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8,268</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541,073</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96,730</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637,803</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176,634</w:t>
            </w:r>
            <w:r>
              <w:rPr>
                <w:rFonts w:ascii="Times New Roman;Times;serif" w:hAnsi="Times New Roman;Times;serif"/>
                <w:sz w:val="14"/>
              </w:rPr>
              <w:t xml:space="preserve"> </w:t>
            </w:r>
            <w:r>
              <w:rPr>
                <w:rFonts w:ascii="Times New Roman;Times;serif" w:hAnsi="Times New Roman;Times;serif"/>
                <w:sz w:val="15"/>
              </w:rPr>
              <w:t>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18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483,899</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(11,966)</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(11,966)</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(11,966)</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7,262</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7,262</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975</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8,237</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($0.96</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(14,602)</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(14,602)</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(3,645)</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(18,247)</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Investments made by minority shareholders in consolidated affiliates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(653)</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(5,610)</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(5,610)</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(5,610)</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(2,450)</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(2,450)</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17,674</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15,224</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Net loss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(26,429)</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(26,429)</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(5,423)</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(31,852)</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Other comprehensive income </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2,509</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2,509</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2,509</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(26,429)</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2,509</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(23,920)</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(5,423)</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(29,343)</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2024</w:t>
            </w:r>
          </w:p>
        </w:tc>
        <w:tc>
          <w:tcPr>
            <w:tcW w:w="181"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179</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(102,413)</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212,759</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368,191</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10,777</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489,493</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105,958</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595,451</w:t>
            </w:r>
          </w:p>
        </w:tc>
      </w:tr>
      <w:tr>
        <w:trPr/>
        <w:tc>
          <w:tcPr>
            <w:tcW w:w="3432" w:type="dxa"/>
            <w:tcBorders/>
            <w:shd w:fill="CCEEFF" w:val="clear"/>
            <w:vAlign w:val="center"/>
          </w:tcPr>
          <w:p>
            <w:pPr>
              <w:pStyle w:val="TableContents"/>
              <w:bidi w:val="0"/>
              <w:spacing w:before="0" w:after="0"/>
              <w:ind w:left="0" w:right="0" w:hanging="0"/>
              <w:jc w:val="left"/>
              <w:rPr/>
            </w:pPr>
            <w:r>
              <w:rPr/>
              <w:t>​</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pPr>
            <w:r>
              <w:rPr/>
              <w:t>​</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2022</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(73,825)</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198,449</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449,806</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6,210</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580,813</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96,016</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676,829</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460,279</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(16,622)</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(16,622)</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(16,622)</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7,857</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7,857</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678</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8,535</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($0.87</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(13,566)</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(13,566)</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(4,039)</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(17,605)</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(509)</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(509)</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(2,681)</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(3,190)</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(4,942)</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(4,942)</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(4,942)</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522</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522</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10,972</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11,494</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pPr>
            <w:r>
              <w:rPr/>
              <w:t>​</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(14,538)</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(14,538)</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(4,216)</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(18,754)</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2,058</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2,058</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2,058</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(14,538)</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2,058</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(12,480)</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(4,216)</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(16,696)</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2023</w:t>
            </w:r>
          </w:p>
        </w:tc>
        <w:tc>
          <w:tcPr>
            <w:tcW w:w="18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(90,447)</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205,797</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417,282</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8,268</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541,073</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96,730</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637,803</w:t>
            </w:r>
          </w:p>
        </w:tc>
      </w:tr>
      <w:tr>
        <w:trPr/>
        <w:tc>
          <w:tcPr>
            <w:tcW w:w="3432" w:type="dxa"/>
            <w:tcBorders/>
            <w:vAlign w:val="center"/>
          </w:tcPr>
          <w:p>
            <w:pPr>
              <w:pStyle w:val="TableContents"/>
              <w:bidi w:val="0"/>
              <w:spacing w:before="0" w:after="0"/>
              <w:ind w:left="0" w:right="0" w:hanging="0"/>
              <w:jc w:val="left"/>
              <w:rPr/>
            </w:pPr>
            <w:r>
              <w:rPr/>
              <w:t>​</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2021</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(71,714)</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192,132</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475,887</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4,773</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601,250</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101,003</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702,253</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107,515</w:t>
            </w:r>
            <w:r>
              <w:rPr>
                <w:rFonts w:ascii="Times New Roman;Times;serif" w:hAnsi="Times New Roman;Times;serif"/>
                <w:sz w:val="14"/>
              </w:rPr>
              <w:t xml:space="preserve"> </w:t>
            </w:r>
            <w:r>
              <w:rPr>
                <w:rFonts w:ascii="Times New Roman;Times;serif" w:hAnsi="Times New Roman;Times;serif"/>
                <w:sz w:val="15"/>
              </w:rPr>
              <w:t>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8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57,115</w:t>
            </w:r>
            <w:r>
              <w:rPr>
                <w:rFonts w:ascii="Times New Roman;Times;serif" w:hAnsi="Times New Roman;Times;serif"/>
                <w:sz w:val="14"/>
              </w:rPr>
              <w:t xml:space="preserve"> </w:t>
            </w:r>
            <w:r>
              <w:rPr>
                <w:rFonts w:ascii="Times New Roman;Times;serif" w:hAnsi="Times New Roman;Times;serif"/>
                <w:sz w:val="15"/>
              </w:rPr>
              <w:t>shares of common stock</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(2,111)</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(2,111)</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(2,111)</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6,779</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6,779</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572</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7,351</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($0.72</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(11,346)</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(11,346)</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(3,531)</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(14,877)</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Investments made by minority shareholders in consolidated affiliates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(462)</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(462)</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(4,429)</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(4,891)</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(4,856)</w:t>
            </w:r>
          </w:p>
        </w:tc>
        <w:tc>
          <w:tcPr>
            <w:tcW w:w="18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(4,856)</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(4,856)</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(4,234)</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(4,234)</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4,317</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 (loss):</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(5,645)</w:t>
            </w:r>
          </w:p>
        </w:tc>
        <w:tc>
          <w:tcPr>
            <w:tcW w:w="18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(5,645)</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(1,938)</w:t>
            </w:r>
          </w:p>
        </w:tc>
        <w:tc>
          <w:tcPr>
            <w:tcW w:w="181" w:type="dxa"/>
            <w:tcBorders/>
            <w:shd w:fill="CCEEFF" w:val="clear"/>
            <w:vAlign w:val="center"/>
          </w:tcPr>
          <w:p>
            <w:pPr>
              <w:pStyle w:val="TableContents"/>
              <w:bidi w:val="0"/>
              <w:spacing w:before="0" w:after="0"/>
              <w:ind w:left="0" w:right="0" w:hanging="0"/>
              <w:jc w:val="righ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(7,583)</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(5,645)</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(4,208)</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(1,938)</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(6,146)</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2022</w:t>
            </w:r>
          </w:p>
        </w:tc>
        <w:tc>
          <w:tcPr>
            <w:tcW w:w="181"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(73,825)</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198,449</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449,806</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6,210</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580,813</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96,016</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2"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676,829</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center"/>
        <w:rPr>
          <w:rFonts w:ascii="Times New Roman;Times;serif" w:hAnsi="Times New Roman;Times;serif"/>
          <w:b/>
          <w:sz w:val="14"/>
        </w:rPr>
      </w:pPr>
      <w:bookmarkStart w:id="928" w:name="_2920de8c_eaa9_4e14_860e_14ea1fc30823"/>
      <w:bookmarkEnd w:id="928"/>
      <w:r>
        <w:rPr>
          <w:rFonts w:ascii="Times New Roman;Times;serif" w:hAnsi="Times New Roman;Times;serif"/>
          <w:b/>
          <w:sz w:val="14"/>
        </w:rPr>
        <w:t>ATN INTERNATIONAL, INC. AND SUBSIDIARIES</w:t>
      </w:r>
    </w:p>
    <w:p>
      <w:pPr>
        <w:pStyle w:val="TextBody"/>
        <w:bidi w:val="0"/>
        <w:spacing w:before="0" w:after="80"/>
        <w:ind w:left="0" w:right="0" w:hanging="0"/>
        <w:jc w:val="center"/>
        <w:rPr>
          <w:rFonts w:ascii="Times New Roman;Times;serif" w:hAnsi="Times New Roman;Times;serif"/>
          <w:b/>
          <w:sz w:val="14"/>
        </w:rPr>
      </w:pPr>
      <w:bookmarkStart w:id="929" w:name="CONSOLIDATEDSTATEMENTSOFCASHFLOWS_286597"/>
      <w:bookmarkEnd w:id="929"/>
      <w:r>
        <w:rPr>
          <w:rFonts w:ascii="Times New Roman;Times;serif" w:hAnsi="Times New Roman;Times;serif"/>
          <w:b/>
          <w:sz w:val="14"/>
        </w:rPr>
        <w:t>CONSOLIDATED STATEMENTS OF CASH FLOWS</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2024, 2023 and 2022</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Normal"/>
        <w:bidi w:val="0"/>
        <w:spacing w:before="0" w:after="0"/>
        <w:jc w:val="left"/>
        <w:rPr>
          <w:sz w:val="4"/>
          <w:szCs w:val="4"/>
        </w:rPr>
      </w:pPr>
      <w:r>
        <w:rPr>
          <w:sz w:val="4"/>
          <w:szCs w:val="4"/>
        </w:rPr>
      </w:r>
      <w:bookmarkStart w:id="930" w:name="Tc_VOHup1kNyEOZYwMztpbMrA_70_7"/>
      <w:bookmarkStart w:id="931" w:name="Tc_rypsKKftDUan1c5024GZXA_70_4"/>
      <w:bookmarkStart w:id="932" w:name="Tc_FOL4kv7SpE-DTTh1lpm5kg_70_1"/>
      <w:bookmarkStart w:id="933" w:name="Tc_xoyjXOx5qUWjHnugHZ4dLg_70_0"/>
      <w:bookmarkStart w:id="934" w:name="Tc_FHYN_WKXME6r4VJMg00VPA_69_8"/>
      <w:bookmarkStart w:id="935" w:name="Tc_pJu-OZn9c02kBW4eXwGG4Q_69_7"/>
      <w:bookmarkStart w:id="936" w:name="Tc_0_j3vFmJzEmdjn1Qottq5A_69_4"/>
      <w:bookmarkStart w:id="937" w:name="Tc_4Le7RQdVbEmjUofVOL1Cwg_69_1"/>
      <w:bookmarkStart w:id="938" w:name="Tc_holZFPQDoUiF8Dau_9szMw_69_0"/>
      <w:bookmarkStart w:id="939" w:name="Tc_H-gnqlZXgE-xjux_0nib0g_68_0"/>
      <w:bookmarkStart w:id="940" w:name="Tc_mlJxTgTmTkGG6eAFCFAAsg_67_0"/>
      <w:bookmarkStart w:id="941" w:name="Tc_4PMmrUrcMU-B2GDYGgffCw_66_7"/>
      <w:bookmarkStart w:id="942" w:name="Tc_6wlFu9-oCUOmi78kYIhBTg_66_4"/>
      <w:bookmarkStart w:id="943" w:name="Tc_Ynj2DbnbsE-ZrAapM1zW8w_66_1"/>
      <w:bookmarkStart w:id="944" w:name="Tc_5rML8h-EY0WZD314jY4Edw_66_0"/>
      <w:bookmarkStart w:id="945" w:name="Tc_D-4QI_MPMkKzrLJTSrj3LA_65_7"/>
      <w:bookmarkStart w:id="946" w:name="Tc_O8crAsqLDUGxzbDcAMlOvg_65_4"/>
      <w:bookmarkStart w:id="947" w:name="Tc_S3sFv6lHN0WyAs5iq4gQYQ_65_1"/>
      <w:bookmarkStart w:id="948" w:name="Tc_q-ZnVEsA50C5941xBhmfhw_65_0"/>
      <w:bookmarkStart w:id="949" w:name="Tc_n4qQH_4AF0qi5Mo3x7ww3Q_64_7"/>
      <w:bookmarkStart w:id="950" w:name="Tc_PaqLYhohbUeJsuwfuqzXWg_64_4"/>
      <w:bookmarkStart w:id="951" w:name="Tc_LI6yyfcA7kyZub6isW-NXg_64_1"/>
      <w:bookmarkStart w:id="952" w:name="Tc_tOkNuCWsakmUEj9rqmwt7w_64_0"/>
      <w:bookmarkStart w:id="953" w:name="Tc_Uu0VbRh9C0e5jjmC-gdkVQ_63_0"/>
      <w:bookmarkStart w:id="954" w:name="Tc_09RadSqpD06jxZDHK-yJkA_62_7"/>
      <w:bookmarkStart w:id="955" w:name="Tc_JDqOjmzgxUS2sUB27IK21A_62_4"/>
      <w:bookmarkStart w:id="956" w:name="Tc_ry2N1fFzeUy7wQIlcKprnQ_62_1"/>
      <w:bookmarkStart w:id="957" w:name="Tc_uL6aavslmUykyYdfGkx2TQ_62_0"/>
      <w:bookmarkStart w:id="958" w:name="Tc_NtPU55WThUSU1szoM2ipCQ_61_0"/>
      <w:bookmarkStart w:id="959" w:name="Tc_AEvZgsvYv02zy-J19GXs-g_60_0"/>
      <w:bookmarkStart w:id="960" w:name="Tc_QsLvW7o5QECE1te8DXGlhA_59_0"/>
      <w:bookmarkStart w:id="961" w:name="Tc_3lVamHgc_kmkphMUOq1K0A_58_5"/>
      <w:bookmarkStart w:id="962" w:name="Tc_3-wgt3qUh0aEuIZ_YHvgLg_58_2"/>
      <w:bookmarkStart w:id="963" w:name="Tc_LhespHJ6aUGZGzFjg0kvEA_58_0"/>
      <w:bookmarkStart w:id="964" w:name="Tc_EB-CUdgE2UmGf365vioFKg_57_0"/>
      <w:bookmarkStart w:id="965" w:name="Tc_gIV0ui6CIkSz6hdNP_k1IA_56_5"/>
      <w:bookmarkStart w:id="966" w:name="Tc_GKq_ods3e0aMbykPCHIoxg_56_2"/>
      <w:bookmarkStart w:id="967" w:name="Tc_4dmWaW8voUaEoUgeBGokbQ_56_0"/>
      <w:bookmarkStart w:id="968" w:name="Tc_s9E1Df7rKk6jnRQea8WBPw_55_0"/>
      <w:bookmarkStart w:id="969" w:name="Tc_eTH4vb5ypEix67v-6IdMkg_54_0"/>
      <w:bookmarkStart w:id="970" w:name="Tc_R0kiQgoRnkeTy991tL8pZQ_53_0"/>
      <w:bookmarkStart w:id="971" w:name="Tc_eap4CeYpW0mOocP0bkPYdg_52_0"/>
      <w:bookmarkStart w:id="972" w:name="Tc_8XklF0i0TEKoBIrwemQIlA_51_0"/>
      <w:bookmarkStart w:id="973" w:name="Tc_oiz3_4BTLEqOBmIFjYIMMQ_50_0"/>
      <w:bookmarkStart w:id="974" w:name="Tc_cYOD29E8xkez1Ni2kcI4Gg_49_0"/>
      <w:bookmarkStart w:id="975" w:name="Tc_mi9rPCFnI023C45664zK7A_48_0"/>
      <w:bookmarkStart w:id="976" w:name="Tc_BLxZjrmHeUycvzPyryIMjw_47_0"/>
      <w:bookmarkStart w:id="977" w:name="Tc_9tUoiEazSUCaQtxA5JV6Kw_46_0"/>
      <w:bookmarkStart w:id="978" w:name="Tc_PHEzho9BbECwsHhvXcM4Qg_45_0"/>
      <w:bookmarkStart w:id="979" w:name="Tc_Fqy1D2kxeEKV9aztO-C9Rw_44_0"/>
      <w:bookmarkStart w:id="980" w:name="Tc_eSfdwIIxVEq_PFOiv2oYrg_43_0"/>
      <w:bookmarkStart w:id="981" w:name="Tc_fSsgD98zlUmfGQvO6hvlog_42_0"/>
      <w:bookmarkStart w:id="982" w:name="Tc_l5E0KTnra0OeBoSzShhqWA_41_5"/>
      <w:bookmarkStart w:id="983" w:name="Tc_XxOOQOXRfEaB_c1JG4Xa8Q_41_0"/>
      <w:bookmarkStart w:id="984" w:name="Tc_-8Gc_FlEZESy82KKN3oKag_40_8"/>
      <w:bookmarkStart w:id="985" w:name="Tc_aJt1dnnl9UKZxdhVQJt0NA_40_0"/>
      <w:bookmarkStart w:id="986" w:name="Tc_9qvM2lL_KESfeohiocX7oA_39_8"/>
      <w:bookmarkStart w:id="987" w:name="Tc_RGZmkEGR3EGla8Rv_4WNjg_39_0"/>
      <w:bookmarkStart w:id="988" w:name="Tc_agRXQSPEKEK4vqnaBix5Ew_38_2"/>
      <w:bookmarkStart w:id="989" w:name="Tc_GNyl40R5DkCnqwgi8n_c5Q_38_0"/>
      <w:bookmarkStart w:id="990" w:name="Tc_K0Ss6XgFukOMpgqGXWFDww_37_5"/>
      <w:bookmarkStart w:id="991" w:name="Tc_C25eARxO8k-qzXsVgblfog_37_2"/>
      <w:bookmarkStart w:id="992" w:name="Tc_ZhwNdmSkyEGeOnMyVNTsFg_37_0"/>
      <w:bookmarkStart w:id="993" w:name="Tc_ZNc1iIrw8kiAJ6VpPzHpXQ_36_5"/>
      <w:bookmarkStart w:id="994" w:name="Tc_KlSrl-QoXk23QyYzLpeySA_36_2"/>
      <w:bookmarkStart w:id="995" w:name="Tc_OpwoyKl5dEmQGwM1GrBmCg_36_0"/>
      <w:bookmarkStart w:id="996" w:name="Tc_pj0uOe3IzEKWA1jiKKqR8g_35_8"/>
      <w:bookmarkStart w:id="997" w:name="Tc_h6FFXpJ6i0qJALaGlXgIbw_35_5"/>
      <w:bookmarkStart w:id="998" w:name="Tc_ndthQpLPN0mMH1z3Ik3I-g_35_0"/>
      <w:bookmarkStart w:id="999" w:name="Tc_zRP8FJ88H0-_S1jnilXRYQ_34_2"/>
      <w:bookmarkStart w:id="1000" w:name="Tc_K_u-nOlGjU63ghWrhirE2w_34_0"/>
      <w:bookmarkStart w:id="1001" w:name="Tc_HFsylZNSFUeTH0foA1k8Gg_33_5"/>
      <w:bookmarkStart w:id="1002" w:name="Tc_QvvRxlr5Dk-g6APkiX3Zow_33_2"/>
      <w:bookmarkStart w:id="1003" w:name="Tc_JXZ3MsOyb0qc27nQ0jTzHg_33_0"/>
      <w:bookmarkStart w:id="1004" w:name="Tc_uyT2GVKc-0S9Yn5I2PNXRw_32_0"/>
      <w:bookmarkStart w:id="1005" w:name="Tc_b12ro8OHLkOEbRUgn3_J0w_31_0"/>
      <w:bookmarkStart w:id="1006" w:name="Tc_3rQkjapw1kucOp39TwXS4Q_30_0"/>
      <w:bookmarkStart w:id="1007" w:name="Tc_pQbGpUC1REukG6FV2o0JFQ_29_0"/>
      <w:bookmarkStart w:id="1008" w:name="Tc_9CFquRPhJEag8FRxRTK09Q_28_0"/>
      <w:bookmarkStart w:id="1009" w:name="Tc_XjhlSu6sCEu0FnWlaipXhA_27_0"/>
      <w:bookmarkStart w:id="1010" w:name="Tc_sp-XVHzizk2wwXx4DgW-Yw_26_0"/>
      <w:bookmarkStart w:id="1011" w:name="Tc_lX7P8aT9AkiH78d6JPYczQ_25_0"/>
      <w:bookmarkStart w:id="1012" w:name="Tc_niaQ90ioG0OCS95oaH4U9Q_24_0"/>
      <w:bookmarkStart w:id="1013" w:name="Tc_JE7G_kjf1kmbAbR2PwFTlA_23_0"/>
      <w:bookmarkStart w:id="1014" w:name="Tc_mL-lMJDYVE246HwcksMhOw_22_0"/>
      <w:bookmarkStart w:id="1015" w:name="Tc_vQ4OZi8KREK0WRepm1Lidw_21_0"/>
      <w:bookmarkStart w:id="1016" w:name="Tc_ckLcZl2rVU2W4VxEOZRR_A_20_0"/>
      <w:bookmarkStart w:id="1017" w:name="Tc_annTLUb-ZUm187y2l9NDnw_19_0"/>
      <w:bookmarkStart w:id="1018" w:name="Tc_KVLxVh8QS0CcP7hRY-RhVA_18_0"/>
      <w:bookmarkStart w:id="1019" w:name="Tc_o-cfewOcSUeqBnhiKxLbqw_17_0"/>
      <w:bookmarkStart w:id="1020" w:name="Tc_sUz_Gab8v0ejMlPEDD2aJQ_16_8"/>
      <w:bookmarkStart w:id="1021" w:name="Tc_SFjaBNzH-02pAaKAdIcrJQ_16_5"/>
      <w:bookmarkStart w:id="1022" w:name="Tc_5BHuwsIJYkqnTt1l_QRYsg_16_0"/>
      <w:bookmarkStart w:id="1023" w:name="Tc_0X0ksA16bEmLe6YNAWNS_A_15_0"/>
      <w:bookmarkStart w:id="1024" w:name="Tc_UQ2yz0OTVUqaWh8wwwuIMg_14_8"/>
      <w:bookmarkStart w:id="1025" w:name="Tc_Rn-1fcTkvkmeO32HenErlA_14_5"/>
      <w:bookmarkStart w:id="1026" w:name="Tc_BRyCejP2CEaIIL1BiPEJLQ_14_0"/>
      <w:bookmarkStart w:id="1027" w:name="Tc_lLS9iSG8N0Cuo0g9iE0c8w_13_2"/>
      <w:bookmarkStart w:id="1028" w:name="Tc_rfm_B0CKA0GSBVTQzfK-_g_13_0"/>
      <w:bookmarkStart w:id="1029" w:name="Tc_wBrknfPwkU6i4Zn3X-JwEw_12_0"/>
      <w:bookmarkStart w:id="1030" w:name="Tc_vMzfxAQwK0C8rKyHOoFMuA_11_0"/>
      <w:bookmarkStart w:id="1031" w:name="Tc_oTVEBiqx7Ui2d4ub-zV6lg_10_0"/>
      <w:bookmarkStart w:id="1032" w:name="Tc_oJFJ8ZU1JUapvM8nXN4C3w_9_0"/>
      <w:bookmarkStart w:id="1033" w:name="Tc_S94gQiwsoE6sjeKuQcjHWA_8_0"/>
      <w:bookmarkStart w:id="1034" w:name="Tc_DYs7RLRU7k2FmOifVg4CHQ_7_0"/>
      <w:bookmarkStart w:id="1035" w:name="Tc_LlXOwv7knESLftE-8ooUfQ_6_0"/>
      <w:bookmarkStart w:id="1036" w:name="Tc_1k0yjuULBkWsoNkeXBayqw_5_0"/>
      <w:bookmarkStart w:id="1037" w:name="Tc_qgfktMwTUk-jiic1AvOMOw_4_7"/>
      <w:bookmarkStart w:id="1038" w:name="Tc_WfiZ1dEgFkyV6O8XbCVWqA_4_4"/>
      <w:bookmarkStart w:id="1039" w:name="Tc_n_SWIZW1GUWFXRCeyMid8Q_4_1"/>
      <w:bookmarkStart w:id="1040" w:name="Tc_GiFjvOrmW0m8aH0-pGvFWQ_4_0"/>
      <w:bookmarkStart w:id="1041" w:name="Tc_mm0rXRtQcEKIETrgNiqGmA_3_0"/>
      <w:bookmarkStart w:id="1042" w:name="Tc_4iEZ7OYG00200TDP4DPjRw_2_7"/>
      <w:bookmarkStart w:id="1043" w:name="Tc_yYapygJScUSbGI5hufBbUA_2_4"/>
      <w:bookmarkStart w:id="1044" w:name="Tc_Wkg2iW8bpEOutsP1ratISw_2_1"/>
      <w:bookmarkStart w:id="1045" w:name="Tc_Y69NqyqWAkqoz0zTDwnPKA_1_1"/>
      <w:bookmarkStart w:id="1046" w:name="_f91ae933_47ee_456e_9391_bd33696f444a"/>
      <w:bookmarkStart w:id="1047" w:name="Tc_VOHup1kNyEOZYwMztpbMrA_70_7"/>
      <w:bookmarkStart w:id="1048" w:name="Tc_rypsKKftDUan1c5024GZXA_70_4"/>
      <w:bookmarkStart w:id="1049" w:name="Tc_FOL4kv7SpE-DTTh1lpm5kg_70_1"/>
      <w:bookmarkStart w:id="1050" w:name="Tc_xoyjXOx5qUWjHnugHZ4dLg_70_0"/>
      <w:bookmarkStart w:id="1051" w:name="Tc_FHYN_WKXME6r4VJMg00VPA_69_8"/>
      <w:bookmarkStart w:id="1052" w:name="Tc_pJu-OZn9c02kBW4eXwGG4Q_69_7"/>
      <w:bookmarkStart w:id="1053" w:name="Tc_0_j3vFmJzEmdjn1Qottq5A_69_4"/>
      <w:bookmarkStart w:id="1054" w:name="Tc_4Le7RQdVbEmjUofVOL1Cwg_69_1"/>
      <w:bookmarkStart w:id="1055" w:name="Tc_holZFPQDoUiF8Dau_9szMw_69_0"/>
      <w:bookmarkStart w:id="1056" w:name="Tc_H-gnqlZXgE-xjux_0nib0g_68_0"/>
      <w:bookmarkStart w:id="1057" w:name="Tc_mlJxTgTmTkGG6eAFCFAAsg_67_0"/>
      <w:bookmarkStart w:id="1058" w:name="Tc_4PMmrUrcMU-B2GDYGgffCw_66_7"/>
      <w:bookmarkStart w:id="1059" w:name="Tc_6wlFu9-oCUOmi78kYIhBTg_66_4"/>
      <w:bookmarkStart w:id="1060" w:name="Tc_Ynj2DbnbsE-ZrAapM1zW8w_66_1"/>
      <w:bookmarkStart w:id="1061" w:name="Tc_5rML8h-EY0WZD314jY4Edw_66_0"/>
      <w:bookmarkStart w:id="1062" w:name="Tc_D-4QI_MPMkKzrLJTSrj3LA_65_7"/>
      <w:bookmarkStart w:id="1063" w:name="Tc_O8crAsqLDUGxzbDcAMlOvg_65_4"/>
      <w:bookmarkStart w:id="1064" w:name="Tc_S3sFv6lHN0WyAs5iq4gQYQ_65_1"/>
      <w:bookmarkStart w:id="1065" w:name="Tc_q-ZnVEsA50C5941xBhmfhw_65_0"/>
      <w:bookmarkStart w:id="1066" w:name="Tc_n4qQH_4AF0qi5Mo3x7ww3Q_64_7"/>
      <w:bookmarkStart w:id="1067" w:name="Tc_PaqLYhohbUeJsuwfuqzXWg_64_4"/>
      <w:bookmarkStart w:id="1068" w:name="Tc_LI6yyfcA7kyZub6isW-NXg_64_1"/>
      <w:bookmarkStart w:id="1069" w:name="Tc_tOkNuCWsakmUEj9rqmwt7w_64_0"/>
      <w:bookmarkStart w:id="1070" w:name="Tc_Uu0VbRh9C0e5jjmC-gdkVQ_63_0"/>
      <w:bookmarkStart w:id="1071" w:name="Tc_09RadSqpD06jxZDHK-yJkA_62_7"/>
      <w:bookmarkStart w:id="1072" w:name="Tc_JDqOjmzgxUS2sUB27IK21A_62_4"/>
      <w:bookmarkStart w:id="1073" w:name="Tc_ry2N1fFzeUy7wQIlcKprnQ_62_1"/>
      <w:bookmarkStart w:id="1074" w:name="Tc_uL6aavslmUykyYdfGkx2TQ_62_0"/>
      <w:bookmarkStart w:id="1075" w:name="Tc_NtPU55WThUSU1szoM2ipCQ_61_0"/>
      <w:bookmarkStart w:id="1076" w:name="Tc_AEvZgsvYv02zy-J19GXs-g_60_0"/>
      <w:bookmarkStart w:id="1077" w:name="Tc_QsLvW7o5QECE1te8DXGlhA_59_0"/>
      <w:bookmarkStart w:id="1078" w:name="Tc_3lVamHgc_kmkphMUOq1K0A_58_5"/>
      <w:bookmarkStart w:id="1079" w:name="Tc_3-wgt3qUh0aEuIZ_YHvgLg_58_2"/>
      <w:bookmarkStart w:id="1080" w:name="Tc_LhespHJ6aUGZGzFjg0kvEA_58_0"/>
      <w:bookmarkStart w:id="1081" w:name="Tc_EB-CUdgE2UmGf365vioFKg_57_0"/>
      <w:bookmarkStart w:id="1082" w:name="Tc_gIV0ui6CIkSz6hdNP_k1IA_56_5"/>
      <w:bookmarkStart w:id="1083" w:name="Tc_GKq_ods3e0aMbykPCHIoxg_56_2"/>
      <w:bookmarkStart w:id="1084" w:name="Tc_4dmWaW8voUaEoUgeBGokbQ_56_0"/>
      <w:bookmarkStart w:id="1085" w:name="Tc_s9E1Df7rKk6jnRQea8WBPw_55_0"/>
      <w:bookmarkStart w:id="1086" w:name="Tc_eTH4vb5ypEix67v-6IdMkg_54_0"/>
      <w:bookmarkStart w:id="1087" w:name="Tc_R0kiQgoRnkeTy991tL8pZQ_53_0"/>
      <w:bookmarkStart w:id="1088" w:name="Tc_eap4CeYpW0mOocP0bkPYdg_52_0"/>
      <w:bookmarkStart w:id="1089" w:name="Tc_8XklF0i0TEKoBIrwemQIlA_51_0"/>
      <w:bookmarkStart w:id="1090" w:name="Tc_oiz3_4BTLEqOBmIFjYIMMQ_50_0"/>
      <w:bookmarkStart w:id="1091" w:name="Tc_cYOD29E8xkez1Ni2kcI4Gg_49_0"/>
      <w:bookmarkStart w:id="1092" w:name="Tc_mi9rPCFnI023C45664zK7A_48_0"/>
      <w:bookmarkStart w:id="1093" w:name="Tc_BLxZjrmHeUycvzPyryIMjw_47_0"/>
      <w:bookmarkStart w:id="1094" w:name="Tc_9tUoiEazSUCaQtxA5JV6Kw_46_0"/>
      <w:bookmarkStart w:id="1095" w:name="Tc_PHEzho9BbECwsHhvXcM4Qg_45_0"/>
      <w:bookmarkStart w:id="1096" w:name="Tc_Fqy1D2kxeEKV9aztO-C9Rw_44_0"/>
      <w:bookmarkStart w:id="1097" w:name="Tc_eSfdwIIxVEq_PFOiv2oYrg_43_0"/>
      <w:bookmarkStart w:id="1098" w:name="Tc_fSsgD98zlUmfGQvO6hvlog_42_0"/>
      <w:bookmarkStart w:id="1099" w:name="Tc_l5E0KTnra0OeBoSzShhqWA_41_5"/>
      <w:bookmarkStart w:id="1100" w:name="Tc_XxOOQOXRfEaB_c1JG4Xa8Q_41_0"/>
      <w:bookmarkStart w:id="1101" w:name="Tc_-8Gc_FlEZESy82KKN3oKag_40_8"/>
      <w:bookmarkStart w:id="1102" w:name="Tc_aJt1dnnl9UKZxdhVQJt0NA_40_0"/>
      <w:bookmarkStart w:id="1103" w:name="Tc_9qvM2lL_KESfeohiocX7oA_39_8"/>
      <w:bookmarkStart w:id="1104" w:name="Tc_RGZmkEGR3EGla8Rv_4WNjg_39_0"/>
      <w:bookmarkStart w:id="1105" w:name="Tc_agRXQSPEKEK4vqnaBix5Ew_38_2"/>
      <w:bookmarkStart w:id="1106" w:name="Tc_GNyl40R5DkCnqwgi8n_c5Q_38_0"/>
      <w:bookmarkStart w:id="1107" w:name="Tc_K0Ss6XgFukOMpgqGXWFDww_37_5"/>
      <w:bookmarkStart w:id="1108" w:name="Tc_C25eARxO8k-qzXsVgblfog_37_2"/>
      <w:bookmarkStart w:id="1109" w:name="Tc_ZhwNdmSkyEGeOnMyVNTsFg_37_0"/>
      <w:bookmarkStart w:id="1110" w:name="Tc_ZNc1iIrw8kiAJ6VpPzHpXQ_36_5"/>
      <w:bookmarkStart w:id="1111" w:name="Tc_KlSrl-QoXk23QyYzLpeySA_36_2"/>
      <w:bookmarkStart w:id="1112" w:name="Tc_OpwoyKl5dEmQGwM1GrBmCg_36_0"/>
      <w:bookmarkStart w:id="1113" w:name="Tc_pj0uOe3IzEKWA1jiKKqR8g_35_8"/>
      <w:bookmarkStart w:id="1114" w:name="Tc_h6FFXpJ6i0qJALaGlXgIbw_35_5"/>
      <w:bookmarkStart w:id="1115" w:name="Tc_ndthQpLPN0mMH1z3Ik3I-g_35_0"/>
      <w:bookmarkStart w:id="1116" w:name="Tc_zRP8FJ88H0-_S1jnilXRYQ_34_2"/>
      <w:bookmarkStart w:id="1117" w:name="Tc_K_u-nOlGjU63ghWrhirE2w_34_0"/>
      <w:bookmarkStart w:id="1118" w:name="Tc_HFsylZNSFUeTH0foA1k8Gg_33_5"/>
      <w:bookmarkStart w:id="1119" w:name="Tc_QvvRxlr5Dk-g6APkiX3Zow_33_2"/>
      <w:bookmarkStart w:id="1120" w:name="Tc_JXZ3MsOyb0qc27nQ0jTzHg_33_0"/>
      <w:bookmarkStart w:id="1121" w:name="Tc_uyT2GVKc-0S9Yn5I2PNXRw_32_0"/>
      <w:bookmarkStart w:id="1122" w:name="Tc_b12ro8OHLkOEbRUgn3_J0w_31_0"/>
      <w:bookmarkStart w:id="1123" w:name="Tc_3rQkjapw1kucOp39TwXS4Q_30_0"/>
      <w:bookmarkStart w:id="1124" w:name="Tc_pQbGpUC1REukG6FV2o0JFQ_29_0"/>
      <w:bookmarkStart w:id="1125" w:name="Tc_9CFquRPhJEag8FRxRTK09Q_28_0"/>
      <w:bookmarkStart w:id="1126" w:name="Tc_XjhlSu6sCEu0FnWlaipXhA_27_0"/>
      <w:bookmarkStart w:id="1127" w:name="Tc_sp-XVHzizk2wwXx4DgW-Yw_26_0"/>
      <w:bookmarkStart w:id="1128" w:name="Tc_lX7P8aT9AkiH78d6JPYczQ_25_0"/>
      <w:bookmarkStart w:id="1129" w:name="Tc_niaQ90ioG0OCS95oaH4U9Q_24_0"/>
      <w:bookmarkStart w:id="1130" w:name="Tc_JE7G_kjf1kmbAbR2PwFTlA_23_0"/>
      <w:bookmarkStart w:id="1131" w:name="Tc_mL-lMJDYVE246HwcksMhOw_22_0"/>
      <w:bookmarkStart w:id="1132" w:name="Tc_vQ4OZi8KREK0WRepm1Lidw_21_0"/>
      <w:bookmarkStart w:id="1133" w:name="Tc_ckLcZl2rVU2W4VxEOZRR_A_20_0"/>
      <w:bookmarkStart w:id="1134" w:name="Tc_annTLUb-ZUm187y2l9NDnw_19_0"/>
      <w:bookmarkStart w:id="1135" w:name="Tc_KVLxVh8QS0CcP7hRY-RhVA_18_0"/>
      <w:bookmarkStart w:id="1136" w:name="Tc_o-cfewOcSUeqBnhiKxLbqw_17_0"/>
      <w:bookmarkStart w:id="1137" w:name="Tc_sUz_Gab8v0ejMlPEDD2aJQ_16_8"/>
      <w:bookmarkStart w:id="1138" w:name="Tc_SFjaBNzH-02pAaKAdIcrJQ_16_5"/>
      <w:bookmarkStart w:id="1139" w:name="Tc_5BHuwsIJYkqnTt1l_QRYsg_16_0"/>
      <w:bookmarkStart w:id="1140" w:name="Tc_0X0ksA16bEmLe6YNAWNS_A_15_0"/>
      <w:bookmarkStart w:id="1141" w:name="Tc_UQ2yz0OTVUqaWh8wwwuIMg_14_8"/>
      <w:bookmarkStart w:id="1142" w:name="Tc_Rn-1fcTkvkmeO32HenErlA_14_5"/>
      <w:bookmarkStart w:id="1143" w:name="Tc_BRyCejP2CEaIIL1BiPEJLQ_14_0"/>
      <w:bookmarkStart w:id="1144" w:name="Tc_lLS9iSG8N0Cuo0g9iE0c8w_13_2"/>
      <w:bookmarkStart w:id="1145" w:name="Tc_rfm_B0CKA0GSBVTQzfK-_g_13_0"/>
      <w:bookmarkStart w:id="1146" w:name="Tc_wBrknfPwkU6i4Zn3X-JwEw_12_0"/>
      <w:bookmarkStart w:id="1147" w:name="Tc_vMzfxAQwK0C8rKyHOoFMuA_11_0"/>
      <w:bookmarkStart w:id="1148" w:name="Tc_oTVEBiqx7Ui2d4ub-zV6lg_10_0"/>
      <w:bookmarkStart w:id="1149" w:name="Tc_oJFJ8ZU1JUapvM8nXN4C3w_9_0"/>
      <w:bookmarkStart w:id="1150" w:name="Tc_S94gQiwsoE6sjeKuQcjHWA_8_0"/>
      <w:bookmarkStart w:id="1151" w:name="Tc_DYs7RLRU7k2FmOifVg4CHQ_7_0"/>
      <w:bookmarkStart w:id="1152" w:name="Tc_LlXOwv7knESLftE-8ooUfQ_6_0"/>
      <w:bookmarkStart w:id="1153" w:name="Tc_1k0yjuULBkWsoNkeXBayqw_5_0"/>
      <w:bookmarkStart w:id="1154" w:name="Tc_qgfktMwTUk-jiic1AvOMOw_4_7"/>
      <w:bookmarkStart w:id="1155" w:name="Tc_WfiZ1dEgFkyV6O8XbCVWqA_4_4"/>
      <w:bookmarkStart w:id="1156" w:name="Tc_n_SWIZW1GUWFXRCeyMid8Q_4_1"/>
      <w:bookmarkStart w:id="1157" w:name="Tc_GiFjvOrmW0m8aH0-pGvFWQ_4_0"/>
      <w:bookmarkStart w:id="1158" w:name="Tc_mm0rXRtQcEKIETrgNiqGmA_3_0"/>
      <w:bookmarkStart w:id="1159" w:name="Tc_4iEZ7OYG00200TDP4DPjRw_2_7"/>
      <w:bookmarkStart w:id="1160" w:name="Tc_yYapygJScUSbGI5hufBbUA_2_4"/>
      <w:bookmarkStart w:id="1161" w:name="Tc_Wkg2iW8bpEOutsP1ratISw_2_1"/>
      <w:bookmarkStart w:id="1162" w:name="Tc_Y69NqyqWAkqoz0zTDwnPKA_1_1"/>
      <w:bookmarkStart w:id="1163" w:name="_f91ae933_47ee_456e_9391_bd33696f444a"/>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tbl>
      <w:tblPr>
        <w:tblW w:w="9044" w:type="dxa"/>
        <w:jc w:val="left"/>
        <w:tblInd w:w="0" w:type="dxa"/>
        <w:tblLayout w:type="fixed"/>
        <w:tblCellMar>
          <w:top w:w="0" w:type="dxa"/>
          <w:left w:w="0" w:type="dxa"/>
          <w:bottom w:w="0" w:type="dxa"/>
          <w:right w:w="0" w:type="dxa"/>
        </w:tblCellMar>
      </w:tblPr>
      <w:tblGrid>
        <w:gridCol w:w="5776"/>
        <w:gridCol w:w="181"/>
        <w:gridCol w:w="676"/>
        <w:gridCol w:w="326"/>
        <w:gridCol w:w="181"/>
        <w:gridCol w:w="676"/>
        <w:gridCol w:w="326"/>
        <w:gridCol w:w="181"/>
        <w:gridCol w:w="721"/>
      </w:tblGrid>
      <w:tr>
        <w:trPr/>
        <w:tc>
          <w:tcPr>
            <w:tcW w:w="577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4935" cy="175260"/>
                      <wp:effectExtent l="0" t="0" r="0" b="0"/>
                      <wp:wrapNone/>
                      <wp:docPr id="160" name="Frame1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14935" cy="175260"/>
                      <wp:effectExtent l="0" t="0" r="0" b="0"/>
                      <wp:wrapNone/>
                      <wp:docPr id="163" name="Frame1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4935" cy="175260"/>
                      <wp:effectExtent l="0" t="0" r="0" b="0"/>
                      <wp:wrapNone/>
                      <wp:docPr id="166" name="Frame1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57835" cy="175260"/>
                      <wp:effectExtent l="0" t="0" r="0" b="0"/>
                      <wp:wrapNone/>
                      <wp:docPr id="167" name="Frame1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2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 Ended December 31,</w:t>
            </w:r>
          </w:p>
        </w:tc>
      </w:tr>
      <w:tr>
        <w:trPr/>
        <w:tc>
          <w:tcPr>
            <w:tcW w:w="5776" w:type="dxa"/>
            <w:tcBorders/>
            <w:vAlign w:val="center"/>
          </w:tcPr>
          <w:p>
            <w:pPr>
              <w:pStyle w:val="TableContents"/>
              <w:bidi w:val="0"/>
              <w:spacing w:before="0" w:after="0"/>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26" w:type="dxa"/>
            <w:tcBorders/>
            <w:vAlign w:val="center"/>
          </w:tcPr>
          <w:p>
            <w:pPr>
              <w:pStyle w:val="TableContents"/>
              <w:bidi w:val="0"/>
              <w:spacing w:before="0" w:after="0"/>
              <w:ind w:left="0" w:right="0" w:hanging="0"/>
              <w:jc w:val="center"/>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operating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(31,852)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(18,754)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(7,583)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Adjustments to reconcile net loss to net cash flows provided by operating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Depreciation and amortization</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138,335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141,627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135,137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Amortization of intangibles from acquisitions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7,907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12,636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13,016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Provision for doubtful accounts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5,946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5,012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6,693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Amortization of debt issuance costs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2,681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2,014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(Gain) loss on disposition of assets and transfers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(13,251)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1,699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4,387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8,237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8,535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7,406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Deferred income taxes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(12,777)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(16,756)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(7,452)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Loss on pension settlement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1,725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Loss on extinguishment of debt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Gain on investments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(464)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(4,201)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(5,656)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Goodwill impairment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35,269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Changes in operating assets and liabilities, excluding the effects of acquisitions and dispositions: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Accounts receivable and government grant receivables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9,075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(19,785)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(10,385)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Customer receivable</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3,909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(8,713)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Prepaid income taxes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739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6,206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Accrued taxes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(16,246)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7,062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2,981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Materials and supplies, prepayments, and other current assets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(1,906)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7,666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(15,525)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Accounts payable and accrued liabilities and advance payments and deposits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1,785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assets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(10,079)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(9,979)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liabilities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(8,866)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(8,583)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(11,235)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Net cash provided by operating activities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127,916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111,632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102,912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investing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Capital expenditures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(110,375)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(163,297)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(160,114)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Government capital programs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disbursed</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(108,476)</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(32,871)</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(7,905)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received</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95,758</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31,873</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2,853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and sales of strategic investments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790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(1,055)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(2,750)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3"/>
              </w:rPr>
              <w:t>Sale of businesses, net of transferred cash of $0</w:t>
            </w:r>
            <w:r>
              <w:rPr>
                <w:rFonts w:ascii="Times New Roman;Times;serif" w:hAnsi="Times New Roman;Times;serif"/>
                <w:sz w:val="12"/>
              </w:rPr>
              <w:t xml:space="preserve"> </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1,835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Spectrum sales and deposits refunded</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1,136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 of intangible assets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strategic investments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15,745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 of spectrum; including deposits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(1,068)</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Acquisition of businesses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1,314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(18,044)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 of investments - employee benefit plan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(2,124)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investments - employee benefit plan</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588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472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sale of assets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18,609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1,067</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cash used in investing activities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(103,750)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(165,112)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(167,245)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financing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Dividends paid on common stock</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(14,674)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(13,178)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(10,708)</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 to noncontrolling interests</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(3,645)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(3,531)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Payment of debt issuance costs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(6,705)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(3,906)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(873)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Finance lease payments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(1,930)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(1,375)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(1,069)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Term loan - repayments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(241,115)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(6,959)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(5,222)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Term loan - borrowings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20,000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Revolving credit facility – borrowings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159,414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115,250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Revolving credit facility – repayments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(117,502)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(185,293)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(72,250)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Proceeds from customer receivable credit facility </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5,740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7,300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15,425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Repayment of customer receivable credit facility</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(7,674)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(4,960)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Purchases of common stock – stock- based compensation </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(1,932)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(1,473)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(1,169)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of common stock – share repurchase plan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(14,999)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(942)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Investments made by minority shareholders in consolidated affiliates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Repurchases of noncontrolling interests </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(652)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(2,861)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(4,891)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Contingent consideration paid for business acquisition</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(1,718)</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cash provided by financing activities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2,911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55,919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43,364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change in cash, cash equivalents, and restricted cash</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27,077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(20,969)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 beginning of period</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62,167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59,728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80,697</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 end of period</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89,244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62,167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59,728</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Supplemental cash flow information: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Interest paid</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48,053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39,251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19,924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Taxes paid</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2,898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3,241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Dividends declared, not paid</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3,627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3,701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3,310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Noncash investing activity:</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of property, plant and equipment included in accounts payable and accrued expenses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accrued for reimbursable capital expenditures from government capital programs</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29,924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31,769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accrued for non-reimbursable capital expenditures</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13,782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25,521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vAlign w:val="center"/>
          </w:tcPr>
          <w:p>
            <w:pPr>
              <w:pStyle w:val="TableContents"/>
              <w:bidi w:val="0"/>
              <w:spacing w:before="0" w:after="0"/>
              <w:ind w:left="0" w:right="45" w:hanging="0"/>
              <w:jc w:val="right"/>
              <w:rPr>
                <w:rFonts w:ascii="Times New Roman;Times;serif" w:hAnsi="Times New Roman;Times;serif"/>
                <w:sz w:val="13"/>
              </w:rPr>
            </w:pPr>
            <w:r>
              <w:rPr>
                <w:rFonts w:ascii="Times New Roman;Times;serif" w:hAnsi="Times New Roman;Times;serif"/>
                <w:sz w:val="13"/>
              </w:rPr>
              <w:t>27,811</w:t>
            </w:r>
          </w:p>
        </w:tc>
      </w:tr>
    </w:tbl>
    <w:p>
      <w:pPr>
        <w:pStyle w:val="TextBody"/>
        <w:bidi w:val="0"/>
        <w:spacing w:before="120" w:after="0"/>
        <w:ind w:left="0" w:right="0" w:hanging="0"/>
        <w:jc w:val="center"/>
        <w:rPr>
          <w:rFonts w:ascii="Times New Roman;Times;serif" w:hAnsi="Times New Roman;Times;serif"/>
          <w:sz w:val="12"/>
        </w:rPr>
      </w:pPr>
      <w:r>
        <w:rPr>
          <w:rFonts w:ascii="Times New Roman;Times;serif" w:hAnsi="Times New Roman;Times;serif"/>
          <w:sz w:val="12"/>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164" w:name="Notes_7805"/>
      <w:bookmarkEnd w:id="1164"/>
      <w:r>
        <w:rPr>
          <w:rFonts w:ascii="Times New Roman;Times;serif" w:hAnsi="Times New Roman;Times;serif"/>
          <w:b/>
          <w:sz w:val="20"/>
        </w:rPr>
        <w:t>1. ORGANIZATION AND BUSINESS OPERATIONS</w:t>
      </w:r>
      <w:r>
        <w:rPr>
          <w:rFonts w:ascii="Times New Roman;Times;serif" w:hAnsi="Times New Roman;Times;serif"/>
          <w:sz w:val="20"/>
        </w:rPr>
        <w:t xml:space="preserve"> </w:t>
      </w:r>
    </w:p>
    <w:p>
      <w:pPr>
        <w:pStyle w:val="TextBody"/>
        <w:bidi w:val="0"/>
        <w:spacing w:before="280" w:after="0"/>
        <w:ind w:left="40" w:right="99" w:firstLine="529"/>
        <w:jc w:val="both"/>
        <w:rPr>
          <w:rFonts w:ascii="Times New Roman;Times;serif" w:hAnsi="Times New Roman;Times;serif"/>
          <w:sz w:val="20"/>
        </w:rPr>
      </w:pPr>
      <w:r>
        <w:rPr>
          <w:rFonts w:ascii="Times New Roman;Times;serif" w:hAnsi="Times New Roman;Times;serif"/>
          <w:sz w:val="20"/>
        </w:rPr>
        <w:t>The Company is a leading provider of digital infrastructure and communications services with a focus on rural and remote markets in the United States, and internationally, including Bermuda and the Caribbean region.</w:t>
      </w:r>
    </w:p>
    <w:p>
      <w:pPr>
        <w:pStyle w:val="TextBody"/>
        <w:bidi w:val="0"/>
        <w:spacing w:before="280" w:after="0"/>
        <w:ind w:left="40" w:right="99" w:firstLine="529"/>
        <w:jc w:val="both"/>
        <w:rPr>
          <w:rFonts w:ascii="Times New Roman;Times;serif" w:hAnsi="Times New Roman;Times;serif"/>
          <w:sz w:val="20"/>
        </w:rPr>
      </w:pPr>
      <w:r>
        <w:rPr>
          <w:rFonts w:ascii="Times New Roman;Times;serif" w:hAnsi="Times New Roman;Times;serif"/>
          <w:sz w:val="20"/>
        </w:rPr>
        <w:t>The Company has developed significant operational expertise and resources that it uses to augment its capabilities in its local markets. With this support, the Company’s operating subsidiaries can improve their quality of service with greater economies of scale and expertise than would typically be available in the size markets the Company operates in. The Company provides management, technical, financial, regulatory, and marketing services to its operating subsidiaries and typically receive a management fee calculated as a percentage of their revenues, which is eliminated in consolidation. The Company also actively evaluates investment opportunities and other strategic transactions, both domestic and international, and generally looks for those that it believes fit its profile of telecommunications businesses in markets while keeping a focus on generating excess operating cash flows over extended periods of time. The Company uses the cash generated from its operations to maintain an appropriate ratio of debt and cash on hand and to re-invest in organic growth, to fund capital expenditures, to return value to its stockholders through dividends or stock repurchases, and to make strategic investments or acquisitions.</w:t>
      </w:r>
    </w:p>
    <w:p>
      <w:pPr>
        <w:pStyle w:val="TextBody"/>
        <w:shd w:fill="FFFFFF" w:val="clear"/>
        <w:bidi w:val="0"/>
        <w:spacing w:before="280" w:after="0"/>
        <w:ind w:left="0" w:right="99" w:firstLine="680"/>
        <w:jc w:val="left"/>
        <w:rPr>
          <w:rFonts w:ascii="Times New Roman;Times;serif" w:hAnsi="Times New Roman;Times;serif"/>
          <w:sz w:val="20"/>
        </w:rPr>
      </w:pPr>
      <w:r>
        <w:rPr>
          <w:rFonts w:ascii="Times New Roman;Times;serif" w:hAnsi="Times New Roman;Times;serif"/>
          <w:sz w:val="20"/>
        </w:rPr>
        <w:t>For further information about the Company’s financial segments and geographical information about its operating revenues and assets, see Notes 1 and 14 to the Consolidated Financial Statements included in this Report.</w:t>
      </w:r>
    </w:p>
    <w:p>
      <w:pPr>
        <w:pStyle w:val="TextBody"/>
        <w:bidi w:val="0"/>
        <w:spacing w:before="280" w:after="0"/>
        <w:ind w:left="40" w:right="79" w:firstLine="529"/>
        <w:jc w:val="left"/>
        <w:rPr>
          <w:rFonts w:ascii="Times New Roman;Times;serif" w:hAnsi="Times New Roman;Times;serif"/>
          <w:sz w:val="20"/>
        </w:rPr>
      </w:pPr>
      <w:r>
        <w:rPr>
          <w:rFonts w:ascii="Times New Roman;Times;serif" w:hAnsi="Times New Roman;Times;serif"/>
          <w:sz w:val="20"/>
        </w:rPr>
        <w:t>As of December 31, 2024, the Company offered the following types of services to its customers:</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Telecommunications Services</w:t>
            </w:r>
            <w:r>
              <w:rPr>
                <w:rFonts w:ascii="Times New Roman;Times;serif" w:hAnsi="Times New Roman;Times;serif"/>
                <w:b w:val="false"/>
                <w:i w:val="false"/>
                <w:caps w:val="false"/>
                <w:smallCaps w:val="false"/>
                <w:sz w:val="20"/>
              </w:rPr>
              <w:t>. The Company provides fixed data and voice telecommunications services to business and consumer customers. These services include high-speed consumer broadband and high-speed data solutions for businesses. For some markets, fixed services also include video services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Telecommunication Services</w:t>
            </w:r>
            <w:r>
              <w:rPr>
                <w:rFonts w:ascii="Times New Roman;Times;serif" w:hAnsi="Times New Roman;Times;serif"/>
                <w:b w:val="false"/>
                <w:i w:val="false"/>
                <w:caps w:val="false"/>
                <w:smallCaps w:val="false"/>
                <w:sz w:val="20"/>
              </w:rPr>
              <w:t>.  The Company delivers services to other telecommunications providers including the leasing of critical network infrastructure such as tower and transport facilities, wholesale roaming and long-distance voice services,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Mobile Telecommunications Services</w:t>
            </w:r>
            <w:r>
              <w:rPr>
                <w:rFonts w:ascii="Times New Roman;Times;serif" w:hAnsi="Times New Roman;Times;serif"/>
                <w:b w:val="false"/>
                <w:i w:val="false"/>
                <w:caps w:val="false"/>
                <w:smallCaps w:val="false"/>
                <w:sz w:val="20"/>
              </w:rPr>
              <w:t>. The Company offers mobile communications services over its wireless networks and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The Company provides information technology services such as network, application, infrastructure and hosting services to both its business and consumer customers to complement its fixed telecommunications services in its existing markets.</w:t>
            </w:r>
          </w:p>
        </w:tc>
      </w:tr>
    </w:tbl>
    <w:p>
      <w:pPr>
        <w:pStyle w:val="TextBody"/>
        <w:bidi w:val="0"/>
        <w:spacing w:before="0" w:after="0"/>
        <w:ind w:left="0" w:right="0" w:hanging="0"/>
        <w:jc w:val="left"/>
        <w:rPr/>
      </w:pPr>
      <w:r>
        <w:rPr/>
        <w:t>​</w:t>
      </w:r>
    </w:p>
    <w:p>
      <w:pPr>
        <w:pStyle w:val="TextBody"/>
        <w:bidi w:val="0"/>
        <w:spacing w:before="0" w:after="0"/>
        <w:ind w:left="40" w:right="159" w:firstLine="529"/>
        <w:jc w:val="left"/>
        <w:rPr>
          <w:rFonts w:ascii="Times New Roman;Times;serif" w:hAnsi="Times New Roman;Times;serif"/>
          <w:sz w:val="20"/>
        </w:rPr>
      </w:pPr>
      <w:r>
        <w:rPr>
          <w:rFonts w:ascii="Times New Roman;Times;serif" w:hAnsi="Times New Roman;Times;serif"/>
          <w:sz w:val="20"/>
        </w:rPr>
        <w:t>Through December 31, 2024, the Company has identified two operating segments to manage and review its operations, as well as to support investor presentations of its results. These operating segments are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val="false"/>
                <w:caps w:val="false"/>
                <w:smallCaps w:val="false"/>
                <w:sz w:val="20"/>
              </w:rPr>
              <w:t>. In the United States, the Company offers fixed, carrier, and managed services to business customers and consumers in Alaska and the western United States. In 2024, the Company ceased providing mobility services to retail customers in the western United States.</w:t>
            </w:r>
          </w:p>
        </w:tc>
      </w:tr>
    </w:tbl>
    <w:p>
      <w:pPr>
        <w:pStyle w:val="TextBody"/>
        <w:bidi w:val="0"/>
        <w:spacing w:before="0" w:after="0"/>
        <w:ind w:left="0" w:right="5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International Telecom. </w:t>
            </w:r>
            <w:r>
              <w:rPr>
                <w:rFonts w:ascii="Times New Roman;Times;serif" w:hAnsi="Times New Roman;Times;serif"/>
                <w:b w:val="false"/>
                <w:i w:val="false"/>
                <w:caps w:val="false"/>
                <w:smallCaps w:val="false"/>
                <w:sz w:val="20"/>
              </w:rPr>
              <w:t>In its international markets, the Company offers fixed, carrier, mobility and managed services to customers in Bermuda, the Cayman Islands, Guyana and the US Virgin Islands.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84"/>
        <w:jc w:val="left"/>
        <w:rPr>
          <w:rFonts w:ascii="Times New Roman;Times;serif" w:hAnsi="Times New Roman;Times;serif"/>
          <w:sz w:val="20"/>
        </w:rPr>
      </w:pPr>
      <w:r>
        <w:rPr>
          <w:rFonts w:ascii="Times New Roman;Times;serif" w:hAnsi="Times New Roman;Times;serif"/>
          <w:sz w:val="20"/>
        </w:rPr>
        <w:t>The following chart summarizes the operating activities of the Company’s principal subsidiaries, the segments in which it reported its revenue and the markets it served as of December 31, 2024:</w:t>
      </w:r>
    </w:p>
    <w:p>
      <w:pPr>
        <w:pStyle w:val="TextBody"/>
        <w:bidi w:val="0"/>
        <w:spacing w:before="0" w:after="0"/>
        <w:ind w:left="0" w:right="0" w:firstLine="684"/>
        <w:jc w:val="left"/>
        <w:rPr/>
      </w:pPr>
      <w:r>
        <w:rPr/>
        <w:t>​</w:t>
      </w:r>
    </w:p>
    <w:tbl>
      <w:tblPr>
        <w:tblW w:w="10205" w:type="dxa"/>
        <w:jc w:val="left"/>
        <w:tblInd w:w="0" w:type="dxa"/>
        <w:tblLayout w:type="fixed"/>
        <w:tblCellMar>
          <w:top w:w="0" w:type="dxa"/>
          <w:left w:w="0" w:type="dxa"/>
          <w:bottom w:w="0" w:type="dxa"/>
          <w:right w:w="0" w:type="dxa"/>
        </w:tblCellMar>
      </w:tblPr>
      <w:tblGrid>
        <w:gridCol w:w="994"/>
        <w:gridCol w:w="266"/>
        <w:gridCol w:w="1425"/>
        <w:gridCol w:w="109"/>
        <w:gridCol w:w="2087"/>
        <w:gridCol w:w="979"/>
        <w:gridCol w:w="266"/>
        <w:gridCol w:w="987"/>
        <w:gridCol w:w="109"/>
        <w:gridCol w:w="2983"/>
      </w:tblGrid>
      <w:tr>
        <w:trPr/>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31190" cy="175260"/>
                      <wp:effectExtent l="0" t="0" r="0" b="0"/>
                      <wp:wrapNone/>
                      <wp:docPr id="168" name="Frame166"/>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8910" cy="175260"/>
                      <wp:effectExtent l="0" t="0" r="0" b="0"/>
                      <wp:wrapNone/>
                      <wp:docPr id="169" name="Frame16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04875" cy="175260"/>
                      <wp:effectExtent l="0" t="0" r="0" b="0"/>
                      <wp:wrapNone/>
                      <wp:docPr id="170" name="Frame168"/>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25245" cy="175260"/>
                      <wp:effectExtent l="0" t="0" r="0" b="0"/>
                      <wp:wrapNone/>
                      <wp:docPr id="172" name="Frame170"/>
                      <a:graphic xmlns:a="http://schemas.openxmlformats.org/drawingml/2006/main">
                        <a:graphicData uri="http://schemas.microsoft.com/office/word/2010/wordprocessingShape">
                          <wps:wsp>
                            <wps:cNvSpPr txBox="1"/>
                            <wps:spPr>
                              <a:xfrm>
                                <a:off x="0" y="0"/>
                                <a:ext cx="1325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21665" cy="175260"/>
                      <wp:effectExtent l="0" t="0" r="0" b="0"/>
                      <wp:wrapNone/>
                      <wp:docPr id="173" name="Frame171"/>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8910" cy="175260"/>
                      <wp:effectExtent l="0" t="0" r="0" b="0"/>
                      <wp:wrapNone/>
                      <wp:docPr id="174" name="Frame1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26745" cy="175260"/>
                      <wp:effectExtent l="0" t="0" r="0" b="0"/>
                      <wp:wrapNone/>
                      <wp:docPr id="175" name="Frame173"/>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94205" cy="175260"/>
                      <wp:effectExtent l="0" t="0" r="0" b="0"/>
                      <wp:wrapNone/>
                      <wp:docPr id="177" name="Frame175"/>
                      <a:graphic xmlns:a="http://schemas.openxmlformats.org/drawingml/2006/main">
                        <a:graphicData uri="http://schemas.microsoft.com/office/word/2010/wordprocessingShape">
                          <wps:wsp>
                            <wps:cNvSpPr txBox="1"/>
                            <wps:spPr>
                              <a:xfrm>
                                <a:off x="0" y="0"/>
                                <a:ext cx="189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1" w:type="dxa"/>
            <w:gridSpan w:val="5"/>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International Telecom</w:t>
            </w:r>
          </w:p>
        </w:tc>
        <w:tc>
          <w:tcPr>
            <w:tcW w:w="5324" w:type="dxa"/>
            <w:gridSpan w:val="5"/>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Telecom</w:t>
            </w:r>
          </w:p>
        </w:tc>
      </w:tr>
      <w:tr>
        <w:trPr/>
        <w:tc>
          <w:tcPr>
            <w:tcW w:w="9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66" w:type="dxa"/>
            <w:tcBorders/>
            <w:vAlign w:val="center"/>
          </w:tcPr>
          <w:p>
            <w:pPr>
              <w:pStyle w:val="TableContents"/>
              <w:bidi w:val="0"/>
              <w:spacing w:before="0" w:after="0"/>
              <w:ind w:left="0" w:right="0" w:hanging="0"/>
              <w:jc w:val="center"/>
              <w:rPr/>
            </w:pPr>
            <w:r>
              <w:rPr/>
              <w:t>   </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109" w:type="dxa"/>
            <w:tcBorders/>
            <w:vAlign w:val="center"/>
          </w:tcPr>
          <w:p>
            <w:pPr>
              <w:pStyle w:val="TableContents"/>
              <w:bidi w:val="0"/>
              <w:spacing w:before="0" w:after="0"/>
              <w:ind w:left="0" w:right="0" w:hanging="0"/>
              <w:jc w:val="center"/>
              <w:rPr/>
            </w:pPr>
            <w:r>
              <w:rPr/>
              <w:t>​</w:t>
            </w:r>
          </w:p>
        </w:tc>
        <w:tc>
          <w:tcPr>
            <w:tcW w:w="208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c>
          <w:tcPr>
            <w:tcW w:w="97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266" w:type="dxa"/>
            <w:tcBorders/>
            <w:vAlign w:val="center"/>
          </w:tcPr>
          <w:p>
            <w:pPr>
              <w:pStyle w:val="TableContents"/>
              <w:bidi w:val="0"/>
              <w:spacing w:before="0" w:after="0"/>
              <w:ind w:left="0" w:right="0" w:hanging="0"/>
              <w:jc w:val="center"/>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109" w:type="dxa"/>
            <w:tcBorders/>
            <w:vAlign w:val="center"/>
          </w:tcPr>
          <w:p>
            <w:pPr>
              <w:pStyle w:val="TableContents"/>
              <w:bidi w:val="0"/>
              <w:spacing w:before="0" w:after="0"/>
              <w:ind w:left="0" w:right="0" w:hanging="0"/>
              <w:jc w:val="center"/>
              <w:rPr/>
            </w:pPr>
            <w:r>
              <w:rPr/>
              <w:t>​</w:t>
            </w:r>
          </w:p>
        </w:tc>
        <w:tc>
          <w:tcPr>
            <w:tcW w:w="29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9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087"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GTT (1), Viya</w:t>
            </w:r>
          </w:p>
        </w:tc>
        <w:tc>
          <w:tcPr>
            <w:tcW w:w="97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Services</w:t>
            </w:r>
          </w:p>
        </w:tc>
        <w:tc>
          <w:tcPr>
            <w:tcW w:w="266"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(rural markets)</w:t>
            </w:r>
          </w:p>
        </w:tc>
        <w:tc>
          <w:tcPr>
            <w:tcW w:w="109" w:type="dxa"/>
            <w:tcBorders/>
            <w:shd w:fill="CCEEFF" w:val="clear"/>
            <w:vAlign w:val="center"/>
          </w:tcPr>
          <w:p>
            <w:pPr>
              <w:pStyle w:val="TableContents"/>
              <w:bidi w:val="0"/>
              <w:spacing w:before="0" w:after="0"/>
              <w:ind w:left="0" w:right="0" w:hanging="0"/>
              <w:jc w:val="left"/>
              <w:rPr/>
            </w:pPr>
            <w:r>
              <w:rPr/>
              <w:t>​</w:t>
            </w:r>
          </w:p>
        </w:tc>
        <w:tc>
          <w:tcPr>
            <w:tcW w:w="2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Choice NTUA Wireless</w:t>
            </w:r>
          </w:p>
        </w:tc>
      </w:tr>
      <w:tr>
        <w:trPr/>
        <w:tc>
          <w:tcPr>
            <w:tcW w:w="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Services</w:t>
            </w:r>
          </w:p>
        </w:tc>
        <w:tc>
          <w:tcPr>
            <w:tcW w:w="266" w:type="dxa"/>
            <w:tcBorders/>
            <w:vAlign w:val="center"/>
          </w:tcPr>
          <w:p>
            <w:pPr>
              <w:pStyle w:val="TableContents"/>
              <w:bidi w:val="0"/>
              <w:spacing w:before="0" w:after="0"/>
              <w:ind w:left="0" w:right="0" w:hanging="0"/>
              <w:jc w:val="left"/>
              <w:rPr/>
            </w:pPr>
            <w:r>
              <w:rPr/>
              <w:t>​</w:t>
            </w:r>
          </w:p>
        </w:tc>
        <w:tc>
          <w:tcPr>
            <w:tcW w:w="1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109" w:type="dxa"/>
            <w:tcBorders/>
            <w:vAlign w:val="center"/>
          </w:tcPr>
          <w:p>
            <w:pPr>
              <w:pStyle w:val="TableContents"/>
              <w:bidi w:val="0"/>
              <w:spacing w:before="0" w:after="0"/>
              <w:ind w:left="0" w:right="0" w:hanging="0"/>
              <w:jc w:val="left"/>
              <w:rPr/>
            </w:pPr>
            <w:r>
              <w:rPr/>
              <w:t>​</w:t>
            </w:r>
          </w:p>
        </w:tc>
        <w:tc>
          <w:tcPr>
            <w:tcW w:w="2087"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GTT, Viya</w:t>
            </w:r>
          </w:p>
        </w:tc>
        <w:tc>
          <w:tcPr>
            <w:tcW w:w="979"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Services</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0"/>
              <w:ind w:left="0" w:right="0" w:hanging="0"/>
              <w:jc w:val="left"/>
              <w:rPr/>
            </w:pPr>
            <w:r>
              <w:rPr/>
              <w:t>​</w:t>
            </w:r>
          </w:p>
        </w:tc>
        <w:tc>
          <w:tcPr>
            <w:tcW w:w="2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Choice NTUA Wireless, Sacred Wind Communications, Ethos Broadband, Deploycom</w:t>
            </w:r>
          </w:p>
        </w:tc>
      </w:tr>
      <w:tr>
        <w:trPr/>
        <w:tc>
          <w:tcPr>
            <w:tcW w:w="9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087"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GTT, Viya, Essextel</w:t>
            </w:r>
          </w:p>
        </w:tc>
        <w:tc>
          <w:tcPr>
            <w:tcW w:w="97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266" w:type="dxa"/>
            <w:tcBorders/>
            <w:shd w:fill="CCEEFF" w:val="clear"/>
            <w:vAlign w:val="center"/>
          </w:tcPr>
          <w:p>
            <w:pPr>
              <w:pStyle w:val="TableContents"/>
              <w:bidi w:val="0"/>
              <w:spacing w:before="0" w:after="0"/>
              <w:ind w:left="0" w:right="0" w:hanging="0"/>
              <w:jc w:val="left"/>
              <w:rPr/>
            </w:pPr>
            <w:r>
              <w:rPr/>
              <w:t>​</w:t>
            </w:r>
          </w:p>
        </w:tc>
        <w:tc>
          <w:tcPr>
            <w:tcW w:w="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9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266" w:type="dxa"/>
            <w:tcBorders/>
            <w:vAlign w:val="center"/>
          </w:tcPr>
          <w:p>
            <w:pPr>
              <w:pStyle w:val="TableContents"/>
              <w:bidi w:val="0"/>
              <w:spacing w:before="0" w:after="0"/>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109" w:type="dxa"/>
            <w:tcBorders/>
            <w:vAlign w:val="center"/>
          </w:tcPr>
          <w:p>
            <w:pPr>
              <w:pStyle w:val="TableContents"/>
              <w:bidi w:val="0"/>
              <w:spacing w:before="0" w:after="0"/>
              <w:ind w:left="0" w:right="0" w:hanging="0"/>
              <w:jc w:val="left"/>
              <w:rPr/>
            </w:pPr>
            <w:r>
              <w:rPr/>
              <w:t>​</w:t>
            </w:r>
          </w:p>
        </w:tc>
        <w:tc>
          <w:tcPr>
            <w:tcW w:w="208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GTT, Viya, Brava, Fireminds (2)</w:t>
            </w:r>
          </w:p>
        </w:tc>
        <w:tc>
          <w:tcPr>
            <w:tcW w:w="97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266" w:type="dxa"/>
            <w:tcBorders/>
            <w:vAlign w:val="center"/>
          </w:tcPr>
          <w:p>
            <w:pPr>
              <w:pStyle w:val="TableContents"/>
              <w:bidi w:val="0"/>
              <w:spacing w:before="0" w:after="0"/>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0"/>
              <w:ind w:left="0" w:right="0" w:hanging="0"/>
              <w:jc w:val="left"/>
              <w:rPr/>
            </w:pPr>
            <w:r>
              <w:rPr/>
              <w:t>​</w:t>
            </w:r>
          </w:p>
        </w:tc>
        <w:tc>
          <w:tcPr>
            <w:tcW w:w="29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Choice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5"/>
        <w:gridCol w:w="9621"/>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completed a rebranding in Guyana and GTT is now known as One Communications. The Company refers throughout this report to its business in Guyana as “OneGY.”</w:t>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304"/>
        <w:gridCol w:w="9622"/>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completed a rebranding of its services offerings to government and large business customers, including those services formally known as Fireminds, which is now known as Brava.</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SUMMARY OF SIGNIFICANT ACCOUNTING POLICIES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its majority-owned subsidiaries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considers all investments with an original maturity of three months or less at date of purchase to be cash equivalents. The Company places its cash and temporary investments with banks and other institutions that it believes have a high credit quality. At December 31, 2024, the Company had $34.4 million of its cash on deposit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noninsured institutions such as corporate money market issuers and cash held in foreign banks. The Company’s cash and cash equivalents are not subject to any restrictions (see Note 8). As of December 31, 2024 and 2023, the Company held $18.0 million and $5.7 million, respectively, of its cash in Guyana dollars. While there are risks associated with the conversion of Guyana dollars to US dollars due to limited liquidity in the Guyana foreign currency markets, to date it has not prevented the Company from converting Guyana dollars into US dollars within a given three month period or from converting at a price that reasonably approximates the reported exchange rate plus an applicable fee.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classifies cash that is legally restricted as to withdrawal or usage as restricted cash. Restricted cash as of December 31, 2024 and December 31, 2023 primarily relates to cash that is restricted for regulatory purposes.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Short Term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short-term investments consist of corporate bonds, which have remaining maturities of more than three months at the date of purchase, and equity securities classified as available for sale, which are stated at fair value. Unrealized gains and losses are recorded in other income. The estimated fair values of investments are based on quoted market prices as of the end of the reporting period.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an estimate of future credit losses in conjunction with the revenue transactions based on information available including historical experience, credit worthiness of customers, the Company’s historical experience with customers, current market and economic conditions, and management’s expectations of future conditions. That estimate is updated as additional information becomes available. Uncollectible amounts are charged against the allowance account. The Company’s allowance for uncollectible accounts receivable is based on management’s assessment of the collectibility of assets pooled together with similar risk characteristics.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Inventory, Materials and Supplies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Inventory, materials and supplies primarily include handsets and other equipment held for sale to customers. These balances are recorded at the lower of cost, determined on the basis of specific identification, or market, determined using replacement value.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Fixed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fixed assets are recorded at cost and depreciated using the straight-line method generally between 3 and 39 years. Expenditures for major renewals and betterments that extend the useful lives of fixed assets are capitalized to fixed assets. Repairs and replacements of minor items of property are charged to operating expense as incurred. The cost of fixed assets in service and under construction includes internal and external costs necessary to bring an asset to the condition and location necessary for its intended use. Grants received for the construction of assets are recognized as a reduction of the cost of fixed assets, a subsequent reduction of depreciation expense over the useful lives of those assets within the income statement and as an investing cash flow in the statements of cash flows.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capitalizes certain costs of developing and purchasing new information systems in accordance with internal use software guidance. These costs are depreciated over the useful life of the information system. The Company also incurs implementation costs associated with cloud computing arrangements. If these implementation costs do not meet internal use software capitalization guidance, the implementation costs are recorded as prepaid assets and expensed through operating expense over the life of the arrangement.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a liability for an asset retirement obligation is recorded in the period in which it is incurred if a reasonable estimate of fair value can be made. In periods subsequent to initial measurement, period-to-period changes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20"/>
        </w:rPr>
        <w:t>the liability for an asset retirement obligation resulting from the passage of time and revisions to either the timing or the amount of the original estimate of undiscounted cash flows are recognized. The increase in the carrying value of the associated long-lived asset is depreciated over the corresponding estimated economic life. Other liabilities within the consolidated balance sheets include accruals of $11.7</w:t>
      </w:r>
      <w:r>
        <w:rPr>
          <w:rFonts w:ascii="Arial;Helvetica;sans-serif" w:hAnsi="Arial;Helvetica;sans-serif"/>
          <w:sz w:val="20"/>
        </w:rPr>
        <w:t xml:space="preserve">  </w:t>
      </w:r>
      <w:r>
        <w:rPr>
          <w:rFonts w:ascii="Times New Roman;Times;serif" w:hAnsi="Times New Roman;Times;serif"/>
          <w:sz w:val="20"/>
        </w:rPr>
        <w:t>million and $11.4 million as of December 31, 2024 and 2023, respectively, for estimated costs associated with asset retirement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accordance with the authoritative guidance for accounting for the impairment or disposal of long-lived assets, the Company evaluates the carrying value of long-lived assets, including property and equipment, in relation to the operating performance and future undiscounted cash flows of the underlying business whenever events or changes in circumstances indicate that the carrying amount of an asset may not be recoverable. An impairment loss exists when estimated undiscounted cash flows attributable to an asset are less than its carrying amount. If an asset is deemed to be impaired, the amount of the impairment loss recognized represents the asset’s carrying value in excess of its estimated fair value, based on management’s assumptions and projections.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Management’s estimate of the future cash flows attributable to its long-lived assets and the fair value of its businesses involve significant uncertainty. Those estimates are based on management’s assumptions of future results, growth trends and industry conditions. If those estimates are not met, the Company could have additional impairment charges in the future, and the amounts may be material.</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did not record any fixed asset impairments for the years ended December 31, 2024, 2023 or 2022.</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Goodwill and Indefinite-Lived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Goodwill is recognized in business combinations equal to the amount by which the cost of acquired net assets exceeded the fair value of those net assets on the date of acquisition. The Company allocates goodwill to reporting units at the time of acquisition and bases that allocation on which reporting units will benefit from the acquired assets and liabilities. Reporting units are defined as operating segments or one level below an operating segment, referred to as a component. The Company has determined that its reporting units are components of its multiple operating segments. The Company assesses goodwill for impairment on an annual basis in the fourth quarter or more frequently when events and circumstances occur indicating that the recorded goodwill may be impaired. The assessment begins with a qualitative analysis to determine whether it is more likely than not that the fair value of the reporting unit is less than its carrying amount. If the reporting unit passes this analysis, the impairment assessment is complete and no impairment is recorded. If the reporting unit does not pass the analysis, or if a quantitative analysis is elected to be applied, the Company performs additional quantitative analysis by calculating the fair value of the reporting unit. If the fair value exceeds the carrying value, the test is complete and no impairment is recorded. If the carrying value of the reporting unit, including goodwill, exceeds the fair value of the reporting unit an impairment charge is recorded equal to the excess, but not more than the total amount of goodwill allocated to the reporting unit.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 significant majority of the Company’s telecommunications licenses are not amortized and are carried at their historical costs. The Company believes that telecommunications licenses generally have an indefinite life based on the historical ability to renew such licenses, that such renewals may be obtained indefinitely and at little cost, and that the related technology used is not expected to be replaced in the foreseeable future. The Company has elected to perform its annual testing of its telecommunications licenses in the fourth quarter of each fiscal year, or more often if events or circumstances indicate that there may be impairment. The assessment begins with a qualitative analysis to determine whether it is more likely than not that the license fair value exceeds its carrying value. If the reporting unit passes this analysis, the impairment assessment is complete and no impairment is recorded. If the reporting unit does not pass the analysis, the Company performs additional quantitative analysis to calculate the fair value of the license. If the carrying value of the license exceeds the license fair value an impairment charge is recorded. As a part of the impairment test the Company assesses the appropriateness of the application of the indefinite-lived assertion. If the value of these assets were impaired by some factor, such as an adverse change in the subsidiary’s operating market, the Company may be required to record an impairment charge.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performed its annual impairment assessment of its goodwill and indefinite-lived intangible assets (telecommunications licenses) for the years ended December 31, 2024 and 2023. See Note 7 for a discussion of the Company’s impairment of its goodwill within its US Telecom segment during the year ended December 31, 2024.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Intangible assets resulting from the acquisitions of entities accounted for using the purchase method of accounting are estimated by management based on the fair value of the assets acquired. These include acquired customer relationships and trade names. The process for estimating the fair values of identifiable intangible assets requires the use of significant estimates and assumptions by management, including revenue growth rates, customer attrition rates, royalty rates, discount rates and projected future cash flows.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Customer relationships and trade names are amortized over their estimated lives ranging from 5-13 years and 6-15 years, respectively, based on the pattern in which economic benefit of the customer relationship is estimated to be realized. The Company evaluates intangible assets subject to amortization annually for impairment.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Debt</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Debt is measured at amortized cost. Debt issuance costs are recorded as a reduction to the carrying value of the debt and are amortized as interest expense in the consolidated income statements over the period of the debt. Except for interest costs incurred for the construction of a qualifying asset which are capitalized during the period the assets are prepared for their intended use, interest costs are expensed.</w:t>
      </w:r>
    </w:p>
    <w:p>
      <w:pPr>
        <w:pStyle w:val="TextBody"/>
        <w:pBdr/>
        <w:shd w:fill="FFFFFF" w:val="clear"/>
        <w:bidi w:val="0"/>
        <w:spacing w:before="0" w:after="0"/>
        <w:ind w:left="0" w:right="0" w:hanging="0"/>
        <w:jc w:val="left"/>
        <w:rPr>
          <w:rFonts w:ascii="Times New Roman;Times;serif" w:hAnsi="Times New Roman;Times;serif"/>
          <w:b/>
          <w:i/>
          <w:color w:val="242424"/>
          <w:sz w:val="20"/>
        </w:rPr>
      </w:pPr>
      <w:r>
        <w:rPr>
          <w:rFonts w:ascii="Times New Roman;Times;serif" w:hAnsi="Times New Roman;Times;serif"/>
          <w:b/>
          <w:i/>
          <w:color w:val="242424"/>
          <w:sz w:val="20"/>
        </w:rPr>
        <w:t>Redeemable Noncontrolling Interests</w:t>
      </w:r>
    </w:p>
    <w:p>
      <w:pPr>
        <w:pStyle w:val="TextBody"/>
        <w:pBdr/>
        <w:shd w:fill="FFFFFF" w:val="clear"/>
        <w:bidi w:val="0"/>
        <w:spacing w:before="0" w:after="0"/>
        <w:ind w:left="0" w:right="0" w:firstLine="720"/>
        <w:jc w:val="left"/>
        <w:rPr>
          <w:rFonts w:ascii="Times New Roman;Times;serif" w:hAnsi="Times New Roman;Times;serif"/>
          <w:color w:val="242424"/>
          <w:sz w:val="20"/>
        </w:rPr>
      </w:pPr>
      <w:r>
        <w:rPr>
          <w:rFonts w:ascii="Times New Roman;Times;serif" w:hAnsi="Times New Roman;Times;serif"/>
          <w:color w:val="242424"/>
          <w:sz w:val="20"/>
        </w:rPr>
        <w:t>The redeemable noncontrolling interests in the accompanying consolidated balance sheets reflect common and preferred units issued in conjunction with the Company’s acquisition of Alaska Communication and common units issued in conjunction with the Company’s acquisition of Sacred Wind.  (Refer to Note 5).  Generally, the holders of these instruments have the ability to sell the instrument to a subsidiary of the Company in a future period. The common redeemable noncontrolling interests are recorded at the greater of historical cost or fair value.  Historical cost is calculated as the original investment adjusted for subsequent capital contributions and distributions as well as the applicable share of earnings or losses. The fair value is calculated using a market approach and level 3 inputs. If the historical cost is more than the fair value at the end of the reporting period no adjustment is recorded, if the fair value is greater than the historical cost the value of the instrument is adjusted to the fair value with the offsetting amount recorded to retained earnings. The preferred redeemable noncontrolling interests are recorded at cost plus accrued dividends.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Noncontrolling Interests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noncontrolling interests in the accompanying consolidated balance sheets reflect investments made by minority stockholders in certain subsidiaries of the Company. Noncontrolling interests acquired in a business combination are initially recorded at fair value. Subsequently, noncontrolling interests are adjusted for additional capital contributions, the minority stockholder’s proportional share of the earnings or losses, distributions to the minority stockholders and repurchases, by the Company, of such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bookmarkStart w:id="1165" w:name="Tc_4KxWMSEyukiDngRe8d5Vfw_20_11"/>
      <w:bookmarkStart w:id="1166" w:name="Tc_SkLEwTcB-UyBGQ0EaLMbTQ_20_8"/>
      <w:bookmarkStart w:id="1167" w:name="Tc_zDC5Xmuy1kOy1MEoFUCizg_20_6"/>
      <w:bookmarkStart w:id="1168" w:name="Tc_7kv0ATJqo0CwcIlbToZRGA_20_5"/>
      <w:bookmarkStart w:id="1169" w:name="Tc_d-y8G9eybUq2OnS1jncvvw_20_2"/>
      <w:bookmarkStart w:id="1170" w:name="Tc_NMq-HoGt3kiwEseXe1BdVg_20_0"/>
      <w:bookmarkStart w:id="1171" w:name="Tc_XGDn1gP0hE6EyHFDlJC5DQ_19_6"/>
      <w:bookmarkStart w:id="1172" w:name="Tc_BhCb8tvMgkeScLOF5MQSwg_19_3"/>
      <w:bookmarkStart w:id="1173" w:name="Tc_TkIsgsDFAkSTYW19UugkCQ_19_0"/>
      <w:bookmarkStart w:id="1174" w:name="Tc_EcHkrJC0IEWC2g1QKmYO_w_18_9"/>
      <w:bookmarkStart w:id="1175" w:name="Tc_e2ZBuYeL3EiAso89PG8qNw_18_6"/>
      <w:bookmarkStart w:id="1176" w:name="Tc__5R0NbD9YkKMGKGDbALfLQ_18_0"/>
      <w:bookmarkStart w:id="1177" w:name="Tc_-Eqe2M2lPUytkbud_c3Y-g_17_6"/>
      <w:bookmarkStart w:id="1178" w:name="Tc_PyC9TNXhgU6Iski-YoyNHA_17_0"/>
      <w:bookmarkStart w:id="1179" w:name="Tc_fjDsPHlMik-46PRiS6E72Q_16_6"/>
      <w:bookmarkStart w:id="1180" w:name="Tc_jTL1PVBBjUu7MTKokW1I5A_16_3"/>
      <w:bookmarkStart w:id="1181" w:name="Tc_IiUNQpLjbU6vNOy7igolEg_16_0"/>
      <w:bookmarkStart w:id="1182" w:name="Tc_iB4bMS9g90GPnGz3HDndpA_15_9"/>
      <w:bookmarkStart w:id="1183" w:name="Tc_c3ypzBU9YUCF2vVoBqkqPw_15_3"/>
      <w:bookmarkStart w:id="1184" w:name="Tc_wBe3tWC6yEC0-sRokBb2Kw_15_0"/>
      <w:bookmarkStart w:id="1185" w:name="Tc_hjnXhE1mfkumy7mCGFZvoQ_14_9"/>
      <w:bookmarkStart w:id="1186" w:name="Tc_L1N5T6JZWUKvQnt3Fz8Jaw_14_3"/>
      <w:bookmarkStart w:id="1187" w:name="Tc_NqdpUsQN9US5EzZUOu-SLg_14_0"/>
      <w:bookmarkStart w:id="1188" w:name="Tc_oy7IOcUqMk6mIxw0YPUAAQ_13_9"/>
      <w:bookmarkStart w:id="1189" w:name="Tc_DdwqchJj-Umv4DZTvTlvNA_13_6"/>
      <w:bookmarkStart w:id="1190" w:name="Tc_KDp5kdQnpkCzR9RoTPuxuA_13_0"/>
      <w:bookmarkStart w:id="1191" w:name="Tc_wXKHeRVisk--VPUvsb7T0w_12_9"/>
      <w:bookmarkStart w:id="1192" w:name="Tc_2HeT5OGFZE6zUTzZ-QWTgw_12_6"/>
      <w:bookmarkStart w:id="1193" w:name="Tc_firuplIgaUOfH_geBi7eOQ_12_0"/>
      <w:bookmarkStart w:id="1194" w:name="Tc_-gfY2s7sL0yJpi4kwl-b-w_11_9"/>
      <w:bookmarkStart w:id="1195" w:name="Tc_kqEjnpVrT0ilJIZijO_26Q_11_0"/>
      <w:bookmarkStart w:id="1196" w:name="Tc_H3Z45UvNhU6td6iC2UkxKg_10_6"/>
      <w:bookmarkStart w:id="1197" w:name="Tc_RnTi6PLDTUmGGxmsbxs0ew_10_3"/>
      <w:bookmarkStart w:id="1198" w:name="Tc_DRFXbDLpSEGNTfGyUWFgPg_10_0"/>
      <w:bookmarkStart w:id="1199" w:name="Tc_E5pbLAIilEelJTzeUgj_1Q_9_9"/>
      <w:bookmarkStart w:id="1200" w:name="Tc_n2t9AAYaSEWg9a_4xSW3Fg_9_3"/>
      <w:bookmarkStart w:id="1201" w:name="Tc_dBqzf0u52U-BBxj4M0XHKA_9_0"/>
      <w:bookmarkStart w:id="1202" w:name="Tc_LJC-68Y0SUqWzXVqh1sXCQ_8_9"/>
      <w:bookmarkStart w:id="1203" w:name="Tc_cAA_Kgw5BEeJuVbCJlJ-Gg_8_3"/>
      <w:bookmarkStart w:id="1204" w:name="Tc_HcA4xNtt4ky90LoJxIDKVg_8_0"/>
      <w:bookmarkStart w:id="1205" w:name="Tc_8wzXPhJxlk69fgk0xp4HZw_7_9"/>
      <w:bookmarkStart w:id="1206" w:name="Tc_nXN2b0FT90GsppBGOhWYag_7_6"/>
      <w:bookmarkStart w:id="1207" w:name="Tc_sFAibe0_zECLfofRyvljnw_7_0"/>
      <w:bookmarkStart w:id="1208" w:name="Tc_Lkg-rm3J9UW1lKeug5rIXw_6_9"/>
      <w:bookmarkStart w:id="1209" w:name="Tc_8TC7sEuOgkCUS-lhECs8yA_6_6"/>
      <w:bookmarkStart w:id="1210" w:name="Tc_Du1MhY3VLk2_kKeQYDa1ng_6_0"/>
      <w:bookmarkStart w:id="1211" w:name="Tc_Mo2Ax5lSg0207oPqKK289Q_5_11"/>
      <w:bookmarkStart w:id="1212" w:name="Tc_GFrsucABZkqpOPDROxf06Q_5_8"/>
      <w:bookmarkStart w:id="1213" w:name="Tc_TIvWp4axl0mNPLbpg9IGXQ_5_5"/>
      <w:bookmarkStart w:id="1214" w:name="Tc_R4c7wOGZlk28--8DZ2WdQg_5_2"/>
      <w:bookmarkStart w:id="1215" w:name="Tc_4oMSFpjX7ky_nxMWVujIDQ_5_0"/>
      <w:bookmarkStart w:id="1216" w:name="Tc_3fIZfJKu5Uqoxvov7pKN1Q_4_11"/>
      <w:bookmarkStart w:id="1217" w:name="Tc_DMocLpqT7EaJ_6nQn9dG3g_4_8"/>
      <w:bookmarkStart w:id="1218" w:name="Tc_BVLtIx2g9E-xo5Az4c9zzw_4_5"/>
      <w:bookmarkStart w:id="1219" w:name="Tc_yEdCC5_FjUWmakuGn9r2rw_4_2"/>
      <w:bookmarkStart w:id="1220" w:name="Tc_qMWznq-TrkehU13HPB7MGg_3_5"/>
      <w:bookmarkStart w:id="1221" w:name="Tc_upkhUnA4OE6N_GX47UfbIQ_3_2"/>
      <w:bookmarkStart w:id="1222" w:name="Tc_BLvcfrK0GUil1YH7PaHKjg_2_2"/>
      <w:bookmarkStart w:id="1223" w:name="Tc_Nx-rs1VqdEqXndhS776bQg_1_2"/>
      <w:bookmarkStart w:id="1224" w:name="_3cfbc71c_b572_4b95_9ae2_fee0b83bcf36"/>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r>
        <w:rPr>
          <w:rFonts w:ascii="Times New Roman;Times;serif" w:hAnsi="Times New Roman;Times;serif"/>
          <w:b/>
          <w:i/>
          <w:sz w:val="20"/>
        </w:rPr>
        <w:t>Changes in Accumulated Other Comprehensive Income (Loss)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Changes in accumulated other comprehensive income (loss), by component, were as follows (in thousands):</w:t>
      </w:r>
    </w:p>
    <w:tbl>
      <w:tblPr>
        <w:tblW w:w="10205" w:type="dxa"/>
        <w:jc w:val="left"/>
        <w:tblInd w:w="0" w:type="dxa"/>
        <w:tblLayout w:type="fixed"/>
        <w:tblCellMar>
          <w:top w:w="0" w:type="dxa"/>
          <w:left w:w="0" w:type="dxa"/>
          <w:bottom w:w="0" w:type="dxa"/>
          <w:right w:w="0" w:type="dxa"/>
        </w:tblCellMar>
      </w:tblPr>
      <w:tblGrid>
        <w:gridCol w:w="4531"/>
        <w:gridCol w:w="326"/>
        <w:gridCol w:w="348"/>
        <w:gridCol w:w="1117"/>
        <w:gridCol w:w="326"/>
        <w:gridCol w:w="237"/>
        <w:gridCol w:w="709"/>
        <w:gridCol w:w="326"/>
        <w:gridCol w:w="211"/>
        <w:gridCol w:w="661"/>
        <w:gridCol w:w="326"/>
        <w:gridCol w:w="211"/>
        <w:gridCol w:w="683"/>
        <w:gridCol w:w="193"/>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877185" cy="175260"/>
                      <wp:effectExtent l="0" t="0" r="0" b="0"/>
                      <wp:wrapNone/>
                      <wp:docPr id="178" name="Frame176"/>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0980" cy="175260"/>
                      <wp:effectExtent l="0" t="0" r="0" b="0"/>
                      <wp:wrapNone/>
                      <wp:docPr id="180" name="Frame17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09295" cy="175260"/>
                      <wp:effectExtent l="0" t="0" r="0" b="0"/>
                      <wp:wrapNone/>
                      <wp:docPr id="181" name="Frame179"/>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0495" cy="175260"/>
                      <wp:effectExtent l="0" t="0" r="0" b="0"/>
                      <wp:wrapNone/>
                      <wp:docPr id="183" name="Frame18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0215" cy="175260"/>
                      <wp:effectExtent l="0" t="0" r="0" b="0"/>
                      <wp:wrapNone/>
                      <wp:docPr id="184" name="Frame182"/>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19735" cy="175260"/>
                      <wp:effectExtent l="0" t="0" r="0" b="0"/>
                      <wp:wrapNone/>
                      <wp:docPr id="187" name="Frame18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3705" cy="175260"/>
                      <wp:effectExtent l="0" t="0" r="0" b="0"/>
                      <wp:wrapNone/>
                      <wp:docPr id="190" name="Frame188"/>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2555" cy="175260"/>
                      <wp:effectExtent l="0" t="0" r="0" b="0"/>
                      <wp:wrapNone/>
                      <wp:docPr id="191" name="Frame18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Projected</w:t>
            </w:r>
          </w:p>
        </w:tc>
        <w:tc>
          <w:tcPr>
            <w:tcW w:w="326" w:type="dxa"/>
            <w:tcBorders/>
            <w:vAlign w:val="center"/>
          </w:tcPr>
          <w:p>
            <w:pPr>
              <w:pStyle w:val="TableContents"/>
              <w:bidi w:val="0"/>
              <w:spacing w:before="0" w:after="0"/>
              <w:ind w:left="0" w:right="0" w:hanging="0"/>
              <w:jc w:val="center"/>
              <w:rPr/>
            </w:pPr>
            <w:r>
              <w:rPr/>
              <w:t>    </w:t>
            </w:r>
          </w:p>
        </w:tc>
        <w:tc>
          <w:tcPr>
            <w:tcW w:w="237"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83"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and</w:t>
            </w:r>
          </w:p>
        </w:tc>
        <w:tc>
          <w:tcPr>
            <w:tcW w:w="32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3"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3"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Obligations</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26" w:type="dxa"/>
            <w:tcBorders/>
            <w:vAlign w:val="center"/>
          </w:tcPr>
          <w:p>
            <w:pPr>
              <w:pStyle w:val="TableContents"/>
              <w:bidi w:val="0"/>
              <w:spacing w:before="0" w:after="0"/>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3" w:type="dxa"/>
            <w:tcBorders/>
            <w:vAlign w:val="center"/>
          </w:tcPr>
          <w:p>
            <w:pPr>
              <w:pStyle w:val="TableContents"/>
              <w:bidi w:val="0"/>
              <w:spacing w:before="0" w:after="0"/>
              <w:ind w:left="0" w:right="0" w:hanging="0"/>
              <w:jc w:val="center"/>
              <w:rPr/>
            </w:pPr>
            <w:r>
              <w:rPr/>
              <w:t> </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w:t>
            </w:r>
          </w:p>
        </w:tc>
        <w:tc>
          <w:tcPr>
            <w:tcW w:w="193" w:type="dxa"/>
            <w:tcBorders/>
            <w:shd w:fill="CCEEFF" w:val="clear"/>
            <w:vAlign w:val="center"/>
          </w:tcPr>
          <w:p>
            <w:pPr>
              <w:pStyle w:val="TableContents"/>
              <w:bidi w:val="0"/>
              <w:spacing w:before="0" w:after="0"/>
              <w:ind w:left="0" w:right="0" w:hanging="0"/>
              <w:jc w:val="righ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actuarial gain, net of tax of $(0.2) million</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193"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settlement, net of tax of $(0.8) million</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193" w:type="dxa"/>
            <w:tcBorders/>
            <w:shd w:fill="CCEEFF" w:val="clear"/>
            <w:vAlign w:val="center"/>
          </w:tcPr>
          <w:p>
            <w:pPr>
              <w:pStyle w:val="TableContents"/>
              <w:bidi w:val="0"/>
              <w:spacing w:before="0" w:after="0"/>
              <w:ind w:left="0" w:right="0" w:hanging="0"/>
              <w:jc w:val="righ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foreign currency losses on investments sold, net of tax of $0.2 million</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w:t>
            </w:r>
          </w:p>
        </w:tc>
        <w:tc>
          <w:tcPr>
            <w:tcW w:w="11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93"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11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193" w:type="dxa"/>
            <w:tcBorders/>
            <w:shd w:fill="CCEEFF" w:val="clear"/>
            <w:vAlign w:val="center"/>
          </w:tcPr>
          <w:p>
            <w:pPr>
              <w:pStyle w:val="TableContents"/>
              <w:bidi w:val="0"/>
              <w:spacing w:before="0" w:after="0"/>
              <w:ind w:left="0" w:right="0" w:hanging="0"/>
              <w:jc w:val="righ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93"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w:t>
            </w:r>
          </w:p>
        </w:tc>
        <w:tc>
          <w:tcPr>
            <w:tcW w:w="193" w:type="dxa"/>
            <w:tcBorders/>
            <w:shd w:fill="CCEEFF" w:val="clear"/>
            <w:vAlign w:val="center"/>
          </w:tcPr>
          <w:p>
            <w:pPr>
              <w:pStyle w:val="TableContents"/>
              <w:bidi w:val="0"/>
              <w:spacing w:before="0" w:after="0"/>
              <w:ind w:left="0" w:right="0" w:hanging="0"/>
              <w:jc w:val="righ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actuarial gain, net of tax of $0</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193"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settlement, net of tax of $(0.2) million</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 of foreign currency losses on investments, net of tax of $0 </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193"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net of tax of $0.6 million</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193"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actuarial gain, net of tax of $(0.1) million</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193"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net of tax of $(0.5) million</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vAlign w:val="center"/>
          </w:tcPr>
          <w:p>
            <w:pPr>
              <w:pStyle w:val="TableContents"/>
              <w:bidi w:val="0"/>
              <w:spacing w:before="0" w:after="0"/>
              <w:ind w:left="0" w:right="0" w:hanging="0"/>
              <w:jc w:val="lef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11,654</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reclassified from accumulated other comprehensive income to net income for pension and other postretirement benefits plans were $0.2 million, $0.2 million, and $0.9 million for the years ended December 31, 2024, 2023, and 2022, respectively. Additionally, $1.3 million was reclassified from accumulated other comprehensive income to net income as a result of the foreign currency translation adjustments losses on assets sold during the year ended December 31, 2023.</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earns revenue from its telecommunication operations. The Company recognizes revenue through the following steps:</w:t>
      </w:r>
    </w:p>
    <w:tbl>
      <w:tblPr>
        <w:tblW w:w="4086" w:type="dxa"/>
        <w:jc w:val="left"/>
        <w:tblInd w:w="0" w:type="dxa"/>
        <w:tblLayout w:type="fixed"/>
        <w:tblCellMar>
          <w:top w:w="28" w:type="dxa"/>
          <w:left w:w="28" w:type="dxa"/>
          <w:bottom w:w="28" w:type="dxa"/>
          <w:right w:w="28" w:type="dxa"/>
        </w:tblCellMar>
      </w:tblPr>
      <w:tblGrid>
        <w:gridCol w:w="124"/>
        <w:gridCol w:w="16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with a customer</w:t>
            </w:r>
          </w:p>
        </w:tc>
      </w:tr>
    </w:tbl>
    <w:tbl>
      <w:tblPr>
        <w:tblW w:w="5301" w:type="dxa"/>
        <w:jc w:val="left"/>
        <w:tblInd w:w="0" w:type="dxa"/>
        <w:tblLayout w:type="fixed"/>
        <w:tblCellMar>
          <w:top w:w="28" w:type="dxa"/>
          <w:left w:w="28" w:type="dxa"/>
          <w:bottom w:w="28" w:type="dxa"/>
          <w:right w:w="28" w:type="dxa"/>
        </w:tblCellMar>
      </w:tblPr>
      <w:tblGrid>
        <w:gridCol w:w="124"/>
        <w:gridCol w:w="16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516" w:type="dxa"/>
        <w:jc w:val="left"/>
        <w:tblInd w:w="0" w:type="dxa"/>
        <w:tblLayout w:type="fixed"/>
        <w:tblCellMar>
          <w:top w:w="28" w:type="dxa"/>
          <w:left w:w="28" w:type="dxa"/>
          <w:bottom w:w="28" w:type="dxa"/>
          <w:right w:w="28" w:type="dxa"/>
        </w:tblCellMar>
      </w:tblPr>
      <w:tblGrid>
        <w:gridCol w:w="124"/>
        <w:gridCol w:w="16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6966" w:type="dxa"/>
        <w:jc w:val="left"/>
        <w:tblInd w:w="0" w:type="dxa"/>
        <w:tblLayout w:type="fixed"/>
        <w:tblCellMar>
          <w:top w:w="28" w:type="dxa"/>
          <w:left w:w="28" w:type="dxa"/>
          <w:bottom w:w="28" w:type="dxa"/>
          <w:right w:w="28" w:type="dxa"/>
        </w:tblCellMar>
      </w:tblPr>
      <w:tblGrid>
        <w:gridCol w:w="124"/>
        <w:gridCol w:w="16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w:t>
            </w:r>
          </w:p>
        </w:tc>
      </w:tr>
    </w:tbl>
    <w:tbl>
      <w:tblPr>
        <w:tblW w:w="6846" w:type="dxa"/>
        <w:jc w:val="left"/>
        <w:tblInd w:w="0" w:type="dxa"/>
        <w:tblLayout w:type="fixed"/>
        <w:tblCellMar>
          <w:top w:w="28" w:type="dxa"/>
          <w:left w:w="28" w:type="dxa"/>
          <w:bottom w:w="28" w:type="dxa"/>
          <w:right w:w="28" w:type="dxa"/>
        </w:tblCellMar>
      </w:tblPr>
      <w:tblGrid>
        <w:gridCol w:w="124"/>
        <w:gridCol w:w="16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Company satisfies performance obligations</w:t>
            </w:r>
          </w:p>
        </w:tc>
      </w:tr>
    </w:tbl>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Recognition- Communications Services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Communication services consists of Mobility, Fixed, and Carrier Services revenue. Mobility revenue consists of revenue generated from providing mobile communication services to consumer and business subscribers over the Company’s wireless networks and the sale of related equipment to its subscribers. The service revenue generated is recognized over time as the service is rendered and revenues from equipment are recognized when the equipment is delivered to the customer.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Fixed Communications revenue is primarily generated by fixed data and voice telecommunications services to both business and consumer subscribers. The service includes consumer broadband and high speed data solutions for businesses, as well as video services. Revenue from these contracts is recognized over time as the service is rendered to the customer. Fixed revenue also includes revenue from government grants and is recognized in accordance with the grant terms and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both Fixed and Mobility revenue contracts, management considers transactions where customers purchase subsidized or discounted equipment and services to be a single contract. For these contracts, the transaction price is allocated to the equipment and service based on their standalone selling prices. The standalone selling price is based on the amount the Company charges for the equipment and service to similar customers. Equipment revenue is recognized when the equipment is delivered to customers and service revenue is recognized as service is rendered.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Carrier Services revenue is generated from providing services to other telecommunications providers such as wholesale roaming, the leasing of critical network infrastructure such as tower and transport facilities, site maintenance, and international long-distance services. Revenue is recognized over time as the service is rendered to the customer.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July 2019 the Company entered into a Network Build and Maintenance Agreement (the “FirstNet Agreement”) with AT&amp;T Mobility, LLC (“AT&amp;T”) to build a portion of AT&amp;T’s network for the First Responder Network Authority (“FirstNet”) as well as a commercial wireless network in or near the Company’s current operating area in the 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The construction revenue is recognized when the assets are delivered and the service revenue is recognized over time as the service is rendered to the customer. The current portion of receivables under this agreement is recorded in customer receivable and the long-term portion is recorded in customer receivable long-term on the Company’s balance sheet.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May 2023, the Company amended its current roaming agreement and entered into a carrier management services agreement with Verizon Wireless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The standalone selling price is the estimated price the Company would charge for the good or service in a separate transaction with similar customers in similar circumstances.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Mobility, Carrier Services, and Fixed communications contracts occasionally include promotional discounts such as free service periods or discounted products. If a contract contains a substantive termination penalty, the transaction price is allocated to the performance obligations based on a standalone selling price resulting in accelerated revenue recognition and the establishment of a contract asset that will be recognized over the life of the contract. If a contract includes a promotional discount but no substantive termination penalty, the discount is recorded in the promotional period and no contract asset is established. The Company’s customers also have the option to purchase additional telecommunication services. Generally, these options are not performance obligations and are excluded from the transaction price because they do not provide the customers with a material right.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may charge upfront fees for activation and installation of some of its products and services. These fees are reviewed to determine if they represent a separate performance obligation. If they do not represent a separate performance obligation, the transaction price associated with them is recognized over the life of the customer. If the fees represent a performance obligation they are recognized when delivered to the customer based on the standalone selling price.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certain wholesale roaming agreements that contain stand ready performance obligations and management allocates transaction value to performance obligations based on the standalone selling price. The standalone selling price is the estimated price the Company would charge for the good or service with similar customers in similar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circumstances. Management determined the performance obligations were obligations to make the service continuously available and will recognize revenue evenly over the service period.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also enters into build and maintenance agreements with its customers. The agreements include construction and service performance obligations. The Company allocates the transaction price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Sales and use and state excise taxes collected from customers that are remitted to the governmental authorities are reported on a net basis and excluded from the revenues and sales.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Recognition- Construction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Construction revenue is generated from construction services provided to telecommunications customers. The Company recognizes revenue at a point in time when the product is delivered to the customer.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Recognition-Other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revenue consists of Managed Services revenue. Managed services revenue is generated from information technology services such as network, application, infrastructure, and hosting services to both business and consumer customers. The revenue is recognized as the service is delivered to customers.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Contract liabilities consist of advance payments and billings in excess of revenue recognized. Retail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mobile voice and data services, sold to customers is recorded as deferred revenue prior to the commencement of services. The Company also records deferred revenue associated with prepaid service agreements to provide data capacity to customers. For these service agreements, a contract liability is established and recognized as revenue on a straight-line basis over the life of the agreement. The current portion of contract liabilities is recorded in advanced payments and deposits and the noncurrent portion is included in deferred revenue, long-term on the Company’s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Contract Acquisition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pays sales commissions to its employees and agents for obtaining customer contracts. These costs are incremental because they would not have been incurred if the contract was not obtained. The Company recognizes an asset for these costs in Other assets on the Company’s consolidated balance sheets and subsequently amortizes the asset on a systematic basis consistent with the pattern of the transfer of the services to the customer. The amortization period, which is between 2 and 6 years, considers both the original contract period as well as anticipated contract renewals as appropriate. The amortization period includes contract renewals when renewal commissions are not commensurate with new commissions. The Company estimates contract renewals based on its actual renewals in recent periods. When the expected amortization period is one year or less the Company utilizes the practical expedient and expenses the costs as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determines if an agreement is a lease at inception. Operating leases are included in right-of-use (“ROU”) assets, current portion of operating lease liabilities, and operating lease liabilities in the Company’s consolidated balance sheets. Finance leases are included in property and equipment in the Company’s consolidated balance sheets.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The present value is calculated using the Company’s incremental borrowing rate based on the information available at the commencement date, as the Company’s leases do not contain an implicit rate. The Company utilizes assumptions based on its existing borrowing facilities and other market specific data to determine its incremental borrowing rate. The operating lease ROU asset also includes any lease payments made and excludes lease incentives. The Company’s lease terms may include renewal options to extend the lease. The Company includes renewal options that are reasonably certain to be exercised in the initial lease term. When determining whether a renewal option is reasonably certain to be exercised, the Company considers several factors, including the present and anticipated future needs of its customers being serviced by the asset. Lease expense is recognized on a straight-line basis over the lease term. The Company does not separate non-lease components from lease components.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assists third parties in the government grant funding application process. Under these arrangements the Company is identified as a sub-recipient of the grant. The Company evaluates these agreements under lease accounting guidance. Generally, the Company provides construction and network operation services to the grant recipient. During the construction phase the Company records cash receipts and disbursements on its balance sheet and will not record a gain or loss on construction. Upon construction completion, the Company will record a finance lease asset which will include payments made to the lessor and exclude lease incentives.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Cost of communication services and other</w:t>
      </w:r>
      <w:r>
        <w:rPr>
          <w:rFonts w:ascii="Times New Roman;Times;serif" w:hAnsi="Times New Roman;Times;serif"/>
          <w:b/>
          <w:sz w:val="20"/>
        </w:rPr>
        <w:t xml:space="preserve">. </w:t>
      </w:r>
      <w:r>
        <w:rPr>
          <w:rFonts w:ascii="Times New Roman;Times;serif" w:hAnsi="Times New Roman;Times;serif"/>
          <w:sz w:val="20"/>
          <w:shd w:fill="FFFFFF" w:val="clear"/>
        </w:rPr>
        <w:t>Cost of communication services and other are charges that the Company incurs for voice and data transport circuits (in particular, the circuits between its Mobility sites) and its switches, internet capacity, video programming costs, access fees it pays to terminate its calls, telecommunication spectrum fees and direct costs associated within its Managed Services business. Cost of communication services also include expenses associated with developing, operating, upgrading and supporting the Company’s telecommunications networks, including the salaries and benefits paid to employees directly involved in the development and operation of those businesses, as well as credit loss allowances and the cost of handsets and customer resale equipment incurred by its retail businesses.</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Cost of construction revenue. </w:t>
      </w:r>
      <w:r>
        <w:rPr>
          <w:rFonts w:ascii="Times New Roman;Times;serif" w:hAnsi="Times New Roman;Times;serif"/>
          <w:sz w:val="20"/>
        </w:rPr>
        <w:t xml:space="preserve"> Cost of constructions revenue include the expenses associated with constructing and making the FirstNet sites available for delivery to ATT.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w:t>
      </w:r>
      <w:r>
        <w:rPr>
          <w:rFonts w:ascii="Times New Roman;Times;serif" w:hAnsi="Times New Roman;Times;serif"/>
          <w:sz w:val="20"/>
        </w:rPr>
        <w:t xml:space="preserve"> Selling, general and administrative expenses include salaries and 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Transaction-related charges.</w:t>
      </w:r>
      <w:r>
        <w:rPr>
          <w:rFonts w:ascii="Times New Roman;Times;serif" w:hAnsi="Times New Roman;Times;serif"/>
          <w:sz w:val="20"/>
        </w:rPr>
        <w:t>  Transaction-related charges include the costs, such as legal, tax, accounting and consulting fees directly associated with acquisition and disposition-related activities, which are expensed as incurred. Transaction-related charges also include certain internal personnel costs incurred as a result of the completion of the acquisition or disposition.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225" w:name="Tc_hDvbpWJSxkqEU9s_Sc84dQ_5_8"/>
      <w:bookmarkStart w:id="1226" w:name="Tc_DsXY5Gi_FEaGPq5ZQBEdiA_5_5"/>
      <w:bookmarkStart w:id="1227" w:name="Tc_Cg34Rf5VYUWlADKdU88lbQ_5_2"/>
      <w:bookmarkStart w:id="1228" w:name="Tc_FJIADW6nNEiyLmjxXvMkbg_5_0"/>
      <w:bookmarkStart w:id="1229" w:name="Tc_q_hOdDZookWVAIsWB2uOHQ_4_6"/>
      <w:bookmarkStart w:id="1230" w:name="Tc_2Hpmjymzk0yCmK5KjJd_sw_4_0"/>
      <w:bookmarkStart w:id="1231" w:name="Tc_tAiXwDCwnkSI5wNBNkSnpA_3_8"/>
      <w:bookmarkStart w:id="1232" w:name="Tc_RV8KzDW5vE-wer70J32vgg_3_5"/>
      <w:bookmarkStart w:id="1233" w:name="Tc_HQN99JzFjE-uHhml9F4ttw_3_2"/>
      <w:bookmarkStart w:id="1234" w:name="Tc_WxfXo9rDUEWsjVIUPiYM8A_3_0"/>
      <w:bookmarkStart w:id="1235" w:name="Tc_6mIdeVJKbEG4GcHZi56q9g_2_9"/>
      <w:bookmarkStart w:id="1236" w:name="Tc_ceE8UqE3rkOc7MtVef3QGw_2_6"/>
      <w:bookmarkStart w:id="1237" w:name="Tc_QkRievQe10yoQGi0bnujNQ_2_3"/>
      <w:bookmarkStart w:id="1238" w:name="Tc_6UJNcv06TE-Omp0a5Dt2jw_1_6"/>
      <w:bookmarkStart w:id="1239" w:name="Tc_RYPBBxKa8EerDiB9Ljkh5g_1_3"/>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i/>
          <w:sz w:val="20"/>
        </w:rPr>
        <w:t>Restructuring and reorganization expenses</w:t>
      </w:r>
      <w:r>
        <w:rPr>
          <w:rFonts w:ascii="Times New Roman;Times;serif" w:hAnsi="Times New Roman;Times;serif"/>
          <w:sz w:val="20"/>
        </w:rPr>
        <w:t xml:space="preserve">. </w:t>
      </w:r>
    </w:p>
    <w:p>
      <w:pPr>
        <w:pStyle w:val="TextBody"/>
        <w:bidi w:val="0"/>
        <w:spacing w:before="280" w:after="0"/>
        <w:ind w:left="0" w:right="0" w:firstLine="720"/>
        <w:jc w:val="left"/>
        <w:rPr>
          <w:rFonts w:ascii="Times New Roman;Times;serif" w:hAnsi="Times New Roman;Times;serif"/>
          <w:i/>
          <w:sz w:val="20"/>
        </w:rPr>
      </w:pPr>
      <w:r>
        <w:rPr>
          <w:rFonts w:ascii="Times New Roman;Times;serif" w:hAnsi="Times New Roman;Times;serif"/>
          <w:i/>
          <w:sz w:val="20"/>
        </w:rPr>
        <w:t>2023 Restructuring</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order to reduce the Company’s US Telecom and International Telecom segments’ cost structure the Company has incurred certain network termination and reduction in force costs totaling $12.4 million during the restructuring program which began in the first quarter of 2023 and ended March 31, 2024. A summary of the costs is below:</w:t>
      </w:r>
    </w:p>
    <w:p>
      <w:pPr>
        <w:pStyle w:val="TextBody"/>
        <w:bidi w:val="0"/>
        <w:spacing w:before="280" w:after="0"/>
        <w:ind w:left="0" w:right="0" w:hanging="0"/>
        <w:jc w:val="left"/>
        <w:rPr/>
      </w:pPr>
      <w:r>
        <w:rPr/>
        <w:t>​</w:t>
      </w:r>
    </w:p>
    <w:tbl>
      <w:tblPr>
        <w:tblW w:w="6139" w:type="dxa"/>
        <w:jc w:val="left"/>
        <w:tblInd w:w="0" w:type="dxa"/>
        <w:tblLayout w:type="fixed"/>
        <w:tblCellMar>
          <w:top w:w="0" w:type="dxa"/>
          <w:left w:w="0" w:type="dxa"/>
          <w:bottom w:w="0" w:type="dxa"/>
          <w:right w:w="0" w:type="dxa"/>
        </w:tblCellMar>
      </w:tblPr>
      <w:tblGrid>
        <w:gridCol w:w="2626"/>
        <w:gridCol w:w="109"/>
        <w:gridCol w:w="211"/>
        <w:gridCol w:w="706"/>
        <w:gridCol w:w="109"/>
        <w:gridCol w:w="211"/>
        <w:gridCol w:w="1066"/>
        <w:gridCol w:w="109"/>
        <w:gridCol w:w="211"/>
        <w:gridCol w:w="78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67510" cy="175260"/>
                      <wp:effectExtent l="0" t="0" r="0" b="0"/>
                      <wp:wrapNone/>
                      <wp:docPr id="192" name="Frame19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48310" cy="175260"/>
                      <wp:effectExtent l="0" t="0" r="0" b="0"/>
                      <wp:wrapNone/>
                      <wp:docPr id="195" name="Frame19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76910" cy="175260"/>
                      <wp:effectExtent l="0" t="0" r="0" b="0"/>
                      <wp:wrapNone/>
                      <wp:docPr id="198" name="Frame19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95935" cy="175260"/>
                      <wp:effectExtent l="0" t="0" r="0" b="0"/>
                      <wp:wrapNone/>
                      <wp:docPr id="201" name="Frame1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termination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termination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5,777</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12,418</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Of this amount, $1.2 million and $11.2 million were recorded in Restructuring and reorganization on the Company’s Consolidated Income Statements during the year ended December 31, 2024 and 2023, respectively. As of December 31, 2024, the Company paid $11.9 million, recorded a gain of $0.3 million on lease termination, and has $0.8 million of the restructuring expenses accrued. In conjunction with the restructuring, the Company terminated $5.6 million of lease right of use assets and $5.9 million of lease liabilities from its balance sheet. </w:t>
      </w:r>
    </w:p>
    <w:p>
      <w:pPr>
        <w:pStyle w:val="TextBody"/>
        <w:bidi w:val="0"/>
        <w:spacing w:before="280" w:after="0"/>
        <w:ind w:left="0" w:right="0" w:firstLine="720"/>
        <w:jc w:val="left"/>
        <w:rPr>
          <w:rFonts w:ascii="Times New Roman;Times;serif" w:hAnsi="Times New Roman;Times;serif"/>
          <w:i/>
          <w:sz w:val="20"/>
        </w:rPr>
      </w:pPr>
      <w:r>
        <w:rPr>
          <w:rFonts w:ascii="Times New Roman;Times;serif" w:hAnsi="Times New Roman;Times;serif"/>
          <w:i/>
          <w:sz w:val="20"/>
        </w:rPr>
        <w:t>2024 Reorganization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efforts to advance its cost management actions to drive higher operating margins, the Company initiated a corporate reorganization to reduce operating expenses. Under this initiative, the Company incurred $2.3 million of employee severance and termination costs during the year ended December 31, 2024. Of this amount, $0.3 million, $1.1 million and $0.9 million were incurred within the International Telecom, US Telecom and Corporate and Other segments, respectively, and $1.6 million was paid during the year ended December 31, 2024 with the remaining $0.7 million being accrued for at December 31,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Depreciation and amortization expenses.</w:t>
      </w:r>
      <w:r>
        <w:rPr>
          <w:rFonts w:ascii="Times New Roman;Times;serif" w:hAnsi="Times New Roman;Times;serif"/>
          <w:sz w:val="20"/>
        </w:rPr>
        <w:t>  Depreciation and amortization expenses represent the depreciation and amortization charges the Company records on its property and equipment and on certain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Amortization of intangibles from acquisitions. </w:t>
      </w:r>
      <w:r>
        <w:rPr>
          <w:rFonts w:ascii="Times New Roman;Times;serif" w:hAnsi="Times New Roman;Times;serif"/>
          <w:sz w:val="20"/>
        </w:rPr>
        <w:t>Amortization of intangibles from acquisitions include the amortization of customer relationships and trade names related to the Company’s completed acquisitions.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Goodwill impairment. </w:t>
      </w:r>
      <w:r>
        <w:rPr>
          <w:rFonts w:ascii="Times New Roman;Times;serif" w:hAnsi="Times New Roman;Times;serif"/>
          <w:sz w:val="20"/>
        </w:rPr>
        <w:t xml:space="preserve">The Company assesses goodwill for impairment on an annual basis, or more frequently when events and circumstances occur indicating that the recorded goodwill may be impaired. If the carrying value of the reporting unit, including goodwill, exceeds the fair value of the reporting unit an impairment charge is recorded equal to the excess, but not more than the total amount of goodwill allocated to the reporting unit. See Note 7 for a discussion of the Company’s impairment of its goodwill within its US Telecom segment in 2024.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(Gain) loss on disposition of assets and transfers. </w:t>
      </w:r>
      <w:r>
        <w:rPr>
          <w:rFonts w:ascii="Times New Roman;Times;serif" w:hAnsi="Times New Roman;Times;serif"/>
          <w:sz w:val="20"/>
        </w:rPr>
        <w:t xml:space="preserve">The Company sells or disposes assets from time to time. A gain or loss is recorded by comparing the carrying amount of the assets to the proceeds received. The Company also records losses on assets held for sale if the expected sale price exceeds the carrying value of the assets. A gain or loss is also recorded on changes in the fair value of asset or liability classified contingent consideration from business combinations in the postcombination period. During the year ended December 31, 2024, the Company recorded a gain on the disposition of assets and transfers of $13.3 million primarily related to the International Telecom segment’s disposal of a non-core fixed asset of real property which resulted in a gain of $15.5 million on the transaction. The Company received cash proceeds of $17.8 million which was offset by the asset’s book value of $0.5 million and $1.8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million of transaction costs. This gain was partially offset by a $2.5 million loss, within the US Telecom segment, primarily related to the transfer of certain assets.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Accounting for Grants and Subsidies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receives funding from the US Government and its agencies through the Universal Service Fund, the Secure and Trusted Communications Networks Reimbursement Program, and other programs. These funding programs are generally designed to fund telecommunications operations and infrastructure expansion into rural or underserved areas. The funding programs are evaluated to determine if they represent funding related to revenue, capital expenditures or operating activities. Funding for revenue and operating activities are recorded as revenue or contra expense in the Company’s consolidated income statement as the services are provided. Funding for capital expenditures is recorded as a reduction to property, plant and equipment on the Company’s consolidated balance sheets and a future reduction in depreciation expense in the consolidated income statements. Government funding related to revenue and operations are recorded as operating cash inflows and funding for capital expenditures are recorded as investing cash inflows.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monitors government funding for grant requirements to ensure that conditions related to grants have been met and there is reasonable assurance that the Company will be able to retain the grant proceeds and to ensure that any contingencies that may arise from not meeting the conditions are appropriately recognized. See Note 9, </w:t>
      </w:r>
      <w:r>
        <w:rPr>
          <w:rFonts w:ascii="Times New Roman;Times;serif" w:hAnsi="Times New Roman;Times;serif"/>
          <w:i/>
          <w:sz w:val="20"/>
        </w:rPr>
        <w:t>Government Support and Spectrum Programs</w:t>
      </w:r>
      <w:r>
        <w:rPr>
          <w:rFonts w:ascii="Times New Roman;Times;serif" w:hAnsi="Times New Roman;Times;serif"/>
          <w:sz w:val="20"/>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recognizes deferred tax assets to the extent that the Company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authority. It is possible that the ultimate resolution of these uncertain matters may be greater or less than the amount that the Company estimated. If payment of these amounts proves to be unnecessary, the reversal of the liabilities would result in tax benefits being recognized in the period in which it is determined that the liabilities are no longer necessary. If the estimate of tax liabilities proves to be more than the ultimate assessment, a further charge to expense would result.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recognizes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does not provide for United States income taxes on earnings of foreign subsidiaries as such earnings are considered to be indefinitely reinvested.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Credit Concentrations and Significant Customers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2024 and 2023, no individual customer accounted for more than 10% of consolidated revenue in that year.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2024, and 2023, no customers accounted for more than 10% of the Company’s consolidated accounts receivable. In addition, at December 31, 2024 and 2023, the Company recorded $37.7 million and $47.3 million of receivables under the FCC’s Replace and Remove Program, respectively.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Foreign Currency Gains and Losses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translates the assets and liabilities of its foreign subsidiaries from their respective functional currencies, primarily the Guyana Dollar, to US dollars at the appropriate spot rates as of the balance sheet date. Changes in the carrying values of these assets and liabilities attributable to fluctuations in spot rates are recognized in foreign currency translation adjustment, a component of accumulated other comprehensive income. Income statement accounts are translated using the monthly average exchange rates during the year.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the income statement.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Employee Benefit Plans</w:t>
      </w:r>
    </w:p>
    <w:p>
      <w:pPr>
        <w:pStyle w:val="TextBody"/>
        <w:bidi w:val="0"/>
        <w:spacing w:before="280" w:after="0"/>
        <w:ind w:left="576" w:right="0" w:hanging="0"/>
        <w:jc w:val="left"/>
        <w:rPr>
          <w:rFonts w:ascii="Times New Roman;Times;serif" w:hAnsi="Times New Roman;Times;serif"/>
          <w:b w:val="false"/>
          <w:i/>
          <w:sz w:val="20"/>
        </w:rPr>
      </w:pPr>
      <w:r>
        <w:rPr>
          <w:rFonts w:ascii="Times New Roman;Times;serif" w:hAnsi="Times New Roman;Times;serif"/>
          <w:b w:val="false"/>
          <w:i/>
          <w:sz w:val="20"/>
        </w:rPr>
        <w:t>Pension and Postretirement Benefit Plans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sponsors pension and other postretirement benefit plans for employees of certain subsidiaries. Net periodic pension expense is recognized in the Company’s income statement. The service cost component of net periodic pension expense is presented with other employee compensation within income from operations. Other components of net periodic pension expense, such as interest cost, expected return on plan assets, and amortization of actuarial gains and losses are presented in other income. The Company recognizes a pension or other postretirement benefit plan’s funded status as either an asset or liability in its consolidated balance sheet. Actuarial gains and losses are deferred, reported as a component of other comprehensive income, and amortized through net periodic pension expense in subsequent periods. </w:t>
      </w:r>
    </w:p>
    <w:p>
      <w:pPr>
        <w:pStyle w:val="TextBody"/>
        <w:bidi w:val="0"/>
        <w:spacing w:before="280" w:after="0"/>
        <w:ind w:left="576" w:right="0" w:hanging="0"/>
        <w:jc w:val="left"/>
        <w:rPr>
          <w:rFonts w:ascii="Times New Roman;Times;serif" w:hAnsi="Times New Roman;Times;serif"/>
          <w:b w:val="false"/>
          <w:i/>
          <w:sz w:val="20"/>
        </w:rPr>
      </w:pPr>
      <w:r>
        <w:rPr>
          <w:rFonts w:ascii="Times New Roman;Times;serif" w:hAnsi="Times New Roman;Times;serif"/>
          <w:b w:val="false"/>
          <w:i/>
          <w:sz w:val="20"/>
        </w:rPr>
        <w:t>Multi-employer Defined Benefit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Certain of the Company’s employees in the US Telecom segment participate in a multi-employer defined pension plan. The Company pays and expenses a contractual hourly amount based on employee classification or base compensation. The accumulated benefits and plan assets are not determined for, or allocated separately to, individual employers.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tbl>
      <w:tblPr>
        <w:tblW w:w="10205" w:type="dxa"/>
        <w:jc w:val="left"/>
        <w:tblInd w:w="0" w:type="dxa"/>
        <w:tblLayout w:type="fixed"/>
        <w:tblCellMar>
          <w:top w:w="0" w:type="dxa"/>
          <w:left w:w="0" w:type="dxa"/>
          <w:bottom w:w="0" w:type="dxa"/>
          <w:right w:w="0" w:type="dxa"/>
        </w:tblCellMar>
      </w:tblPr>
      <w:tblGrid>
        <w:gridCol w:w="736"/>
        <w:gridCol w:w="9469"/>
      </w:tblGrid>
      <w:tr>
        <w:trPr/>
        <w:tc>
          <w:tcPr>
            <w:tcW w:w="736" w:type="dxa"/>
            <w:tcBorders/>
            <w:vAlign w:val="center"/>
          </w:tcPr>
          <w:p>
            <w:pPr>
              <w:pStyle w:val="TableContents"/>
              <w:bidi w:val="0"/>
              <w:spacing w:lineRule="atLeast" w:line="142" w:before="0" w:after="0"/>
              <w:ind w:left="0" w:right="0" w:hanging="0"/>
              <w:jc w:val="left"/>
              <w:rPr/>
            </w:pPr>
            <w:r>
              <w:rPr/>
              <w:t>​</w:t>
            </w:r>
          </w:p>
        </w:tc>
        <w:tc>
          <w:tcPr>
            <w:tcW w:w="9469" w:type="dxa"/>
            <w:tcBorders/>
            <w:vAlign w:val="center"/>
          </w:tcPr>
          <w:p>
            <w:pPr>
              <w:pStyle w:val="TableContents"/>
              <w:bidi w:val="0"/>
              <w:spacing w:lineRule="atLeast" w:line="142" w:before="0" w:after="0"/>
              <w:ind w:left="0" w:right="0" w:hanging="0"/>
              <w:jc w:val="lef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w:t>
            </w:r>
          </w:p>
        </w:tc>
        <w:tc>
          <w:tcPr>
            <w:tcW w:w="9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pStyle w:val="TableContents"/>
              <w:bidi w:val="0"/>
              <w:spacing w:before="280" w:after="0"/>
              <w:ind w:left="0" w:right="0" w:hanging="0"/>
              <w:jc w:val="lef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9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pStyle w:val="TableContents"/>
              <w:bidi w:val="0"/>
              <w:spacing w:before="280" w:after="0"/>
              <w:ind w:left="0" w:right="0" w:hanging="0"/>
              <w:jc w:val="lef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w:t>
            </w:r>
          </w:p>
        </w:tc>
        <w:tc>
          <w:tcPr>
            <w:tcW w:w="9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280" w:after="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240" w:name="Tc_idZMPGCUYUefB66cZrAVpQ_13_11"/>
      <w:bookmarkStart w:id="1241" w:name="Tc_rIC55aiqQ0OfL0GsK0FvGA_13_8"/>
      <w:bookmarkStart w:id="1242" w:name="Tc_1010R4okEEeFL3SrtLc-fw_13_5"/>
      <w:bookmarkStart w:id="1243" w:name="Tc_rbtOLsLg2EGHFwguBzqBRQ_13_2"/>
      <w:bookmarkStart w:id="1244" w:name="Tc_EdFMVhB3ckKYh768Lcr6bg_13_0"/>
      <w:bookmarkStart w:id="1245" w:name="Tc_pbVl9NUznEu2ARPktimU8w_12_6"/>
      <w:bookmarkStart w:id="1246" w:name="Tc_aGYdQFHmiUGr0FTKxJb97Q_12_3"/>
      <w:bookmarkStart w:id="1247" w:name="Tc_vT5E1Rz480CowLPDle8JjA_12_0"/>
      <w:bookmarkStart w:id="1248" w:name="Tc_mjQKRiHrR0udKnXQj0fkgw_11_6"/>
      <w:bookmarkStart w:id="1249" w:name="Tc_LUl_v2F9eEmibFxAUXnY9A_11_3"/>
      <w:bookmarkStart w:id="1250" w:name="Tc_xq9YE_Z5nEeTSCPiq0QPrw_11_0"/>
      <w:bookmarkStart w:id="1251" w:name="Tc_j_ZHp40Wck2K4UCzytno8g_10_6"/>
      <w:bookmarkStart w:id="1252" w:name="Tc_s23QYL0-uEqF_ABmgtvPCg_10_3"/>
      <w:bookmarkStart w:id="1253" w:name="Tc_IvewqnBst06uJdLm1ZLaLA_10_0"/>
      <w:bookmarkStart w:id="1254" w:name="Tc_nRC6slBtd0KNoOCFHsA1TQ_9_9"/>
      <w:bookmarkStart w:id="1255" w:name="Tc_yNds1U6NMkWyGTDFi4xvVA_9_3"/>
      <w:bookmarkStart w:id="1256" w:name="Tc_A80fVh6vLU-nR5mFUi75Zw_9_0"/>
      <w:bookmarkStart w:id="1257" w:name="Tc_ll4CHzYeQU-mkya-Rzd7cA_8_9"/>
      <w:bookmarkStart w:id="1258" w:name="Tc_jq0CGo9aC0ioFsOo7jfYxA_8_6"/>
      <w:bookmarkStart w:id="1259" w:name="Tc_XvXUgIiYfUyfFLf_5iN06A_8_0"/>
      <w:bookmarkStart w:id="1260" w:name="Tc_xKRhRscP9kud0l0HOxbd3w_7_6"/>
      <w:bookmarkStart w:id="1261" w:name="Tc_5ZVCUdVNukShNBYSUKxCsA_7_3"/>
      <w:bookmarkStart w:id="1262" w:name="Tc_E_sqRMn5UUmJSRImU7cgGg_7_0"/>
      <w:bookmarkStart w:id="1263" w:name="Tc_SxFAqadqZUWwl2Q-2vzZpA_6_11"/>
      <w:bookmarkStart w:id="1264" w:name="Tc_fqD0aXt76UmTDev7n2EVAA_6_9"/>
      <w:bookmarkStart w:id="1265" w:name="Tc_x2vnFjXSpEqlZIolkC4NaQ_6_8"/>
      <w:bookmarkStart w:id="1266" w:name="Tc_BR0zgICSwU-NOloX2j_5IQ_6_6"/>
      <w:bookmarkStart w:id="1267" w:name="Tc_ewH9vCz5tUCO9YuAd_INxg_6_5"/>
      <w:bookmarkStart w:id="1268" w:name="Tc_u6HrgYoR4kmKEXyW2p8fqg_6_2"/>
      <w:bookmarkStart w:id="1269" w:name="Tc_tfGTxQaDCEmom456N2yntA_6_0"/>
      <w:bookmarkStart w:id="1270" w:name="Tc_il3SLKXFAUm2hZuX3U8OPQ_5_11"/>
      <w:bookmarkStart w:id="1271" w:name="Tc_nRWCBRx_HkKt6yzPSaL88w_5_8"/>
      <w:bookmarkStart w:id="1272" w:name="Tc_CHFOwK_00UG82jR7vAbmmQ_5_5"/>
      <w:bookmarkStart w:id="1273" w:name="Tc_D5WoeU1dYECug71zoMV1PQ_5_2"/>
      <w:bookmarkStart w:id="1274" w:name="Tc_8kpO0RClX0aKSowIdqRfSg_5_0"/>
      <w:bookmarkStart w:id="1275" w:name="Tc_4-YC5Yhs60KzXUMEfrIysg_4_8"/>
      <w:bookmarkStart w:id="1276" w:name="Tc_NKWjruadc0KAVZ6WBDLtHQ_4_5"/>
      <w:bookmarkStart w:id="1277" w:name="Tc_asrzURSA40Osk-Oe7n3Iqw_4_2"/>
      <w:bookmarkStart w:id="1278" w:name="Tc_JvFfNij_FUm0_hQN32LHow_3_8"/>
      <w:bookmarkStart w:id="1279" w:name="Tc_iqtGoO_cHkeYFA2Zs8S5Gg_3_5"/>
      <w:bookmarkStart w:id="1280" w:name="Tc_6T1Ux8pM1ECxoU7huva-Rg_3_2"/>
      <w:bookmarkStart w:id="1281" w:name="Tc_4JcEDkB19ki-lMu9FiaCIw_2_2"/>
      <w:bookmarkStart w:id="1282" w:name="Tc_IjYjNEf1ckKvyVnmNg3Bhg_1_2"/>
      <w:bookmarkStart w:id="1283" w:name="_4c349247_e6df_4a8e_a594_94698350ae61"/>
      <w:bookmarkStart w:id="1284" w:name="Tc_BEGtca6RrkKgprw_OAZpnw_10_11"/>
      <w:bookmarkStart w:id="1285" w:name="Tc_P1e-vP6MqEGwrDdToMaVyw_10_8"/>
      <w:bookmarkStart w:id="1286" w:name="Tc_Rds4XN1oY0OCLKHrxA3yfg_10_5"/>
      <w:bookmarkStart w:id="1287" w:name="Tc_yeFkdf1P20K6how4T6ir0Q_10_2"/>
      <w:bookmarkStart w:id="1288" w:name="Tc_LsBd3q_Nak-XLKjjvX6LSA_10_0"/>
      <w:bookmarkStart w:id="1289" w:name="Tc_-j1K9CfaUUaEpgLpp2YVYw_9_6"/>
      <w:bookmarkStart w:id="1290" w:name="Tc_GPe-xolR8kaCoTwDwESB4A_9_3"/>
      <w:bookmarkStart w:id="1291" w:name="Tc_-A52t23z9Uul8kqvZnKKyA_8_9"/>
      <w:bookmarkStart w:id="1292" w:name="Tc_p68z7jzEPE2eJKY1qktCJw_8_3"/>
      <w:bookmarkStart w:id="1293" w:name="Tc_Vv8Q5c5d2ES_VBN85OQr1A_8_0"/>
      <w:bookmarkStart w:id="1294" w:name="Tc_9rbD422R1UWXBERhMRfAOQ_7_9"/>
      <w:bookmarkStart w:id="1295" w:name="Tc_wSwNGbRAAk6Jt2r3nXLfzg_7_6"/>
      <w:bookmarkStart w:id="1296" w:name="Tc_7J3DeWU670W46d_ONVNIbg_7_0"/>
      <w:bookmarkStart w:id="1297" w:name="Tc_fGFVEdEIzkW0-v-XloW-yA_6_11"/>
      <w:bookmarkStart w:id="1298" w:name="Tc_q05GTkZApUCN6iHtQgsX8Q_6_9"/>
      <w:bookmarkStart w:id="1299" w:name="Tc_fNAyYzZ8MkqEvuE-QeVXaA_6_8"/>
      <w:bookmarkStart w:id="1300" w:name="Tc_wFaGSaeCVEqB3F6aUeppKA_6_6"/>
      <w:bookmarkStart w:id="1301" w:name="Tc_-kZop46lIkmBftapYzZ67g_6_5"/>
      <w:bookmarkStart w:id="1302" w:name="Tc_uXKStjnBak-z3wzU50ebdA_6_2"/>
      <w:bookmarkStart w:id="1303" w:name="Tc_NFhPF3i9rE2wfXxDSSdooA_6_0"/>
      <w:bookmarkStart w:id="1304" w:name="Tc_4s8deeO48EayCNfGWtWmww_5_11"/>
      <w:bookmarkStart w:id="1305" w:name="Tc_NKeyBRUjtEmzV7f_llYfFg_5_8"/>
      <w:bookmarkStart w:id="1306" w:name="Tc_0xFCT0HNjkWlxgVBWRf5xg_5_5"/>
      <w:bookmarkStart w:id="1307" w:name="Tc_m49vhe-y8kCi3t90ac-dTw_5_2"/>
      <w:bookmarkStart w:id="1308" w:name="Tc_1YDtHYzSYEK9XH3dxOz5QQ_5_0"/>
      <w:bookmarkStart w:id="1309" w:name="Tc_kqVvZbbHOUaLbXXHhyad7Q_4_8"/>
      <w:bookmarkStart w:id="1310" w:name="Tc_tYNEP9DQ80ycCpZBR9yXvw_4_5"/>
      <w:bookmarkStart w:id="1311" w:name="Tc_fSRWE8dPfkKupvl7vUSSgA_4_2"/>
      <w:bookmarkStart w:id="1312" w:name="Tc_qq08mFLz50m9H5IlGFhgww_3_8"/>
      <w:bookmarkStart w:id="1313" w:name="Tc_WLHfmnTprkOrZqoEOM7IxQ_3_5"/>
      <w:bookmarkStart w:id="1314" w:name="Tc_6zo8RGFiuEaSwCVyN4YLfg_3_2"/>
      <w:bookmarkStart w:id="1315" w:name="Tc_vH30I2msYkuGpqAc3w7NXw_2_2"/>
      <w:bookmarkStart w:id="1316" w:name="Tc_Ifq-bw-CpkO02jC9ayh7Fw_1_2"/>
      <w:bookmarkStart w:id="1317" w:name="_1450e251_1985_48a0_a5fb_dbabdf71a0b2"/>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ascii="Times New Roman;Times;serif" w:hAnsi="Times New Roman;Times;serif"/>
          <w:sz w:val="20"/>
        </w:rPr>
        <w:t>Assets and liabilities of the Company measured at fair value on a recurring basis as of December 31, 2024 and 2023 are summarized as follows:</w:t>
      </w:r>
    </w:p>
    <w:p>
      <w:pPr>
        <w:pStyle w:val="TextBody"/>
        <w:bidi w:val="0"/>
        <w:spacing w:before="280" w:after="0"/>
        <w:ind w:left="0" w:right="0" w:hanging="0"/>
        <w:jc w:val="left"/>
        <w:rPr/>
      </w:pPr>
      <w:r>
        <w:rPr/>
        <w:t>​</w:t>
      </w:r>
    </w:p>
    <w:tbl>
      <w:tblPr>
        <w:tblW w:w="9967" w:type="dxa"/>
        <w:jc w:val="left"/>
        <w:tblInd w:w="0" w:type="dxa"/>
        <w:tblLayout w:type="fixed"/>
        <w:tblCellMar>
          <w:top w:w="0" w:type="dxa"/>
          <w:left w:w="0" w:type="dxa"/>
          <w:bottom w:w="0" w:type="dxa"/>
          <w:right w:w="0" w:type="dxa"/>
        </w:tblCellMar>
      </w:tblPr>
      <w:tblGrid>
        <w:gridCol w:w="5311"/>
        <w:gridCol w:w="109"/>
        <w:gridCol w:w="352"/>
        <w:gridCol w:w="954"/>
        <w:gridCol w:w="109"/>
        <w:gridCol w:w="283"/>
        <w:gridCol w:w="648"/>
        <w:gridCol w:w="109"/>
        <w:gridCol w:w="334"/>
        <w:gridCol w:w="762"/>
        <w:gridCol w:w="109"/>
        <w:gridCol w:w="211"/>
        <w:gridCol w:w="67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372485" cy="175260"/>
                      <wp:effectExtent l="0" t="0" r="0" b="0"/>
                      <wp:wrapNone/>
                      <wp:docPr id="202" name="Frame200"/>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23520" cy="175260"/>
                      <wp:effectExtent l="0" t="0" r="0" b="0"/>
                      <wp:wrapNone/>
                      <wp:docPr id="204" name="Frame20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05790" cy="175260"/>
                      <wp:effectExtent l="0" t="0" r="0" b="0"/>
                      <wp:wrapNone/>
                      <wp:docPr id="205" name="Frame203"/>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79705" cy="175260"/>
                      <wp:effectExtent l="0" t="0" r="0" b="0"/>
                      <wp:wrapNone/>
                      <wp:docPr id="207" name="Frame20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11480" cy="175260"/>
                      <wp:effectExtent l="0" t="0" r="0" b="0"/>
                      <wp:wrapNone/>
                      <wp:docPr id="208" name="Frame206"/>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2090" cy="175260"/>
                      <wp:effectExtent l="0" t="0" r="0" b="0"/>
                      <wp:wrapNone/>
                      <wp:docPr id="210" name="Frame20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83870" cy="175260"/>
                      <wp:effectExtent l="0" t="0" r="0" b="0"/>
                      <wp:wrapNone/>
                      <wp:docPr id="211" name="Frame209"/>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4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4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 term investments </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plan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109" w:type="dxa"/>
            <w:tcBorders/>
            <w:shd w:fill="CCEEFF" w:val="cle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on Alaska Communications redeemable common units</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and liabilities measured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109" w:type="dxa"/>
            <w:tcBorders/>
            <w:shd w:fill="CCEEFF" w:val="clear"/>
            <w:vAlign w:val="center"/>
          </w:tcPr>
          <w:p>
            <w:pPr>
              <w:pStyle w:val="TableContents"/>
              <w:bidi w:val="0"/>
              <w:spacing w:before="0" w:after="0"/>
              <w:ind w:left="0" w:right="0" w:hanging="0"/>
              <w:jc w:val="righ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2,096</w:t>
            </w:r>
          </w:p>
        </w:tc>
      </w:tr>
    </w:tbl>
    <w:p>
      <w:pPr>
        <w:pStyle w:val="TextBody"/>
        <w:bidi w:val="0"/>
        <w:spacing w:before="280" w:after="0"/>
        <w:ind w:left="0" w:right="0" w:hanging="0"/>
        <w:jc w:val="left"/>
        <w:rPr/>
      </w:pPr>
      <w:r>
        <w:rPr/>
        <w:t>​</w:t>
      </w:r>
    </w:p>
    <w:tbl>
      <w:tblPr>
        <w:tblW w:w="10132" w:type="dxa"/>
        <w:jc w:val="left"/>
        <w:tblInd w:w="0" w:type="dxa"/>
        <w:tblLayout w:type="fixed"/>
        <w:tblCellMar>
          <w:top w:w="0" w:type="dxa"/>
          <w:left w:w="0" w:type="dxa"/>
          <w:bottom w:w="0" w:type="dxa"/>
          <w:right w:w="0" w:type="dxa"/>
        </w:tblCellMar>
      </w:tblPr>
      <w:tblGrid>
        <w:gridCol w:w="5311"/>
        <w:gridCol w:w="109"/>
        <w:gridCol w:w="352"/>
        <w:gridCol w:w="954"/>
        <w:gridCol w:w="109"/>
        <w:gridCol w:w="233"/>
        <w:gridCol w:w="698"/>
        <w:gridCol w:w="109"/>
        <w:gridCol w:w="244"/>
        <w:gridCol w:w="852"/>
        <w:gridCol w:w="109"/>
        <w:gridCol w:w="211"/>
        <w:gridCol w:w="841"/>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372485" cy="175260"/>
                      <wp:effectExtent l="0" t="0" r="0" b="0"/>
                      <wp:wrapNone/>
                      <wp:docPr id="215" name="Frame213"/>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23520" cy="175260"/>
                      <wp:effectExtent l="0" t="0" r="0" b="0"/>
                      <wp:wrapNone/>
                      <wp:docPr id="217" name="Frame21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05790" cy="175260"/>
                      <wp:effectExtent l="0" t="0" r="0" b="0"/>
                      <wp:wrapNone/>
                      <wp:docPr id="218" name="Frame216"/>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7955" cy="175260"/>
                      <wp:effectExtent l="0" t="0" r="0" b="0"/>
                      <wp:wrapNone/>
                      <wp:docPr id="220" name="Frame21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43230" cy="175260"/>
                      <wp:effectExtent l="0" t="0" r="0" b="0"/>
                      <wp:wrapNone/>
                      <wp:docPr id="221" name="Frame21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54940" cy="175260"/>
                      <wp:effectExtent l="0" t="0" r="0" b="0"/>
                      <wp:wrapNone/>
                      <wp:docPr id="223" name="Frame22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41020" cy="175260"/>
                      <wp:effectExtent l="0" t="0" r="0" b="0"/>
                      <wp:wrapNone/>
                      <wp:docPr id="224" name="Frame222"/>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4035" cy="175260"/>
                      <wp:effectExtent l="0" t="0" r="0" b="0"/>
                      <wp:wrapNone/>
                      <wp:docPr id="227" name="Frame2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71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31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71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plan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redeemable common units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(11,063)</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Alloy redeemable common units (1)</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on Alaska Communications redeemable common units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and liabilities measured at fair value</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(23,311)</w:t>
            </w:r>
          </w:p>
        </w:tc>
      </w:tr>
    </w:tbl>
    <w:tbl>
      <w:tblPr>
        <w:tblW w:w="10205" w:type="dxa"/>
        <w:jc w:val="left"/>
        <w:tblInd w:w="0" w:type="dxa"/>
        <w:tblLayout w:type="fixed"/>
        <w:tblCellMar>
          <w:top w:w="28" w:type="dxa"/>
          <w:left w:w="28" w:type="dxa"/>
          <w:bottom w:w="28" w:type="dxa"/>
          <w:right w:w="28"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redeemable common units in Alloy, Inc. (“Alloy”), the parent company of the Company’s operations in the western United States.</w:t>
            </w:r>
          </w:p>
        </w:tc>
      </w:tr>
    </w:tbl>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Money Market Funds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Interest Rate swap</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holds interest rate swap agreements for certain of its debt instruments. This asset class is classified within Level 2 of the fair value hierarchy because it relies on observable inputs other than Level 1 prices. Refer to Note 8 for additional information.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318" w:name="Tc_VcGbMCvRqUSFY7nGgtnelg_17_10"/>
      <w:bookmarkStart w:id="1319" w:name="Tc_NG6n8JP3U0qGUHY6MHkypQ_17_8"/>
      <w:bookmarkStart w:id="1320" w:name="Tc_WQjlSJ4gGUalmY1QQ96e-w_17_7"/>
      <w:bookmarkStart w:id="1321" w:name="Tc_-jwb5VfrBUqxOPjw12sehw_17_5"/>
      <w:bookmarkStart w:id="1322" w:name="Tc_VqpKAi6vQk24eZ-C7MBvfA_17_4"/>
      <w:bookmarkStart w:id="1323" w:name="Tc_Zp5HBlVTF02SezRU0rGgFg_17_1"/>
      <w:bookmarkStart w:id="1324" w:name="Tc__Yy-0cywf0Wvi6FRBPYN2A_17_0"/>
      <w:bookmarkStart w:id="1325" w:name="Tc_XuIoRhNUiEG4C0mLdFKBvA_16_8"/>
      <w:bookmarkStart w:id="1326" w:name="Tc_MFzVEJKbc0SpkVyyMnrUiQ_16_2"/>
      <w:bookmarkStart w:id="1327" w:name="Tc_Z7GQDxM3BkCCRUJ1s_l8pw_16_0"/>
      <w:bookmarkStart w:id="1328" w:name="Tc_ELuXkZnHvEWVB7H71ezs0g_15_8"/>
      <w:bookmarkStart w:id="1329" w:name="Tc_-3BlDd5ArUSvDS1wLaqDcA_15_0"/>
      <w:bookmarkStart w:id="1330" w:name="Tc_HDk2qQtj5k2j1Is5lrcCjA_14_8"/>
      <w:bookmarkStart w:id="1331" w:name="Tc_I5gc4rGoXkaYeI4pN-ww-Q_14_2"/>
      <w:bookmarkStart w:id="1332" w:name="Tc_cnmcTowr1E2irl6nMKhtJw_14_0"/>
      <w:bookmarkStart w:id="1333" w:name="Tc_Bwq2YM-3BkyZsiGRncBTvw_13_10"/>
      <w:bookmarkStart w:id="1334" w:name="Tc_RM3JQoenjkyQKbh6vtOt0g_13_8"/>
      <w:bookmarkStart w:id="1335" w:name="Tc_6khrmefjrEae6TVdIa1pDA_13_7"/>
      <w:bookmarkStart w:id="1336" w:name="Tc_1xZMj8F3u0CRrsMrjoWBIA_13_4"/>
      <w:bookmarkStart w:id="1337" w:name="Tc_o8UwBFvrRkuH1aEARQbNNA_13_1"/>
      <w:bookmarkStart w:id="1338" w:name="Tc_N78NC2_j9UuUb8tJC78T4A_13_0"/>
      <w:bookmarkStart w:id="1339" w:name="Tc_M82kc_SyYEqqt49gmNxFnQ_12_11"/>
      <w:bookmarkStart w:id="1340" w:name="Tc_t3L5F9NCAkimWUc754ZYTQ_12_5"/>
      <w:bookmarkStart w:id="1341" w:name="Tc_LlCZ-4q7vUq5KZyThemI2w_12_0"/>
      <w:bookmarkStart w:id="1342" w:name="Tc_FRLYl7Fw4kGf3eUYKDwclA_11_5"/>
      <w:bookmarkStart w:id="1343" w:name="Tc_pvitRSHR40-nX8rGrGCUYA_11_2"/>
      <w:bookmarkStart w:id="1344" w:name="Tc_KDsgD89gdk6EIplUmFcbBg_11_0"/>
      <w:bookmarkStart w:id="1345" w:name="Tc_GRlSkXb9p06PztzuoDtfAA_10_0"/>
      <w:bookmarkStart w:id="1346" w:name="Tc_NEIp6hoYj0OwXVpjcNM-0A_9_0"/>
      <w:bookmarkStart w:id="1347" w:name="Tc_UxLoVbTuJ0-pw-xGKLcyVQ_8_10"/>
      <w:bookmarkStart w:id="1348" w:name="Tc_bc8If0DB2UCEd3Fraqwkcg_8_7"/>
      <w:bookmarkStart w:id="1349" w:name="Tc_6_14P_En7E2L3JLRpOhY-Q_8_4"/>
      <w:bookmarkStart w:id="1350" w:name="Tc_06cHnTuW3k2MkE5xe7CrnA_8_1"/>
      <w:bookmarkStart w:id="1351" w:name="Tc_PfdVKB1x60eUfqhjxyOf_Q_8_0"/>
      <w:bookmarkStart w:id="1352" w:name="Tc__7A82PM9g0ywEDxe9Fw6wg_7_8"/>
      <w:bookmarkStart w:id="1353" w:name="Tc_ABrYIOFMaUO0eyX-yrvx6g_7_5"/>
      <w:bookmarkStart w:id="1354" w:name="Tc_kTD_PD7LgUmpak9C_YEhlA_7_0"/>
      <w:bookmarkStart w:id="1355" w:name="Tc_aDyLRR5kCkKVk_QS9LrPIA_6_5"/>
      <w:bookmarkStart w:id="1356" w:name="Tc_OcDo300VpU-gtzSJKLUCpQ_6_2"/>
      <w:bookmarkStart w:id="1357" w:name="Tc_HMF7DEEE-EKgTEjdAZ32Zw_6_0"/>
      <w:bookmarkStart w:id="1358" w:name="Tc_VyOsEhSpbE6K0xk2QsBKtQ_5_2"/>
      <w:bookmarkStart w:id="1359" w:name="Tc_I09Ed5koaEyDuggEo9zaGg_5_0"/>
      <w:bookmarkStart w:id="1360" w:name="Tc_Gxu2YRwy6UKChv1VACsM2g_4_2"/>
      <w:bookmarkStart w:id="1361" w:name="Tc_wuNEy0c_AUGWzUwx-AoLRg_4_0"/>
      <w:bookmarkStart w:id="1362" w:name="Tc_O681W-rVCkaT9Y3uBebdGA_3_5"/>
      <w:bookmarkStart w:id="1363" w:name="Tc_Ulh2yKiCl02oOfhAGMy2Pg_3_2"/>
      <w:bookmarkStart w:id="1364" w:name="Tc_dtSzuuxfv0Chx1X7Lg1GcA_3_0"/>
      <w:bookmarkStart w:id="1365" w:name="Tc_Oc1A6Gvz4ECqc2lYQXfjgg_2_10"/>
      <w:bookmarkStart w:id="1366" w:name="Tc_RZpVhpkDSkuT12uzpfysOg_2_7"/>
      <w:bookmarkStart w:id="1367" w:name="Tc_bLyh2uAdy0GXMPwXntb52A_2_4"/>
      <w:bookmarkStart w:id="1368" w:name="Tc_QxSBJ2NRu0SXmjxbkC71QA_2_1"/>
      <w:bookmarkStart w:id="1369" w:name="Tc_Xyp_Ks4oZkOQGdmrkHsNlQ_2_0"/>
      <w:bookmarkStart w:id="1370" w:name="Tc_W4grmYeUL0-wy7m-yW_MZg_1_10"/>
      <w:bookmarkStart w:id="1371" w:name="Tc_zeJVGyX_N065Caau-rqQ-w_1_7"/>
      <w:bookmarkStart w:id="1372" w:name="Tc_8H3jNjqBR06XHIbcbvJRUA_1_4"/>
      <w:bookmarkStart w:id="1373" w:name="Tc_ZmwXkmwwd06Cj9Mbh0bF1Q_1_1"/>
      <w:bookmarkStart w:id="1374" w:name="_1d9775ec_ffe9_4feb_9edb_ffed57e8af82"/>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r>
        <w:rPr>
          <w:rFonts w:ascii="Times New Roman;Times;serif" w:hAnsi="Times New Roman;Times;serif"/>
          <w:b/>
          <w:i/>
          <w:sz w:val="20"/>
        </w:rPr>
        <w:t xml:space="preserve">Other Investments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07"/>
        <w:gridCol w:w="841"/>
        <w:gridCol w:w="2698"/>
        <w:gridCol w:w="109"/>
        <w:gridCol w:w="434"/>
        <w:gridCol w:w="1179"/>
        <w:gridCol w:w="109"/>
        <w:gridCol w:w="290"/>
        <w:gridCol w:w="1085"/>
        <w:gridCol w:w="109"/>
        <w:gridCol w:w="211"/>
        <w:gridCol w:w="833"/>
      </w:tblGrid>
      <w:tr>
        <w:trPr/>
        <w:tc>
          <w:tcPr>
            <w:tcW w:w="2307"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left"/>
              <w:rPr/>
            </w:pPr>
            <w:r>
              <w:rPr/>
              <w:t>​</w:t>
            </w:r>
          </w:p>
        </w:tc>
        <w:tc>
          <w:tcPr>
            <w:tcW w:w="2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713230" cy="175895"/>
                      <wp:effectExtent l="0" t="0" r="0" b="0"/>
                      <wp:wrapNone/>
                      <wp:docPr id="228" name="Frame226"/>
                      <a:graphic xmlns:a="http://schemas.openxmlformats.org/drawingml/2006/main">
                        <a:graphicData uri="http://schemas.microsoft.com/office/word/2010/wordprocessingShape">
                          <wps:wsp>
                            <wps:cNvSpPr txBox="1"/>
                            <wps:spPr>
                              <a:xfrm>
                                <a:off x="0" y="0"/>
                                <a:ext cx="17132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895"/>
                      <wp:effectExtent l="0" t="0" r="0" b="0"/>
                      <wp:wrapNone/>
                      <wp:docPr id="229" name="Frame22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1" w:after="1"/>
              <w:ind w:left="0" w:right="0" w:hanging="0"/>
              <w:jc w:val="left"/>
              <w:rPr/>
            </w:pPr>
            <w:r>
              <w:rPr/>
              <w:t>​</w: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48665" cy="175895"/>
                      <wp:effectExtent l="0" t="0" r="0" b="0"/>
                      <wp:wrapNone/>
                      <wp:docPr id="230" name="Frame228"/>
                      <a:graphic xmlns:a="http://schemas.openxmlformats.org/drawingml/2006/main">
                        <a:graphicData uri="http://schemas.microsoft.com/office/word/2010/wordprocessingShape">
                          <wps:wsp>
                            <wps:cNvSpPr txBox="1"/>
                            <wps:spPr>
                              <a:xfrm>
                                <a:off x="0" y="0"/>
                                <a:ext cx="7486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895"/>
                      <wp:effectExtent l="0" t="0" r="0" b="0"/>
                      <wp:wrapNone/>
                      <wp:docPr id="231" name="Frame22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1" w:after="1"/>
              <w:ind w:left="0" w:right="0" w:hanging="0"/>
              <w:jc w:val="left"/>
              <w:rPr/>
            </w:pPr>
            <w:r>
              <w:rPr/>
              <w:t>​</w: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88975" cy="175895"/>
                      <wp:effectExtent l="0" t="0" r="0" b="0"/>
                      <wp:wrapNone/>
                      <wp:docPr id="232" name="Frame230"/>
                      <a:graphic xmlns:a="http://schemas.openxmlformats.org/drawingml/2006/main">
                        <a:graphicData uri="http://schemas.microsoft.com/office/word/2010/wordprocessingShape">
                          <wps:wsp>
                            <wps:cNvSpPr txBox="1"/>
                            <wps:spPr>
                              <a:xfrm>
                                <a:off x="0" y="0"/>
                                <a:ext cx="688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895"/>
                      <wp:effectExtent l="0" t="0" r="0" b="0"/>
                      <wp:wrapNone/>
                      <wp:docPr id="233" name="Frame23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1" w:after="1"/>
              <w:ind w:left="0" w:right="0" w:hanging="0"/>
              <w:jc w:val="left"/>
              <w:rPr/>
            </w:pPr>
            <w:r>
              <w:rPr/>
              <w:t>​</w: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28955" cy="175895"/>
                      <wp:effectExtent l="0" t="0" r="0" b="0"/>
                      <wp:wrapNone/>
                      <wp:docPr id="234" name="Frame232"/>
                      <a:graphic xmlns:a="http://schemas.openxmlformats.org/drawingml/2006/main">
                        <a:graphicData uri="http://schemas.microsoft.com/office/word/2010/wordprocessingShape">
                          <wps:wsp>
                            <wps:cNvSpPr txBox="1"/>
                            <wps:spPr>
                              <a:xfrm>
                                <a:off x="0" y="0"/>
                                <a:ext cx="5289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307" w:type="dxa"/>
            <w:tcBorders/>
            <w:vAlign w:val="center"/>
          </w:tcPr>
          <w:p>
            <w:pPr>
              <w:pStyle w:val="TableContents"/>
              <w:bidi w:val="0"/>
              <w:spacing w:before="1" w:after="1"/>
              <w:ind w:left="0" w:right="0" w:hanging="0"/>
              <w:jc w:val="left"/>
              <w:rPr/>
            </w:pPr>
            <w:r>
              <w:rPr/>
              <w:t>​</w:t>
            </w:r>
          </w:p>
        </w:tc>
        <w:tc>
          <w:tcPr>
            <w:tcW w:w="3539"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Investments Without a Readily Determinable Fair Value</w:t>
            </w:r>
          </w:p>
        </w:tc>
        <w:tc>
          <w:tcPr>
            <w:tcW w:w="109" w:type="dxa"/>
            <w:tcBorders/>
            <w:vAlign w:val="center"/>
          </w:tcPr>
          <w:p>
            <w:pPr>
              <w:pStyle w:val="TableContents"/>
              <w:bidi w:val="0"/>
              <w:spacing w:before="1" w:after="1"/>
              <w:ind w:left="0" w:right="0" w:hanging="0"/>
              <w:jc w:val="center"/>
              <w:rPr/>
            </w:pPr>
            <w:r>
              <w:rPr/>
              <w:t>​</w:t>
            </w:r>
          </w:p>
        </w:tc>
        <w:tc>
          <w:tcPr>
            <w:tcW w:w="161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Investments</w:t>
            </w:r>
          </w:p>
        </w:tc>
        <w:tc>
          <w:tcPr>
            <w:tcW w:w="109" w:type="dxa"/>
            <w:tcBorders/>
            <w:vAlign w:val="center"/>
          </w:tcPr>
          <w:p>
            <w:pPr>
              <w:pStyle w:val="TableContents"/>
              <w:bidi w:val="0"/>
              <w:spacing w:before="1" w:after="1"/>
              <w:ind w:left="0" w:right="0" w:hanging="0"/>
              <w:jc w:val="left"/>
              <w:rPr/>
            </w:pPr>
            <w:r>
              <w:rPr/>
              <w:t>​</w:t>
            </w:r>
          </w:p>
        </w:tc>
        <w:tc>
          <w:tcPr>
            <w:tcW w:w="137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Equity Investments</w:t>
            </w:r>
          </w:p>
        </w:tc>
        <w:tc>
          <w:tcPr>
            <w:tcW w:w="109"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1044"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2021</w:t>
            </w:r>
          </w:p>
        </w:tc>
        <w:tc>
          <w:tcPr>
            <w:tcW w:w="8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17,820</w:t>
            </w:r>
          </w:p>
        </w:tc>
        <w:tc>
          <w:tcPr>
            <w:tcW w:w="109" w:type="dxa"/>
            <w:tcBorders/>
            <w:shd w:fill="CCEEFF" w:val="clear"/>
            <w:vAlign w:val="center"/>
          </w:tcPr>
          <w:p>
            <w:pPr>
              <w:pStyle w:val="TableContents"/>
              <w:bidi w:val="0"/>
              <w:spacing w:before="1" w:after="1"/>
              <w:ind w:left="0" w:right="0" w:hanging="0"/>
              <w:jc w:val="left"/>
              <w:rPr/>
            </w:pPr>
            <w:r>
              <w:rPr/>
              <w:t>​</w:t>
            </w:r>
          </w:p>
        </w:tc>
        <w:tc>
          <w:tcPr>
            <w:tcW w:w="43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1,925</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28,699</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48,444</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Sale of Investments (1)</w:t>
            </w:r>
          </w:p>
        </w:tc>
        <w:tc>
          <w:tcPr>
            <w:tcW w:w="841" w:type="dxa"/>
            <w:tcBorders/>
            <w:vAlign w:val="center"/>
          </w:tcPr>
          <w:p>
            <w:pPr>
              <w:pStyle w:val="TableContents"/>
              <w:bidi w:val="0"/>
              <w:spacing w:before="1" w:after="1"/>
              <w:ind w:left="0" w:right="0" w:hanging="0"/>
              <w:jc w:val="center"/>
              <w:rPr/>
            </w:pPr>
            <w:r>
              <w:rPr/>
              <w:t>​</w:t>
            </w:r>
          </w:p>
        </w:tc>
        <w:tc>
          <w:tcPr>
            <w:tcW w:w="2698"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center"/>
              <w:rPr/>
            </w:pPr>
            <w:r>
              <w:rPr/>
              <w:t>​</w:t>
            </w:r>
          </w:p>
        </w:tc>
        <w:tc>
          <w:tcPr>
            <w:tcW w:w="434" w:type="dxa"/>
            <w:tcBorders/>
            <w:vAlign w:val="center"/>
          </w:tcPr>
          <w:p>
            <w:pPr>
              <w:pStyle w:val="TableContents"/>
              <w:bidi w:val="0"/>
              <w:spacing w:before="1" w:after="1"/>
              <w:ind w:left="0" w:right="0" w:hanging="0"/>
              <w:jc w:val="center"/>
              <w:rPr/>
            </w:pPr>
            <w:r>
              <w:rPr/>
              <w:t>​</w:t>
            </w:r>
          </w:p>
        </w:tc>
        <w:tc>
          <w:tcPr>
            <w:tcW w:w="117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center"/>
              <w:rPr/>
            </w:pPr>
            <w:r>
              <w:rPr/>
              <w:t>​</w:t>
            </w:r>
          </w:p>
        </w:tc>
        <w:tc>
          <w:tcPr>
            <w:tcW w:w="10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(13,212)</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8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(13,212)</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(Loss) recognized</w:t>
            </w:r>
          </w:p>
        </w:tc>
        <w:tc>
          <w:tcPr>
            <w:tcW w:w="841" w:type="dxa"/>
            <w:tcBorders/>
            <w:shd w:fill="CCEEFF" w:val="clear"/>
            <w:vAlign w:val="center"/>
          </w:tcPr>
          <w:p>
            <w:pPr>
              <w:pStyle w:val="TableContents"/>
              <w:bidi w:val="0"/>
              <w:spacing w:before="1" w:after="1"/>
              <w:ind w:left="0" w:right="0" w:hanging="0"/>
              <w:jc w:val="center"/>
              <w:rPr/>
            </w:pPr>
            <w:r>
              <w:rPr/>
              <w:t>​</w:t>
            </w:r>
          </w:p>
        </w:tc>
        <w:tc>
          <w:tcPr>
            <w:tcW w:w="269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center"/>
              <w:rPr/>
            </w:pPr>
            <w:r>
              <w:rPr/>
              <w:t>​</w:t>
            </w:r>
          </w:p>
        </w:tc>
        <w:tc>
          <w:tcPr>
            <w:tcW w:w="434" w:type="dxa"/>
            <w:tcBorders/>
            <w:shd w:fill="CCEEFF" w:val="clear"/>
            <w:vAlign w:val="center"/>
          </w:tcPr>
          <w:p>
            <w:pPr>
              <w:pStyle w:val="TableContents"/>
              <w:bidi w:val="0"/>
              <w:spacing w:before="1" w:after="1"/>
              <w:ind w:left="0" w:right="0" w:hanging="0"/>
              <w:jc w:val="center"/>
              <w:rPr/>
            </w:pPr>
            <w:r>
              <w:rPr/>
              <w:t>​</w:t>
            </w:r>
          </w:p>
        </w:tc>
        <w:tc>
          <w:tcPr>
            <w:tcW w:w="117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center"/>
              <w:rPr/>
            </w:pPr>
            <w:r>
              <w:rPr/>
              <w:t>​</w:t>
            </w:r>
          </w:p>
        </w:tc>
        <w:tc>
          <w:tcPr>
            <w:tcW w:w="10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109" w:type="dxa"/>
            <w:tcBorders/>
            <w:shd w:fill="CCEEFF" w:val="clear"/>
            <w:vAlign w:val="center"/>
          </w:tcPr>
          <w:p>
            <w:pPr>
              <w:pStyle w:val="TableContents"/>
              <w:bidi w:val="0"/>
              <w:spacing w:before="1" w:after="1"/>
              <w:ind w:left="0" w:right="0" w:hanging="0"/>
              <w:jc w:val="center"/>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8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(1,799)</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Contributions / (distributions)</w:t>
            </w:r>
          </w:p>
        </w:tc>
        <w:tc>
          <w:tcPr>
            <w:tcW w:w="841" w:type="dxa"/>
            <w:tcBorders/>
            <w:vAlign w:val="center"/>
          </w:tcPr>
          <w:p>
            <w:pPr>
              <w:pStyle w:val="TableContents"/>
              <w:bidi w:val="0"/>
              <w:spacing w:before="1" w:after="1"/>
              <w:ind w:left="0" w:right="0" w:hanging="0"/>
              <w:jc w:val="center"/>
              <w:rPr/>
            </w:pPr>
            <w:r>
              <w:rPr/>
              <w:t>​</w:t>
            </w:r>
          </w:p>
        </w:tc>
        <w:tc>
          <w:tcPr>
            <w:tcW w:w="2698"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center"/>
              <w:rPr/>
            </w:pPr>
            <w:r>
              <w:rPr/>
              <w:t>​</w:t>
            </w:r>
          </w:p>
        </w:tc>
        <w:tc>
          <w:tcPr>
            <w:tcW w:w="434" w:type="dxa"/>
            <w:tcBorders/>
            <w:vAlign w:val="center"/>
          </w:tcPr>
          <w:p>
            <w:pPr>
              <w:pStyle w:val="TableContents"/>
              <w:bidi w:val="0"/>
              <w:spacing w:before="1" w:after="1"/>
              <w:ind w:left="0" w:right="0" w:hanging="0"/>
              <w:jc w:val="center"/>
              <w:rPr/>
            </w:pPr>
            <w:r>
              <w:rPr/>
              <w:t>​</w:t>
            </w:r>
          </w:p>
        </w:tc>
        <w:tc>
          <w:tcPr>
            <w:tcW w:w="117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(744)</w:t>
            </w:r>
          </w:p>
        </w:tc>
        <w:tc>
          <w:tcPr>
            <w:tcW w:w="109"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center"/>
              <w:rPr/>
            </w:pPr>
            <w:r>
              <w:rPr/>
              <w:t>​</w:t>
            </w:r>
          </w:p>
        </w:tc>
        <w:tc>
          <w:tcPr>
            <w:tcW w:w="10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2,750</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8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2,006</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loss</w:t>
            </w:r>
          </w:p>
        </w:tc>
        <w:tc>
          <w:tcPr>
            <w:tcW w:w="841" w:type="dxa"/>
            <w:tcBorders/>
            <w:shd w:fill="CCEEFF" w:val="clear"/>
            <w:vAlign w:val="center"/>
          </w:tcPr>
          <w:p>
            <w:pPr>
              <w:pStyle w:val="TableContents"/>
              <w:bidi w:val="0"/>
              <w:spacing w:before="1" w:after="1"/>
              <w:ind w:left="0" w:right="0" w:hanging="0"/>
              <w:jc w:val="center"/>
              <w:rPr/>
            </w:pPr>
            <w:r>
              <w:rPr/>
              <w:t>​</w:t>
            </w:r>
          </w:p>
        </w:tc>
        <w:tc>
          <w:tcPr>
            <w:tcW w:w="269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center"/>
              <w:rPr/>
            </w:pPr>
            <w:r>
              <w:rPr/>
              <w:t>​</w:t>
            </w:r>
          </w:p>
        </w:tc>
        <w:tc>
          <w:tcPr>
            <w:tcW w:w="434" w:type="dxa"/>
            <w:tcBorders/>
            <w:shd w:fill="CCEEFF" w:val="clear"/>
            <w:vAlign w:val="center"/>
          </w:tcPr>
          <w:p>
            <w:pPr>
              <w:pStyle w:val="TableContents"/>
              <w:bidi w:val="0"/>
              <w:spacing w:before="1" w:after="1"/>
              <w:ind w:left="0" w:right="0" w:hanging="0"/>
              <w:jc w:val="center"/>
              <w:rPr/>
            </w:pPr>
            <w:r>
              <w:rPr/>
              <w:t>​</w:t>
            </w:r>
          </w:p>
        </w:tc>
        <w:tc>
          <w:tcPr>
            <w:tcW w:w="117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center"/>
              <w:rPr/>
            </w:pPr>
            <w:r>
              <w:rPr/>
              <w:t>​</w:t>
            </w:r>
          </w:p>
        </w:tc>
        <w:tc>
          <w:tcPr>
            <w:tcW w:w="10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(2,040)</w:t>
            </w:r>
          </w:p>
        </w:tc>
        <w:tc>
          <w:tcPr>
            <w:tcW w:w="109" w:type="dxa"/>
            <w:tcBorders/>
            <w:shd w:fill="CCEEFF" w:val="clear"/>
            <w:vAlign w:val="center"/>
          </w:tcPr>
          <w:p>
            <w:pPr>
              <w:pStyle w:val="TableContents"/>
              <w:bidi w:val="0"/>
              <w:spacing w:before="1" w:after="1"/>
              <w:ind w:left="0" w:right="0" w:hanging="0"/>
              <w:jc w:val="center"/>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8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(2,040)</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recognized</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2698"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4,770</w:t>
            </w:r>
          </w:p>
        </w:tc>
        <w:tc>
          <w:tcPr>
            <w:tcW w:w="109" w:type="dxa"/>
            <w:tcBorders/>
            <w:vAlign w:val="center"/>
          </w:tcPr>
          <w:p>
            <w:pPr>
              <w:pStyle w:val="TableContents"/>
              <w:bidi w:val="0"/>
              <w:spacing w:before="1" w:after="1"/>
              <w:ind w:left="0" w:right="0" w:hanging="0"/>
              <w:jc w:val="center"/>
              <w:rPr/>
            </w:pPr>
            <w:r>
              <w:rPr/>
              <w:t>​</w:t>
            </w:r>
          </w:p>
        </w:tc>
        <w:tc>
          <w:tcPr>
            <w:tcW w:w="434"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1179"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1085"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83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4,770</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84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9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22,590</w:t>
            </w:r>
          </w:p>
        </w:tc>
        <w:tc>
          <w:tcPr>
            <w:tcW w:w="109" w:type="dxa"/>
            <w:tcBorders/>
            <w:shd w:fill="CCEEFF" w:val="clear"/>
            <w:vAlign w:val="center"/>
          </w:tcPr>
          <w:p>
            <w:pPr>
              <w:pStyle w:val="TableContents"/>
              <w:bidi w:val="0"/>
              <w:spacing w:before="1" w:after="1"/>
              <w:ind w:left="0" w:right="0" w:hanging="0"/>
              <w:jc w:val="left"/>
              <w:rPr/>
            </w:pPr>
            <w:r>
              <w:rPr/>
              <w:t>​</w:t>
            </w:r>
          </w:p>
        </w:tc>
        <w:tc>
          <w:tcPr>
            <w:tcW w:w="434"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1,616</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13,963</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38,169</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recognized</w:t>
            </w:r>
          </w:p>
        </w:tc>
        <w:tc>
          <w:tcPr>
            <w:tcW w:w="841" w:type="dxa"/>
            <w:tcBorders/>
            <w:vAlign w:val="center"/>
          </w:tcPr>
          <w:p>
            <w:pPr>
              <w:pStyle w:val="TableContents"/>
              <w:bidi w:val="0"/>
              <w:spacing w:before="1" w:after="1"/>
              <w:ind w:left="0" w:right="0" w:hanging="0"/>
              <w:jc w:val="left"/>
              <w:rPr/>
            </w:pPr>
            <w:r>
              <w:rPr/>
              <w:t>​</w:t>
            </w:r>
          </w:p>
        </w:tc>
        <w:tc>
          <w:tcPr>
            <w:tcW w:w="26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2,431</w:t>
            </w:r>
          </w:p>
        </w:tc>
        <w:tc>
          <w:tcPr>
            <w:tcW w:w="109" w:type="dxa"/>
            <w:tcBorders/>
            <w:vAlign w:val="center"/>
          </w:tcPr>
          <w:p>
            <w:pPr>
              <w:pStyle w:val="TableContents"/>
              <w:bidi w:val="0"/>
              <w:spacing w:before="1" w:after="1"/>
              <w:ind w:left="0" w:right="0" w:hanging="0"/>
              <w:jc w:val="left"/>
              <w:rPr/>
            </w:pPr>
            <w:r>
              <w:rPr/>
              <w:t>​</w:t>
            </w:r>
          </w:p>
        </w:tc>
        <w:tc>
          <w:tcPr>
            <w:tcW w:w="434" w:type="dxa"/>
            <w:tcBorders/>
            <w:vAlign w:val="center"/>
          </w:tcPr>
          <w:p>
            <w:pPr>
              <w:pStyle w:val="TableContents"/>
              <w:bidi w:val="0"/>
              <w:spacing w:before="1" w:after="1"/>
              <w:ind w:left="0" w:right="0" w:hanging="0"/>
              <w:jc w:val="left"/>
              <w:rPr/>
            </w:pPr>
            <w:r>
              <w:rPr/>
              <w:t>​</w:t>
            </w:r>
          </w:p>
        </w:tc>
        <w:tc>
          <w:tcPr>
            <w:tcW w:w="117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left"/>
              <w:rPr/>
            </w:pPr>
            <w:r>
              <w:rPr/>
              <w:t>​</w:t>
            </w:r>
          </w:p>
        </w:tc>
        <w:tc>
          <w:tcPr>
            <w:tcW w:w="10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w:t>
            </w:r>
          </w:p>
        </w:tc>
        <w:tc>
          <w:tcPr>
            <w:tcW w:w="8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Contributions / (distributions)</w:t>
            </w:r>
          </w:p>
        </w:tc>
        <w:tc>
          <w:tcPr>
            <w:tcW w:w="841" w:type="dxa"/>
            <w:tcBorders/>
            <w:shd w:fill="CCEEFF" w:val="clear"/>
            <w:vAlign w:val="center"/>
          </w:tcPr>
          <w:p>
            <w:pPr>
              <w:pStyle w:val="TableContents"/>
              <w:bidi w:val="0"/>
              <w:spacing w:before="1" w:after="1"/>
              <w:ind w:left="0" w:right="0" w:hanging="0"/>
              <w:jc w:val="left"/>
              <w:rPr/>
            </w:pPr>
            <w:r>
              <w:rPr/>
              <w:t>​</w:t>
            </w:r>
          </w:p>
        </w:tc>
        <w:tc>
          <w:tcPr>
            <w:tcW w:w="26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109" w:type="dxa"/>
            <w:tcBorders/>
            <w:shd w:fill="CCEEFF" w:val="clear"/>
            <w:vAlign w:val="center"/>
          </w:tcPr>
          <w:p>
            <w:pPr>
              <w:pStyle w:val="TableContents"/>
              <w:bidi w:val="0"/>
              <w:spacing w:before="1" w:after="1"/>
              <w:ind w:left="0" w:right="0" w:hanging="0"/>
              <w:jc w:val="left"/>
              <w:rPr/>
            </w:pPr>
            <w:r>
              <w:rPr/>
              <w:t>​</w:t>
            </w:r>
          </w:p>
        </w:tc>
        <w:tc>
          <w:tcPr>
            <w:tcW w:w="434" w:type="dxa"/>
            <w:tcBorders/>
            <w:shd w:fill="CCEEFF" w:val="clear"/>
            <w:vAlign w:val="center"/>
          </w:tcPr>
          <w:p>
            <w:pPr>
              <w:pStyle w:val="TableContents"/>
              <w:bidi w:val="0"/>
              <w:spacing w:before="1" w:after="1"/>
              <w:ind w:left="0" w:right="0" w:hanging="0"/>
              <w:jc w:val="left"/>
              <w:rPr/>
            </w:pPr>
            <w:r>
              <w:rPr/>
              <w:t>​</w:t>
            </w:r>
          </w:p>
        </w:tc>
        <w:tc>
          <w:tcPr>
            <w:tcW w:w="117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left"/>
              <w:rPr/>
            </w:pPr>
            <w:r>
              <w:rPr/>
              <w:t>​</w:t>
            </w:r>
          </w:p>
        </w:tc>
        <w:tc>
          <w:tcPr>
            <w:tcW w:w="108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loss</w:t>
            </w:r>
          </w:p>
        </w:tc>
        <w:tc>
          <w:tcPr>
            <w:tcW w:w="841" w:type="dxa"/>
            <w:tcBorders/>
            <w:vAlign w:val="center"/>
          </w:tcPr>
          <w:p>
            <w:pPr>
              <w:pStyle w:val="TableContents"/>
              <w:bidi w:val="0"/>
              <w:spacing w:before="1" w:after="1"/>
              <w:ind w:left="0" w:right="0" w:hanging="0"/>
              <w:jc w:val="left"/>
              <w:rPr/>
            </w:pPr>
            <w:r>
              <w:rPr/>
              <w:t>​</w:t>
            </w:r>
          </w:p>
        </w:tc>
        <w:tc>
          <w:tcPr>
            <w:tcW w:w="2698"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434" w:type="dxa"/>
            <w:tcBorders/>
            <w:vAlign w:val="center"/>
          </w:tcPr>
          <w:p>
            <w:pPr>
              <w:pStyle w:val="TableContents"/>
              <w:bidi w:val="0"/>
              <w:spacing w:before="1" w:after="1"/>
              <w:ind w:left="0" w:right="0" w:hanging="0"/>
              <w:jc w:val="left"/>
              <w:rPr/>
            </w:pPr>
            <w:r>
              <w:rPr/>
              <w:t>​</w:t>
            </w:r>
          </w:p>
        </w:tc>
        <w:tc>
          <w:tcPr>
            <w:tcW w:w="117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left"/>
              <w:rPr/>
            </w:pPr>
            <w:r>
              <w:rPr/>
              <w:t>​</w:t>
            </w:r>
          </w:p>
        </w:tc>
        <w:tc>
          <w:tcPr>
            <w:tcW w:w="108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1,578</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w:t>
            </w:r>
          </w:p>
        </w:tc>
        <w:tc>
          <w:tcPr>
            <w:tcW w:w="8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Transfers</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69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16,264</w:t>
            </w:r>
          </w:p>
        </w:tc>
        <w:tc>
          <w:tcPr>
            <w:tcW w:w="109" w:type="dxa"/>
            <w:tcBorders/>
            <w:shd w:fill="CCEEFF" w:val="clear"/>
            <w:vAlign w:val="center"/>
          </w:tcPr>
          <w:p>
            <w:pPr>
              <w:pStyle w:val="TableContents"/>
              <w:bidi w:val="0"/>
              <w:spacing w:before="1" w:after="1"/>
              <w:ind w:left="0" w:right="0" w:hanging="0"/>
              <w:jc w:val="left"/>
              <w:rPr/>
            </w:pPr>
            <w:r>
              <w:rPr/>
              <w:t>​</w:t>
            </w:r>
          </w:p>
        </w:tc>
        <w:tc>
          <w:tcPr>
            <w:tcW w:w="43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(16,264)</w:t>
            </w:r>
          </w:p>
        </w:tc>
        <w:tc>
          <w:tcPr>
            <w:tcW w:w="10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84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9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41,710</w:t>
            </w:r>
          </w:p>
        </w:tc>
        <w:tc>
          <w:tcPr>
            <w:tcW w:w="109" w:type="dxa"/>
            <w:tcBorders/>
            <w:vAlign w:val="center"/>
          </w:tcPr>
          <w:p>
            <w:pPr>
              <w:pStyle w:val="TableContents"/>
              <w:bidi w:val="0"/>
              <w:spacing w:before="1" w:after="1"/>
              <w:ind w:left="0" w:right="0" w:hanging="0"/>
              <w:jc w:val="left"/>
              <w:rPr/>
            </w:pPr>
            <w:r>
              <w:rPr/>
              <w:t>​</w:t>
            </w:r>
          </w:p>
        </w:tc>
        <w:tc>
          <w:tcPr>
            <w:tcW w:w="43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1,197</w:t>
            </w:r>
          </w:p>
        </w:tc>
        <w:tc>
          <w:tcPr>
            <w:tcW w:w="109" w:type="dxa"/>
            <w:tcBorders/>
            <w:vAlign w:val="center"/>
          </w:tcPr>
          <w:p>
            <w:pPr>
              <w:pStyle w:val="TableContents"/>
              <w:bidi w:val="0"/>
              <w:spacing w:before="1"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42,907</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Sale of Investments</w:t>
            </w:r>
          </w:p>
        </w:tc>
        <w:tc>
          <w:tcPr>
            <w:tcW w:w="841" w:type="dxa"/>
            <w:tcBorders/>
            <w:shd w:fill="CCEEFF" w:val="clear"/>
            <w:vAlign w:val="center"/>
          </w:tcPr>
          <w:p>
            <w:pPr>
              <w:pStyle w:val="TableContents"/>
              <w:bidi w:val="0"/>
              <w:spacing w:before="1" w:after="1"/>
              <w:ind w:left="0" w:right="0" w:hanging="0"/>
              <w:jc w:val="left"/>
              <w:rPr/>
            </w:pPr>
            <w:r>
              <w:rPr/>
              <w:t>​</w:t>
            </w:r>
          </w:p>
        </w:tc>
        <w:tc>
          <w:tcPr>
            <w:tcW w:w="269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434" w:type="dxa"/>
            <w:tcBorders/>
            <w:shd w:fill="CCEEFF" w:val="clear"/>
            <w:vAlign w:val="center"/>
          </w:tcPr>
          <w:p>
            <w:pPr>
              <w:pStyle w:val="TableContents"/>
              <w:bidi w:val="0"/>
              <w:spacing w:before="1" w:after="1"/>
              <w:ind w:left="0" w:right="0" w:hanging="0"/>
              <w:jc w:val="left"/>
              <w:rPr/>
            </w:pPr>
            <w:r>
              <w:rPr/>
              <w:t>​</w:t>
            </w:r>
          </w:p>
        </w:tc>
        <w:tc>
          <w:tcPr>
            <w:tcW w:w="117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left"/>
              <w:rPr/>
            </w:pPr>
            <w:r>
              <w:rPr/>
              <w:t>​</w:t>
            </w:r>
          </w:p>
        </w:tc>
        <w:tc>
          <w:tcPr>
            <w:tcW w:w="1085"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(790)</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recognized</w:t>
            </w:r>
          </w:p>
        </w:tc>
        <w:tc>
          <w:tcPr>
            <w:tcW w:w="841" w:type="dxa"/>
            <w:tcBorders/>
            <w:vAlign w:val="center"/>
          </w:tcPr>
          <w:p>
            <w:pPr>
              <w:pStyle w:val="TableContents"/>
              <w:bidi w:val="0"/>
              <w:spacing w:before="1" w:after="1"/>
              <w:ind w:left="0" w:right="0" w:hanging="0"/>
              <w:jc w:val="left"/>
              <w:rPr/>
            </w:pPr>
            <w:r>
              <w:rPr/>
              <w:t>​</w:t>
            </w:r>
          </w:p>
        </w:tc>
        <w:tc>
          <w:tcPr>
            <w:tcW w:w="26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vAlign w:val="center"/>
          </w:tcPr>
          <w:p>
            <w:pPr>
              <w:pStyle w:val="TableContents"/>
              <w:bidi w:val="0"/>
              <w:spacing w:before="1" w:after="1"/>
              <w:ind w:left="0" w:right="0" w:hanging="0"/>
              <w:jc w:val="left"/>
              <w:rPr/>
            </w:pPr>
            <w:r>
              <w:rPr/>
              <w:t>​</w:t>
            </w:r>
          </w:p>
        </w:tc>
        <w:tc>
          <w:tcPr>
            <w:tcW w:w="434" w:type="dxa"/>
            <w:tcBorders/>
            <w:vAlign w:val="center"/>
          </w:tcPr>
          <w:p>
            <w:pPr>
              <w:pStyle w:val="TableContents"/>
              <w:bidi w:val="0"/>
              <w:spacing w:before="1" w:after="1"/>
              <w:ind w:left="0" w:right="0" w:hanging="0"/>
              <w:jc w:val="left"/>
              <w:rPr/>
            </w:pPr>
            <w:r>
              <w:rPr/>
              <w:t>​</w:t>
            </w:r>
          </w:p>
        </w:tc>
        <w:tc>
          <w:tcPr>
            <w:tcW w:w="117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left"/>
              <w:rPr/>
            </w:pPr>
            <w:r>
              <w:rPr/>
              <w:t>​</w:t>
            </w:r>
          </w:p>
        </w:tc>
        <w:tc>
          <w:tcPr>
            <w:tcW w:w="1085"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w:t>
            </w:r>
          </w:p>
        </w:tc>
        <w:tc>
          <w:tcPr>
            <w:tcW w:w="8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230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Distributions</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69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43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(602)</w:t>
            </w:r>
          </w:p>
        </w:tc>
        <w:tc>
          <w:tcPr>
            <w:tcW w:w="109" w:type="dxa"/>
            <w:tcBorders/>
            <w:shd w:fill="CCEEFF" w:val="clear"/>
            <w:vAlign w:val="center"/>
          </w:tcPr>
          <w:p>
            <w:pPr>
              <w:pStyle w:val="TableContents"/>
              <w:bidi w:val="0"/>
              <w:spacing w:before="1"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230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84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9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41,956</w:t>
            </w:r>
          </w:p>
        </w:tc>
        <w:tc>
          <w:tcPr>
            <w:tcW w:w="109" w:type="dxa"/>
            <w:tcBorders/>
            <w:vAlign w:val="center"/>
          </w:tcPr>
          <w:p>
            <w:pPr>
              <w:pStyle w:val="TableContents"/>
              <w:bidi w:val="0"/>
              <w:spacing w:before="1" w:after="1"/>
              <w:ind w:left="0" w:right="0" w:hanging="0"/>
              <w:jc w:val="left"/>
              <w:rPr/>
            </w:pPr>
            <w:r>
              <w:rPr/>
              <w:t>​</w:t>
            </w:r>
          </w:p>
        </w:tc>
        <w:tc>
          <w:tcPr>
            <w:tcW w:w="43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41,956</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2022, the Company sold an investment previously accounted for using the equity method for $15.7</w:t>
            </w:r>
            <w:r>
              <w:rPr>
                <w:caps w:val="false"/>
                <w:smallCaps w:val="false"/>
              </w:rPr>
              <w:t xml:space="preserve"> </w:t>
            </w:r>
            <w:r>
              <w:rPr>
                <w:rFonts w:ascii="Times New Roman;Times;serif" w:hAnsi="Times New Roman;Times;serif"/>
                <w:b w:val="false"/>
                <w:i w:val="false"/>
                <w:caps w:val="false"/>
                <w:smallCaps w:val="false"/>
                <w:sz w:val="20"/>
              </w:rPr>
              <w:t>million of cash. The investment had a book value of $13.2</w:t>
            </w:r>
            <w:r>
              <w:rPr>
                <w:caps w:val="false"/>
                <w:smallCaps w:val="false"/>
              </w:rPr>
              <w:t xml:space="preserve"> </w:t>
            </w:r>
            <w:r>
              <w:rPr>
                <w:rFonts w:ascii="Times New Roman;Times;serif" w:hAnsi="Times New Roman;Times;serif"/>
                <w:b w:val="false"/>
                <w:i w:val="false"/>
                <w:caps w:val="false"/>
                <w:smallCaps w:val="false"/>
                <w:sz w:val="20"/>
              </w:rPr>
              <w:t>and the Company recognized a gain of $2.5</w:t>
            </w:r>
            <w:r>
              <w:rPr>
                <w:caps w:val="false"/>
                <w:smallCaps w:val="false"/>
              </w:rPr>
              <w:t xml:space="preserve"> </w:t>
            </w:r>
            <w:r>
              <w:rPr>
                <w:rFonts w:ascii="Times New Roman;Times;serif" w:hAnsi="Times New Roman;Times;serif"/>
                <w:b w:val="false"/>
                <w:i w:val="false"/>
                <w:caps w:val="false"/>
                <w:smallCaps w:val="false"/>
                <w:sz w:val="20"/>
              </w:rPr>
              <w:t>million on the transaction.</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 Before transitioning to the cost method, the Company recorded income of $0.1 million and reclassified $1.3 million from accumulated other comprehensive income into income.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These investments are included with other assets on the consolidated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Employee benefit plan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deferred compensation arrangements available to covered employees. The obligations of the plans will be settled in cash and the assets are recorded in other current assets on the consolidated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Redeemable Common Units and Warrants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issued redeemable common units, and warrants to purchase additional common units, in a subsidiary of the Company in conjunction with its acquisition of Alaska Communications. The Company also issued redeemable common units in a subsidiary in conjunction with its acquisition of Sacred Wind. (Refer to Note 5). The instruments are redeemable at the option of the holder. The common units are carried at the higher of historical cost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75" w:name="Tc_wLV7qkjxuE67stCa0HlTBg_10_0"/>
      <w:bookmarkStart w:id="1376" w:name="Tc_mk2uecuZdUGhIcCkkIliOQ_9_0"/>
      <w:bookmarkStart w:id="1377" w:name="Tc_paol6GGix0qU6v8dwy-iRw_8_0"/>
      <w:bookmarkStart w:id="1378" w:name="Tc_wxStJ9H1GEK9yMl8SnBCMg_6_7"/>
      <w:bookmarkStart w:id="1379" w:name="Tc_tZ2DeJ9oeEWJP-LayoG-4Q_6_4"/>
      <w:bookmarkStart w:id="1380" w:name="Tc_jGsillhQhUilidHVJKF5rg_6_1"/>
      <w:bookmarkStart w:id="1381" w:name="Tc_-usFN-N1jkCbA6RoQ69QSg_6_0"/>
      <w:bookmarkStart w:id="1382" w:name="Tc_Hb22m2kbq0qSUPekrB8yUA_5_0"/>
      <w:bookmarkStart w:id="1383" w:name="Tc_MyGXD03TFkahodm_GiT5Vg_4_0"/>
      <w:bookmarkStart w:id="1384" w:name="Tc_uzCyW3KEnUmQyx-I0kKieA_3_0"/>
      <w:bookmarkStart w:id="1385" w:name="Tc_fJ2JkArL6EeBhvWBbAactA_2_7"/>
      <w:bookmarkStart w:id="1386" w:name="Tc_5LU2biLOU0ur-JGVUXyBQw_2_4"/>
      <w:bookmarkStart w:id="1387" w:name="Tc_FK79h52_sEiGPDcj_W0lgg_2_1"/>
      <w:bookmarkStart w:id="1388" w:name="Tc_j8XdrgmDz0CEqO51G05UMA_1_1"/>
      <w:bookmarkStart w:id="1389" w:name="_2497bc8d_dc58_4427_a208_366178667545"/>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r>
        <w:rPr>
          <w:rFonts w:ascii="Times New Roman;Times;serif" w:hAnsi="Times New Roman;Times;serif"/>
          <w:sz w:val="20"/>
        </w:rPr>
        <w:t xml:space="preserve">fair value and the warrants to purchase common units are recorded at fair value in the Company’s financial statements. The Sacred Wind put option begins in November 2026 and the Alaska Communications put options begin at the earlier of a qualifying initial public offering of Alaska Communications or July 2028. The Company calculates the fair value of the instruments using a discounted cash flows and market approach with level 3 inputs.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Fair Value Disclosures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amounts of cash and cash equivalents, accounts receivable, and accounts payable and accrued expenses approximate their fair values because of the relatively short-term maturities of these financial instruments.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fair value of long-term debt is estimated using Level 2 inputs. At December 31, 2024, the fair value of long-term debt, including the current portion, was $564.4 million and its book value was $557.4 million. At December 31, 2023, the fair value of long-term debt, including the current portion, was $525.1 million and its book value was $516.9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fair value of the customer receivable credit facility is estimated using Level 2 inputs. At December 31, 2024, the fair value of the customer receivable credit facility, including the current portion, was $42.7 million and its book value was $44.2 million. At December 31, 2023, the fair value of the customer receivable credit facility, including the current portion, was $46.5 million and its book value was $46.1 million.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numerator and denominator in the computations of basic and diluted earnings per share (in thousands):</w:t>
      </w:r>
    </w:p>
    <w:tbl>
      <w:tblPr>
        <w:tblW w:w="9720" w:type="dxa"/>
        <w:jc w:val="left"/>
        <w:tblInd w:w="0" w:type="dxa"/>
        <w:tblLayout w:type="fixed"/>
        <w:tblCellMar>
          <w:top w:w="0" w:type="dxa"/>
          <w:left w:w="0" w:type="dxa"/>
          <w:bottom w:w="0" w:type="dxa"/>
          <w:right w:w="0" w:type="dxa"/>
        </w:tblCellMar>
      </w:tblPr>
      <w:tblGrid>
        <w:gridCol w:w="6436"/>
        <w:gridCol w:w="211"/>
        <w:gridCol w:w="796"/>
        <w:gridCol w:w="109"/>
        <w:gridCol w:w="211"/>
        <w:gridCol w:w="796"/>
        <w:gridCol w:w="109"/>
        <w:gridCol w:w="211"/>
        <w:gridCol w:w="841"/>
      </w:tblGrid>
      <w:tr>
        <w:trPr/>
        <w:tc>
          <w:tcPr>
            <w:tcW w:w="64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05460" cy="175260"/>
                      <wp:effectExtent l="0" t="0" r="0" b="0"/>
                      <wp:wrapNone/>
                      <wp:docPr id="236" name="Frame2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5460" cy="175260"/>
                      <wp:effectExtent l="0" t="0" r="0" b="0"/>
                      <wp:wrapNone/>
                      <wp:docPr id="239" name="Frame2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34035" cy="175260"/>
                      <wp:effectExtent l="0" t="0" r="0" b="0"/>
                      <wp:wrapNone/>
                      <wp:docPr id="241" name="Frame23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0"/>
              <w:ind w:left="0" w:right="0" w:hanging="0"/>
              <w:jc w:val="left"/>
              <w:rPr/>
            </w:pPr>
            <w:r>
              <w:rPr/>
              <w:t>​</w:t>
            </w:r>
          </w:p>
        </w:tc>
        <w:tc>
          <w:tcPr>
            <w:tcW w:w="32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43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ATN International, Inc. stockholders- Basic</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Preferred dividends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(4,856)</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ATN International, Inc. common stockholders- 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(10,501)</w:t>
            </w:r>
          </w:p>
        </w:tc>
      </w:tr>
      <w:tr>
        <w:trPr/>
        <w:tc>
          <w:tcPr>
            <w:tcW w:w="64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Basic</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15,751</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15,751</w:t>
            </w:r>
          </w:p>
        </w:tc>
      </w:tr>
    </w:tbl>
    <w:p>
      <w:pPr>
        <w:pStyle w:val="TextBody"/>
        <w:bidi w:val="0"/>
        <w:spacing w:before="0" w:after="0"/>
        <w:ind w:left="0" w:right="0" w:hanging="0"/>
        <w:jc w:val="left"/>
        <w:rPr/>
      </w:pPr>
      <w:r>
        <w:rPr/>
        <w:t>​</w:t>
      </w:r>
    </w:p>
    <w:p>
      <w:pPr>
        <w:pStyle w:val="TextBody"/>
        <w:shd w:fill="FFFFFF" w:val="clea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Redeemable Noncontrolling Interests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 xml:space="preserve">Sacred Wind Enterprises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Sacred Wind Transaction (see Note 5), the Company has accounted for equity consideration issued as common redeemable noncontrolling interests in its consolidated financial statements. The common units contain a put option allowing the holder to sell the common units to a subsidiary of the Company at the then fair market value. The common units are carried at the higher of historical cost or fair value. In 2024, the units were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1390" w:name="Tc_KN16te_Mv0Cinlrtk33x0Q_6_7"/>
      <w:bookmarkStart w:id="1391" w:name="Tc_y8SRJg2ovEaRh9fV-zoISg_6_4"/>
      <w:bookmarkStart w:id="1392" w:name="Tc_iXw8NBZbe0Su5Hwj4bMOQA_6_1"/>
      <w:bookmarkStart w:id="1393" w:name="Tc_3ZdMaB1wAEStkWfYAZ8Lsw_6_0"/>
      <w:bookmarkStart w:id="1394" w:name="Tc_TFXA534VwkKMPltnLMVjEw_5_2"/>
      <w:bookmarkStart w:id="1395" w:name="Tc_3DZzqa-UMUe-MKxWdoDZAw_5_0"/>
      <w:bookmarkStart w:id="1396" w:name="Tc_RARrxc3MLEqYFn3XeevoaQ_4_2"/>
      <w:bookmarkStart w:id="1397" w:name="Tc_8ae9Qg5TBUqNg9eAEUD8WQ_4_0"/>
      <w:bookmarkStart w:id="1398" w:name="Tc_67ZnwsQMe02utcetDU-RPg_3_5"/>
      <w:bookmarkStart w:id="1399" w:name="Tc_-clDfahmPECoH7YtWTspSA_3_0"/>
      <w:bookmarkStart w:id="1400" w:name="Tc_zG3VCloUaE-awO96M2h03g_2_7"/>
      <w:bookmarkStart w:id="1401" w:name="Tc_H48XSXiir0WUfcpd-XV4Xg_2_4"/>
      <w:bookmarkStart w:id="1402" w:name="Tc_g7QE5YRUmkyPUFBOcBZnWQ_2_1"/>
      <w:bookmarkStart w:id="1403" w:name="Tc_Llv_L_Xo00Sg3wbCxqHFUg_2_0"/>
      <w:bookmarkStart w:id="1404" w:name="Tc_byWMrHtPbkOdHdVlEJcRCw_1_7"/>
      <w:bookmarkStart w:id="1405" w:name="Tc_SjL6qhMHoEakwHLntn76FA_1_4"/>
      <w:bookmarkStart w:id="1406" w:name="Tc_DyABY6_sSU6POn5i-heEIQ_1_1"/>
      <w:bookmarkStart w:id="1407" w:name="_bc5c80dc_148b_4b87_9768_c2347c40d167"/>
      <w:bookmarkStart w:id="1408" w:name="Tc_ALHO0uKYRUKhALMMBvmS-A_6_7"/>
      <w:bookmarkStart w:id="1409" w:name="Tc_h6cpHBa-ckivAI4V1GD0Og_6_4"/>
      <w:bookmarkStart w:id="1410" w:name="Tc_T6D4aJWWgkigMHTO6yZzBQ_6_1"/>
      <w:bookmarkStart w:id="1411" w:name="Tc_VFOo5c7mH0WESlZs3YqQqQ_6_0"/>
      <w:bookmarkStart w:id="1412" w:name="Tc_h53TN8wUVk-qwHUHjR0YEQ_5_2"/>
      <w:bookmarkStart w:id="1413" w:name="Tc_MaZ1ZeN3lkeaKgQZL0fNbA_5_0"/>
      <w:bookmarkStart w:id="1414" w:name="Tc_OoCh0KVEzke4Pnzhd1K-yg_4_2"/>
      <w:bookmarkStart w:id="1415" w:name="Tc_ptprx4kW8k2wD5qACvJakQ_4_0"/>
      <w:bookmarkStart w:id="1416" w:name="Tc_hK_uGn8_tkG-mSmyvMfHSQ_3_5"/>
      <w:bookmarkStart w:id="1417" w:name="Tc_-qyM7ck13ESSrBXm4gzMxA_3_0"/>
      <w:bookmarkStart w:id="1418" w:name="Tc_q0iWLTkuREmWixRk5oP5KA_2_7"/>
      <w:bookmarkStart w:id="1419" w:name="Tc_v5hkrjYiNkuFvRlQOPrm0A_2_4"/>
      <w:bookmarkStart w:id="1420" w:name="Tc_Z4249IX16kOyqojO2zEiOQ_2_1"/>
      <w:bookmarkStart w:id="1421" w:name="Tc_MSc7j7K5PEim8wB6y71hug_2_0"/>
      <w:bookmarkStart w:id="1422" w:name="Tc_Vqz-YQZf80GCKTsmkR8CDQ_1_7"/>
      <w:bookmarkStart w:id="1423" w:name="Tc_bhFod9JCPk2FbcRgIevbDQ_1_4"/>
      <w:bookmarkStart w:id="1424" w:name="Tc_qLCoepcVzkibEVDSKTvWPQ_1_1"/>
      <w:bookmarkStart w:id="1425" w:name="_0779f124_990f_4f63_8146_e624016f9e56"/>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r>
        <w:rPr>
          <w:rFonts w:ascii="Times New Roman;Times;serif" w:hAnsi="Times New Roman;Times;serif"/>
          <w:sz w:val="20"/>
        </w:rPr>
        <w:t>carried at historical cost of $10.6 million which was higher than the fair value of $10.1 million. At December 31, 2023, the common units were carried at fair value of $14.8 million which exceeded historical cost.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Alaska Communications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Company’s ownership in Alaska Communications, the Company has accounted for equity instruments as redeemable noncontrolling interests in its consolidated financial statements. The redeemable noncontrolling interests consists of redeemable common units and redeemable preferred units. The common units contain a put option allowing the holder to sell the common units to a subsidiary of the Company at the then fair market value. The put option begins at the earlier of a future initial public offering of the Alaska Communications operations or July 2028. The fair value of the common units was zero and $11.1 million as of December 31, 2024 and 2023, respectively. The redeemable preferred equity carries a 9% preferred dividend which compounds quarterly. The preferred units contain a put option allowing the holder to sell the preferred units to a subsidiary of the Company at the unpaid issuance price plus unpaid dividends. The put option begins at the earlier of a future initial public offering of the Alaska Communications operations or July 2028. The preferred units had a book value of $65.7 million and $60.1 million as of December 31, 2024 and 2023, respectively. The preferred units book value includes an unpaid preferred dividend of $17.4 million and $11.8 million as of December 31, 2024 and 2023, respectively. Lastly, the Company issued warrants in the Alaska Communications operations allowing the holders to purchase an additional 3% of the common units at a fixed price. The value of the warrants was $0.3 million as of December 31, 2024 and 2023.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year ended December 31, 2024 and 2023 the Company allocated losses of $17.7 million and $11.0 million, respectively, to the redeemable common units representing their proportionate share of operating losses. The Company then compared the book value of the common units to the fair value and the fair value exceeded the book value. As a result, the book value was increased by $2.5 million and decreased by $0.5 million during the years ended December 31, 2024 and 2023,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roll forward of the activity related to the Company’s redeemable noncontrolling interests for year ended December 31, 2024 and 2023:</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7"/>
        <w:gridCol w:w="532"/>
        <w:gridCol w:w="1711"/>
        <w:gridCol w:w="109"/>
        <w:gridCol w:w="491"/>
        <w:gridCol w:w="1716"/>
        <w:gridCol w:w="109"/>
        <w:gridCol w:w="715"/>
        <w:gridCol w:w="2655"/>
      </w:tblGrid>
      <w:tr>
        <w:trPr/>
        <w:tc>
          <w:tcPr>
            <w:tcW w:w="2167"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86485" cy="175260"/>
                      <wp:effectExtent l="0" t="0" r="0" b="0"/>
                      <wp:wrapNone/>
                      <wp:docPr id="242" name="Frame240"/>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089660" cy="175260"/>
                      <wp:effectExtent l="0" t="0" r="0" b="0"/>
                      <wp:wrapNone/>
                      <wp:docPr id="244" name="Frame242"/>
                      <a:graphic xmlns:a="http://schemas.openxmlformats.org/drawingml/2006/main">
                        <a:graphicData uri="http://schemas.microsoft.com/office/word/2010/wordprocessingShape">
                          <wps:wsp>
                            <wps:cNvSpPr txBox="1"/>
                            <wps:spPr>
                              <a:xfrm>
                                <a:off x="0" y="0"/>
                                <a:ext cx="108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85925" cy="175260"/>
                      <wp:effectExtent l="0" t="0" r="0" b="0"/>
                      <wp:wrapNone/>
                      <wp:docPr id="246" name="Frame244"/>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7" w:type="dxa"/>
            <w:tcBorders/>
            <w:vAlign w:val="center"/>
          </w:tcPr>
          <w:p>
            <w:pPr>
              <w:pStyle w:val="TableContents"/>
              <w:bidi w:val="0"/>
              <w:spacing w:before="0" w:after="0"/>
              <w:ind w:left="0" w:right="0" w:hanging="0"/>
              <w:jc w:val="left"/>
              <w:rPr/>
            </w:pPr>
            <w:r>
              <w:rPr/>
              <w:t>​</w:t>
            </w:r>
          </w:p>
        </w:tc>
        <w:tc>
          <w:tcPr>
            <w:tcW w:w="2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Preferred Units</w:t>
            </w:r>
          </w:p>
        </w:tc>
        <w:tc>
          <w:tcPr>
            <w:tcW w:w="109" w:type="dxa"/>
            <w:tcBorders/>
            <w:vAlign w:val="center"/>
          </w:tcPr>
          <w:p>
            <w:pPr>
              <w:pStyle w:val="TableContents"/>
              <w:bidi w:val="0"/>
              <w:spacing w:before="0" w:after="0"/>
              <w:ind w:left="0" w:right="0" w:hanging="0"/>
              <w:jc w:val="center"/>
              <w:rPr/>
            </w:pPr>
            <w:r>
              <w:rPr/>
              <w:t>​</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Common Units</w:t>
            </w:r>
          </w:p>
        </w:tc>
        <w:tc>
          <w:tcPr>
            <w:tcW w:w="109" w:type="dxa"/>
            <w:tcBorders/>
            <w:vAlign w:val="center"/>
          </w:tcPr>
          <w:p>
            <w:pPr>
              <w:pStyle w:val="TableContents"/>
              <w:bidi w:val="0"/>
              <w:spacing w:before="0" w:after="0"/>
              <w:ind w:left="0" w:right="0" w:hanging="0"/>
              <w:jc w:val="left"/>
              <w:rPr/>
            </w:pPr>
            <w:r>
              <w:rPr/>
              <w:t>​</w:t>
            </w:r>
          </w:p>
        </w:tc>
        <w:tc>
          <w:tcPr>
            <w:tcW w:w="3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Redeemable Noncontrolling Interests</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60,094</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25,823</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85,917</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preferred dividend</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Allocated net loss</w:t>
            </w:r>
          </w:p>
        </w:tc>
        <w:tc>
          <w:tcPr>
            <w:tcW w:w="532"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109" w:type="dxa"/>
            <w:tcBorders/>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65,704</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76,303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7"/>
        <w:gridCol w:w="532"/>
        <w:gridCol w:w="1711"/>
        <w:gridCol w:w="109"/>
        <w:gridCol w:w="491"/>
        <w:gridCol w:w="1716"/>
        <w:gridCol w:w="109"/>
        <w:gridCol w:w="715"/>
        <w:gridCol w:w="2655"/>
      </w:tblGrid>
      <w:tr>
        <w:trPr/>
        <w:tc>
          <w:tcPr>
            <w:tcW w:w="2167"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086485" cy="175260"/>
                      <wp:effectExtent l="0" t="0" r="0" b="0"/>
                      <wp:wrapNone/>
                      <wp:docPr id="247" name="Frame24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089660" cy="175260"/>
                      <wp:effectExtent l="0" t="0" r="0" b="0"/>
                      <wp:wrapNone/>
                      <wp:docPr id="249" name="Frame247"/>
                      <a:graphic xmlns:a="http://schemas.openxmlformats.org/drawingml/2006/main">
                        <a:graphicData uri="http://schemas.microsoft.com/office/word/2010/wordprocessingShape">
                          <wps:wsp>
                            <wps:cNvSpPr txBox="1"/>
                            <wps:spPr>
                              <a:xfrm>
                                <a:off x="0" y="0"/>
                                <a:ext cx="108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85925" cy="175260"/>
                      <wp:effectExtent l="0" t="0" r="0" b="0"/>
                      <wp:wrapNone/>
                      <wp:docPr id="251" name="Frame249"/>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7" w:type="dxa"/>
            <w:tcBorders/>
            <w:vAlign w:val="center"/>
          </w:tcPr>
          <w:p>
            <w:pPr>
              <w:pStyle w:val="TableContents"/>
              <w:bidi w:val="0"/>
              <w:spacing w:before="0" w:after="0"/>
              <w:ind w:left="0" w:right="0" w:hanging="0"/>
              <w:jc w:val="left"/>
              <w:rPr/>
            </w:pPr>
            <w:r>
              <w:rPr/>
              <w:t>​</w:t>
            </w:r>
          </w:p>
        </w:tc>
        <w:tc>
          <w:tcPr>
            <w:tcW w:w="2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Preferred Units</w:t>
            </w:r>
          </w:p>
        </w:tc>
        <w:tc>
          <w:tcPr>
            <w:tcW w:w="109" w:type="dxa"/>
            <w:tcBorders/>
            <w:vAlign w:val="center"/>
          </w:tcPr>
          <w:p>
            <w:pPr>
              <w:pStyle w:val="TableContents"/>
              <w:bidi w:val="0"/>
              <w:spacing w:before="0" w:after="0"/>
              <w:ind w:left="0" w:right="0" w:hanging="0"/>
              <w:jc w:val="center"/>
              <w:rPr/>
            </w:pPr>
            <w:r>
              <w:rPr/>
              <w:t>​</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Common Units</w:t>
            </w:r>
          </w:p>
        </w:tc>
        <w:tc>
          <w:tcPr>
            <w:tcW w:w="109" w:type="dxa"/>
            <w:tcBorders/>
            <w:vAlign w:val="center"/>
          </w:tcPr>
          <w:p>
            <w:pPr>
              <w:pStyle w:val="TableContents"/>
              <w:bidi w:val="0"/>
              <w:spacing w:before="0" w:after="0"/>
              <w:ind w:left="0" w:right="0" w:hanging="0"/>
              <w:jc w:val="left"/>
              <w:rPr/>
            </w:pPr>
            <w:r>
              <w:rPr/>
              <w:t>​</w:t>
            </w:r>
          </w:p>
        </w:tc>
        <w:tc>
          <w:tcPr>
            <w:tcW w:w="3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Redeemable Noncontrolling Interests</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55,152</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37,317</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92,469</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preferred dividend</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Allocated net loss</w:t>
            </w:r>
          </w:p>
        </w:tc>
        <w:tc>
          <w:tcPr>
            <w:tcW w:w="532"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(10,972)</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(10,972)</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109" w:type="dxa"/>
            <w:tcBorders/>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60,094</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25,823</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85,917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applies the fair value recognition provision of ASU 2018-07, “</w:t>
      </w:r>
      <w:r>
        <w:rPr>
          <w:rFonts w:ascii="Times New Roman;Times;serif" w:hAnsi="Times New Roman;Times;serif"/>
          <w:i/>
          <w:sz w:val="20"/>
        </w:rPr>
        <w:t>Compensation—Stock Compensation (Topic 718)</w:t>
      </w:r>
      <w:r>
        <w:rPr>
          <w:rFonts w:ascii="Times New Roman;Times;serif" w:hAnsi="Times New Roman;Times;serif"/>
          <w:sz w:val="20"/>
        </w:rPr>
        <w:t>” and is expensing the fair value of all stock-based compensation over the vesting periods of such awards within stock-based compensation its Income Statement.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accounts for business combinations using the acquisition method of accounting, under which the purchase price of the acquisition is allocated to the assets acquired and liabilities assumed using the fair values determined by management as of the acquisition date. Contingent consideration obligations that are elements of the consideration transferred are recognized as of the acquisition date as part of the fair value transferred in exchange for the acquired business. Postcombination changes in the fair value of asset or liability classified contingent consideration are recorded in operating income. Acquisition-related costs incurred in connection with a business combination are expensed as incurred.</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our consolidated financial statements and accompanying disclosures.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Disclosures” (ASU 2023-07), which requires that a public entity disclose, on an interim and annual basis, significant segment expense categories and amounts that are regularly provided to its chief operating decision maker (CODM) and included in each reported measure of segment profit or loss. An entity must also disclose, by reportable segment, the amount and composition of other expenses. The standard requires an entity disclose the title and position of its CODM and explain how the CODM uses these reported measures in assessing segment performance and determining how to allocate resources. The Company adopted the standard on December 31, 2024 and the disclosures are included in Note 14.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26" w:name="Tc_WZJfzdek4U6AcdwmFJywzA_9_7"/>
      <w:bookmarkStart w:id="1427" w:name="Tc_6XRkMRBQrkSW38xbDJHOEw_9_4"/>
      <w:bookmarkStart w:id="1428" w:name="Tc_22ecsmWGp0aIQNtm9SW5DA_9_1"/>
      <w:bookmarkStart w:id="1429" w:name="Tc__yDRoGvjWUa2F-lapvCW5w_9_0"/>
      <w:bookmarkStart w:id="1430" w:name="Tc_uMK5bJiOi0qwK4_oZsdZtA_8_0"/>
      <w:bookmarkStart w:id="1431" w:name="Tc_a-efUrSKgEaSgTmMRSYB8w_7_0"/>
      <w:bookmarkStart w:id="1432" w:name="Tc_WBYdd5GbSkGJBqlAi3R0rg_6_7"/>
      <w:bookmarkStart w:id="1433" w:name="Tc_cppndozzlk-Je5TehhTHfg_6_4"/>
      <w:bookmarkStart w:id="1434" w:name="Tc_M1WJU0QI306vQSeus_7fKQ_6_1"/>
      <w:bookmarkStart w:id="1435" w:name="Tc_VhXVmddxt0uc1FMJlBBBag_6_0"/>
      <w:bookmarkStart w:id="1436" w:name="Tc_8IZ2hnkXW0qMkjbDgKVsCA_5_0"/>
      <w:bookmarkStart w:id="1437" w:name="Tc_-6P5noeG5UG9ZgZjZfq0xQ_4_7"/>
      <w:bookmarkStart w:id="1438" w:name="Tc_I0Vmwhr10U-rFLEEVHlinw_4_4"/>
      <w:bookmarkStart w:id="1439" w:name="Tc_OGmKj-4puk6ExX3UDI8YAQ_4_1"/>
      <w:bookmarkStart w:id="1440" w:name="Tc_dWj5HPI_I0KRSVAyY_bWHg_4_0"/>
      <w:bookmarkStart w:id="1441" w:name="Tc_oadNM6qMGUOFCK7nhnU6DQ_3_7"/>
      <w:bookmarkStart w:id="1442" w:name="Tc_YiiaXzyhZUCLuFeHgcqB_w_3_4"/>
      <w:bookmarkStart w:id="1443" w:name="Tc_HtgDsIrNlkiJ5EonV09fOg_3_1"/>
      <w:bookmarkStart w:id="1444" w:name="Tc_uXNEaM7J50amqkRhWlKA2A_2_4"/>
      <w:bookmarkStart w:id="1445" w:name="Tc_CxmLN5zwHUOgsZaI7p4e_w_2_1"/>
      <w:bookmarkStart w:id="1446" w:name="Tc_GkRXb8thNUe7aEerhggpLg_1_1"/>
      <w:bookmarkStart w:id="1447" w:name="_430ff80e_440f_4d63_89e4_1654f047b2e7"/>
      <w:bookmarkStart w:id="1448" w:name="Tc_66oCutGj3EmD9_7wVBIcww_9_7"/>
      <w:bookmarkStart w:id="1449" w:name="Tc_oMRWwUFoCEOAUiOQKqH3tQ_9_4"/>
      <w:bookmarkStart w:id="1450" w:name="Tc_MU1K2vpzIUGyxquyOMUI-g_9_1"/>
      <w:bookmarkStart w:id="1451" w:name="Tc_I06Y5Dpud0CNt-Q6U7olxg_9_0"/>
      <w:bookmarkStart w:id="1452" w:name="Tc_KMuBEtGtyUqRFlRdoy3gWg_8_0"/>
      <w:bookmarkStart w:id="1453" w:name="Tc_g-QIM-4OJ06uQr3JAf_fBQ_7_0"/>
      <w:bookmarkStart w:id="1454" w:name="Tc_yKba4NCFJka7WeoWyFAq6Q_6_7"/>
      <w:bookmarkStart w:id="1455" w:name="Tc_NvnD8y7RDkWGfOixWmeC4g_6_4"/>
      <w:bookmarkStart w:id="1456" w:name="Tc_LEM31fi_IkqkvEqJxVjA3g_6_1"/>
      <w:bookmarkStart w:id="1457" w:name="Tc_KtCdsfrpyUyUwNnSgGtf1A_6_0"/>
      <w:bookmarkStart w:id="1458" w:name="Tc_LuqP-rWhXEiVeqCLvpdW8A_5_0"/>
      <w:bookmarkStart w:id="1459" w:name="Tc_RptKoe4-gUubxXAj6eZAwQ_4_7"/>
      <w:bookmarkStart w:id="1460" w:name="Tc_Su3-khUbwkecCM4vOkXsXw_4_4"/>
      <w:bookmarkStart w:id="1461" w:name="Tc_8KADeOwBEUCPovEVNR_FtQ_4_1"/>
      <w:bookmarkStart w:id="1462" w:name="Tc_KvQQcO_hWk6JYFzftKXPHg_4_0"/>
      <w:bookmarkStart w:id="1463" w:name="Tc_f32t4Ift3UCzII3YVnuOEw_3_7"/>
      <w:bookmarkStart w:id="1464" w:name="Tc_4IgtHoHnnUOrIX6MP9-pHw_3_4"/>
      <w:bookmarkStart w:id="1465" w:name="Tc_FSGaDgp8nEW5c5xUAI8iQQ_3_1"/>
      <w:bookmarkStart w:id="1466" w:name="Tc_I54e0DjUykqFfx2SSxaRTQ_2_4"/>
      <w:bookmarkStart w:id="1467" w:name="Tc_rQ8QGaBt10WBkiBqQH8-HA_2_1"/>
      <w:bookmarkStart w:id="1468" w:name="Tc_NSQozAzPf02Y1C7Fk83vlA_1_1"/>
      <w:bookmarkStart w:id="1469" w:name="_da64d4c5_9c7c_4313_a63c_a049983b7b33"/>
      <w:bookmarkStart w:id="1470" w:name="Tc_7BhkW7JZDEidMIA7-usnfA_9_7"/>
      <w:bookmarkStart w:id="1471" w:name="Tc_l_aA05AKVUy1NUVQYtQgJg_9_4"/>
      <w:bookmarkStart w:id="1472" w:name="Tc_4QNIqcA8r0CaUoLiJv6OFg_9_1"/>
      <w:bookmarkStart w:id="1473" w:name="Tc_G7KPVHnNLE2jn4fbnKJ-mw_9_0"/>
      <w:bookmarkStart w:id="1474" w:name="Tc_oOmbnDlPl0SLjHJF-H9vlQ_8_0"/>
      <w:bookmarkStart w:id="1475" w:name="Tc_WRe01rEsb0WOjs0BbTZIfg_7_0"/>
      <w:bookmarkStart w:id="1476" w:name="Tc_dNVUU77V806flggxeFedFQ_6_7"/>
      <w:bookmarkStart w:id="1477" w:name="Tc_R9wb9U_IwkKyux8ac4aA0w_6_4"/>
      <w:bookmarkStart w:id="1478" w:name="Tc_KElCgHlBE0Cs-3G03mqFxQ_6_1"/>
      <w:bookmarkStart w:id="1479" w:name="Tc_4DqZKu7EfUKA1vO4yUX6CA_6_0"/>
      <w:bookmarkStart w:id="1480" w:name="Tc_5m-J-2shREq_UCbQNAImbg_5_0"/>
      <w:bookmarkStart w:id="1481" w:name="Tc_YMcoaUFrl0SxooDADLtT-g_4_7"/>
      <w:bookmarkStart w:id="1482" w:name="Tc_DH7h4-Qp0kuTJxvJ1j-R9g_4_4"/>
      <w:bookmarkStart w:id="1483" w:name="Tc_jRbKWdd690uDnO77cJdsgQ_4_1"/>
      <w:bookmarkStart w:id="1484" w:name="Tc_tvgqE9MBp0ahJVuGszOrbA_4_0"/>
      <w:bookmarkStart w:id="1485" w:name="Tc_tl8uT8Vf3Uac_GmOnX9Opw_3_7"/>
      <w:bookmarkStart w:id="1486" w:name="Tc_bKm1Lu55UEaj0U0E5tf7eg_3_4"/>
      <w:bookmarkStart w:id="1487" w:name="Tc_ofM0rSh4xk6tQSGlyM2NmQ_3_1"/>
      <w:bookmarkStart w:id="1488" w:name="Tc_6VuxpLA6z0aV2yyXd4wGJA_2_4"/>
      <w:bookmarkStart w:id="1489" w:name="Tc_UwxsapP2XEuSJIo7myFxpQ_2_1"/>
      <w:bookmarkStart w:id="1490" w:name="Tc_NGaY_Lq_XEifSBplHwDyYw_1_1"/>
      <w:bookmarkStart w:id="1491" w:name="_076ca3c7_ff2d_4a44_84a5_478ac8f290d3"/>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b/>
          <w:sz w:val="20"/>
        </w:rPr>
        <w:t xml:space="preserve">3. REVENUE AND RECEIVABLES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 Accounted for in Accordance with Other Guidance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revenue in accordance with ASC 606 from contracts with customers and ASC 842 from lease agreements, as well as government grants. Lease revenue recognized under ASC 842 is disclosed in Note 4 and government grant revenue is disclosed in Note 9.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Timing of Revenue Recognition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Revenue accounted for in accordance with ASC 606 consisted of the following for the periods presented below</w:t>
      </w:r>
      <w:r>
        <w:rPr>
          <w:rFonts w:ascii="Times New Roman;Times;serif" w:hAnsi="Times New Roman;Times;serif"/>
          <w:i/>
          <w:sz w:val="20"/>
        </w:rPr>
        <w:t>.</w:t>
      </w:r>
    </w:p>
    <w:p>
      <w:pPr>
        <w:pStyle w:val="TextBody"/>
        <w:bidi w:val="0"/>
        <w:spacing w:before="280" w:after="0"/>
        <w:ind w:left="0" w:right="0" w:hanging="0"/>
        <w:jc w:val="left"/>
        <w:rPr/>
      </w:pPr>
      <w:r>
        <w:rPr/>
        <w:t>​</w:t>
      </w:r>
    </w:p>
    <w:tbl>
      <w:tblPr>
        <w:tblW w:w="7379" w:type="dxa"/>
        <w:jc w:val="left"/>
        <w:tblInd w:w="0" w:type="dxa"/>
        <w:tblLayout w:type="fixed"/>
        <w:tblCellMar>
          <w:top w:w="0" w:type="dxa"/>
          <w:left w:w="0" w:type="dxa"/>
          <w:bottom w:w="0" w:type="dxa"/>
          <w:right w:w="0" w:type="dxa"/>
        </w:tblCellMar>
      </w:tblPr>
      <w:tblGrid>
        <w:gridCol w:w="4006"/>
        <w:gridCol w:w="226"/>
        <w:gridCol w:w="840"/>
        <w:gridCol w:w="109"/>
        <w:gridCol w:w="211"/>
        <w:gridCol w:w="781"/>
        <w:gridCol w:w="109"/>
        <w:gridCol w:w="211"/>
        <w:gridCol w:w="886"/>
      </w:tblGrid>
      <w:tr>
        <w:trPr/>
        <w:tc>
          <w:tcPr>
            <w:tcW w:w="4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33400" cy="175260"/>
                      <wp:effectExtent l="0" t="0" r="0" b="0"/>
                      <wp:wrapNone/>
                      <wp:docPr id="252" name="Frame25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95935" cy="175260"/>
                      <wp:effectExtent l="0" t="0" r="0" b="0"/>
                      <wp:wrapNone/>
                      <wp:docPr id="254" name="Frame2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62610" cy="175260"/>
                      <wp:effectExtent l="0" t="0" r="0" b="0"/>
                      <wp:wrapNone/>
                      <wp:docPr id="256" name="Frame2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400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transferred over time</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290,335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646,899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 and services transferred at a point in time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accounted for under ASC 606</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371,508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673,997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 revenue (1)</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729,075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379" w:type="dxa"/>
        <w:jc w:val="left"/>
        <w:tblInd w:w="0" w:type="dxa"/>
        <w:tblLayout w:type="fixed"/>
        <w:tblCellMar>
          <w:top w:w="0" w:type="dxa"/>
          <w:left w:w="0" w:type="dxa"/>
          <w:bottom w:w="0" w:type="dxa"/>
          <w:right w:w="0" w:type="dxa"/>
        </w:tblCellMar>
      </w:tblPr>
      <w:tblGrid>
        <w:gridCol w:w="4006"/>
        <w:gridCol w:w="226"/>
        <w:gridCol w:w="840"/>
        <w:gridCol w:w="109"/>
        <w:gridCol w:w="211"/>
        <w:gridCol w:w="781"/>
        <w:gridCol w:w="109"/>
        <w:gridCol w:w="211"/>
        <w:gridCol w:w="886"/>
      </w:tblGrid>
      <w:tr>
        <w:trPr/>
        <w:tc>
          <w:tcPr>
            <w:tcW w:w="4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33400" cy="175260"/>
                      <wp:effectExtent l="0" t="0" r="0" b="0"/>
                      <wp:wrapNone/>
                      <wp:docPr id="257" name="Frame25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62610" cy="175260"/>
                      <wp:effectExtent l="0" t="0" r="0" b="0"/>
                      <wp:wrapNone/>
                      <wp:docPr id="261" name="Frame2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400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transferred over time</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326,966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674,735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 and services transferred at a point in time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accounted for under ASC 606</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709,880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 revenue (1)</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391,483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762,216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379" w:type="dxa"/>
        <w:jc w:val="left"/>
        <w:tblInd w:w="0" w:type="dxa"/>
        <w:tblLayout w:type="fixed"/>
        <w:tblCellMar>
          <w:top w:w="0" w:type="dxa"/>
          <w:left w:w="0" w:type="dxa"/>
          <w:bottom w:w="0" w:type="dxa"/>
          <w:right w:w="0" w:type="dxa"/>
        </w:tblCellMar>
      </w:tblPr>
      <w:tblGrid>
        <w:gridCol w:w="4006"/>
        <w:gridCol w:w="226"/>
        <w:gridCol w:w="840"/>
        <w:gridCol w:w="109"/>
        <w:gridCol w:w="211"/>
        <w:gridCol w:w="781"/>
        <w:gridCol w:w="109"/>
        <w:gridCol w:w="211"/>
        <w:gridCol w:w="886"/>
      </w:tblGrid>
      <w:tr>
        <w:trPr/>
        <w:tc>
          <w:tcPr>
            <w:tcW w:w="4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33400" cy="175260"/>
                      <wp:effectExtent l="0" t="0" r="0" b="0"/>
                      <wp:wrapNone/>
                      <wp:docPr id="262" name="Frame26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5935" cy="175260"/>
                      <wp:effectExtent l="0" t="0" r="0" b="0"/>
                      <wp:wrapNone/>
                      <wp:docPr id="264"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62610" cy="175260"/>
                      <wp:effectExtent l="0" t="0" r="0" b="0"/>
                      <wp:wrapNone/>
                      <wp:docPr id="266" name="Frame2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r>
      <w:tr>
        <w:trPr/>
        <w:tc>
          <w:tcPr>
            <w:tcW w:w="400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transferred over time</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633,816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 and services transferred at a point in time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accounted for under ASC 606</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347,441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677,953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 revenue (1)</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370,164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725,745</w:t>
            </w:r>
          </w:p>
        </w:tc>
      </w:tr>
    </w:tbl>
    <w:p>
      <w:pPr>
        <w:pStyle w:val="TextBody"/>
        <w:bidi w:val="0"/>
        <w:spacing w:before="0" w:after="0"/>
        <w:ind w:left="0" w:right="0" w:hanging="0"/>
        <w:jc w:val="left"/>
        <w:rPr/>
      </w:pPr>
      <w:r>
        <w:rPr/>
        <w:t>​</w:t>
      </w:r>
    </w:p>
    <w:tbl>
      <w:tblPr>
        <w:tblW w:w="6486" w:type="dxa"/>
        <w:jc w:val="left"/>
        <w:tblInd w:w="0" w:type="dxa"/>
        <w:tblLayout w:type="fixed"/>
        <w:tblCellMar>
          <w:top w:w="28" w:type="dxa"/>
          <w:left w:w="28" w:type="dxa"/>
          <w:bottom w:w="28" w:type="dxa"/>
          <w:right w:w="28" w:type="dxa"/>
        </w:tblCellMar>
      </w:tblPr>
      <w:tblGrid>
        <w:gridCol w:w="124"/>
        <w:gridCol w:w="331"/>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government funded programs. Refer to Note 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1492" w:name="Tc_NLr64AhxrkiIBHmFRbeG9g_6_12"/>
      <w:bookmarkStart w:id="1493" w:name="Tc_QP7V9Zw-SEeZ3Botz8Sazw_6_7"/>
      <w:bookmarkStart w:id="1494" w:name="Tc_62k5chVTtkO0NcYksmXV6w_6_4"/>
      <w:bookmarkStart w:id="1495" w:name="Tc_KzV570ePLUeiOGmSS7ZXvA_6_1"/>
      <w:bookmarkStart w:id="1496" w:name="Tc__xoaUkrhxEeBcov4xMcJWA_6_0"/>
      <w:bookmarkStart w:id="1497" w:name="Tc_xjgT5KEOFUOdE_ij_vJ4mg_5_12"/>
      <w:bookmarkStart w:id="1498" w:name="Tc_aCcfk34dC0-E8cHzYSsh9w_5_0"/>
      <w:bookmarkStart w:id="1499" w:name="Tc_lwW5qtAzhU-x-4IkKLlatg_4_12"/>
      <w:bookmarkStart w:id="1500" w:name="Tc_xW5_YPWGV0u66vIxNLQiaA_4_0"/>
      <w:bookmarkStart w:id="1501" w:name="Tc_J-XG2lxJ1UyUiaN-i8UlwQ_3_12"/>
      <w:bookmarkStart w:id="1502" w:name="Tc_bXomlbx1n0KlSKYGTNYy2A_3_0"/>
      <w:bookmarkStart w:id="1503" w:name="Tc_xbDvSUi_Qk6f3G8yxIk28w_2_12"/>
      <w:bookmarkStart w:id="1504" w:name="Tc_BNKka10yNE6RcJcX2DCtnA_2_7"/>
      <w:bookmarkStart w:id="1505" w:name="Tc_FnTjcNzIiUys39lBJugHkg_2_4"/>
      <w:bookmarkStart w:id="1506" w:name="Tc_znqdK7diXk-wW5yVquaI8g_2_1"/>
      <w:bookmarkStart w:id="1507" w:name="Tc_xFT4VWOiSkKQkI2uvKW_rw_2_0"/>
      <w:bookmarkStart w:id="1508" w:name="Tc_BfK3iJrJ8UiNnSFxz4ttNA_1_10"/>
      <w:bookmarkStart w:id="1509" w:name="Tc_R95l_4WXM0Syb5XiF-4xag_1_8"/>
      <w:bookmarkStart w:id="1510" w:name="Tc_MNzrRjaTIEmSzXth7efkgQ_1_4"/>
      <w:bookmarkStart w:id="1511" w:name="Tc_B8jqLY2A-UuU6cEZdyy7xw_1_1"/>
      <w:bookmarkStart w:id="1512" w:name="_1c6b6b54_fe52_4eab_9d47_2adb1639c21f"/>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r>
        <w:rPr>
          <w:rFonts w:ascii="Times New Roman;Times;serif" w:hAnsi="Times New Roman;Times;serif"/>
          <w:i/>
          <w:sz w:val="20"/>
        </w:rPr>
        <w:t>Contract Assets and Liabilities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consisted of the following (amounts in thousands):</w:t>
      </w:r>
    </w:p>
    <w:tbl>
      <w:tblPr>
        <w:tblW w:w="7971" w:type="dxa"/>
        <w:jc w:val="left"/>
        <w:tblInd w:w="0" w:type="dxa"/>
        <w:tblLayout w:type="fixed"/>
        <w:tblCellMar>
          <w:top w:w="0" w:type="dxa"/>
          <w:left w:w="0" w:type="dxa"/>
          <w:bottom w:w="0" w:type="dxa"/>
          <w:right w:w="0" w:type="dxa"/>
        </w:tblCellMar>
      </w:tblPr>
      <w:tblGrid>
        <w:gridCol w:w="2611"/>
        <w:gridCol w:w="314"/>
        <w:gridCol w:w="1186"/>
        <w:gridCol w:w="109"/>
        <w:gridCol w:w="314"/>
        <w:gridCol w:w="1186"/>
        <w:gridCol w:w="109"/>
        <w:gridCol w:w="211"/>
        <w:gridCol w:w="796"/>
        <w:gridCol w:w="109"/>
        <w:gridCol w:w="109"/>
        <w:gridCol w:w="586"/>
        <w:gridCol w:w="331"/>
      </w:tblGrid>
      <w:tr>
        <w:trPr/>
        <w:tc>
          <w:tcPr>
            <w:tcW w:w="2611"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53110" cy="175260"/>
                      <wp:effectExtent l="0" t="0" r="0" b="0"/>
                      <wp:wrapNone/>
                      <wp:docPr id="267" name="Frame26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53110" cy="175260"/>
                      <wp:effectExtent l="0" t="0" r="0" b="0"/>
                      <wp:wrapNone/>
                      <wp:docPr id="269" name="Frame26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05460" cy="175260"/>
                      <wp:effectExtent l="0" t="0" r="0" b="0"/>
                      <wp:wrapNone/>
                      <wp:docPr id="272" name="Frame2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72110" cy="175260"/>
                      <wp:effectExtent l="0" t="0" r="0" b="0"/>
                      <wp:wrapNone/>
                      <wp:docPr id="275" name="Frame27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0185" cy="175260"/>
                      <wp:effectExtent l="0" t="0" r="0" b="0"/>
                      <wp:wrapNone/>
                      <wp:docPr id="276" name="Frame27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center"/>
              <w:rPr/>
            </w:pPr>
            <w:r>
              <w:rPr/>
              <w:t>​</w:t>
            </w:r>
          </w:p>
        </w:tc>
        <w:tc>
          <w:tcPr>
            <w:tcW w:w="102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 – current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8.4 </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 – noncurrent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5,368</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(28,932)</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noncurrent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(55,116)</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8,919</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contract liability</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(74,760)</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contract asset-current is included in prepayments and other current assets, the contract asset-noncurrent is included in other assets, the contract liability-current is included in advance payments and deposits, and the contract liability-noncurrent is included in deferred revenue, long-term on the Company’s balance sheet. The decrease in the Company’s net contract liability was due to the recognition of contract liabilities as revenue during the year ended December 31, 2024. During the year ended December 31, 2024, the Company recognized revenue of $30.5 million related to its December 31, 2023 contract liability and amortized $3.5 million of the December 31, 2023 contract asset into revenue. During the year ended December 31, 2023, the Company recognized revenue of $27.6 million related to its December 31, 2022 contract liability and amortized $3.0 million of the December 31, 2022 contract asset into revenue.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Contract Acquisition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December 31, 2024 balance sheet includes contract acquisition costs of $10.7 million in other assets. The December 31, 2023 balance sheet includes contract acquisition costs of $11.3 million. During the years ended December 31, 2024, 2023 and 2022 the Company amortized $6.6 million, $5.6 million and $3.5 million, respectively, of contract acquisition cost.</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Remaining Performance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Remaining performance obligations represent the transaction price allocated to unsatisfied performance obligations of certain multiyear mobility contracts, which include a promotional discount, and the Company’s construction and service contracts. The transaction price allocated to unsatisfied performance obligations was $598 million and $494 million at December 31, 2024 and December 31, 2023, respectively. The Company expects to satisfy approximately 43% of the remaining performance obligations and recognize the transaction price within 24 months and a</w:t>
      </w:r>
      <w:r>
        <w:rPr>
          <w:rFonts w:ascii="Times New Roman;Times;serif" w:hAnsi="Times New Roman;Times;serif"/>
          <w:b w:val="false"/>
          <w:i w:val="false"/>
          <w:caps w:val="false"/>
          <w:smallCaps w:val="false"/>
          <w:sz w:val="20"/>
        </w:rPr>
        <w:t>pproximatel</w:t>
      </w:r>
      <w:r>
        <w:rPr>
          <w:rFonts w:ascii="Times New Roman;Times;serif" w:hAnsi="Times New Roman;Times;serif"/>
          <w:sz w:val="20"/>
        </w:rPr>
        <w:t>y $60 million annually from 2027 through 2032. The Company omits performance obligations with a duration of one year or less and variable consideration under the right to invoice or wholly unsatisfied performance obligation practical expedients from this disclosure.</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Disaggregation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revenue is presented on a disaggregated basis in Note 14 based on an evaluation of disclosures outside the financial statements, information regularly reviewed by the chief operating decision maker for evaluating the financial performance of operating segments and other information that is used for performance evaluation and resource allocations. This includes revenue from Communication Services revenue, Construction revenue and Other revenue. Communication Services is further disaggregated into Mobility, Fixed, Carrier Services, and Other revenue. Construction revenue represents revenue generated within our US Telecom segment for the construction of network cell sites related to the FirstNet Agreement. Other revenue consists of Managed Services revenue. Each of the revenue streams is presented for the Company’s International Telecom and US Telecom segments. This disaggregation of revenue depicts how the nature, amount, timing and uncertainty of revenue and cash flows are affected by economic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i/>
          <w:sz w:val="20"/>
        </w:rPr>
      </w:pPr>
      <w:bookmarkStart w:id="1513" w:name="Tc_GrPvwZqXwUSo2NqhlhVg6w_8_5"/>
      <w:bookmarkStart w:id="1514" w:name="Tc_mVmU5AeN5UCAkIQuP4gpog_8_2"/>
      <w:bookmarkStart w:id="1515" w:name="Tc_XCfMFSilRkidGwBOruomuA_8_0"/>
      <w:bookmarkStart w:id="1516" w:name="Tc_yKqU0JCTbkKQO5AlgmDcrA_7_0"/>
      <w:bookmarkStart w:id="1517" w:name="Tc_DNFCw8c2XkSsI70o6YRlZA_6_0"/>
      <w:bookmarkStart w:id="1518" w:name="Tc_z5rrdMrWlEar8IT-G6eJWw_5_0"/>
      <w:bookmarkStart w:id="1519" w:name="Tc_H2VBnPQqUEOcVU9tNxWJYg_4_5"/>
      <w:bookmarkStart w:id="1520" w:name="Tc_br7lBTThXkGOXebQ1V93gg_4_2"/>
      <w:bookmarkStart w:id="1521" w:name="Tc_2T9KWpHPvk6Wr1fgwb4CNw_4_0"/>
      <w:bookmarkStart w:id="1522" w:name="Tc_mKQyyDlGCkmwusGJy-Tkfg_2_5"/>
      <w:bookmarkStart w:id="1523" w:name="Tc_zgQ_NPJYeU6b-K-xGzeOmw_2_2"/>
      <w:bookmarkStart w:id="1524" w:name="Tc_HqIubXN7SEK44l35Ztx5fw_1_2"/>
      <w:bookmarkEnd w:id="1513"/>
      <w:bookmarkEnd w:id="1514"/>
      <w:bookmarkEnd w:id="1515"/>
      <w:bookmarkEnd w:id="1516"/>
      <w:bookmarkEnd w:id="1517"/>
      <w:bookmarkEnd w:id="1518"/>
      <w:bookmarkEnd w:id="1519"/>
      <w:bookmarkEnd w:id="1520"/>
      <w:bookmarkEnd w:id="1521"/>
      <w:bookmarkEnd w:id="1522"/>
      <w:bookmarkEnd w:id="1523"/>
      <w:bookmarkEnd w:id="1524"/>
      <w:r>
        <w:rPr>
          <w:rFonts w:ascii="Times New Roman;Times;serif" w:hAnsi="Times New Roman;Times;serif"/>
          <w:i/>
          <w:sz w:val="20"/>
        </w:rPr>
        <w:t>Receivables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December 31, 2024, the Company had gross receivables of $198.4 million and an allowance for credit losses of $15.1 million. Included within these amounts was a receivable under the FirstNet Agreement totaling $49.0 million, of which $8.0 million was current and $41.0 million was long-term, $37.7 million in receivables under the Replace and Remove Program, as well as $12.8 million in receivables related to the Company’s participation in certain other government funded programs. (Refer to Note 9). At December 31, 2023, the Company had gross accounts receivable of $207.9 million and an allowance for credit losses of $16.4 million. The receivable under the FirstNet Agreement totaled $52.9 million of which $7.2 million was current and $45.7 million was long-term. The December 31, 2023 receivables also includes $47.3 million in receivables under the Replace and Remove Program as well as $3.3 million related to participation in certain government funded programs. The Company monitors receivables through the use of historical operating data adjusted for expectation of future performance as appropriate. Activity in the allowance for credit losses is below:</w:t>
      </w:r>
    </w:p>
    <w:p>
      <w:pPr>
        <w:pStyle w:val="TextBody"/>
        <w:bidi w:val="0"/>
        <w:spacing w:before="280" w:after="0"/>
        <w:ind w:left="0" w:right="0" w:hanging="0"/>
        <w:jc w:val="left"/>
        <w:rPr/>
      </w:pPr>
      <w:r>
        <w:rPr/>
        <w:t>​</w:t>
      </w:r>
    </w:p>
    <w:tbl>
      <w:tblPr>
        <w:tblW w:w="6252" w:type="dxa"/>
        <w:jc w:val="left"/>
        <w:tblInd w:w="0" w:type="dxa"/>
        <w:tblLayout w:type="fixed"/>
        <w:tblCellMar>
          <w:top w:w="0" w:type="dxa"/>
          <w:left w:w="0" w:type="dxa"/>
          <w:bottom w:w="0" w:type="dxa"/>
          <w:right w:w="0" w:type="dxa"/>
        </w:tblCellMar>
      </w:tblPr>
      <w:tblGrid>
        <w:gridCol w:w="3706"/>
        <w:gridCol w:w="326"/>
        <w:gridCol w:w="211"/>
        <w:gridCol w:w="691"/>
        <w:gridCol w:w="326"/>
        <w:gridCol w:w="211"/>
        <w:gridCol w:w="7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353310" cy="175260"/>
                      <wp:effectExtent l="0" t="0" r="0" b="0"/>
                      <wp:wrapNone/>
                      <wp:docPr id="277" name="Frame27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80" name="Frame2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95935" cy="175260"/>
                      <wp:effectExtent l="0" t="0" r="0" b="0"/>
                      <wp:wrapNone/>
                      <wp:docPr id="283" name="Frame2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15,171</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provision for expected losses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charged against the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 collected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16,362</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1525" w:name="Tc_7Bw18fKaN0yqctZ20Vrq8w_13_7"/>
      <w:bookmarkStart w:id="1526" w:name="Tc_Zvg5n9tZu0mcSVb4cnLEYA_13_4"/>
      <w:bookmarkStart w:id="1527" w:name="Tc_W2dW23VkYUOWW9NUU6dDtA_13_1"/>
      <w:bookmarkStart w:id="1528" w:name="Tc_fvQCawoZkUCQnvlli3bQnQ_13_0"/>
      <w:bookmarkStart w:id="1529" w:name="Tc_AdudIRIWKkK8NC5dpQeH8w_12_0"/>
      <w:bookmarkStart w:id="1530" w:name="Tc_dmIc6MOpIU6qRsMmt60T8g_11_0"/>
      <w:bookmarkStart w:id="1531" w:name="Tc_2gpPmAZnVE219Hwcle5ksw_10_7"/>
      <w:bookmarkStart w:id="1532" w:name="Tc_HKIDzndXfkyzsaVJI4SMxQ_10_4"/>
      <w:bookmarkStart w:id="1533" w:name="Tc_CLKhYKoDQ0K0Xe0nSqrvPA_10_1"/>
      <w:bookmarkStart w:id="1534" w:name="Tc_MsV6e6wFSUOYad1nIGAjJA_10_0"/>
      <w:bookmarkStart w:id="1535" w:name="Tc_zzoenMnnhU2zf8Mtnu99qw_9_0"/>
      <w:bookmarkStart w:id="1536" w:name="Tc_YQxoV1UQ2U2EqrvWzNTnsQ_7_7"/>
      <w:bookmarkStart w:id="1537" w:name="Tc_XYDN3TS7-U-Ub5d_e2FjcQ_7_4"/>
      <w:bookmarkStart w:id="1538" w:name="Tc_0cbo5dO_k0ulaHFMHaqFjQ_7_1"/>
      <w:bookmarkStart w:id="1539" w:name="Tc_GpjXWIr3P0aSszBzHV8FlA_7_0"/>
      <w:bookmarkStart w:id="1540" w:name="Tc_FJ7G4aCD6keS0t1qH1wUvA_6_0"/>
      <w:bookmarkStart w:id="1541" w:name="Tc_c7On41UW1kG_6gL1XhVQsw_5_0"/>
      <w:bookmarkStart w:id="1542" w:name="Tc_UzFaUkbw9kCEvqc3920e1w_4_7"/>
      <w:bookmarkStart w:id="1543" w:name="Tc_Q_tb9xaLiEa3jZuNC8T4Mw_4_4"/>
      <w:bookmarkStart w:id="1544" w:name="Tc_rMt_LqtBcUGCfGvEzEdGtA_4_1"/>
      <w:bookmarkStart w:id="1545" w:name="Tc_N8Cn7FQYIUK4NIygBQHSHA_4_0"/>
      <w:bookmarkStart w:id="1546" w:name="Tc_vhErpZ3frEO7sXEtR3Fpug_3_0"/>
      <w:bookmarkStart w:id="1547" w:name="Tc_JXAm16kP1EmYDURVdbwkfQ_2_7"/>
      <w:bookmarkStart w:id="1548" w:name="Tc_J6xbseLQN0iY_z5YRRLlUQ_2_4"/>
      <w:bookmarkStart w:id="1549" w:name="Tc_QdhroQT-4EiYD4kvNmT8Yg_2_1"/>
      <w:bookmarkStart w:id="1550" w:name="Tc_QMKEOwPJUkCwAAgyJMYQzQ_1_1"/>
      <w:bookmarkStart w:id="1551" w:name="_92ae3550_68bf_4c48_a562_7e4deaff114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rPr>
          <w:rFonts w:ascii="Times New Roman;Times;serif" w:hAnsi="Times New Roman;Times;serif"/>
          <w:b/>
          <w:sz w:val="20"/>
        </w:rPr>
        <w:t xml:space="preserve">4. LEASES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operating and financing leases for towers, land, corporate offices, retail facilities, and data transport capacity. The terms of the leases vary and some include additional renewal options.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Supplemental lease information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components of lease expense were as follows (in thousands):</w:t>
      </w:r>
    </w:p>
    <w:tbl>
      <w:tblPr>
        <w:tblW w:w="5977" w:type="dxa"/>
        <w:jc w:val="left"/>
        <w:tblInd w:w="0" w:type="dxa"/>
        <w:tblLayout w:type="fixed"/>
        <w:tblCellMar>
          <w:top w:w="0" w:type="dxa"/>
          <w:left w:w="0" w:type="dxa"/>
          <w:bottom w:w="0" w:type="dxa"/>
          <w:right w:w="0" w:type="dxa"/>
        </w:tblCellMar>
      </w:tblPr>
      <w:tblGrid>
        <w:gridCol w:w="2836"/>
        <w:gridCol w:w="211"/>
        <w:gridCol w:w="676"/>
        <w:gridCol w:w="326"/>
        <w:gridCol w:w="211"/>
        <w:gridCol w:w="676"/>
        <w:gridCol w:w="109"/>
        <w:gridCol w:w="211"/>
        <w:gridCol w:w="721"/>
      </w:tblGrid>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29260" cy="175260"/>
                      <wp:effectExtent l="0" t="0" r="0" b="0"/>
                      <wp:wrapNone/>
                      <wp:docPr id="288"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57835" cy="175260"/>
                      <wp:effectExtent l="0" t="0" r="0" b="0"/>
                      <wp:wrapNone/>
                      <wp:docPr id="291" name="Frame28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1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3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24,531</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30,292</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costs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cost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4,279</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2024 and 2023, the Company paid $20.6 million and $19.8 million, respectively, related to operating lease liabilities. Also during the years ended December 31, 2024 and 2023, the Company recorded $19.4 million and $16.7 million, respectively, of lease liabilities arising from ROU assets. In addition, during the year ended December 31, 2022, the Company acquired $1.0 million of operating lease assets and $1.0 million of lease liabilities in acquisitions. Refer to Note 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552" w:name="Tc_cvrkTD0u4Uyl3nWVq5PPNg_10_4"/>
      <w:bookmarkStart w:id="1553" w:name="Tc_n9FQHAig1UutbYoQEH2wsA_10_1"/>
      <w:bookmarkStart w:id="1554" w:name="Tc_sviG9jleLEOM4RfSci0ghw_9_0"/>
      <w:bookmarkStart w:id="1555" w:name="Tc_k-rgmlPQLk673DXqtTChQw_8_0"/>
      <w:bookmarkStart w:id="1556" w:name="Tc_SnlB9TRiTky6XxrlC6W0Gg_7_0"/>
      <w:bookmarkStart w:id="1557" w:name="Tc_o7Tb_c4h3kqsVpB3BtHLyQ_6_0"/>
      <w:bookmarkStart w:id="1558" w:name="Tc_F-o523-onkOZ8QXzviWCNA_5_0"/>
      <w:bookmarkStart w:id="1559" w:name="Tc_jub_Fpusdku5GfIJofLlJg_4_0"/>
      <w:bookmarkStart w:id="1560" w:name="Tc_93mv2A5rmUSffdw2wjHdtg_3_0"/>
      <w:bookmarkStart w:id="1561" w:name="Tc_mpx1EiqQGEix6REiKiZrLw_2_4"/>
      <w:bookmarkStart w:id="1562" w:name="Tc_2ogzNZNgfk-FePxspxQyhg_2_1"/>
      <w:bookmarkStart w:id="1563" w:name="Tc_rT-bw72Wa0Cf39QmHZvFmA_2_0"/>
      <w:bookmarkStart w:id="1564" w:name="Tc_GuJQZTF6I0mBbYf6fvA9uw_1_4"/>
      <w:bookmarkStart w:id="1565" w:name="Tc_8tQuxOeiB061WzWry00fvQ_1_1"/>
      <w:bookmarkStart w:id="1566" w:name="_31b32545_d961_490d_911a_e7977e3089b4"/>
      <w:bookmarkStart w:id="1567" w:name="Tc_PxiAdUSi_UiS6-QeTuwbbw_10_4"/>
      <w:bookmarkStart w:id="1568" w:name="Tc_xB4us-UI2E-g_UbIOA9Bug_10_1"/>
      <w:bookmarkStart w:id="1569" w:name="Tc_oGrD0KaA_EKEKR9gJVEQCQ_9_0"/>
      <w:bookmarkStart w:id="1570" w:name="Tc_0u1S6__CdEiGCzeWe5arug_8_0"/>
      <w:bookmarkStart w:id="1571" w:name="Tc_AXjvjlMjh0yUnjikVYCrmw_7_0"/>
      <w:bookmarkStart w:id="1572" w:name="Tc_JgAuU_iLcUOWkKl6FqNmYQ_6_0"/>
      <w:bookmarkStart w:id="1573" w:name="Tc_TUyF6SB8JkeVMgc3cJx72w_5_0"/>
      <w:bookmarkStart w:id="1574" w:name="Tc_VNmsA2PnWUqw-KIY1XRQXQ_4_0"/>
      <w:bookmarkStart w:id="1575" w:name="Tc_3fC4gBpNf02G0dRNw25elA_3_0"/>
      <w:bookmarkStart w:id="1576" w:name="Tc_JhtCGBzo_UGBWDMcReZOOA_2_0"/>
      <w:bookmarkStart w:id="1577" w:name="Tc_Kmy2oMjHC0G099Oxq6XKxA_1_4"/>
      <w:bookmarkStart w:id="1578" w:name="Tc_e8zViCm6IEmu_5-rfASHag_1_1"/>
      <w:bookmarkStart w:id="1579" w:name="_c2673b80_d461_4aa7_a308_4a1ac49bea25"/>
      <w:bookmarkStart w:id="1580" w:name="Tc_mpAiqirIrU6w1Fbk4w2tug_8_0"/>
      <w:bookmarkStart w:id="1581" w:name="Tc_M9isSSf5TUa2_HCsNlv06w_7_0"/>
      <w:bookmarkStart w:id="1582" w:name="Tc_WArPmPtj2EiEVQsNfNFI5A_6_0"/>
      <w:bookmarkStart w:id="1583" w:name="Tc_4ftZzyfSakCuc-48Gsmqmw_4_5"/>
      <w:bookmarkStart w:id="1584" w:name="Tc_jlZDzs-0s0KZBSE0K5peOg_4_2"/>
      <w:bookmarkStart w:id="1585" w:name="Tc_-zyDfkLp4UOPThzG-elZ7w_4_0"/>
      <w:bookmarkStart w:id="1586" w:name="Tc_PsWPt2nzy0K65_ZChtAODg_3_5"/>
      <w:bookmarkStart w:id="1587" w:name="Tc_4p7AegSjUU2pGBzhKsZjDQ_3_2"/>
      <w:bookmarkStart w:id="1588" w:name="Tc_pjWBqTgQUEuuo2GrzLCm7w_3_0"/>
      <w:bookmarkStart w:id="1589" w:name="Tc_PLoj-cEW-Ui-0HLqU8LGOg_2_0"/>
      <w:bookmarkStart w:id="1590" w:name="Tc_yOc9stB5ykSV7kb8alknqg_1_4"/>
      <w:bookmarkStart w:id="1591" w:name="Tc_-cpMCEJ3Fk-_K7-14VRGQQ_1_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r>
        <w:rPr>
          <w:rFonts w:ascii="Times New Roman;Times;serif" w:hAnsi="Times New Roman;Times;serif"/>
          <w:sz w:val="20"/>
        </w:rPr>
        <w:t xml:space="preserve">At December 31, 2024, finance leases with a cost of $51.4 million and accumulated amortization of $21.8 million were included in property, plant and equipment. During the year ended December 31, 2024, the Company paid $20.8 million for finance lease liabilities, of which $18.5 million was classified as investing, $1.9 million was classified as financing, and $0.4 million was classified as operating cash outflows. At December 31, 2024, finance leases had a lease liability of $4.7 million, of which $1.3 million was current. At December 31, 2023, finance leases with a cost of $31.7 million and accumulated amortization of $16.4 million were included in property, plant and equipment. At December 31, 2023, finance leases had a lease liability of $5.6 million, of which $1.8 million was current. During the year ended December 31, 2023, the Company paid $4.8 million for finance lease liabilities, of which $3.4 million was classified as an investing cash outflow.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terms and discount rates as of December 31, 2024 and December 31, 2023 are noted in the table below:</w:t>
      </w:r>
    </w:p>
    <w:p>
      <w:pPr>
        <w:pStyle w:val="TextBody"/>
        <w:bidi w:val="0"/>
        <w:spacing w:before="280" w:after="0"/>
        <w:ind w:left="0" w:right="0" w:hanging="0"/>
        <w:jc w:val="left"/>
        <w:rPr/>
      </w:pPr>
      <w:r>
        <w:rPr/>
        <w:t>​</w:t>
      </w:r>
    </w:p>
    <w:tbl>
      <w:tblPr>
        <w:tblW w:w="6485" w:type="dxa"/>
        <w:jc w:val="left"/>
        <w:tblInd w:w="0" w:type="dxa"/>
        <w:tblLayout w:type="fixed"/>
        <w:tblCellMar>
          <w:top w:w="0" w:type="dxa"/>
          <w:left w:w="0" w:type="dxa"/>
          <w:bottom w:w="0" w:type="dxa"/>
          <w:right w:w="0" w:type="dxa"/>
        </w:tblCellMar>
      </w:tblPr>
      <w:tblGrid>
        <w:gridCol w:w="3331"/>
        <w:gridCol w:w="157"/>
        <w:gridCol w:w="1343"/>
        <w:gridCol w:w="109"/>
        <w:gridCol w:w="155"/>
        <w:gridCol w:w="1390"/>
      </w:tblGrid>
      <w:tr>
        <w:trPr/>
        <w:tc>
          <w:tcPr>
            <w:tcW w:w="3331"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9695" cy="175260"/>
                      <wp:effectExtent l="0" t="0" r="0" b="0"/>
                      <wp:wrapNone/>
                      <wp:docPr id="292" name="Frame290"/>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52805" cy="175260"/>
                      <wp:effectExtent l="0" t="0" r="0" b="0"/>
                      <wp:wrapNone/>
                      <wp:docPr id="293" name="Frame291"/>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8425" cy="175260"/>
                      <wp:effectExtent l="0" t="0" r="0" b="0"/>
                      <wp:wrapNone/>
                      <wp:docPr id="295" name="Frame29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82650" cy="175260"/>
                      <wp:effectExtent l="0" t="0" r="0" b="0"/>
                      <wp:wrapNone/>
                      <wp:docPr id="296" name="Frame294"/>
                      <a:graphic xmlns:a="http://schemas.openxmlformats.org/drawingml/2006/main">
                        <a:graphicData uri="http://schemas.microsoft.com/office/word/2010/wordprocessingShape">
                          <wps:wsp>
                            <wps:cNvSpPr txBox="1"/>
                            <wps:spPr>
                              <a:xfrm>
                                <a:off x="0" y="0"/>
                                <a:ext cx="882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57"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 years</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 years</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 years</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 years</w:t>
            </w:r>
          </w:p>
        </w:tc>
      </w:tr>
      <w:tr>
        <w:trPr/>
        <w:tc>
          <w:tcPr>
            <w:tcW w:w="3331"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1390"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57"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157"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Maturities of lease liabilities as of December 31, 2024 were as follows (in thousands):</w:t>
      </w:r>
    </w:p>
    <w:tbl>
      <w:tblPr>
        <w:tblW w:w="4700" w:type="dxa"/>
        <w:jc w:val="left"/>
        <w:tblInd w:w="0" w:type="dxa"/>
        <w:tblLayout w:type="fixed"/>
        <w:tblCellMar>
          <w:top w:w="0" w:type="dxa"/>
          <w:left w:w="0" w:type="dxa"/>
          <w:bottom w:w="0" w:type="dxa"/>
          <w:right w:w="0" w:type="dxa"/>
        </w:tblCellMar>
      </w:tblPr>
      <w:tblGrid>
        <w:gridCol w:w="1846"/>
        <w:gridCol w:w="286"/>
        <w:gridCol w:w="1079"/>
        <w:gridCol w:w="109"/>
        <w:gridCol w:w="307"/>
        <w:gridCol w:w="1073"/>
      </w:tblGrid>
      <w:tr>
        <w:trPr/>
        <w:tc>
          <w:tcPr>
            <w:tcW w:w="1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81610" cy="175260"/>
                      <wp:effectExtent l="0" t="0" r="0" b="0"/>
                      <wp:wrapNone/>
                      <wp:docPr id="297" name="Frame29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85165" cy="175260"/>
                      <wp:effectExtent l="0" t="0" r="0" b="0"/>
                      <wp:wrapNone/>
                      <wp:docPr id="298" name="Frame296"/>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94945" cy="175260"/>
                      <wp:effectExtent l="0" t="0" r="0" b="0"/>
                      <wp:wrapNone/>
                      <wp:docPr id="300" name="Frame29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81355" cy="175260"/>
                      <wp:effectExtent l="0" t="0" r="0" b="0"/>
                      <wp:wrapNone/>
                      <wp:docPr id="301" name="Frame299"/>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Leases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20,764</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15,881</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12,949</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79,843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146,472</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(57,512)</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88,960</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4,697</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Maturities of lease liabilities as of December 31, 2023 were as follows (in thousands):</w:t>
      </w:r>
    </w:p>
    <w:tbl>
      <w:tblPr>
        <w:tblW w:w="4700" w:type="dxa"/>
        <w:jc w:val="left"/>
        <w:tblInd w:w="0" w:type="dxa"/>
        <w:tblLayout w:type="fixed"/>
        <w:tblCellMar>
          <w:top w:w="0" w:type="dxa"/>
          <w:left w:w="0" w:type="dxa"/>
          <w:bottom w:w="0" w:type="dxa"/>
          <w:right w:w="0" w:type="dxa"/>
        </w:tblCellMar>
      </w:tblPr>
      <w:tblGrid>
        <w:gridCol w:w="1846"/>
        <w:gridCol w:w="286"/>
        <w:gridCol w:w="1079"/>
        <w:gridCol w:w="109"/>
        <w:gridCol w:w="307"/>
        <w:gridCol w:w="1073"/>
      </w:tblGrid>
      <w:tr>
        <w:trPr/>
        <w:tc>
          <w:tcPr>
            <w:tcW w:w="1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81610" cy="175260"/>
                      <wp:effectExtent l="0" t="0" r="0" b="0"/>
                      <wp:wrapNone/>
                      <wp:docPr id="302" name="Frame3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85165" cy="175260"/>
                      <wp:effectExtent l="0" t="0" r="0" b="0"/>
                      <wp:wrapNone/>
                      <wp:docPr id="303" name="Frame301"/>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94945" cy="175260"/>
                      <wp:effectExtent l="0" t="0" r="0" b="0"/>
                      <wp:wrapNone/>
                      <wp:docPr id="305" name="Frame30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81355" cy="175260"/>
                      <wp:effectExtent l="0" t="0" r="0" b="0"/>
                      <wp:wrapNone/>
                      <wp:docPr id="306" name="Frame304"/>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Leases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18,048</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16,022</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11,755</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9,327</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7,807</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80,637</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143,596</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7,303</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(57,133)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86,463</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5,641</w:t>
            </w:r>
          </w:p>
        </w:tc>
      </w:tr>
    </w:tbl>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i/>
          <w:sz w:val="20"/>
        </w:rPr>
      </w:pPr>
      <w:bookmarkStart w:id="1592" w:name="Tc_EJj_2HL_LEikGHzMRE21VA_7_1"/>
      <w:bookmarkStart w:id="1593" w:name="Tc_86ixtXPCFUKqKuW0nIILBQ_7_0"/>
      <w:bookmarkStart w:id="1594" w:name="Tc_Ya-7oaOFKUKz2HVLy2_5nw_6_0"/>
      <w:bookmarkStart w:id="1595" w:name="Tc_4OH3vD_2lEuWPlEy0x9SRA_5_0"/>
      <w:bookmarkStart w:id="1596" w:name="Tc_cpAiYwHgLU2n-9Q8cE-WoQ_4_0"/>
      <w:bookmarkStart w:id="1597" w:name="Tc_F_44unMvmkGI8M0TlmbbWQ_3_0"/>
      <w:bookmarkStart w:id="1598" w:name="Tc_pjS_SO2aH0y9_FxJoMbg7g_2_0"/>
      <w:bookmarkStart w:id="1599" w:name="Tc_Gs8m3SsxV0WHyxZxUNc-4w_1_1"/>
      <w:bookmarkStart w:id="1600" w:name="Tc_fAGRva64CkqnjPEXQvOTVw_1_0"/>
      <w:bookmarkStart w:id="1601" w:name="_42151145_9cc3_4e98_ab07_e5a791e71781_4"/>
      <w:bookmarkStart w:id="1602" w:name="_42151145_9cc3_4e98_ab07_e5a791e71781_3"/>
      <w:bookmarkStart w:id="1603" w:name="_42151145_9cc3_4e98_ab07_e5a791e71781_2"/>
      <w:bookmarkStart w:id="1604" w:name="_42151145_9cc3_4e98_ab07_e5a791e71781"/>
      <w:bookmarkEnd w:id="1592"/>
      <w:bookmarkEnd w:id="1593"/>
      <w:bookmarkEnd w:id="1594"/>
      <w:bookmarkEnd w:id="1595"/>
      <w:bookmarkEnd w:id="1596"/>
      <w:bookmarkEnd w:id="1597"/>
      <w:bookmarkEnd w:id="1598"/>
      <w:bookmarkEnd w:id="1599"/>
      <w:bookmarkEnd w:id="1600"/>
      <w:bookmarkEnd w:id="1601"/>
      <w:bookmarkEnd w:id="1602"/>
      <w:bookmarkEnd w:id="1603"/>
      <w:bookmarkEnd w:id="1604"/>
      <w:r>
        <w:rPr>
          <w:rFonts w:ascii="Times New Roman;Times;serif" w:hAnsi="Times New Roman;Times;serif"/>
          <w:i/>
          <w:sz w:val="20"/>
        </w:rPr>
        <w:t>Lessor Disclosure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the lessor in agreements to lease the use of its network assets including its cell sites and buildings. For the years ended December 31, 2024, 2023, and 2022 the Company recorded $8.4 million, $7.8 million, and $6.3 million, respectively, of lease income from agreements in which the Company is the lessor. Lease income is classified as Carrier Services revenue in the statement of operations.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maturities of future undiscounted lease payments for the periods indicated:</w:t>
      </w:r>
    </w:p>
    <w:p>
      <w:pPr>
        <w:pStyle w:val="TextBody"/>
        <w:bidi w:val="0"/>
        <w:spacing w:before="280" w:after="0"/>
        <w:ind w:left="0" w:right="0" w:hanging="0"/>
        <w:jc w:val="left"/>
        <w:rPr/>
      </w:pPr>
      <w:r>
        <w:rPr/>
        <w:t>​</w:t>
      </w:r>
    </w:p>
    <w:tbl>
      <w:tblPr>
        <w:tblW w:w="3348" w:type="dxa"/>
        <w:jc w:val="left"/>
        <w:tblInd w:w="0" w:type="dxa"/>
        <w:tblLayout w:type="fixed"/>
        <w:tblCellMar>
          <w:top w:w="0" w:type="dxa"/>
          <w:left w:w="0" w:type="dxa"/>
          <w:bottom w:w="0" w:type="dxa"/>
          <w:right w:w="0" w:type="dxa"/>
        </w:tblCellMar>
      </w:tblPr>
      <w:tblGrid>
        <w:gridCol w:w="2356"/>
        <w:gridCol w:w="211"/>
        <w:gridCol w:w="781"/>
      </w:tblGrid>
      <w:tr>
        <w:trPr/>
        <w:tc>
          <w:tcPr>
            <w:tcW w:w="23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95935" cy="175260"/>
                      <wp:effectExtent l="0" t="0" r="0" b="0"/>
                      <wp:wrapNone/>
                      <wp:docPr id="308" name="Frame3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7,197</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6,970</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4,396</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33,452</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5. ACQUISITIONS AND DISPOSITIONS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i/>
          <w:sz w:val="20"/>
        </w:rPr>
        <w:t>US Telecom</w:t>
      </w:r>
      <w:r>
        <w:rPr>
          <w:rFonts w:ascii="Times New Roman;Times;serif" w:hAnsi="Times New Roman;Times;serif"/>
          <w:sz w:val="20"/>
        </w:rPr>
        <w:t> </w:t>
      </w:r>
    </w:p>
    <w:p>
      <w:pPr>
        <w:pStyle w:val="TextBody"/>
        <w:bidi w:val="0"/>
        <w:spacing w:before="28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 xml:space="preserve">Acquisition of Sacred Wind Enterprises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7, 2022, the Company’s wholly owned subsidiary Alloy acquired all of the issued and outstanding stock of Sacred Wind Enterprises, Inc. (“Sacred Wind”), Inc., a rural telecommunications provider in New Mexico for $44.6 million of consideration (“Sacred Wind Transaction”). The purchase price allocation was finalized during the year ended December 31, 2023. As part of the Sacred Wind Transaction, the Company transferred consideration of $16.7 million of cash, net of $9.4 million of cash acquired, $14.8 million of redeemable noncontrolling interests, and $3.7 million of contingent consideration. During the year ended December 31, 2023, the Company received $1.3 million as final settlement of working capital amounts. The Company funded the acquisition with borrowings under its CoBank Credit Facility and assumed $31.6 million of Sacred Wind debt, to the United States of America administered through the Rural Utilities Service. Upon completion of the Sacred Wind Transaction, the former Sacred Wind shareholders will own 6% of the Alloy equity. This equity is classified as redeemable noncontrolling interests in the Company’s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During the year ended December 31, 2023, Sacred Wind made substantial progress toward achieving the relevant operating metrics and, as a result, the contingent consideration increased by $4.2 million to $7.9 million. During the year ended December 31, 2024, the fair value of the contingent consideration decreased to $7.8 million. Changes in the value of the contingent consideration are included in Loss on Disposition of Assets and Transfers on the Company’s Consolidated Income Statement. The fair value of the contingent consideration was calculated using discounted cash flow analysis based on a range of probability weighted outcomes.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605" w:name="Tc_dD7JkSUy9EeNSq0JfQt78Q_13_1"/>
      <w:bookmarkStart w:id="1606" w:name="Tc_csga0CYrX0S2pp0DwA9AdA_13_0"/>
      <w:bookmarkStart w:id="1607" w:name="Tc_Cvinge2Agk-mgbKF0lLgGQ_12_0"/>
      <w:bookmarkStart w:id="1608" w:name="Tc_b9rg1ndaXEyxmGJyxyJATg_11_0"/>
      <w:bookmarkStart w:id="1609" w:name="Tc_SauBup5kEki0rIqA5bD3Pg_10_0"/>
      <w:bookmarkStart w:id="1610" w:name="Tc_vy1pRkvBJUyiZIb0rTcFOQ_9_0"/>
      <w:bookmarkStart w:id="1611" w:name="Tc_y6kiyf-_qkmIg1xuUa5Hbg_8_0"/>
      <w:bookmarkStart w:id="1612" w:name="Tc_O8_pePh5SE2r1leJ1aB7iw_7_0"/>
      <w:bookmarkStart w:id="1613" w:name="Tc_-_ijwy9pGU-M0o80rq9n8g_6_0"/>
      <w:bookmarkStart w:id="1614" w:name="Tc_Dl5VwkPkwkGGhsx_gU9xhg_5_0"/>
      <w:bookmarkStart w:id="1615" w:name="Tc_qMUY2puGM0i-qjAEH5mvGA_4_0"/>
      <w:bookmarkStart w:id="1616" w:name="Tc_spPe-hlI2EKtI_OErkNyxQ_3_0"/>
      <w:bookmarkStart w:id="1617" w:name="Tc_qYbEY88jyEaDQxxqA3gMrA_2_0"/>
      <w:bookmarkStart w:id="1618" w:name="Tc_2n-dyw5dJEGD83W7BIf6lg_1_1"/>
      <w:bookmarkStart w:id="1619" w:name="Tc_L3Fv2bKMCEG3vWzyF43XOw_1_0"/>
      <w:bookmarkStart w:id="1620" w:name="_7b594223_e4d8_44c2_b04e_ca10e65fa317"/>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r>
        <w:rPr>
          <w:rFonts w:ascii="Times New Roman;Times;serif" w:hAnsi="Times New Roman;Times;serif"/>
          <w:sz w:val="20"/>
        </w:rPr>
        <w:t>The table below represents the purchase price allocation of the total consideration transferred to the acquired assets and assumed liabilities based on management’s estimate of their acquisition date fair values (amounts in thousands):</w:t>
      </w:r>
    </w:p>
    <w:tbl>
      <w:tblPr>
        <w:tblW w:w="3903" w:type="dxa"/>
        <w:jc w:val="left"/>
        <w:tblInd w:w="0" w:type="dxa"/>
        <w:tblLayout w:type="fixed"/>
        <w:tblCellMar>
          <w:top w:w="0" w:type="dxa"/>
          <w:left w:w="0" w:type="dxa"/>
          <w:bottom w:w="0" w:type="dxa"/>
          <w:right w:w="0" w:type="dxa"/>
        </w:tblCellMar>
      </w:tblPr>
      <w:tblGrid>
        <w:gridCol w:w="2851"/>
        <w:gridCol w:w="211"/>
        <w:gridCol w:w="84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10385" cy="175895"/>
                      <wp:effectExtent l="0" t="0" r="0" b="0"/>
                      <wp:wrapNone/>
                      <wp:docPr id="309" name="Frame307"/>
                      <a:graphic xmlns:a="http://schemas.openxmlformats.org/drawingml/2006/main">
                        <a:graphicData uri="http://schemas.microsoft.com/office/word/2010/wordprocessingShape">
                          <wps:wsp>
                            <wps:cNvSpPr txBox="1"/>
                            <wps:spPr>
                              <a:xfrm>
                                <a:off x="0" y="0"/>
                                <a:ext cx="1810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895"/>
                      <wp:effectExtent l="0" t="0" r="0" b="0"/>
                      <wp:wrapNone/>
                      <wp:docPr id="310" name="Frame30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34035" cy="175895"/>
                      <wp:effectExtent l="0" t="0" r="0" b="0"/>
                      <wp:wrapNone/>
                      <wp:docPr id="311" name="Frame309"/>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44,560</w:t>
            </w:r>
          </w:p>
        </w:tc>
      </w:tr>
      <w:tr>
        <w:trPr/>
        <w:tc>
          <w:tcPr>
            <w:tcW w:w="285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Purchase price allocation:</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left"/>
              <w:rPr/>
            </w:pPr>
            <w:r>
              <w:rPr/>
              <w:t>​</w: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28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6,747</w: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4,888</w:t>
            </w:r>
          </w:p>
        </w:tc>
      </w:tr>
      <w:tr>
        <w:trPr/>
        <w:tc>
          <w:tcPr>
            <w:tcW w:w="28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989</w: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85,255</w:t>
            </w:r>
          </w:p>
        </w:tc>
      </w:tr>
      <w:tr>
        <w:trPr/>
        <w:tc>
          <w:tcPr>
            <w:tcW w:w="28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1,232</w: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(10,176)</w:t>
            </w:r>
          </w:p>
        </w:tc>
      </w:tr>
      <w:tr>
        <w:trPr/>
        <w:tc>
          <w:tcPr>
            <w:tcW w:w="28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Deferred taxes</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(14,388)</w:t>
            </w:r>
          </w:p>
        </w:tc>
      </w:tr>
      <w:tr>
        <w:trPr/>
        <w:tc>
          <w:tcPr>
            <w:tcW w:w="28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(31,639)</w:t>
            </w:r>
          </w:p>
        </w:tc>
      </w:tr>
      <w:tr>
        <w:trPr/>
        <w:tc>
          <w:tcPr>
            <w:tcW w:w="28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44,560</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acquired fixed assets are comprised of telecommunication equipment located in the Southwest United States. The fixed assets were valued using the income and cost approaches. Cash flows were discounted between 7% and 12% based on the risk associated with the cash flows to determine fair value under the income approach. The fixed assets have useful lives ranging from 1 to 25 years. The intangible assets include a $0.6 million trade name. The estimated fair value of the trade name was determined using the relief from royalty method. The useful life of the trade name is 5 years. The acquired receivables consist of trade receivables incurred in the ordinary course of business. The Company collected the full amount of the receivables. Other liabilities includes $6.5 million of deposits received under government grant programs and will be used to construct fixed assets in future periods.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statement of operations for the year ended December 31, 2022 includes $3.3 million of revenue and $0.2 million of losses before taxes attributable to the Sacred Wind Transaction. The Company incurred $0.8 million of transaction related charges pertaining to legal, accounting, consulting services, and employee related costs associated with the transaction during the year ended December 31, 2022.</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1621" w:name="Tc_ENSoe0C5v0KJpDlADAk72w_14_7"/>
      <w:bookmarkStart w:id="1622" w:name="Tc_KfkFXMkHFUeVGtTA66ltLw_14_4"/>
      <w:bookmarkStart w:id="1623" w:name="Tc_hvMAgs_oIkadk4-RVhOJww_14_0"/>
      <w:bookmarkStart w:id="1624" w:name="Tc_32wSi7-NwkKr80457WbR2w_13_0"/>
      <w:bookmarkStart w:id="1625" w:name="Tc_aKvWA8cSGEKsBImws-N8hw_12_0"/>
      <w:bookmarkStart w:id="1626" w:name="Tc_3zD5khoa8ESK_NiMlN4hPg_11_0"/>
      <w:bookmarkStart w:id="1627" w:name="Tc_37a3GzVzqkuRCMX_Y8zwiA_10_0"/>
      <w:bookmarkStart w:id="1628" w:name="Tc_v2TAdnP2tUOXgWkcGNBo6Q_9_2"/>
      <w:bookmarkStart w:id="1629" w:name="Tc_h8kIKYdclEGbQmF5BpCd1w_9_0"/>
      <w:bookmarkStart w:id="1630" w:name="Tc_Nqfm1_ljfkCo2e9735x8fQ_8_2"/>
      <w:bookmarkStart w:id="1631" w:name="Tc_KJqUWxfl70qramsRQOipfg_8_0"/>
      <w:bookmarkStart w:id="1632" w:name="Tc_njxPmt_f5USFzE8vtFS4rw_7_2"/>
      <w:bookmarkStart w:id="1633" w:name="Tc_QG4IqwY0xkqKhYTgZ61MRA_7_0"/>
      <w:bookmarkStart w:id="1634" w:name="Tc_mY4g9b7wgUamSnTusksVLw_6_2"/>
      <w:bookmarkStart w:id="1635" w:name="Tc_RjMELTiIakaVxwe1h2gc0Q_6_0"/>
      <w:bookmarkStart w:id="1636" w:name="Tc_D117ZmVXFE236Avfuv92ag_5_2"/>
      <w:bookmarkStart w:id="1637" w:name="Tc_3kVZQ7D7y0yWu2Zdn-yBSg_5_0"/>
      <w:bookmarkStart w:id="1638" w:name="Tc_SnedzRmfXUqTWeKTllFYRg_4_2"/>
      <w:bookmarkStart w:id="1639" w:name="Tc_inq9d-2c6k2siEV9EDr-CA_4_0"/>
      <w:bookmarkStart w:id="1640" w:name="Tc_72GWq8N9ZUCKO2inA84VHA_3_7"/>
      <w:bookmarkStart w:id="1641" w:name="Tc_visDClOwQUmDfYTF698dnw_3_4"/>
      <w:bookmarkStart w:id="1642" w:name="Tc_rZNiX_hQm0OayFBUdu5eoQ_3_2"/>
      <w:bookmarkStart w:id="1643" w:name="Tc_A8sa1-cuGUmazU9Ake-tCg_3_0"/>
      <w:bookmarkStart w:id="1644" w:name="Tc_HsMaxSimokCg8-jPdYBMcg_2_7"/>
      <w:bookmarkStart w:id="1645" w:name="Tc_WHCk_Ma6d0C8N0z_9YX7YQ_2_4"/>
      <w:bookmarkStart w:id="1646" w:name="Tc_9yA9Djtb5EqnE_icCjyR5w_2_2"/>
      <w:bookmarkStart w:id="1647" w:name="Tc__K4_3TZrVE2k91uxQ1PPSQ_1_2"/>
      <w:bookmarkStart w:id="1648" w:name="_543f5e7e_f1ca_4b12_b7d3_0dcb065193a5"/>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r>
        <w:rPr>
          <w:rFonts w:ascii="Times New Roman;Times;serif" w:hAnsi="Times New Roman;Times;serif"/>
          <w:b/>
          <w:sz w:val="20"/>
        </w:rPr>
        <w:t xml:space="preserve">6. FIXED ASSETS: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and 2023, property, plant and equipment consisted of the following (in thousands):</w:t>
      </w:r>
    </w:p>
    <w:tbl>
      <w:tblPr>
        <w:tblW w:w="8795" w:type="dxa"/>
        <w:jc w:val="left"/>
        <w:tblInd w:w="0" w:type="dxa"/>
        <w:tblLayout w:type="fixed"/>
        <w:tblCellMar>
          <w:top w:w="0" w:type="dxa"/>
          <w:left w:w="0" w:type="dxa"/>
          <w:bottom w:w="0" w:type="dxa"/>
          <w:right w:w="0" w:type="dxa"/>
        </w:tblCellMar>
      </w:tblPr>
      <w:tblGrid>
        <w:gridCol w:w="3661"/>
        <w:gridCol w:w="326"/>
        <w:gridCol w:w="1441"/>
        <w:gridCol w:w="326"/>
        <w:gridCol w:w="211"/>
        <w:gridCol w:w="1051"/>
        <w:gridCol w:w="326"/>
        <w:gridCol w:w="211"/>
        <w:gridCol w:w="1051"/>
        <w:gridCol w:w="19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24735" cy="175260"/>
                      <wp:effectExtent l="0" t="0" r="0" b="0"/>
                      <wp:wrapNone/>
                      <wp:docPr id="312" name="Frame310"/>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15035" cy="175260"/>
                      <wp:effectExtent l="0" t="0" r="0" b="0"/>
                      <wp:wrapNone/>
                      <wp:docPr id="314" name="Frame31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67385" cy="175260"/>
                      <wp:effectExtent l="0" t="0" r="0" b="0"/>
                      <wp:wrapNone/>
                      <wp:docPr id="317" name="Frame31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67385" cy="175260"/>
                      <wp:effectExtent l="0" t="0" r="0" b="0"/>
                      <wp:wrapNone/>
                      <wp:docPr id="320" name="Frame31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1285" cy="175260"/>
                      <wp:effectExtent l="0" t="0" r="0" b="0"/>
                      <wp:wrapNone/>
                      <wp:docPr id="321" name="Frame3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Telecommunications equipment and towers</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1,539,533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148,693</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138,243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vehicles</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27,480</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Shorter of useful</w:t>
              <w:br/>
              <w:t>life or lease 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11,652</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property, plant and equipment </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1,856,362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1,899,463</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192,815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property, plant and equipment </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2,128,921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2,092,278</w:t>
            </w:r>
          </w:p>
        </w:tc>
        <w:tc>
          <w:tcPr>
            <w:tcW w:w="191" w:type="dxa"/>
            <w:tcBorders/>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(1,011,619)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fixed assets</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1,080,659</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Depreciation and amortization of fixed assets, using the straight-line method over the assets’ estimated useful life, for the years ended December 31, 2024, 2023 and 2022 was $138.3 million, $141.6 million and $135.1 million, respectively. Included within telecommunication equipment and towers are finance leases with a cost of $51.4 million and $36.1 million and net book value of $29.6 million and $8.7 million, as of December 31, 2024 and 2023,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2024 and 2023, the Company received grant capital expenditure reimbursements of $95.8 million and $31.9 million, respectively, which are reflected in the balance sheet as a reduction to property, plant and equipment.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had $10.9 million and $8.1 million of capitalized implementation costs at December 31, 2024 and 2023, respectively. The Company amortized $2.1 million and $2.2 million of implementation costs during the year ended December 31, 2024 and 2023,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2024, the Company disposed of real estate assets in its International Telecom segment with a book value of $0.5 million. The Company received $17.8 million of sale proceeds recognizing a gain of $15.5 million and selling costs of $1.8 million. </w:t>
      </w:r>
    </w:p>
    <w:p>
      <w:pPr>
        <w:pStyle w:val="TextBody"/>
        <w:bidi w:val="0"/>
        <w:spacing w:before="28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 xml:space="preserve">7. GOODWILL AND INTANGIBLE ASSETS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tests goodwill for impairment at each of its reporting units on an annual basis, which has been determined to be as of October 1st. The Company’s reporting units are one level below its operating segments. The Company also tests goodwill between annual tests if an event occurs or circumstances change that indicate that the fair value of a reporting unit may be below its carrying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649" w:name="Tc__F2Rc3c5vUyYWr52lFYD5A_10_8"/>
      <w:bookmarkStart w:id="1650" w:name="Tc_5g0srSLHwkm4BKll9sF1nw_10_5"/>
      <w:bookmarkStart w:id="1651" w:name="Tc_2ymYHMJCQ0K0_7PiDrk8Ug_10_2"/>
      <w:bookmarkStart w:id="1652" w:name="Tc__3Z5QqMknUOhrPHNNzgzGA_10_0"/>
      <w:bookmarkStart w:id="1653" w:name="Tc_GeJzM-KWSEWUMXYmkBb6gw_9_0"/>
      <w:bookmarkStart w:id="1654" w:name="Tc_MT-4eAoXHkSxZUaxbx9qrQ_8_0"/>
      <w:bookmarkStart w:id="1655" w:name="Tc_ByGe_mqRrkmFRrl2mNts8Q_7_0"/>
      <w:bookmarkStart w:id="1656" w:name="Tc_oeClRPpQOEKMuPleEK7rxw_6_0"/>
      <w:bookmarkStart w:id="1657" w:name="Tc_M3fEx1_xnEG01zTvYln4cg_5_6"/>
      <w:bookmarkStart w:id="1658" w:name="Tc_TeN2KbyIhkGDbXC1wgxe8w_5_0"/>
      <w:bookmarkStart w:id="1659" w:name="Tc_jVRO67DRUkOCIJS1WOZKLw_4_8"/>
      <w:bookmarkStart w:id="1660" w:name="Tc_cr2gPUvSAUy1HGFOZozi0g_4_5"/>
      <w:bookmarkStart w:id="1661" w:name="Tc_y2D4tBWQgUylyCSmFmxO5Q_4_2"/>
      <w:bookmarkStart w:id="1662" w:name="Tc_nBztEELtLEW8WvoitAR8ag_4_0"/>
      <w:bookmarkStart w:id="1663" w:name="Tc_7CNMjaaZDUiW5DB3U-TasQ_3_0"/>
      <w:bookmarkStart w:id="1664" w:name="Tc_-NJtmehn80ugRkE2R3EXHw_2_8"/>
      <w:bookmarkStart w:id="1665" w:name="Tc_6CvReKBWEUGlt_J_ai8xHA_2_5"/>
      <w:bookmarkStart w:id="1666" w:name="Tc_uCpyV82c1Ema5uqbG1tFnQ_2_2"/>
      <w:bookmarkStart w:id="1667" w:name="Tc__lKcA8dx7Ea5ywAfqxU1qw_1_5"/>
      <w:bookmarkStart w:id="1668" w:name="Tc_ivxAeEo4_U2me-TITLab3Q_1_2"/>
      <w:bookmarkStart w:id="1669" w:name="_22122504_eff3_481a_89ec_c98742f01794"/>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r>
        <w:rPr>
          <w:rFonts w:ascii="Times New Roman;Times;serif" w:hAnsi="Times New Roman;Times;serif"/>
          <w:sz w:val="20"/>
        </w:rPr>
        <w:t>The Company’s qualitative goodwill impairment test includes, but is not limited to, assessing macroeconomic conditions, industry and market considerations, technological changes and trends, and overall financial performance of the reporting unit. The Company’s quantitative test for goodwill impairment involves a comparison of the estimated fair value of a reporting unit to its carrying amount, including goodwill. The Company determines the fair value of a reporting unit using the income approach. The income approach is based on a discounted cash flow (“DCF”) model. The DCF model requires the exercise of significant judgment, including judgments and assumptions about appropriate discount rates and revenue growth. Discount rates are based on a weighted-average cost of capital (“WACC”), which represents the average rate a business must pay its providers of debt and equity. The revenue growth and cash flows employed in the DCF model were derived from internal cash flow forecasts and external market forecasts.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September 30, 2024, the Company completed an impairment assessment for its US Telecom segment after identifying events that indicate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 As a result of these events, the Company performed a quantitative analysis for the $35.3 million of goodwill held in its US Telecom segment. The analysis, using an income approach, indicated that book value of reporting unit was above the fair value of the reporting unit. As a result, the Company recorded an impairment of $35.3 million during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also completed a qualitative analysis of the goodwill held in its International Telecom segment and determined that no impairment was necessary in 2024.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its annual impairment assessment in 2023, the Company completed a quantitative analysis for the goodwill held in its US Telecom and International Telecom segments. The analysis concluded that no impairment was necessary in 2023.</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discloses goodwill recorded in each of the Company’s segments and accumulated impairment changes (in thousands):</w:t>
      </w:r>
    </w:p>
    <w:tbl>
      <w:tblPr>
        <w:tblW w:w="7063" w:type="dxa"/>
        <w:jc w:val="left"/>
        <w:tblInd w:w="0" w:type="dxa"/>
        <w:tblLayout w:type="fixed"/>
        <w:tblCellMar>
          <w:top w:w="0" w:type="dxa"/>
          <w:left w:w="0" w:type="dxa"/>
          <w:bottom w:w="0" w:type="dxa"/>
          <w:right w:w="0" w:type="dxa"/>
        </w:tblCellMar>
      </w:tblPr>
      <w:tblGrid>
        <w:gridCol w:w="3496"/>
        <w:gridCol w:w="109"/>
        <w:gridCol w:w="237"/>
        <w:gridCol w:w="829"/>
        <w:gridCol w:w="109"/>
        <w:gridCol w:w="211"/>
        <w:gridCol w:w="796"/>
        <w:gridCol w:w="109"/>
        <w:gridCol w:w="326"/>
        <w:gridCol w:w="84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219960" cy="175260"/>
                      <wp:effectExtent l="0" t="0" r="0" b="0"/>
                      <wp:wrapNone/>
                      <wp:docPr id="322" name="Frame320"/>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0495" cy="175260"/>
                      <wp:effectExtent l="0" t="0" r="0" b="0"/>
                      <wp:wrapNone/>
                      <wp:docPr id="324" name="Frame3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26415" cy="175260"/>
                      <wp:effectExtent l="0" t="0" r="0" b="0"/>
                      <wp:wrapNone/>
                      <wp:docPr id="325" name="Frame32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05460" cy="175260"/>
                      <wp:effectExtent l="0" t="0" r="0" b="0"/>
                      <wp:wrapNone/>
                      <wp:docPr id="328" name="Frame3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34035" cy="175260"/>
                      <wp:effectExtent l="0" t="0" r="0" b="0"/>
                      <wp:wrapNone/>
                      <wp:docPr id="331" name="Frame3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60,691</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Impairment </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 of accumulated impairment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35,268</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60,691</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Impairment </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 of accumulated impairment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4,835</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Telecommunications Licenses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tests those telecommunications licenses that are indefinite-lived for impairment on an annual basis, which has been determined to be as of October 1st. The Company also tests telecommunication licenses that are indefinite-lived between annual tests if an event occurs or circumstances change that indicate that the fair value of a reporting unit may be below its carrying value.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qualitative impairment test includes, but is not limited to, assessing macroeconomic conditions, industry and market considerations, technological changes and trends, overall financial performance, and legal and regulatory changes. The Company’s quantitative test for impairment involves a comparison of the estimated fair value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70" w:name="Tc_FrJ2rIMdvEi2ZhBf9eJfpg_9_8"/>
      <w:bookmarkStart w:id="1671" w:name="Tc_iB1IK-KZBkyCSk0Yly-O9g_9_5"/>
      <w:bookmarkStart w:id="1672" w:name="Tc_FHC1Vl_cNU-99lf15fMfIQ_9_2"/>
      <w:bookmarkStart w:id="1673" w:name="Tc_xCjKd-SwtU6-ij9sXD3cow_9_0"/>
      <w:bookmarkStart w:id="1674" w:name="Tc_1TJWAi-pck6zyCzih3IIEg_8_9"/>
      <w:bookmarkStart w:id="1675" w:name="Tc_gljHdW6pqUCzU6qsGL93qQ_8_6"/>
      <w:bookmarkStart w:id="1676" w:name="Tc__rxl0hJN3U-KEeFRWkoJ-w_8_3"/>
      <w:bookmarkStart w:id="1677" w:name="Tc_EHbIFhkoqECeuL4qXzxhvg_8_0"/>
      <w:bookmarkStart w:id="1678" w:name="Tc_0rWuP0US3kmHFa3iZ6LaaQ_7_9"/>
      <w:bookmarkStart w:id="1679" w:name="Tc_b2gi83Z3tkiI4fQvfcBtSQ_7_6"/>
      <w:bookmarkStart w:id="1680" w:name="Tc_MBt1chEKKkOTjri8jNsLWg_7_3"/>
      <w:bookmarkStart w:id="1681" w:name="Tc_lanW22VY1kaO7ejjrynzOA_7_0"/>
      <w:bookmarkStart w:id="1682" w:name="Tc_r3xozeli1UColqFZDtzS6g_6_8"/>
      <w:bookmarkStart w:id="1683" w:name="Tc_ERDmK58F206Eh5Z0Jof4Rg_6_5"/>
      <w:bookmarkStart w:id="1684" w:name="Tc_fGdjm5WP30WTxQEFV2Kxqg_6_2"/>
      <w:bookmarkStart w:id="1685" w:name="Tc_fSsi0WLEnUmUXoq9lhLKqw_6_0"/>
      <w:bookmarkStart w:id="1686" w:name="Tc_CcqbttRydUqW6lLS6BHBsg_5_3"/>
      <w:bookmarkStart w:id="1687" w:name="Tc_fn40RsFxDk2cuD6GqlMscw_5_0"/>
      <w:bookmarkStart w:id="1688" w:name="Tc_AGNR0wFFWU-7BThVdCOmrQ_4_9"/>
      <w:bookmarkStart w:id="1689" w:name="Tc_54inDbFqDUOrsJs5BmC3lg_4_6"/>
      <w:bookmarkStart w:id="1690" w:name="Tc_L_18AU6lKUW0pXOqSufpGg_4_3"/>
      <w:bookmarkStart w:id="1691" w:name="Tc_pH_kISA3I0KtCTDsFobVIw_4_0"/>
      <w:bookmarkStart w:id="1692" w:name="Tc_Bx39WHFoa0uoYKFNrqX0kA_3_8"/>
      <w:bookmarkStart w:id="1693" w:name="Tc_rIHhXmwojE-_D1npLQ2yZA_3_5"/>
      <w:bookmarkStart w:id="1694" w:name="Tc_HgumVFcAbEOBOBBHjfenuA_3_2"/>
      <w:bookmarkStart w:id="1695" w:name="Tc_ePqwzai2iUKeNJBe_M4OKw_3_0"/>
      <w:bookmarkStart w:id="1696" w:name="Tc_jJ8f_EOyY0mcCMI5MesuOQ_2_8"/>
      <w:bookmarkStart w:id="1697" w:name="Tc_bpHtJMf0kECr0C1skCUomQ_2_5"/>
      <w:bookmarkStart w:id="1698" w:name="Tc_-zk2AudZB06Elhs411O9zA_2_2"/>
      <w:bookmarkStart w:id="1699" w:name="Tc_UETp6VJnVkCh_XQQOcXVQg_1_5"/>
      <w:bookmarkStart w:id="1700" w:name="Tc_rwnOYoCbIkyKFrpPbIpXKA_1_2"/>
      <w:bookmarkStart w:id="1701" w:name="_d270be2b_fc01_4dff_9494_63c41c913c18"/>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r>
        <w:rPr>
          <w:rFonts w:ascii="Times New Roman;Times;serif" w:hAnsi="Times New Roman;Times;serif"/>
          <w:sz w:val="20"/>
        </w:rPr>
        <w:t>an asset to its carrying amount. The Company determines the fair value using either a market or income approach. The market approach uses prices generated by market transactions involving comparable assets. The income approach uses a DCF model. The DCF requires the exercise of significant judgement including Level 3 valuation inputs.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performed a qualitative assessment for all of its remaining reporting units during its annual impairment assessment of its indefinite lived telecommunication licenses in 2024. The assessment determined that there were no indications of potential impairment.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performed a quantitative assessment for certain International Telecom reporting units and a qualitative assessments for its remaining reporting units during its annual impairment assessment of its indefinite lived telecommunications licenses for 2023. The quantitative assessment was performed using a Greenfield Approach. The Greenfield Approach assumes a company initially owns only the telecommunication licenses, and then makes investments required to build an operation comparable to the one that currently utilizes the licenses. The projected cash flows are based on certain factors, including revenue growth rates, margins, subscriber churn rates, and other operational data. The Company used a WACC of 11.5% in the analysis. The Company determined that there were no indications of potential impairment.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changes in the carrying amount of the Company’s telecommunications licenses, by operating segment, were as follows (in thousands):</w:t>
      </w:r>
    </w:p>
    <w:tbl>
      <w:tblPr>
        <w:tblW w:w="6769" w:type="dxa"/>
        <w:jc w:val="left"/>
        <w:tblInd w:w="0" w:type="dxa"/>
        <w:tblLayout w:type="fixed"/>
        <w:tblCellMar>
          <w:top w:w="0" w:type="dxa"/>
          <w:left w:w="0" w:type="dxa"/>
          <w:bottom w:w="0" w:type="dxa"/>
          <w:right w:w="0" w:type="dxa"/>
        </w:tblCellMar>
      </w:tblPr>
      <w:tblGrid>
        <w:gridCol w:w="2596"/>
        <w:gridCol w:w="326"/>
        <w:gridCol w:w="253"/>
        <w:gridCol w:w="813"/>
        <w:gridCol w:w="326"/>
        <w:gridCol w:w="211"/>
        <w:gridCol w:w="676"/>
        <w:gridCol w:w="326"/>
        <w:gridCol w:w="223"/>
        <w:gridCol w:w="828"/>
        <w:gridCol w:w="1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648460" cy="175260"/>
                      <wp:effectExtent l="0" t="0" r="0" b="0"/>
                      <wp:wrapNone/>
                      <wp:docPr id="332" name="Frame33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60655" cy="175260"/>
                      <wp:effectExtent l="0" t="0" r="0" b="0"/>
                      <wp:wrapNone/>
                      <wp:docPr id="334" name="Frame33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16255" cy="175260"/>
                      <wp:effectExtent l="0" t="0" r="0" b="0"/>
                      <wp:wrapNone/>
                      <wp:docPr id="335" name="Frame33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29260" cy="175260"/>
                      <wp:effectExtent l="0" t="0" r="0" b="0"/>
                      <wp:wrapNone/>
                      <wp:docPr id="338" name="Frame3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41605" cy="175260"/>
                      <wp:effectExtent l="0" t="0" r="0" b="0"/>
                      <wp:wrapNone/>
                      <wp:docPr id="340" name="Frame33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25780" cy="175260"/>
                      <wp:effectExtent l="0" t="0" r="0" b="0"/>
                      <wp:wrapNone/>
                      <wp:docPr id="341" name="Frame339"/>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1285" cy="175260"/>
                      <wp:effectExtent l="0" t="0" r="0" b="0"/>
                      <wp:wrapNone/>
                      <wp:docPr id="342" name="Frame3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    </w:t>
            </w:r>
          </w:p>
        </w:tc>
        <w:tc>
          <w:tcPr>
            <w:tcW w:w="223"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91"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113,698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licenses</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78,521</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113,319</w:t>
            </w:r>
          </w:p>
        </w:tc>
        <w:tc>
          <w:tcPr>
            <w:tcW w:w="19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8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Dispositions</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113,319</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recognized a gain of $0.3 million for license dispositions in 2023.</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2024, the Company entered into a transaction to sell certain spectrum licenses in its US Telecom segment for approximately $14 million. The transaction is pending regulatory approval and is expected to close in stages during 2025. The Company expects to recognize a gain upon closing of the transaction.</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Customer Relationships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customer relationships are being amortized on an accelerated basis, over the expected period during which their economic benefits are to be realized. The Company recorded $6.3 million, $11.1 million, and $11.6 million of amortization related to customer relationships during the years ended December 31, 2024,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702" w:name="Tc_TZjKAypDp0eKrvpsPjHbzQ_8_4"/>
      <w:bookmarkStart w:id="1703" w:name="Tc_UVN5zf8c30WehamiVaRsyQ_8_1"/>
      <w:bookmarkStart w:id="1704" w:name="Tc_Kg81G0dgQkq8XfUm3ptTBA_8_0"/>
      <w:bookmarkStart w:id="1705" w:name="Tc_U--_GlUvpkaAZfEPX-Mnew_7_2"/>
      <w:bookmarkStart w:id="1706" w:name="Tc_o1XJiXuxoES51XGRJLvbpw_7_0"/>
      <w:bookmarkStart w:id="1707" w:name="Tc_sagYAxDDsUOI6lc3L_KGwQ_6_2"/>
      <w:bookmarkStart w:id="1708" w:name="Tc_STRejqpYP0eVfKR6FirlWw_6_0"/>
      <w:bookmarkStart w:id="1709" w:name="Tc_HJDYxXGKAEeCQbrLyVrD8w_5_2"/>
      <w:bookmarkStart w:id="1710" w:name="Tc_yPH3ViW5Z0KGv4DY_2FQvw_5_0"/>
      <w:bookmarkStart w:id="1711" w:name="Tc__EMJJnB3B0aA7yiN3eCHOQ_4_0"/>
      <w:bookmarkStart w:id="1712" w:name="Tc_ve4DULt6REGML2IpZveBeg_3_0"/>
      <w:bookmarkStart w:id="1713" w:name="Tc_wg-s0HfI_E-O3537uqW0Sw_2_4"/>
      <w:bookmarkStart w:id="1714" w:name="Tc_oGUASV2eDkyV3OSk_7ifUg_2_1"/>
      <w:bookmarkStart w:id="1715" w:name="Tc_tjegTC6tOEuEqAZMzey5BA_2_0"/>
      <w:bookmarkStart w:id="1716" w:name="Tc_oCotzqanqUGmYq5JoM_j-w_1_4"/>
      <w:bookmarkStart w:id="1717" w:name="Tc_1UaBzYWBYU-spzY7d4RGLQ_1_1"/>
      <w:bookmarkStart w:id="1718" w:name="Tc_CMhiCuDi40-0DeQoSPhC3A_9_4"/>
      <w:bookmarkStart w:id="1719" w:name="Tc_WJGW7T5VgE2W1JB9roQD_Q_9_1"/>
      <w:bookmarkStart w:id="1720" w:name="Tc_yNrCS9kbKkuoA0hUewchRw_9_0"/>
      <w:bookmarkStart w:id="1721" w:name="Tc_vaOXAVxuJU-7P4yjhyfXzg_8_5"/>
      <w:bookmarkStart w:id="1722" w:name="Tc__BIcLdl3ek6Y3tsPN4Syug_8_0"/>
      <w:bookmarkStart w:id="1723" w:name="Tc_fICS7D3S-kWjn_U1UUZkTA_7_5"/>
      <w:bookmarkStart w:id="1724" w:name="Tc_2hfJE7w24kuVB8Za-sFBcw_7_0"/>
      <w:bookmarkStart w:id="1725" w:name="Tc__2qHdcCfG0G9K4sy4W_ObQ_6_5"/>
      <w:bookmarkStart w:id="1726" w:name="Tc_maKgLySsTUaA2YQTJXtAPQ_6_0"/>
      <w:bookmarkStart w:id="1727" w:name="Tc_-5eeNWQRKE6PFD1p76YPsw_5_5"/>
      <w:bookmarkStart w:id="1728" w:name="Tc_WBKa_vjzIEiFYrldY7Ka0A_5_0"/>
      <w:bookmarkStart w:id="1729" w:name="Tc_JXt13K2_sEOiap8Lwf1lGA_4_4"/>
      <w:bookmarkStart w:id="1730" w:name="Tc_1kG2gdeolU6AQkLdJkH89Q_4_1"/>
      <w:bookmarkStart w:id="1731" w:name="Tc_FNX6dq6hE0-kaLcrLdJD1Q_4_0"/>
      <w:bookmarkStart w:id="1732" w:name="Tc_crr8d9XWwECRgBHOpFG4_Q_3_4"/>
      <w:bookmarkStart w:id="1733" w:name="Tc_sH88I-IiyUCmTnnaUotIMA_3_1"/>
      <w:bookmarkStart w:id="1734" w:name="_162f9811_7166_4388_be64_ad50e1ac65a3"/>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r>
        <w:rPr>
          <w:rFonts w:ascii="Times New Roman;Times;serif" w:hAnsi="Times New Roman;Times;serif"/>
          <w:sz w:val="20"/>
        </w:rPr>
        <w:t>Future amortization of customer relationships is as follows (in thousands):</w:t>
      </w:r>
    </w:p>
    <w:tbl>
      <w:tblPr>
        <w:tblW w:w="3380" w:type="dxa"/>
        <w:jc w:val="left"/>
        <w:tblInd w:w="0" w:type="dxa"/>
        <w:tblLayout w:type="fixed"/>
        <w:tblCellMar>
          <w:top w:w="0" w:type="dxa"/>
          <w:left w:w="0" w:type="dxa"/>
          <w:bottom w:w="0" w:type="dxa"/>
          <w:right w:w="0" w:type="dxa"/>
        </w:tblCellMar>
      </w:tblPr>
      <w:tblGrid>
        <w:gridCol w:w="556"/>
        <w:gridCol w:w="460"/>
        <w:gridCol w:w="1250"/>
        <w:gridCol w:w="109"/>
        <w:gridCol w:w="239"/>
        <w:gridCol w:w="76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53060" cy="175260"/>
                      <wp:effectExtent l="0" t="0" r="0" b="0"/>
                      <wp:wrapNone/>
                      <wp:docPr id="343" name="Frame34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92100" cy="175260"/>
                      <wp:effectExtent l="0" t="0" r="0" b="0"/>
                      <wp:wrapNone/>
                      <wp:docPr id="344" name="Frame342"/>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93750" cy="175260"/>
                      <wp:effectExtent l="0" t="0" r="0" b="0"/>
                      <wp:wrapNone/>
                      <wp:docPr id="345" name="Frame343"/>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51765" cy="175260"/>
                      <wp:effectExtent l="0" t="0" r="0" b="0"/>
                      <wp:wrapNone/>
                      <wp:docPr id="347" name="Frame34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86410" cy="175260"/>
                      <wp:effectExtent l="0" t="0" r="0" b="0"/>
                      <wp:wrapNone/>
                      <wp:docPr id="348" name="Frame3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0" w:after="0"/>
              <w:ind w:left="0" w:right="0" w:hanging="0"/>
              <w:jc w:val="righ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4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460" w:type="dxa"/>
            <w:tcBorders/>
            <w:vAlign w:val="center"/>
          </w:tcPr>
          <w:p>
            <w:pPr>
              <w:pStyle w:val="TableContents"/>
              <w:bidi w:val="0"/>
              <w:spacing w:before="0" w:after="0"/>
              <w:ind w:left="0" w:right="0" w:hanging="0"/>
              <w:jc w:val="righ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460" w:type="dxa"/>
            <w:tcBorders/>
            <w:shd w:fill="CCEEFF" w:val="clear"/>
            <w:vAlign w:val="center"/>
          </w:tcPr>
          <w:p>
            <w:pPr>
              <w:pStyle w:val="TableContents"/>
              <w:bidi w:val="0"/>
              <w:spacing w:before="0" w:after="0"/>
              <w:ind w:left="0" w:right="0" w:hanging="0"/>
              <w:jc w:val="right"/>
              <w:rPr/>
            </w:pPr>
            <w:r>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460" w:type="dxa"/>
            <w:tcBorders/>
            <w:vAlign w:val="center"/>
          </w:tcPr>
          <w:p>
            <w:pPr>
              <w:pStyle w:val="TableContents"/>
              <w:bidi w:val="0"/>
              <w:spacing w:before="0" w:after="0"/>
              <w:ind w:left="0" w:right="0" w:hanging="0"/>
              <w:jc w:val="right"/>
              <w:rPr/>
            </w:pPr>
            <w:r>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2,779</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Other intangible assets includes $7.1 million and $8.4 million of trade names on the Company’s balance sheet as of December 31, 2024 and 2023, respectively. The Company recorded $1.3 million of amortization related to trade names during each of the years ended December 31, 2024, 2023, and 2022.</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tradenames have definite lives and future amortization of the trade names is as follows: </w:t>
      </w:r>
    </w:p>
    <w:p>
      <w:pPr>
        <w:pStyle w:val="TextBody"/>
        <w:bidi w:val="0"/>
        <w:spacing w:before="280" w:after="0"/>
        <w:ind w:left="0" w:right="0" w:hanging="0"/>
        <w:jc w:val="left"/>
        <w:rPr/>
      </w:pPr>
      <w:r>
        <w:rPr/>
        <w:t>​</w:t>
      </w:r>
    </w:p>
    <w:tbl>
      <w:tblPr>
        <w:tblW w:w="3770" w:type="dxa"/>
        <w:jc w:val="left"/>
        <w:tblInd w:w="0" w:type="dxa"/>
        <w:tblLayout w:type="fixed"/>
        <w:tblCellMar>
          <w:top w:w="0" w:type="dxa"/>
          <w:left w:w="0" w:type="dxa"/>
          <w:bottom w:w="0" w:type="dxa"/>
          <w:right w:w="0" w:type="dxa"/>
        </w:tblCellMar>
      </w:tblPr>
      <w:tblGrid>
        <w:gridCol w:w="946"/>
        <w:gridCol w:w="569"/>
        <w:gridCol w:w="1141"/>
        <w:gridCol w:w="109"/>
        <w:gridCol w:w="239"/>
        <w:gridCol w:w="76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00710" cy="175260"/>
                      <wp:effectExtent l="0" t="0" r="0" b="0"/>
                      <wp:wrapNone/>
                      <wp:docPr id="349" name="Frame34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1315" cy="175260"/>
                      <wp:effectExtent l="0" t="0" r="0" b="0"/>
                      <wp:wrapNone/>
                      <wp:docPr id="350" name="Frame348"/>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24535" cy="175260"/>
                      <wp:effectExtent l="0" t="0" r="0" b="0"/>
                      <wp:wrapNone/>
                      <wp:docPr id="351" name="Frame34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51765" cy="175260"/>
                      <wp:effectExtent l="0" t="0" r="0" b="0"/>
                      <wp:wrapNone/>
                      <wp:docPr id="353" name="Frame35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86410" cy="175260"/>
                      <wp:effectExtent l="0" t="0" r="0" b="0"/>
                      <wp:wrapNone/>
                      <wp:docPr id="354" name="Frame3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0" w:after="0"/>
              <w:ind w:left="0" w:right="0" w:hanging="0"/>
              <w:jc w:val="righ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56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56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56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56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5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6,588</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 xml:space="preserve">8. LONG-TERM DEBT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2023 CoBank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July 13, 2023, the Company, along with certain of its subsidiaries as guarantors, entered into a new Credit Agreement with CoBank, ACB and a syndicate of other lenders (as may be amended from time to time, the “2023 CoBank Credit Facility”). On July 10, 2024, the Company amended the 2023 CoBank Credit Facility credit facility to add certain subsidiaries as guarantors and to provide further flexibility in order to accept certain grant and government program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 Upon the closing of the 2023 CoBank Credit Facility, the Company drew all of the 2023 CoBank Term Loan and approximately $13.6 million of the 2023 CoBank Revolving Loan. These borrowings were used to repay all of the $139.5 million of debt outstanding under the 2019 CoBank Credit Facility, as defined below, at close.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2023 CoBank Term Loan must be repaid in quarterly principal payments in the amounts set forth below, with the outstanding principal balance maturing on July 13, 2029. The 2023 CoBank Revolving Loan may be repaid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time on or prior to its maturity on July 13, 2028. All amounts outstanding under the 2023 CoBank Credit Facility will be due and payable upon the earlier of the maturity date or the acceleration of the loans and commitments upon an event of default.</w:t>
      </w:r>
    </w:p>
    <w:p>
      <w:pPr>
        <w:pStyle w:val="TextBody"/>
        <w:bidi w:val="0"/>
        <w:spacing w:before="100" w:after="100"/>
        <w:ind w:left="0" w:right="0" w:firstLine="720"/>
        <w:jc w:val="left"/>
        <w:rPr/>
      </w:pPr>
      <w:r>
        <w:rPr/>
        <w:t>​</w:t>
      </w:r>
    </w:p>
    <w:tbl>
      <w:tblPr>
        <w:tblW w:w="8807" w:type="dxa"/>
        <w:jc w:val="left"/>
        <w:tblInd w:w="0" w:type="dxa"/>
        <w:tblLayout w:type="fixed"/>
        <w:tblCellMar>
          <w:top w:w="0" w:type="dxa"/>
          <w:left w:w="0" w:type="dxa"/>
          <w:bottom w:w="0" w:type="dxa"/>
          <w:right w:w="0" w:type="dxa"/>
        </w:tblCellMar>
      </w:tblPr>
      <w:tblGrid>
        <w:gridCol w:w="4501"/>
        <w:gridCol w:w="4306"/>
      </w:tblGrid>
      <w:tr>
        <w:trPr/>
        <w:tc>
          <w:tcPr>
            <w:tcW w:w="4501" w:type="dxa"/>
            <w:tcBorders/>
            <w:vAlign w:val="center"/>
          </w:tcPr>
          <w:p>
            <w:pPr>
              <w:pStyle w:val="TableContents"/>
              <w:bidi w:val="0"/>
              <w:spacing w:before="1" w:after="1"/>
              <w:ind w:left="0" w:right="0" w:hanging="0"/>
              <w:jc w:val="left"/>
              <w:rPr/>
            </w:pPr>
            <w:r>
              <w:rPr/>
              <w:t>​</w:t>
            </w:r>
          </w:p>
        </w:tc>
        <w:tc>
          <w:tcPr>
            <w:tcW w:w="4306" w:type="dxa"/>
            <w:tcBorders/>
            <w:vAlign w:val="center"/>
          </w:tcPr>
          <w:p>
            <w:pPr>
              <w:pStyle w:val="TableContents"/>
              <w:bidi w:val="0"/>
              <w:spacing w:before="1" w:after="1"/>
              <w:ind w:left="0" w:right="0" w:hanging="0"/>
              <w:jc w:val="left"/>
              <w:rPr/>
            </w:pPr>
            <w:r>
              <w:rPr/>
              <w:t>​</w:t>
            </w:r>
          </w:p>
        </w:tc>
      </w:tr>
      <w:tr>
        <w:trPr/>
        <w:tc>
          <w:tcPr>
            <w:tcW w:w="450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Payment Dates</w:t>
            </w:r>
          </w:p>
        </w:tc>
        <w:tc>
          <w:tcPr>
            <w:tcW w:w="430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Repayments</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December 31, 2023 – June 30, 2025</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$812,500 (2.5%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September 30, 2025 – June 30, 2026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$1,625,000 (5%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September 30, 2026 – June 30, 2029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$2,437,500 (7.5% per annum)</w:t>
            </w:r>
          </w:p>
        </w:tc>
      </w:tr>
    </w:tbl>
    <w:p>
      <w:pPr>
        <w:pStyle w:val="TextBody"/>
        <w:bidi w:val="0"/>
        <w:spacing w:before="0" w:after="0"/>
        <w:ind w:left="0" w:right="0" w:hanging="0"/>
        <w:jc w:val="left"/>
        <w:rPr/>
      </w:pPr>
      <w:r>
        <w:rPr/>
        <w:t>​</w:t>
      </w:r>
    </w:p>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Term Loan and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capitalized $4.5 million of fees associated with the 2023 CoBank Credit Facility which are being amortized over the life of the debt and $3.3 million were unamortized as of December 31, 2024.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had $125.9 million outstanding under the 2023 CoBank Term Loan as of December 31, 2024. Under the 2023 CoBank Revolving Loan, the Company had $58.6 million outstanding and $111.4 million of availability as of December 31, 2024. The Company was in compliance with all financial covenants as of December 31, 2024.</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October 2023, the Company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$(0.3) million and $(0.5) million as of December 31, 2024 and 2023, respectively.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2019 CoBank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all outstanding borrowings under the 2019 CoBank Credit Facility were repaid in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Amounts borrowed under the 2019 CoBank Credit Facility bore interest at a rate equal to, at the Company’s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Letter of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14, 2022, the Company entered into a General Agreement of Indemnity to issue performance Standby Letters of Credit on behalf of the Company and its subsidiaries. As of December 31, 2024, $30.9 million of Standby Letters of Credit had been issued under this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December 31, 2024, $300.0 million was outstanding under the 2024 Alaska Term Facility.</w:t>
      </w:r>
    </w:p>
    <w:p>
      <w:pPr>
        <w:pStyle w:val="TextBody"/>
        <w:bidi w:val="0"/>
        <w:spacing w:before="280" w:after="0"/>
        <w:ind w:left="0" w:right="0" w:firstLine="720"/>
        <w:jc w:val="left"/>
        <w:rPr/>
      </w:pPr>
      <w:r>
        <w:rPr/>
        <w:t> </w:t>
      </w:r>
      <w:r>
        <w:rPr>
          <w:rFonts w:ascii="Times New Roman;Times;serif" w:hAnsi="Times New Roman;Times;serif"/>
          <w:sz w:val="20"/>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December 31, 2024, there were no outstanding borrowings under the 2024 Alaska Revolving Facility and $1.0 million of letters of credit were issued. As a result, $89.0 million was available under the 2024 Alaska Revolving Facility as of December 31, 2024.</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2024 Alaska Credit Facility, the Company incurred $6.9 million of fees and rolled over $2.1 million of fees for the 2022 Alaska Credit Facility to be amortized over the life of the debt. Additionally, the Company expensed $3.8 million of costs as transaction-related charges and $0.7 million of as a loss on extinguishment of debt, included in other expense, within the Company’s statement of operations during the year ended December 31, 2024. As of December 31, 2024, the Company had $8.4 million of unamortized fees, which are being amortized over the life of the debt, associated with the 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maturity date for the 2024 Alaska Credit Facility is August 29, 2029.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735" w:name="Tc_PIOFFkqDjUyJ7oZQ5eXz5Q_5_1"/>
      <w:bookmarkStart w:id="1736" w:name="Tc_9gIZ86wplUCokOHiK8jc9Q_5_0"/>
      <w:bookmarkStart w:id="1737" w:name="Tc_6d_Znij0vke8sSuu_JR9rA_4_1"/>
      <w:bookmarkStart w:id="1738" w:name="Tc_mjWh81x64E-rHjCGT7G7Xg_4_0"/>
      <w:bookmarkStart w:id="1739" w:name="Tc_ddjPlV7dnkmEvsqeU44YsA_3_1"/>
      <w:bookmarkStart w:id="1740" w:name="Tc_vDRN4UfWRkqSTGcJJ6YpWA_3_0"/>
      <w:bookmarkStart w:id="1741" w:name="Tc_b485oMyagUuRDKDpaDg9mw_2_1"/>
      <w:bookmarkStart w:id="1742" w:name="Tc_lrATZUwVq0OQdNjqkj9bqA_2_0"/>
      <w:bookmarkStart w:id="1743" w:name="Tc_xNYD-KYJfU2elpEefOHSfg_1_4"/>
      <w:bookmarkStart w:id="1744" w:name="Tc_rMAwH7se30aDmrzu-eDVXQ_1_3"/>
      <w:bookmarkStart w:id="1745" w:name="Tc_CvoZz1q5Bk6Vsro2OGiPNw_1_2"/>
      <w:bookmarkStart w:id="1746" w:name="Tc_wskObFELt0CpCF_0cTvTDw_1_1"/>
      <w:bookmarkStart w:id="1747" w:name="Tc_HEKNgv9tX0yNC8GK1QI6tA_1_0"/>
      <w:bookmarkEnd w:id="1735"/>
      <w:bookmarkEnd w:id="1736"/>
      <w:bookmarkEnd w:id="1737"/>
      <w:bookmarkEnd w:id="1738"/>
      <w:bookmarkEnd w:id="1739"/>
      <w:bookmarkEnd w:id="1740"/>
      <w:bookmarkEnd w:id="1741"/>
      <w:bookmarkEnd w:id="1742"/>
      <w:bookmarkEnd w:id="1743"/>
      <w:bookmarkEnd w:id="1744"/>
      <w:bookmarkEnd w:id="1745"/>
      <w:bookmarkEnd w:id="1746"/>
      <w:bookmarkEnd w:id="1747"/>
      <w:r>
        <w:rPr>
          <w:rFonts w:ascii="Times New Roman;Times;serif" w:hAnsi="Times New Roman;Times;serif"/>
          <w:sz w:val="20"/>
        </w:rPr>
        <w:t>Amounts outstanding under the 2024 Alaska Credit Facility bear an interest rate of the following:</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4"/>
        <w:gridCol w:w="2375"/>
        <w:gridCol w:w="2459"/>
        <w:gridCol w:w="2681"/>
        <w:gridCol w:w="1876"/>
      </w:tblGrid>
      <w:tr>
        <w:trPr/>
        <w:tc>
          <w:tcPr>
            <w:tcW w:w="814"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pPr>
            <w:r>
              <w:rPr/>
              <w:t>​</w:t>
            </w:r>
          </w:p>
        </w:tc>
        <w:tc>
          <w:tcPr>
            <w:tcW w:w="2459" w:type="dxa"/>
            <w:tcBorders/>
            <w:vAlign w:val="center"/>
          </w:tcPr>
          <w:p>
            <w:pPr>
              <w:pStyle w:val="TableContents"/>
              <w:bidi w:val="0"/>
              <w:spacing w:before="0" w:after="0"/>
              <w:ind w:left="0" w:right="0" w:hanging="0"/>
              <w:jc w:val="left"/>
              <w:rPr/>
            </w:pPr>
            <w:r>
              <w:rPr/>
              <w:t>​</w:t>
            </w:r>
          </w:p>
        </w:tc>
        <w:tc>
          <w:tcPr>
            <w:tcW w:w="2681"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left"/>
              <w:rPr/>
            </w:pPr>
            <w:r>
              <w:rPr/>
              <w:t>​</w:t>
            </w:r>
          </w:p>
        </w:tc>
      </w:tr>
      <w:tr>
        <w:trPr/>
        <w:tc>
          <w:tcPr>
            <w:tcW w:w="81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Tier / Level</w:t>
            </w:r>
          </w:p>
        </w:tc>
        <w:tc>
          <w:tcPr>
            <w:tcW w:w="237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Alaska Communications Total Net Leverage Ratio</w:t>
            </w:r>
          </w:p>
        </w:tc>
        <w:tc>
          <w:tcPr>
            <w:tcW w:w="2459"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Margin for Term SOFR Loans and L/C Participation Fees</w:t>
            </w:r>
          </w:p>
        </w:tc>
        <w:tc>
          <w:tcPr>
            <w:tcW w:w="26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Margin for Base Rate Loans and Reimbursement Obligations</w:t>
            </w:r>
          </w:p>
        </w:tc>
        <w:tc>
          <w:tcPr>
            <w:tcW w:w="187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Margin for Commitment Fees</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4.00:1.00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or equal to 4.00:1.00 but greater than 3.25:1.00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0.35%</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or equal to 3.25:1.00 but greater than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w:t>
            </w:r>
          </w:p>
        </w:tc>
      </w:tr>
      <w:tr>
        <w:trPr/>
        <w:tc>
          <w:tcPr>
            <w:tcW w:w="814"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IV</w:t>
            </w:r>
          </w:p>
        </w:tc>
        <w:tc>
          <w:tcPr>
            <w:tcW w:w="237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or equal to 2.50:1.00</w:t>
            </w:r>
          </w:p>
        </w:tc>
        <w:tc>
          <w:tcPr>
            <w:tcW w:w="2459"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26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1876"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pStyle w:val="TextBody"/>
        <w:bidi w:val="0"/>
        <w:spacing w:before="280" w:after="0"/>
        <w:ind w:left="0" w:right="0" w:firstLine="720"/>
        <w:jc w:val="left"/>
        <w:rPr/>
      </w:pPr>
      <w:r>
        <w:rPr/>
        <w:t> </w:t>
      </w:r>
      <w:r>
        <w:rPr>
          <w:rFonts w:ascii="Times New Roman;Times;serif" w:hAnsi="Times New Roman;Times;serif"/>
          <w:sz w:val="20"/>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pStyle w:val="TextBody"/>
        <w:bidi w:val="0"/>
        <w:spacing w:before="280" w:after="0"/>
        <w:ind w:left="0" w:right="0" w:firstLine="720"/>
        <w:jc w:val="left"/>
        <w:rPr/>
      </w:pPr>
      <w:r>
        <w:rPr/>
        <w:t> </w:t>
      </w:r>
      <w:r>
        <w:rPr>
          <w:rFonts w:ascii="Times New Roman;Times;serif" w:hAnsi="Times New Roman;Times;serif"/>
          <w:sz w:val="20"/>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pStyle w:val="TextBody"/>
        <w:bidi w:val="0"/>
        <w:spacing w:before="280" w:after="0"/>
        <w:ind w:left="0" w:right="0" w:firstLine="720"/>
        <w:jc w:val="left"/>
        <w:rPr/>
      </w:pPr>
      <w:r>
        <w:rPr/>
        <w:t> </w:t>
      </w:r>
      <w:r>
        <w:rPr>
          <w:rFonts w:ascii="Times New Roman;Times;serif" w:hAnsi="Times New Roman;Times;serif"/>
          <w:sz w:val="20"/>
        </w:rPr>
        <w:t>The 2024 Alaska Credit Agreement contains usual and customary affirmative and negative covenants of the parties for credit facilities of this type or as otherwise deemed appropriate by the administrative agent, subject to customary exceptions and materiality standards. The 2024 Alaska Credit Agreement also contains certain customary covenants and events of default, as well as, in the event of an occurrence of an “Event of Default,” customary remedies for the lenders, including the acceleration of any amounts outstanding under the 2024 Alaska Credit Facility. Holdings and its wholly owned subsidiaries are guarantors of the Borrower’s obligations under the 2024 Alaska Credit Agreement. The Company is not a guarantor under the 2024 Alaska Credit Agreement, and the lenders have no recourse against the Company in the event of an occurrence of an “Event of Default.” Additionally, the 2024 Alaska Credit Agreement includes certain customary conditions that must be met for the Borrower to borrow under the 2024 Alaska Credit Agreement from time to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2022 Alaska Credit Facility</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key terms and conditions of the 2022 Alaska Credit Facility included the following:</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Amounts outstanding bore an interest rate of the forward-looking SOFR rate with a one-month interest period, plus the SOFR Spread Adjustment of 10</w:t>
            </w:r>
            <w:r>
              <w:rPr>
                <w:caps w:val="false"/>
                <w:smallCaps w:val="false"/>
              </w:rPr>
              <w:t xml:space="preserve"> </w:t>
            </w:r>
            <w:r>
              <w:rPr>
                <w:rFonts w:ascii="Times New Roman;Times;serif" w:hAnsi="Times New Roman;Times;serif"/>
                <w:b w:val="false"/>
                <w:i w:val="false"/>
                <w:caps w:val="false"/>
                <w:smallCaps w:val="false"/>
                <w:sz w:val="20"/>
              </w:rPr>
              <w:t>basis points, plus a margin ranging from 3.00%</w:t>
            </w:r>
            <w:r>
              <w:rPr>
                <w:caps w:val="false"/>
                <w:smallCaps w:val="false"/>
              </w:rPr>
              <w:t xml:space="preserve"> </w:t>
            </w:r>
            <w:r>
              <w:rPr>
                <w:rFonts w:ascii="Times New Roman;Times;serif" w:hAnsi="Times New Roman;Times;serif"/>
                <w:b w:val="false"/>
                <w:i w:val="false"/>
                <w:caps w:val="false"/>
                <w:smallCaps w:val="false"/>
                <w:sz w:val="20"/>
              </w:rPr>
              <w:t>to 4.00%</w:t>
            </w:r>
            <w:r>
              <w:rPr>
                <w:caps w:val="false"/>
                <w:smallCaps w:val="false"/>
              </w:rPr>
              <w:t xml:space="preserve"> </w:t>
            </w:r>
            <w:r>
              <w:rPr>
                <w:rFonts w:ascii="Times New Roman;Times;serif" w:hAnsi="Times New Roman;Times;serif"/>
                <w:b w:val="false"/>
                <w:i w:val="false"/>
                <w:caps w:val="false"/>
                <w:smallCaps w:val="false"/>
                <w:sz w:val="20"/>
              </w:rPr>
              <w:t>based on Alaska Communications’ Consolidated Total Net Leverage Ratio (as defined in the Credit Agreement) or at an alternate base rate at a margin that is 1%</w:t>
            </w:r>
            <w:r>
              <w:rPr>
                <w:caps w:val="false"/>
                <w:smallCaps w:val="false"/>
              </w:rPr>
              <w:t xml:space="preserve"> </w:t>
            </w:r>
            <w:r>
              <w:rPr>
                <w:rFonts w:ascii="Times New Roman;Times;serif" w:hAnsi="Times New Roman;Times;serif"/>
                <w:b w:val="false"/>
                <w:i w:val="false"/>
                <w:caps w:val="false"/>
                <w:smallCaps w:val="false"/>
                <w:sz w:val="20"/>
              </w:rPr>
              <w:t>lower than the counterpart SOFR margin;</w:t>
            </w:r>
          </w:p>
        </w:tc>
      </w:tr>
    </w:tbl>
    <w:p>
      <w:pPr>
        <w:pStyle w:val="TextBody"/>
        <w:shd w:fill="FFFFFF" w:val="clear"/>
        <w:bidi w:val="0"/>
        <w:spacing w:before="100" w:after="100"/>
        <w:ind w:left="1440" w:right="0" w:hanging="0"/>
        <w:jc w:val="both"/>
        <w:rPr/>
      </w:pPr>
      <w:r>
        <w:rPr/>
        <w:t>​</w:t>
      </w:r>
    </w:p>
    <w:tbl>
      <w:tblPr>
        <w:tblW w:w="8886" w:type="dxa"/>
        <w:jc w:val="left"/>
        <w:tblInd w:w="0" w:type="dxa"/>
        <w:shd w:fill="FFFFFF" w:val="clear"/>
        <w:tblLayout w:type="fixed"/>
        <w:tblCellMar>
          <w:top w:w="28" w:type="dxa"/>
          <w:left w:w="28" w:type="dxa"/>
          <w:bottom w:w="28" w:type="dxa"/>
          <w:right w:w="28" w:type="dxa"/>
        </w:tblCellMar>
      </w:tblPr>
      <w:tblGrid>
        <w:gridCol w:w="124"/>
        <w:gridCol w:w="256"/>
        <w:gridCol w:w="85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Principal repayments of $1.4</w:t>
            </w:r>
            <w:r>
              <w:rPr>
                <w:caps w:val="false"/>
                <w:smallCaps w:val="false"/>
              </w:rPr>
              <w:t xml:space="preserve"> </w:t>
            </w:r>
            <w:r>
              <w:rPr>
                <w:rFonts w:ascii="Times New Roman;Times;serif" w:hAnsi="Times New Roman;Times;serif"/>
                <w:b w:val="false"/>
                <w:i w:val="false"/>
                <w:caps w:val="false"/>
                <w:smallCaps w:val="false"/>
                <w:sz w:val="20"/>
              </w:rPr>
              <w:t>million were made quarterly commencing with the fourth quarter of 2023;</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Alaska Communications was required to maintain financial ratios as defined in the 2022 Alaska Credit Facility, including (a) a maximum Consolidated Net Total Leverage Ratio of</w:t>
            </w:r>
            <w:r>
              <w:rPr>
                <w:caps w:val="false"/>
                <w:smallCaps w:val="false"/>
              </w:rPr>
              <w:t xml:space="preserve"> </w:t>
            </w:r>
            <w:r>
              <w:rPr>
                <w:rFonts w:ascii="Times New Roman;Times;serif" w:hAnsi="Times New Roman;Times;serif"/>
                <w:b w:val="false"/>
                <w:i w:val="false"/>
                <w:caps w:val="false"/>
                <w:smallCaps w:val="false"/>
                <w:sz w:val="20"/>
              </w:rPr>
              <w:t>4.00</w:t>
            </w:r>
            <w:r>
              <w:rPr>
                <w:caps w:val="false"/>
                <w:smallCaps w:val="false"/>
              </w:rPr>
              <w:t xml:space="preserve"> </w:t>
            </w:r>
            <w:r>
              <w:rPr>
                <w:rFonts w:ascii="Times New Roman;Times;serif" w:hAnsi="Times New Roman;Times;serif"/>
                <w:b w:val="false"/>
                <w:i w:val="false"/>
                <w:caps w:val="false"/>
                <w:smallCaps w:val="false"/>
                <w:sz w:val="20"/>
              </w:rPr>
              <w:t>to 1, stepping down to 3.75</w:t>
            </w:r>
            <w:r>
              <w:rPr>
                <w:caps w:val="false"/>
                <w:smallCaps w:val="false"/>
              </w:rPr>
              <w:t xml:space="preserve"> </w:t>
            </w:r>
            <w:r>
              <w:rPr>
                <w:rFonts w:ascii="Times New Roman;Times;serif" w:hAnsi="Times New Roman;Times;serif"/>
                <w:b w:val="false"/>
                <w:i w:val="false"/>
                <w:caps w:val="false"/>
                <w:smallCaps w:val="false"/>
                <w:sz w:val="20"/>
              </w:rPr>
              <w:t>to 1 beginning with the second quarter of 2024; and (b) a minimum Consolidated Fixed Charge Coverage Ratio of not less than 1.25</w:t>
            </w:r>
            <w:r>
              <w:rPr>
                <w:caps w:val="false"/>
                <w:smallCaps w:val="false"/>
              </w:rPr>
              <w:t xml:space="preserve"> </w:t>
            </w:r>
            <w:r>
              <w:rPr>
                <w:rFonts w:ascii="Times New Roman;Times;serif" w:hAnsi="Times New Roman;Times;serif"/>
                <w:b w:val="false"/>
                <w:i w:val="false"/>
                <w:caps w:val="false"/>
                <w:smallCaps w:val="false"/>
                <w:sz w:val="20"/>
              </w:rPr>
              <w:t>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tc>
      </w:tr>
    </w:tbl>
    <w:p>
      <w:pPr>
        <w:pStyle w:val="TextBody"/>
        <w:bidi w:val="0"/>
        <w:spacing w:before="0" w:after="0"/>
        <w:ind w:left="0" w:right="0" w:hanging="0"/>
        <w:jc w:val="left"/>
        <w:rPr/>
      </w:pPr>
      <w:r>
        <w:rPr/>
        <w:t> </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Alaska Credit Facility was non-recourse to us and was secured by substantially all of the personal property and certain material real property owned by Alaska Communications.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all outstanding amounts under the 2022 Alaska Credit Facility were repaid in full using the proceeds received upon the completion of the 2024 Alaska Credit Facility.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15, 2022, Holdings entered into a secured lending arrangement with Bristol Bay Industrial, LLC (the “Alaska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three months ended June 30, 2024.</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Interest Rate Swap Agreements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2023, Alaska Communications entered into two forward starting 1-month floating to fixed SOFR interest rate swap agreements. The total non-amortizing notional amount of the agreements is $200 million, with fixed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rates of 4.8695% and 4.8980% and both agreements mature on June 30, 2025. The swap agreements had an aggregate fair value of $(0.5) and $(1.2) million as of December 31, 2024 and 2023, respectively.</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FirstNet Receivables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26, 2020, Commnet Finance, a wholly owned subsidiary of Commnet Wireless, entered into a receivables credit facility with the Company, Commnet Wireless, and CoBank, ACB (the “Receivables Credit Facility”).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27, 2024, CoBank amended the Receivables Credit Facility and extended the delayed draw period to December 31,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maturity date for each loan will be set by CoBank and will match the weighted average maturity of the certain receivables financed.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the loans accrue at a fixed annual interest rate to be quoted by CoBank.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Receivables Credit Facility contains customary events of termination, representations and warranties, affirmative and negative covenants and events of default customary for facilities of this type.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2024, Commnet Wireless had $44.6 million outstanding, of which $8.0 million was classified as being current and $36.6 million as long-term on the Company’s balance sheet, and $9.2 million of availability under the Receivables Credit Facility. Commnet Wireless capitalized $0.8 million in fees associated with the Receivables Credit Facility which are being amortized over the life of the debt and $0.4 million were unamortized as of December 31, 2024.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OneGY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October 12, 2022 , OneGY entered into a $2.9 million term facility and a $5.7 million overdraft facility (the “Guyana Credit Facilities”) with Republic Bank (Guyana) Limited.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Guyana Credit Facilities were secured by real estate assets and carried a fixed interest rate of 7.5%. On November 29, 2024, the overdraft facility and term facility were canceled at the request of OneGY and there were no outstanding amounts at that time.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Sacred Wind Term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Sacred Wind Term Debt contains certain restrictions on the declaration or payment of dividends, redemption of capital stock or investment in affiliated companies without the consent by the RUS noteholders.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48" w:name="Tc_cZkmYgKNoU6C4O4m_zu0zg_12_12"/>
      <w:bookmarkStart w:id="1749" w:name="Tc_e-cwOSuf2EWc5QMzoYf5YA_12_10"/>
      <w:bookmarkStart w:id="1750" w:name="Tc_k8Y7c18kG0qQiSoK9xtSlw_12_7"/>
      <w:bookmarkStart w:id="1751" w:name="Tc_9Z-HU5x7HUmEIgg6UO3DKw_12_4"/>
      <w:bookmarkStart w:id="1752" w:name="Tc_PVWAZKYyo0S_lGQ6fg8jyg_12_1"/>
      <w:bookmarkStart w:id="1753" w:name="Tc_welq6jVsdkehRXo07wHpPg_12_0"/>
      <w:bookmarkStart w:id="1754" w:name="Tc_URGR5VaaiEKRkAOljCuafA_11_0"/>
      <w:bookmarkStart w:id="1755" w:name="Tc_y85xe4fMNUmaIwj5UeDCPg_10_0"/>
      <w:bookmarkStart w:id="1756" w:name="Tc__NrNyoXvfEmIDLs_HGiYlA_9_8"/>
      <w:bookmarkStart w:id="1757" w:name="Tc_U-s_YxIA-0CfmIGurTKpYw_9_5"/>
      <w:bookmarkStart w:id="1758" w:name="Tc_vvoZB3q9iUyHQl3w_vbw6A_9_0"/>
      <w:bookmarkStart w:id="1759" w:name="Tc_JWBR8NqmXEuKmTbD4F5OqQ_8_5"/>
      <w:bookmarkStart w:id="1760" w:name="Tc_nxovzaqmgUefv-Ibup1WGw_8_0"/>
      <w:bookmarkStart w:id="1761" w:name="Tc_OzRKYdSwbUSc9egk3RcL-w_7_5"/>
      <w:bookmarkStart w:id="1762" w:name="Tc_xEwhOZhOG0a4JLn8V6Shmg_7_0"/>
      <w:bookmarkStart w:id="1763" w:name="Tc_1B_j1QrRw069tKBQbsN2sg_6_5"/>
      <w:bookmarkStart w:id="1764" w:name="Tc_Y-Ynt6ISykWs1kvIckQRAg_6_0"/>
      <w:bookmarkStart w:id="1765" w:name="Tc_O0JcDXlxaEeM3sf8iJ00-Q_5_0"/>
      <w:bookmarkStart w:id="1766" w:name="Tc_R-ikNTjyr0aT60aKcyHNhQ_4_12"/>
      <w:bookmarkStart w:id="1767" w:name="Tc_pozuavq33UiDKwAfFuIgzw_4_10"/>
      <w:bookmarkStart w:id="1768" w:name="Tc_8Obd-fomZkOf0SO_ieH_ZQ_4_7"/>
      <w:bookmarkStart w:id="1769" w:name="Tc_r0zOI6L9aUK7CJC3oQP0Xg_4_5"/>
      <w:bookmarkStart w:id="1770" w:name="Tc_AYqBzUUZQU6_8DyMwJnNTA_4_4"/>
      <w:bookmarkStart w:id="1771" w:name="Tc_nAzpSrJvVUezn9pFCXGEWA_4_1"/>
      <w:bookmarkStart w:id="1772" w:name="Tc_60MWIAek_k6ffBOwNYSgaA_4_0"/>
      <w:bookmarkStart w:id="1773" w:name="Tc_nE-I3H7NWUCvX2lW1tR1uw_3_12"/>
      <w:bookmarkStart w:id="1774" w:name="Tc_KJxb2NFB0kSNeL9PGVMLHA_3_10"/>
      <w:bookmarkStart w:id="1775" w:name="Tc_hshTVmtAxkqgZAe8DqFfwQ_3_7"/>
      <w:bookmarkStart w:id="1776" w:name="Tc_ThAfJ8PY2kGBFTmW_essKw_3_4"/>
      <w:bookmarkStart w:id="1777" w:name="Tc_SypxQyut9kqYSRpoaTuaJg_3_1"/>
      <w:bookmarkStart w:id="1778" w:name="Tc_tqdoswlNP0iHPS6UfoaPdQ_3_0"/>
      <w:bookmarkStart w:id="1779" w:name="Tc_tQjCbatVzEWHk5Y9D3YFkA_2_12"/>
      <w:bookmarkStart w:id="1780" w:name="Tc_UrFwLf9VnEa9A8Wx8FlLAg_2_10"/>
      <w:bookmarkStart w:id="1781" w:name="Tc_m7MNY8rLQkKNEJEWhU1bfw_2_7"/>
      <w:bookmarkStart w:id="1782" w:name="Tc_X0SgfLfp-E2QqTbhoZvTPQ_2_4"/>
      <w:bookmarkStart w:id="1783" w:name="Tc_nqIZFhJdMUqCQxpRmhRaTQ_2_1"/>
      <w:bookmarkStart w:id="1784" w:name="Tc_6lTW1l0LgEOpDF9haiZOrg_1_12"/>
      <w:bookmarkStart w:id="1785" w:name="_29f79438_d947_4a27_9063_4cbca1b20ab2"/>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r>
        <w:rPr>
          <w:rFonts w:ascii="Times New Roman;Times;serif" w:hAnsi="Times New Roman;Times;serif"/>
          <w:sz w:val="20"/>
        </w:rPr>
        <w:t>agreements also contain a financial covenant which Sacred Wind was not in compliance with as of December 31, 2024. Sacred Wind submitted a corrective action plan to comply with the financial covenant by December 31, 2028. The corrective action plan was accepted by the RUS and, as of December 31, 2024, the Company was in compliance with that corrective action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$24.9 million was outstanding under the Sacred Wind Term Debt. Of that amount, $3.5 million was current and $21.4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mortgage notes carry fixed interest rates ranging from 0.88% to 5.0%.</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Viya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and certain of its subsidiaries, have entered into a $60.0 million loan agreement (the “Viya Debt”) with National Cooperative Services Corporation (“NCSC”).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paid a fee of $0.9 million in 2016 to lock the interest rate at 4% per annum over the term of the Viya Debt. The fee was recorded as a reduction to the Viya Debt carrying amount and is being amortized over the life of the loan.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$60.0 million of the Viya Debt remained outstanding and $0.2 million of the rate lock fee was unamortized.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5, 2022, the Net Leverage Ratio was amended to 7.0 to 1.0 through the maturity date of July 1, 2026. The Ratio is tested annually, and the Company was in compliance with the Net Leverage Ratio as of December 31, 2024.</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i/>
          <w:sz w:val="20"/>
        </w:rPr>
        <w:t>Debt Maturity</w:t>
      </w:r>
      <w:r>
        <w:rPr>
          <w:rFonts w:ascii="Times New Roman;Times;serif" w:hAnsi="Times New Roman;Times;serif"/>
          <w:sz w:val="20"/>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the annual maturities of the Company’s debt instruments (amounts in thousands):</w:t>
      </w:r>
    </w:p>
    <w:tbl>
      <w:tblPr>
        <w:tblW w:w="8973" w:type="dxa"/>
        <w:jc w:val="left"/>
        <w:tblInd w:w="0" w:type="dxa"/>
        <w:tblLayout w:type="fixed"/>
        <w:tblCellMar>
          <w:top w:w="0" w:type="dxa"/>
          <w:left w:w="0" w:type="dxa"/>
          <w:bottom w:w="0" w:type="dxa"/>
          <w:right w:w="0" w:type="dxa"/>
        </w:tblCellMar>
      </w:tblPr>
      <w:tblGrid>
        <w:gridCol w:w="3136"/>
        <w:gridCol w:w="211"/>
        <w:gridCol w:w="781"/>
        <w:gridCol w:w="109"/>
        <w:gridCol w:w="253"/>
        <w:gridCol w:w="813"/>
        <w:gridCol w:w="109"/>
        <w:gridCol w:w="261"/>
        <w:gridCol w:w="969"/>
        <w:gridCol w:w="109"/>
        <w:gridCol w:w="211"/>
        <w:gridCol w:w="796"/>
        <w:gridCol w:w="258"/>
        <w:gridCol w:w="957"/>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991360" cy="175260"/>
                      <wp:effectExtent l="0" t="0" r="0" b="0"/>
                      <wp:wrapNone/>
                      <wp:docPr id="355" name="Frame353"/>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7" name="Frame3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60655" cy="175260"/>
                      <wp:effectExtent l="0" t="0" r="0" b="0"/>
                      <wp:wrapNone/>
                      <wp:docPr id="359" name="Frame35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16255" cy="175260"/>
                      <wp:effectExtent l="0" t="0" r="0" b="0"/>
                      <wp:wrapNone/>
                      <wp:docPr id="360" name="Frame35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5735" cy="175260"/>
                      <wp:effectExtent l="0" t="0" r="0" b="0"/>
                      <wp:wrapNone/>
                      <wp:docPr id="362" name="Frame36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15315" cy="175260"/>
                      <wp:effectExtent l="0" t="0" r="0" b="0"/>
                      <wp:wrapNone/>
                      <wp:docPr id="363" name="Frame361"/>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5460" cy="175260"/>
                      <wp:effectExtent l="0" t="0" r="0" b="0"/>
                      <wp:wrapNone/>
                      <wp:docPr id="366" name="Frame3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63830" cy="175260"/>
                      <wp:effectExtent l="0" t="0" r="0" b="0"/>
                      <wp:wrapNone/>
                      <wp:docPr id="367" name="Frame36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07695" cy="175260"/>
                      <wp:effectExtent l="0" t="0" r="0" b="0"/>
                      <wp:wrapNone/>
                      <wp:docPr id="368" name="Frame36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r>
      <w:tr>
        <w:trPr/>
        <w:tc>
          <w:tcPr>
            <w:tcW w:w="313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Maturing During</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Facility</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8,226</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8,031</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73,594</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8,409</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13,098</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22,848</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8,807</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18,858</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87,228</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277,749</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371,305</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6,041</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6,239</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6,239</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324,882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569,440</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44,602</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(8,641)</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(12,084)</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 as of December 31, 2024</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316,241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557,356</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44,234</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GOVERNMENT SUPPORT AND SPECTRUM PROGRAMS</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Universal Service Fund and Other Domestic Funding Programs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revenue from several government funded programs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federal USF support under the Alaska Connect Fund (“ACF”). Beginning January 1, 2025, we expect to receive $25.6</w:t>
            </w:r>
            <w:r>
              <w:rPr>
                <w:caps w:val="false"/>
                <w:smallCaps w:val="false"/>
              </w:rPr>
              <w:t xml:space="preserve"> </w:t>
            </w:r>
            <w:r>
              <w:rPr>
                <w:rFonts w:ascii="Times New Roman;Times;serif" w:hAnsi="Times New Roman;Times;serif"/>
                <w:b w:val="false"/>
                <w:i w:val="false"/>
                <w:caps w:val="false"/>
                <w:smallCaps w:val="false"/>
                <w:sz w:val="20"/>
              </w:rPr>
              <w:t>million per year until December 31, 2028. Beginning in 2029 and continuing through 2034, the amount of ACF support will be determined by FCC staff taking into consideration broadband deployment funded through the Broadband Equity Access and Deployment Program. The ACF replaced the $19.7</w:t>
            </w:r>
            <w:r>
              <w:rPr>
                <w:caps w:val="false"/>
                <w:smallCaps w:val="false"/>
              </w:rPr>
              <w:t xml:space="preserve"> </w:t>
            </w:r>
            <w:r>
              <w:rPr>
                <w:rFonts w:ascii="Times New Roman;Times;serif" w:hAnsi="Times New Roman;Times;serif"/>
                <w:b w:val="false"/>
                <w:i w:val="false"/>
                <w:caps w:val="false"/>
                <w:smallCaps w:val="false"/>
                <w:sz w:val="20"/>
              </w:rPr>
              <w:t>million per year that we had received in Connect America Fund II support in Alaska;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part of the Enhanced Alternative Connect America Model funding available to the Company’s operations in the western United States, </w:t>
            </w:r>
            <w:r>
              <w:rPr>
                <w:rFonts w:ascii="Times New Roman;Times;serif" w:hAnsi="Times New Roman;Times;serif"/>
                <w:b w:val="false"/>
                <w:i w:val="false"/>
                <w:caps w:val="false"/>
                <w:smallCaps w:val="false"/>
                <w:sz w:val="20"/>
                <w:shd w:fill="FFFFFF" w:val="clear"/>
              </w:rPr>
              <w:t>we are estimated to receive approximately $109</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million over the next 14 years, through 2038, with </w:t>
            </w:r>
            <w:r>
              <w:rPr>
                <w:rFonts w:ascii="Times New Roman;Times;serif" w:hAnsi="Times New Roman;Times;serif"/>
                <w:b w:val="false"/>
                <w:i w:val="false"/>
                <w:caps w:val="false"/>
                <w:smallCaps w:val="false"/>
                <w:sz w:val="20"/>
              </w:rPr>
              <w:t>approximately $9</w:t>
            </w:r>
            <w:r>
              <w:rPr>
                <w:caps w:val="false"/>
                <w:smallCaps w:val="false"/>
              </w:rPr>
              <w:t xml:space="preserve"> </w:t>
            </w:r>
            <w:r>
              <w:rPr>
                <w:rFonts w:ascii="Times New Roman;Times;serif" w:hAnsi="Times New Roman;Times;serif"/>
                <w:b w:val="false"/>
                <w:i w:val="false"/>
                <w:caps w:val="false"/>
                <w:smallCaps w:val="false"/>
                <w:sz w:val="20"/>
              </w:rPr>
              <w:t>million annually through 2030 before a gradual step down to $6</w:t>
            </w:r>
            <w:r>
              <w:rPr>
                <w:caps w:val="false"/>
                <w:smallCaps w:val="false"/>
              </w:rPr>
              <w:t xml:space="preserve"> </w:t>
            </w:r>
            <w:r>
              <w:rPr>
                <w:rFonts w:ascii="Times New Roman;Times;serif" w:hAnsi="Times New Roman;Times;serif"/>
                <w:b w:val="false"/>
                <w:i w:val="false"/>
                <w:caps w:val="false"/>
                <w:smallCaps w:val="false"/>
                <w:sz w:val="20"/>
              </w:rPr>
              <w:t>million annually in 2038;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$8.0</w:t>
            </w:r>
            <w:r>
              <w:rPr>
                <w:caps w:val="false"/>
                <w:smallCaps w:val="false"/>
              </w:rPr>
              <w:t xml:space="preserve"> </w:t>
            </w:r>
            <w:r>
              <w:rPr>
                <w:rFonts w:ascii="Times New Roman;Times;serif" w:hAnsi="Times New Roman;Times;serif"/>
                <w:b w:val="false"/>
                <w:i w:val="false"/>
                <w:caps w:val="false"/>
                <w:smallCaps w:val="false"/>
                <w:sz w:val="20"/>
              </w:rPr>
              <w:t>million per year in Connect America Fund II support in the rural southwest until July 2028;</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$5.5</w:t>
            </w:r>
            <w:r>
              <w:rPr>
                <w:caps w:val="false"/>
                <w:smallCaps w:val="false"/>
              </w:rPr>
              <w:t xml:space="preserve"> </w:t>
            </w:r>
            <w:r>
              <w:rPr>
                <w:rFonts w:ascii="Times New Roman;Times;serif" w:hAnsi="Times New Roman;Times;serif"/>
                <w:b w:val="false"/>
                <w:i w:val="false"/>
                <w:caps w:val="false"/>
                <w:smallCaps w:val="false"/>
                <w:sz w:val="20"/>
              </w:rPr>
              <w:t xml:space="preserve">million annually in the US Virgin Islands through December 31, 2025, subject to the requirement to enhance network resiliency and operations in those markets;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were awarded $2.3</w:t>
            </w:r>
            <w:r>
              <w:rPr>
                <w:caps w:val="false"/>
                <w:smallCaps w:val="false"/>
              </w:rPr>
              <w:t xml:space="preserve"> </w:t>
            </w:r>
            <w:r>
              <w:rPr>
                <w:rFonts w:ascii="Times New Roman;Times;serif" w:hAnsi="Times New Roman;Times;serif"/>
                <w:b w:val="false"/>
                <w:i w:val="false"/>
                <w:caps w:val="false"/>
                <w:smallCaps w:val="false"/>
                <w:sz w:val="20"/>
              </w:rPr>
              <w:t>million annually in the western United States through December 31, 2031 as part of the Rural Digital Opportunity Fund Phase I (“RDOF”) auction. In exchange for this support, we committed to deploy voice and broadband service to areas covered by our remaining winning bids within six years</w:t>
            </w:r>
            <w:r>
              <w:rPr>
                <w:caps w:val="false"/>
                <w:smallCaps w:val="false"/>
              </w:rPr>
              <w:t xml:space="preserve"> </w:t>
            </w:r>
            <w:r>
              <w:rPr>
                <w:rFonts w:ascii="Times New Roman;Times;serif" w:hAnsi="Times New Roman;Times;serif"/>
                <w:b w:val="false"/>
                <w:i w:val="false"/>
                <w:caps w:val="false"/>
                <w:smallCaps w:val="false"/>
                <w:sz w:val="20"/>
              </w:rPr>
              <w:t>and to provide service in those areas for ten years.  In 2024, we transferred $1.3</w:t>
            </w:r>
            <w:r>
              <w:rPr>
                <w:caps w:val="false"/>
                <w:smallCaps w:val="false"/>
              </w:rPr>
              <w:t xml:space="preserve"> </w:t>
            </w:r>
            <w:r>
              <w:rPr>
                <w:rFonts w:ascii="Times New Roman;Times;serif" w:hAnsi="Times New Roman;Times;serif"/>
                <w:b w:val="false"/>
                <w:i w:val="false"/>
                <w:caps w:val="false"/>
                <w:smallCaps w:val="false"/>
                <w:sz w:val="20"/>
              </w:rPr>
              <w:t>million of the annual awards to other providers and returned $0.3</w:t>
            </w:r>
            <w:r>
              <w:rPr>
                <w:caps w:val="false"/>
                <w:smallCaps w:val="false"/>
              </w:rPr>
              <w:t xml:space="preserve"> </w:t>
            </w:r>
            <w:r>
              <w:rPr>
                <w:rFonts w:ascii="Times New Roman;Times;serif" w:hAnsi="Times New Roman;Times;serif"/>
                <w:b w:val="false"/>
                <w:i w:val="false"/>
                <w:caps w:val="false"/>
                <w:smallCaps w:val="false"/>
                <w:sz w:val="20"/>
              </w:rPr>
              <w:t>million of the annual awards to the FCC;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state USF support in Alaska, which for the fiscal year ended December 31, 2024 was approximately $2.5</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December 31, 2024, the Company was in compliance in all material respects with its requirements associated with such funding.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the Company recognized revenue from the FCC’s Affordable Connectivity Program (“ACP”) and the Emergency Connectivity Fund (“ECF”) in 2024 that expired in the second quarter of 2024.   During 2024, in conjunction with transferring and return of the RDOF awards, the Company recorded a loss of $2.5 million as a loss disposition of assets and transfers. The Company has a liability of $4.6 million accrued as of December 31, 2024 for the transactions. The transfer applications are pending regulatory approval. </w:t>
      </w:r>
    </w:p>
    <w:p>
      <w:pPr>
        <w:pStyle w:val="TextBody"/>
        <w:bidi w:val="0"/>
        <w:spacing w:before="0" w:after="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Revenue recognized from the USF High Cost Program, including the CAF II, ACF, E-ACAM, and RDOF programs, is recognized as revenue from government grants.  Revenue from other programs is recognized in accordance with ASC 606.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786" w:name="Tc_roeabAi45Uuo-9QuDSk8iw_11_7"/>
      <w:bookmarkStart w:id="1787" w:name="Tc_adNxC__NMU6VCyzIrxo_ng_11_4"/>
      <w:bookmarkStart w:id="1788" w:name="Tc_oX_oYyXPP0WjAV3wby8gDw_11_1"/>
      <w:bookmarkStart w:id="1789" w:name="Tc_OlmscHYpFEO6DbdhgT3ZCw_11_0"/>
      <w:bookmarkStart w:id="1790" w:name="Tc_pL9912t5Y0GH0Kp6shauqw_10_0"/>
      <w:bookmarkStart w:id="1791" w:name="Tc_BtnP010CJkapaQKirql3cQ_9_5"/>
      <w:bookmarkStart w:id="1792" w:name="Tc_9SD-vJps3k6D3mUBmkyEKw_9_0"/>
      <w:bookmarkStart w:id="1793" w:name="Tc_8JEk2cutwEqqHp2jVBsaXg_8_5"/>
      <w:bookmarkStart w:id="1794" w:name="Tc_ed6czn4BEkCLTC8My8cy7w_8_0"/>
      <w:bookmarkStart w:id="1795" w:name="Tc_xgxn2VU680GVq3g7lUudMw_7_5"/>
      <w:bookmarkStart w:id="1796" w:name="Tc_uQ468XXTNkOH4QXncJFi3w_7_0"/>
      <w:bookmarkStart w:id="1797" w:name="Tc_oKBGuJ2oXEqtewAc8i3d2w_6_7"/>
      <w:bookmarkStart w:id="1798" w:name="Tc_p2EBjEPvXUi_43pgIi64cw_6_4"/>
      <w:bookmarkStart w:id="1799" w:name="Tc_IulDIrjbe06oD-4JJTppWg_6_1"/>
      <w:bookmarkStart w:id="1800" w:name="Tc_spB_fFLd90yzZNtf0FAVCQ_6_0"/>
      <w:bookmarkStart w:id="1801" w:name="Tc_rVctJKNCjkeQgZ1q5QMQeA_4_7"/>
      <w:bookmarkStart w:id="1802" w:name="Tc_pA-uv2uAJkOS29B6C--ntA_4_4"/>
      <w:bookmarkStart w:id="1803" w:name="Tc_8fTD1uIbPke4YCyTSqLh2Q_4_1"/>
      <w:bookmarkStart w:id="1804" w:name="Tc_eB7tHN8M2kC9vAfV1VcRww_2_1"/>
      <w:bookmarkStart w:id="1805" w:name="Tc_DenVJ6sClUaWt1PgxVVdnQ_1_1"/>
      <w:bookmarkStart w:id="1806" w:name="_ba1cb95b_86dc_4f9d_b402_16a65e686503"/>
      <w:bookmarkStart w:id="1807" w:name="Tc_An2m3dCpGk29gLkx1w6BnQ_12_7"/>
      <w:bookmarkStart w:id="1808" w:name="Tc_qQWFSoaCwU21ZKOmiKltbg_12_4"/>
      <w:bookmarkStart w:id="1809" w:name="Tc_6zavwjis-kC9AL5F4fINCg_12_1"/>
      <w:bookmarkStart w:id="1810" w:name="Tc_p0vlY_Q1b0mb1xOl1CHEAw_12_0"/>
      <w:bookmarkStart w:id="1811" w:name="Tc_VTtwxK0_BkmJaAcwBqXC3A_11_0"/>
      <w:bookmarkStart w:id="1812" w:name="Tc_fYVxT99GHk6MaKl_5D3TAQ_10_5"/>
      <w:bookmarkStart w:id="1813" w:name="Tc_F5bDtH_vsEKtUCfh5HsUHQ_10_0"/>
      <w:bookmarkStart w:id="1814" w:name="Tc_DEI_HsTdoEOGD9xjhpC6KQ_9_5"/>
      <w:bookmarkStart w:id="1815" w:name="Tc_gq2jXGbe00a3V5K_x6qYyA_9_0"/>
      <w:bookmarkStart w:id="1816" w:name="Tc_XcnQ3GTKr0GMGCEuF8CgqQ_8_5"/>
      <w:bookmarkStart w:id="1817" w:name="Tc_1L_qlpwdQkK40cQ9Ecb7_w_8_0"/>
      <w:bookmarkStart w:id="1818" w:name="Tc_dv8bYd0OD0aaW25g-3WBXg_7_5"/>
      <w:bookmarkStart w:id="1819" w:name="Tc_aqYUij3DIUmoXSjkVEGVkQ_7_0"/>
      <w:bookmarkStart w:id="1820" w:name="Tc_XWy_-GehUkaUs6yP4LtayQ_6_7"/>
      <w:bookmarkStart w:id="1821" w:name="Tc_EqqLAHdEpkC0Wx31jQi87g_6_4"/>
      <w:bookmarkStart w:id="1822" w:name="Tc_I5VqomhKV02EyUdZ53lQVw_6_1"/>
      <w:bookmarkStart w:id="1823" w:name="Tc_QYQzjN_Epk29YlQW1kCZMQ_6_0"/>
      <w:bookmarkStart w:id="1824" w:name="Tc_ZzeGQvomXkqGB5N3MnbKQg_4_7"/>
      <w:bookmarkStart w:id="1825" w:name="Tc_BaliHPGIvkyPlokYVqj2qQ_4_4"/>
      <w:bookmarkStart w:id="1826" w:name="Tc_-WXT4ZlRhECUIRVtLSaiFQ_4_1"/>
      <w:bookmarkStart w:id="1827" w:name="Tc_KgAicT-IhECymU6erjmx2g_2_1"/>
      <w:bookmarkStart w:id="1828" w:name="Tc_GpUZjx-AW0aKMZbiQh88jg_1_1"/>
      <w:bookmarkStart w:id="1829" w:name="_6e323b84_ba10_4e4e_a4be_eac5f141cbdb"/>
      <w:bookmarkStart w:id="1830" w:name="Tc_hx6vMsnmbkSBcQwO0iJ-6w_12_7"/>
      <w:bookmarkStart w:id="1831" w:name="Tc_J4fyK4yOzUenSXBl6Yxp0w_12_4"/>
      <w:bookmarkStart w:id="1832" w:name="Tc_h82PO5bi4ka5gF8bGRk_Fg_12_1"/>
      <w:bookmarkStart w:id="1833" w:name="Tc_iPI-OjR2X0aJLRh7M0m9eg_12_0"/>
      <w:bookmarkStart w:id="1834" w:name="Tc_n0inwK3xjU2ofBKah75H5A_11_0"/>
      <w:bookmarkStart w:id="1835" w:name="Tc_cPKoHvrOq0u2G412xfhiYQ_10_5"/>
      <w:bookmarkStart w:id="1836" w:name="Tc_KenZU2uOJES36JKfwStKkg_10_0"/>
      <w:bookmarkStart w:id="1837" w:name="Tc_U44Eizu3KUubixN-0Zq98g_9_5"/>
      <w:bookmarkStart w:id="1838" w:name="Tc_o_jDdY6BwkSCSYGUjsSWww_9_0"/>
      <w:bookmarkStart w:id="1839" w:name="Tc_eqkbj5sqTEuvfVyR11m1-w_8_5"/>
      <w:bookmarkStart w:id="1840" w:name="Tc_op856112YEaKmZpwkXSdDQ_8_0"/>
      <w:bookmarkStart w:id="1841" w:name="Tc_wE5PecGOxUCNAyQcnFRuwQ_7_5"/>
      <w:bookmarkStart w:id="1842" w:name="Tc_83iZLn7_1U63OkiIBbshRQ_7_0"/>
      <w:bookmarkStart w:id="1843" w:name="Tc_etQHO62Hlk6tfbcyDJ6uCg_6_7"/>
      <w:bookmarkStart w:id="1844" w:name="Tc_1ZeOlxWOgEipBxAlDQkOVQ_6_4"/>
      <w:bookmarkStart w:id="1845" w:name="Tc_gJQPWZWWNkGzI_EtCxysPw_6_1"/>
      <w:bookmarkStart w:id="1846" w:name="Tc_-UX61SxW_EiaOm05f0M7PQ_6_0"/>
      <w:bookmarkStart w:id="1847" w:name="Tc_t5z3cv_hv0-QYl2f9N8PVw_4_7"/>
      <w:bookmarkStart w:id="1848" w:name="Tc_R4StcOvLb0WgHmx-zcz-sQ_4_4"/>
      <w:bookmarkStart w:id="1849" w:name="Tc_dUnPKwG510OzaLgcHVcHKg_4_1"/>
      <w:bookmarkStart w:id="1850" w:name="Tc_a_G0UdJcWUmMYpdEFvcKHQ_2_1"/>
      <w:bookmarkStart w:id="1851" w:name="Tc_MAD0KUjeqESR9fVLyhPDvA_1_1"/>
      <w:bookmarkStart w:id="1852" w:name="_72af206d_261b_4b3f_b5b5_b456855d0537"/>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r>
        <w:rPr>
          <w:rFonts w:ascii="Times New Roman;Times;serif" w:hAnsi="Times New Roman;Times;serif"/>
          <w:sz w:val="20"/>
        </w:rPr>
        <w:t>The Company recorded the amounts below as communication services revenue for the reported periods:    </w:t>
      </w:r>
    </w:p>
    <w:p>
      <w:pPr>
        <w:pStyle w:val="TextBody"/>
        <w:bidi w:val="0"/>
        <w:spacing w:before="280" w:after="0"/>
        <w:ind w:left="0" w:right="0" w:hanging="0"/>
        <w:jc w:val="left"/>
        <w:rPr/>
      </w:pPr>
      <w:r>
        <w:rPr/>
        <w:t>​</w:t>
      </w:r>
    </w:p>
    <w:tbl>
      <w:tblPr>
        <w:tblW w:w="5441" w:type="dxa"/>
        <w:jc w:val="left"/>
        <w:tblInd w:w="0" w:type="dxa"/>
        <w:tblLayout w:type="fixed"/>
        <w:tblCellMar>
          <w:top w:w="0" w:type="dxa"/>
          <w:left w:w="0" w:type="dxa"/>
          <w:bottom w:w="0" w:type="dxa"/>
          <w:right w:w="0" w:type="dxa"/>
        </w:tblCellMar>
      </w:tblPr>
      <w:tblGrid>
        <w:gridCol w:w="1561"/>
        <w:gridCol w:w="228"/>
        <w:gridCol w:w="732"/>
        <w:gridCol w:w="109"/>
        <w:gridCol w:w="460"/>
        <w:gridCol w:w="1250"/>
        <w:gridCol w:w="109"/>
        <w:gridCol w:w="211"/>
        <w:gridCol w:w="781"/>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991235" cy="175895"/>
                      <wp:effectExtent l="0" t="0" r="0" b="0"/>
                      <wp:wrapNone/>
                      <wp:docPr id="369" name="Frame367"/>
                      <a:graphic xmlns:a="http://schemas.openxmlformats.org/drawingml/2006/main">
                        <a:graphicData uri="http://schemas.microsoft.com/office/word/2010/wordprocessingShape">
                          <wps:wsp>
                            <wps:cNvSpPr txBox="1"/>
                            <wps:spPr>
                              <a:xfrm>
                                <a:off x="0" y="0"/>
                                <a:ext cx="991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1561" w:type="dxa"/>
            <w:tcBorders/>
            <w:vAlign w:val="center"/>
          </w:tcPr>
          <w:p>
            <w:pPr>
              <w:pStyle w:val="TableContents"/>
              <w:bidi w:val="0"/>
              <w:spacing w:before="1" w:after="1"/>
              <w:ind w:left="0" w:right="0" w:hanging="0"/>
              <w:jc w:val="left"/>
              <w:rPr/>
            </w:pPr>
            <w:r>
              <w:rPr/>
              <w:t>​</w:t>
            </w:r>
          </w:p>
        </w:tc>
        <w:tc>
          <w:tcPr>
            <w:tcW w:w="3880"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561" w:type="dxa"/>
            <w:tcBorders/>
            <w:vAlign w:val="center"/>
          </w:tcPr>
          <w:p>
            <w:pPr>
              <w:pStyle w:val="TableContents"/>
              <w:bidi w:val="0"/>
              <w:spacing w:before="1" w:after="1"/>
              <w:ind w:left="0" w:right="0" w:hanging="0"/>
              <w:jc w:val="left"/>
              <w:rPr/>
            </w:pPr>
            <w:r>
              <w:rPr/>
              <w:t>​</w:t>
            </w:r>
          </w:p>
        </w:tc>
        <w:tc>
          <w:tcPr>
            <w:tcW w:w="38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56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center"/>
              <w:rPr/>
            </w:pPr>
            <w:r>
              <w:rPr/>
              <w:t>​</w:t>
            </w:r>
          </w:p>
        </w:tc>
        <w:tc>
          <w:tcPr>
            <w:tcW w:w="732"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60" w:type="dxa"/>
            <w:tcBorders/>
            <w:vAlign w:val="center"/>
          </w:tcPr>
          <w:p>
            <w:pPr>
              <w:pStyle w:val="TableContents"/>
              <w:bidi w:val="0"/>
              <w:spacing w:before="1" w:after="1"/>
              <w:ind w:left="0" w:right="0" w:hanging="0"/>
              <w:jc w:val="center"/>
              <w:rPr/>
            </w:pPr>
            <w:r>
              <w:rPr/>
              <w:t>​</w:t>
            </w:r>
          </w:p>
        </w:tc>
        <w:tc>
          <w:tcPr>
            <w:tcW w:w="1250"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r>
      <w:tr>
        <w:trPr/>
        <w:tc>
          <w:tcPr>
            <w:tcW w:w="1561" w:type="dxa"/>
            <w:tcBorders/>
            <w:vAlign w:val="center"/>
          </w:tcPr>
          <w:p>
            <w:pPr>
              <w:pStyle w:val="TableContents"/>
              <w:bidi w:val="0"/>
              <w:spacing w:before="1"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56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13,848</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19,422</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26,984</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26,984</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ECF</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6,883</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6,883</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15,927</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15,927</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11,967</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12,444</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75,909</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6,051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81,960</w:t>
            </w:r>
          </w:p>
        </w:tc>
      </w:tr>
    </w:tbl>
    <w:p>
      <w:pPr>
        <w:pStyle w:val="TextBody"/>
        <w:bidi w:val="0"/>
        <w:spacing w:before="100" w:after="100"/>
        <w:ind w:left="0" w:right="0" w:hanging="0"/>
        <w:jc w:val="left"/>
        <w:rPr/>
      </w:pPr>
      <w:r>
        <w:rPr/>
        <w:t>​</w:t>
      </w:r>
    </w:p>
    <w:tbl>
      <w:tblPr>
        <w:tblW w:w="5578" w:type="dxa"/>
        <w:jc w:val="left"/>
        <w:tblInd w:w="0" w:type="dxa"/>
        <w:tblLayout w:type="fixed"/>
        <w:tblCellMar>
          <w:top w:w="0" w:type="dxa"/>
          <w:left w:w="0" w:type="dxa"/>
          <w:bottom w:w="0" w:type="dxa"/>
          <w:right w:w="0" w:type="dxa"/>
        </w:tblCellMar>
      </w:tblPr>
      <w:tblGrid>
        <w:gridCol w:w="1561"/>
        <w:gridCol w:w="211"/>
        <w:gridCol w:w="781"/>
        <w:gridCol w:w="109"/>
        <w:gridCol w:w="460"/>
        <w:gridCol w:w="1250"/>
        <w:gridCol w:w="109"/>
        <w:gridCol w:w="211"/>
        <w:gridCol w:w="88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91235" cy="175895"/>
                      <wp:effectExtent l="0" t="0" r="0" b="0"/>
                      <wp:wrapNone/>
                      <wp:docPr id="370" name="Frame368"/>
                      <a:graphic xmlns:a="http://schemas.openxmlformats.org/drawingml/2006/main">
                        <a:graphicData uri="http://schemas.microsoft.com/office/word/2010/wordprocessingShape">
                          <wps:wsp>
                            <wps:cNvSpPr txBox="1"/>
                            <wps:spPr>
                              <a:xfrm>
                                <a:off x="0" y="0"/>
                                <a:ext cx="991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left"/>
              <w:rPr/>
            </w:pPr>
            <w:r>
              <w:rPr/>
              <w:t>​</w:t>
            </w:r>
          </w:p>
        </w:tc>
      </w:tr>
      <w:tr>
        <w:trPr/>
        <w:tc>
          <w:tcPr>
            <w:tcW w:w="1561" w:type="dxa"/>
            <w:tcBorders/>
            <w:vAlign w:val="center"/>
          </w:tcPr>
          <w:p>
            <w:pPr>
              <w:pStyle w:val="TableContents"/>
              <w:bidi w:val="0"/>
              <w:spacing w:before="1" w:after="1"/>
              <w:ind w:left="0" w:right="0" w:hanging="0"/>
              <w:jc w:val="left"/>
              <w:rPr/>
            </w:pPr>
            <w:r>
              <w:rPr/>
              <w:t>​</w:t>
            </w:r>
          </w:p>
        </w:tc>
        <w:tc>
          <w:tcPr>
            <w:tcW w:w="4017"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561" w:type="dxa"/>
            <w:tcBorders/>
            <w:vAlign w:val="center"/>
          </w:tcPr>
          <w:p>
            <w:pPr>
              <w:pStyle w:val="TableContents"/>
              <w:bidi w:val="0"/>
              <w:spacing w:before="1" w:after="1"/>
              <w:ind w:left="0" w:right="0" w:hanging="0"/>
              <w:jc w:val="left"/>
              <w:rPr/>
            </w:pPr>
            <w:r>
              <w:rPr/>
              <w:t>​</w:t>
            </w:r>
          </w:p>
        </w:tc>
        <w:tc>
          <w:tcPr>
            <w:tcW w:w="4017"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561"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60" w:type="dxa"/>
            <w:tcBorders/>
            <w:vAlign w:val="center"/>
          </w:tcPr>
          <w:p>
            <w:pPr>
              <w:pStyle w:val="TableContents"/>
              <w:bidi w:val="0"/>
              <w:spacing w:before="1" w:after="1"/>
              <w:ind w:left="0" w:right="0" w:hanging="0"/>
              <w:jc w:val="center"/>
              <w:rPr/>
            </w:pPr>
            <w:r>
              <w:rPr/>
              <w:t>​</w:t>
            </w:r>
          </w:p>
        </w:tc>
        <w:tc>
          <w:tcPr>
            <w:tcW w:w="1250"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886" w:type="dxa"/>
            <w:tcBorders/>
            <w:vAlign w:val="center"/>
          </w:tcPr>
          <w:p>
            <w:pPr>
              <w:pStyle w:val="TableContents"/>
              <w:bidi w:val="0"/>
              <w:spacing w:before="1" w:after="1"/>
              <w:ind w:left="0" w:right="0" w:hanging="0"/>
              <w:jc w:val="center"/>
              <w:rPr/>
            </w:pPr>
            <w:r>
              <w:rPr/>
              <w:t>​</w:t>
            </w:r>
          </w:p>
        </w:tc>
      </w:tr>
      <w:tr>
        <w:trPr/>
        <w:tc>
          <w:tcPr>
            <w:tcW w:w="1561"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561"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left"/>
              <w:rPr/>
            </w:pPr>
            <w:r>
              <w:rPr/>
              <w:t>​</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9,260</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5,571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14,831</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27,260</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27,260</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2,432</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2,432</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ECF</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26,346</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26,346</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11,995</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11,995</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23,478</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24,728</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100,771</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6,821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107,592</w:t>
            </w:r>
          </w:p>
        </w:tc>
      </w:tr>
    </w:tbl>
    <w:p>
      <w:pPr>
        <w:pStyle w:val="TextBody"/>
        <w:bidi w:val="0"/>
        <w:spacing w:before="100" w:after="100"/>
        <w:ind w:left="0" w:right="0" w:hanging="0"/>
        <w:jc w:val="left"/>
        <w:rPr/>
      </w:pPr>
      <w:r>
        <w:rPr/>
        <w:t>​</w:t>
      </w:r>
    </w:p>
    <w:tbl>
      <w:tblPr>
        <w:tblW w:w="5441" w:type="dxa"/>
        <w:jc w:val="left"/>
        <w:tblInd w:w="0" w:type="dxa"/>
        <w:tblLayout w:type="fixed"/>
        <w:tblCellMar>
          <w:top w:w="0" w:type="dxa"/>
          <w:left w:w="0" w:type="dxa"/>
          <w:bottom w:w="0" w:type="dxa"/>
          <w:right w:w="0" w:type="dxa"/>
        </w:tblCellMar>
      </w:tblPr>
      <w:tblGrid>
        <w:gridCol w:w="1561"/>
        <w:gridCol w:w="228"/>
        <w:gridCol w:w="732"/>
        <w:gridCol w:w="109"/>
        <w:gridCol w:w="460"/>
        <w:gridCol w:w="1250"/>
        <w:gridCol w:w="109"/>
        <w:gridCol w:w="211"/>
        <w:gridCol w:w="781"/>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991235" cy="175895"/>
                      <wp:effectExtent l="0" t="0" r="0" b="0"/>
                      <wp:wrapNone/>
                      <wp:docPr id="371" name="Frame369"/>
                      <a:graphic xmlns:a="http://schemas.openxmlformats.org/drawingml/2006/main">
                        <a:graphicData uri="http://schemas.microsoft.com/office/word/2010/wordprocessingShape">
                          <wps:wsp>
                            <wps:cNvSpPr txBox="1"/>
                            <wps:spPr>
                              <a:xfrm>
                                <a:off x="0" y="0"/>
                                <a:ext cx="991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1561" w:type="dxa"/>
            <w:tcBorders/>
            <w:vAlign w:val="center"/>
          </w:tcPr>
          <w:p>
            <w:pPr>
              <w:pStyle w:val="TableContents"/>
              <w:bidi w:val="0"/>
              <w:spacing w:before="1" w:after="1"/>
              <w:ind w:left="0" w:right="0" w:hanging="0"/>
              <w:jc w:val="left"/>
              <w:rPr/>
            </w:pPr>
            <w:r>
              <w:rPr/>
              <w:t>​</w:t>
            </w:r>
          </w:p>
        </w:tc>
        <w:tc>
          <w:tcPr>
            <w:tcW w:w="3880"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561" w:type="dxa"/>
            <w:tcBorders/>
            <w:vAlign w:val="center"/>
          </w:tcPr>
          <w:p>
            <w:pPr>
              <w:pStyle w:val="TableContents"/>
              <w:bidi w:val="0"/>
              <w:spacing w:before="1" w:after="1"/>
              <w:ind w:left="0" w:right="0" w:hanging="0"/>
              <w:jc w:val="left"/>
              <w:rPr/>
            </w:pPr>
            <w:r>
              <w:rPr/>
              <w:t>​</w:t>
            </w:r>
          </w:p>
        </w:tc>
        <w:tc>
          <w:tcPr>
            <w:tcW w:w="38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56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center"/>
              <w:rPr/>
            </w:pPr>
            <w:r>
              <w:rPr/>
              <w:t>​</w:t>
            </w:r>
          </w:p>
        </w:tc>
        <w:tc>
          <w:tcPr>
            <w:tcW w:w="732"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60" w:type="dxa"/>
            <w:tcBorders/>
            <w:vAlign w:val="center"/>
          </w:tcPr>
          <w:p>
            <w:pPr>
              <w:pStyle w:val="TableContents"/>
              <w:bidi w:val="0"/>
              <w:spacing w:before="1" w:after="1"/>
              <w:ind w:left="0" w:right="0" w:hanging="0"/>
              <w:jc w:val="center"/>
              <w:rPr/>
            </w:pPr>
            <w:r>
              <w:rPr/>
              <w:t>​</w:t>
            </w:r>
          </w:p>
        </w:tc>
        <w:tc>
          <w:tcPr>
            <w:tcW w:w="1250"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r>
      <w:tr>
        <w:trPr/>
        <w:tc>
          <w:tcPr>
            <w:tcW w:w="1561" w:type="dxa"/>
            <w:tcBorders/>
            <w:vAlign w:val="center"/>
          </w:tcPr>
          <w:p>
            <w:pPr>
              <w:pStyle w:val="TableContents"/>
              <w:bidi w:val="0"/>
              <w:spacing w:before="1"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56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4,459</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7,862</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12,321</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27,264</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27,264</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1,954</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1,954</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11,018</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11,018</w:t>
            </w:r>
          </w:p>
        </w:tc>
      </w:tr>
      <w:tr>
        <w:trPr/>
        <w:tc>
          <w:tcPr>
            <w:tcW w:w="15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2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15,638</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15,690</w:t>
            </w:r>
          </w:p>
        </w:tc>
      </w:tr>
      <w:tr>
        <w:trPr/>
        <w:tc>
          <w:tcPr>
            <w:tcW w:w="15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60,333</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7,914</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68,247</w:t>
            </w:r>
          </w:p>
        </w:tc>
      </w:tr>
    </w:tbl>
    <w:p>
      <w:pPr>
        <w:pStyle w:val="TextBody"/>
        <w:bidi w:val="0"/>
        <w:spacing w:before="100" w:after="100"/>
        <w:ind w:left="0" w:right="0" w:hanging="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853" w:name="Tc_r05Bn-YhNUSp1s6VCHkOMg_6_1"/>
      <w:bookmarkStart w:id="1854" w:name="Tc__XvVqmrLwEWWMiu55dhBDw_6_0"/>
      <w:bookmarkStart w:id="1855" w:name="Tc_84N7WbHF20WBuT7PE8OmYQ_5_2"/>
      <w:bookmarkStart w:id="1856" w:name="Tc_ovedyHAwbEy8Vad-rVrMsw_5_0"/>
      <w:bookmarkStart w:id="1857" w:name="Tc_JNaTmjlmx0SxlXhlwdW-7w_4_0"/>
      <w:bookmarkStart w:id="1858" w:name="Tc_RNhRJZ7u9k-rsOLgXROk4Q_3_0"/>
      <w:bookmarkStart w:id="1859" w:name="Tc_cXWfzneX7Ui0AtMZ2S6Udg_2_1"/>
      <w:bookmarkStart w:id="1860" w:name="Tc_PGsBVPUzRkO-kSpniHq1uQ_2_0"/>
      <w:bookmarkStart w:id="1861" w:name="Tc_0Ds4_nFDJUyd2aeot7Hisg_1_1"/>
      <w:bookmarkEnd w:id="1853"/>
      <w:bookmarkEnd w:id="1854"/>
      <w:bookmarkEnd w:id="1855"/>
      <w:bookmarkEnd w:id="1856"/>
      <w:bookmarkEnd w:id="1857"/>
      <w:bookmarkEnd w:id="1858"/>
      <w:bookmarkEnd w:id="1859"/>
      <w:bookmarkEnd w:id="1860"/>
      <w:bookmarkEnd w:id="1861"/>
      <w:r>
        <w:rPr>
          <w:rFonts w:ascii="Times New Roman;Times;serif" w:hAnsi="Times New Roman;Times;serif"/>
          <w:b/>
          <w:sz w:val="20"/>
        </w:rPr>
        <w:t>Construction Grants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Company has also been awarded construction grants to build network connectivity for eligible communities. The funding of these grants, used to reimburse the Company for its construction costs, is generally distributed upon completion of a project. Completion deadlines begin in 2025 and once these projects are constructed, the Company is obligated to provide service to the participants. The Company expects to meet all requirements associated with these grants.  A roll forward of the Company’s grant awards is below (in thousands).</w:t>
      </w:r>
    </w:p>
    <w:p>
      <w:pPr>
        <w:pStyle w:val="TextBody"/>
        <w:bidi w:val="0"/>
        <w:spacing w:before="280" w:after="0"/>
        <w:ind w:left="0" w:right="0" w:hanging="0"/>
        <w:jc w:val="left"/>
        <w:rPr/>
      </w:pPr>
      <w:r>
        <w:rPr/>
        <w:t>​</w:t>
      </w:r>
    </w:p>
    <w:tbl>
      <w:tblPr>
        <w:tblW w:w="4128" w:type="dxa"/>
        <w:jc w:val="left"/>
        <w:tblInd w:w="0" w:type="dxa"/>
        <w:tblLayout w:type="fixed"/>
        <w:tblCellMar>
          <w:top w:w="0" w:type="dxa"/>
          <w:left w:w="0" w:type="dxa"/>
          <w:bottom w:w="0" w:type="dxa"/>
          <w:right w:w="0" w:type="dxa"/>
        </w:tblCellMar>
      </w:tblPr>
      <w:tblGrid>
        <w:gridCol w:w="3031"/>
        <w:gridCol w:w="211"/>
        <w:gridCol w:w="886"/>
      </w:tblGrid>
      <w:tr>
        <w:trPr/>
        <w:tc>
          <w:tcPr>
            <w:tcW w:w="3031"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62610" cy="175895"/>
                      <wp:effectExtent l="0" t="0" r="0" b="0"/>
                      <wp:wrapNone/>
                      <wp:docPr id="372" name="Frame370"/>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1"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0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Grants awarded, December 31, 2023</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100,149</w:t>
            </w:r>
          </w:p>
        </w:tc>
      </w:tr>
      <w:tr>
        <w:trPr/>
        <w:tc>
          <w:tcPr>
            <w:tcW w:w="30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New grants</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52,093</w:t>
            </w:r>
          </w:p>
        </w:tc>
      </w:tr>
      <w:tr>
        <w:trPr/>
        <w:tc>
          <w:tcPr>
            <w:tcW w:w="30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Construction complete</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(2,053)</w:t>
            </w:r>
          </w:p>
        </w:tc>
      </w:tr>
      <w:tr>
        <w:trPr/>
        <w:tc>
          <w:tcPr>
            <w:tcW w:w="30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Transferred grants</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30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Grants awarded, December 31, 2024</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150,189</w:t>
            </w:r>
          </w:p>
        </w:tc>
      </w:tr>
    </w:tbl>
    <w:p>
      <w:pPr>
        <w:pStyle w:val="TextBody"/>
        <w:bidi w:val="0"/>
        <w:spacing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The Company was identified as a sub recipient of grants under these programs totaling $178.3 million as of December 31, 2024.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December 31, 2024, the Company has received and spent $19.7 million of funding under these programs on construction obligations.  These amounts are recorded as operating cash flows in the Company’s statement of cash flows.</w:t>
      </w:r>
    </w:p>
    <w:p>
      <w:pPr>
        <w:pStyle w:val="TextBody"/>
        <w:bidi w:val="0"/>
        <w:spacing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Replace and Remove Program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July 2022, the Company was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the Company’s networks in the western United States and in the US Virgin Islands, however, in December 2024 this program was fully funded for an increased allocation to the Company of approximately $517 million. The Replace and Remove Program requires each of the Company’s participating subsidiaries to complete the project no later than a specified deadline, which is currently in the third quarter of 2025.</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862" w:name="Tc_dIu8EERC0E2gO-Wv-YBG4A_11_7"/>
      <w:bookmarkStart w:id="1863" w:name="Tc_XPhDltzN0UyavF0NHCSv6Q_11_4"/>
      <w:bookmarkStart w:id="1864" w:name="Tc_0hdQ-4_rd0SlfWty5O7ReA_11_1"/>
      <w:bookmarkStart w:id="1865" w:name="Tc_A__BgjCMnkOs4PJkfsD5ZA_11_0"/>
      <w:bookmarkStart w:id="1866" w:name="Tc_B_hrzDvo2kutRaPZ6IVN4Q_9_7"/>
      <w:bookmarkStart w:id="1867" w:name="Tc_VhahvFm1g0yJJMptMiwE4g_9_4"/>
      <w:bookmarkStart w:id="1868" w:name="Tc_mA6TNydwxUCsXn6rF-lTlw_9_1"/>
      <w:bookmarkStart w:id="1869" w:name="Tc_8YBRq18WQ0OpuV6-0tpECw_9_0"/>
      <w:bookmarkStart w:id="1870" w:name="Tc_Fxkkus50N0-Sx4h4Rrd5SA_8_0"/>
      <w:bookmarkStart w:id="1871" w:name="Tc_3KhCyJ12FEue4mk-_H9VSw_7_8"/>
      <w:bookmarkStart w:id="1872" w:name="Tc_USmCW5pPT0CdVQkWbnBPZA_7_7"/>
      <w:bookmarkStart w:id="1873" w:name="Tc_0HV9_XukLEKhkJtBUhITKQ_7_5"/>
      <w:bookmarkStart w:id="1874" w:name="Tc_5nIMzUkXxEKkKQbr7DkeAg_7_4"/>
      <w:bookmarkStart w:id="1875" w:name="Tc_bBVCusVvaECX3hXBERUkJg_7_2"/>
      <w:bookmarkStart w:id="1876" w:name="Tc_J6DbUgQm5k-G8cZjEDoNyw_7_1"/>
      <w:bookmarkStart w:id="1877" w:name="Tc__Uwg8J3eVk-Dd1yRMHl3rQ_7_0"/>
      <w:bookmarkStart w:id="1878" w:name="Tc_l6-RKVeG-kWNqOCPUYWyzg_5_7"/>
      <w:bookmarkStart w:id="1879" w:name="Tc_9AB8LM4XKkGwtKjUaHq-uw_5_4"/>
      <w:bookmarkStart w:id="1880" w:name="Tc_9T20idTmzU-nRyFet9heHg_5_1"/>
      <w:bookmarkStart w:id="1881" w:name="Tc_OFXuMftjdkyG9ZDAygalIw_5_0"/>
      <w:bookmarkStart w:id="1882" w:name="Tc_kM3-rpvM1keOqBUI44c07A_4_0"/>
      <w:bookmarkStart w:id="1883" w:name="Tc_72upPY_WRU2X6ZQXGQD4iw_3_7"/>
      <w:bookmarkStart w:id="1884" w:name="Tc_xt715ikIrk2Ss2xQy_gtVA_3_4"/>
      <w:bookmarkStart w:id="1885" w:name="Tc_6Ravwiuz0EKglBKpzMOt8Q_3_1"/>
      <w:bookmarkStart w:id="1886" w:name="Tc_W1YuBxXwOUy6iW1EbY9phA_3_0"/>
      <w:bookmarkStart w:id="1887" w:name="Tc_vGMR53IWiEmxehKr5o-nDA_1_7"/>
      <w:bookmarkStart w:id="1888" w:name="Tc_p5OKrXr_ykOGtsib0PiQ6A_1_4"/>
      <w:bookmarkStart w:id="1889" w:name="Tc_aovgs_TwO0GfFdXDs6iw7w_1_1"/>
      <w:bookmarkStart w:id="1890" w:name="_e4429586_344b_4b88_80cf_143d0e952a8d"/>
      <w:bookmarkStart w:id="1891" w:name="Tc_UtzcBghXBUKFuNiksHxDJg_11_7"/>
      <w:bookmarkStart w:id="1892" w:name="Tc_MkxQaP9U8UiwiqKIhGsxNw_11_4"/>
      <w:bookmarkStart w:id="1893" w:name="Tc_RVNf_MANq022qOjNKccYiQ_11_1"/>
      <w:bookmarkStart w:id="1894" w:name="Tc_-UcE-91BZkKuKcfEyhssDQ_11_0"/>
      <w:bookmarkStart w:id="1895" w:name="Tc_92XGLWj7vUWwxc_F2hx5Og_9_7"/>
      <w:bookmarkStart w:id="1896" w:name="Tc_HIZ44QlrzEiv2AaXOkO3gA_9_4"/>
      <w:bookmarkStart w:id="1897" w:name="Tc_hLFR2Dm0aEGUcKkADdcXbw_9_1"/>
      <w:bookmarkStart w:id="1898" w:name="Tc_NMngpusgBUO1Tn064bk-aQ_9_0"/>
      <w:bookmarkStart w:id="1899" w:name="Tc_n2I_e7shIE-L2_HETttSHA_8_0"/>
      <w:bookmarkStart w:id="1900" w:name="Tc_fmhSSSBiVUGvZ4z8l_YyHw_7_7"/>
      <w:bookmarkStart w:id="1901" w:name="Tc_Cv4C-fgzEUu3-UkvDbXL8w_7_4"/>
      <w:bookmarkStart w:id="1902" w:name="Tc_9LA6W5fAmkaSoTv9CCGQjA_7_1"/>
      <w:bookmarkStart w:id="1903" w:name="Tc_OW5UUrzDr0KeQ6S-ZSujrA_7_0"/>
      <w:bookmarkStart w:id="1904" w:name="Tc_9vVUAwRQNUWvD-ujOYLzjQ_5_7"/>
      <w:bookmarkStart w:id="1905" w:name="Tc_byBpPnoEhU6K8DUUY0mIMw_5_4"/>
      <w:bookmarkStart w:id="1906" w:name="Tc_9MEvx0ZtrkGuuGjLOPvhww_5_1"/>
      <w:bookmarkStart w:id="1907" w:name="Tc_EOHc1CW_h0anGoIalP_msw_5_0"/>
      <w:bookmarkStart w:id="1908" w:name="Tc_d5AdFq6pwUqcu0AQ6KLXyg_4_0"/>
      <w:bookmarkStart w:id="1909" w:name="Tc_hFxOkTiJs0u0jMnpj_TXjA_3_7"/>
      <w:bookmarkStart w:id="1910" w:name="Tc_5uAzSho0Gkm7ZcHFqmDFXQ_3_4"/>
      <w:bookmarkStart w:id="1911" w:name="Tc_wQCeQmBAOUmZPhxKTizPSA_3_1"/>
      <w:bookmarkStart w:id="1912" w:name="Tc_GGRY3fiq2kWyVpkulgwrBg_3_0"/>
      <w:bookmarkStart w:id="1913" w:name="Tc_gwo59VGOKESzH88DIU8_rA_1_7"/>
      <w:bookmarkStart w:id="1914" w:name="Tc_QI2VYp8rTEqCqs6O0TX5mw_1_4"/>
      <w:bookmarkStart w:id="1915" w:name="Tc_cJRv9bRHMkSBxo8Q7bzsbg_1_1"/>
      <w:bookmarkStart w:id="1916" w:name="_4dec3bf0_0c4c_49b5_b7f0_e477bcfcb644"/>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r>
        <w:rPr>
          <w:rFonts w:ascii="Times New Roman;Times;serif" w:hAnsi="Times New Roman;Times;serif"/>
          <w:sz w:val="20"/>
        </w:rPr>
        <w:t>A summary of the amounts spent and reimbursed under the Replace and Remove Program is below (in thousands):</w:t>
      </w:r>
    </w:p>
    <w:tbl>
      <w:tblPr>
        <w:tblW w:w="7035" w:type="dxa"/>
        <w:jc w:val="left"/>
        <w:tblInd w:w="0" w:type="dxa"/>
        <w:tblLayout w:type="fixed"/>
        <w:tblCellMar>
          <w:top w:w="0" w:type="dxa"/>
          <w:left w:w="0" w:type="dxa"/>
          <w:bottom w:w="0" w:type="dxa"/>
          <w:right w:w="0" w:type="dxa"/>
        </w:tblCellMar>
      </w:tblPr>
      <w:tblGrid>
        <w:gridCol w:w="3541"/>
        <w:gridCol w:w="211"/>
        <w:gridCol w:w="901"/>
        <w:gridCol w:w="109"/>
        <w:gridCol w:w="211"/>
        <w:gridCol w:w="796"/>
        <w:gridCol w:w="109"/>
        <w:gridCol w:w="211"/>
        <w:gridCol w:w="946"/>
      </w:tblGrid>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72135" cy="175260"/>
                      <wp:effectExtent l="0" t="0" r="0" b="0"/>
                      <wp:wrapNone/>
                      <wp:docPr id="374" name="Frame3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05460" cy="175260"/>
                      <wp:effectExtent l="0" t="0" r="0" b="0"/>
                      <wp:wrapNone/>
                      <wp:docPr id="377" name="Frame3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8"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00710" cy="175260"/>
                      <wp:effectExtent l="0" t="0" r="0" b="0"/>
                      <wp:wrapNone/>
                      <wp:docPr id="380" name="Frame37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111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5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64,388</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spent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91,687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104,007</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2024</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168,395</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(17,127)</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Reimbursements received</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(113,594)</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2024</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(130,721)</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pending reimbursement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37,674</w:t>
            </w:r>
          </w:p>
        </w:tc>
      </w:tr>
    </w:tbl>
    <w:p>
      <w:pPr>
        <w:pStyle w:val="TextBody"/>
        <w:bidi w:val="0"/>
        <w:spacing w:before="280" w:after="0"/>
        <w:ind w:left="0" w:right="0" w:firstLine="720"/>
        <w:jc w:val="left"/>
        <w:rPr/>
      </w:pPr>
      <w:r>
        <w:rPr/>
        <w:t>​</w:t>
      </w:r>
    </w:p>
    <w:p>
      <w:pPr>
        <w:pStyle w:val="TextBody"/>
        <w:bidi w:val="0"/>
        <w:spacing w:before="280" w:after="0"/>
        <w:ind w:left="0" w:right="0" w:firstLine="720"/>
        <w:jc w:val="left"/>
        <w:rPr/>
      </w:pPr>
      <w:r>
        <w:rPr/>
        <w:t>​</w:t>
      </w:r>
    </w:p>
    <w:tbl>
      <w:tblPr>
        <w:tblW w:w="6720" w:type="dxa"/>
        <w:jc w:val="left"/>
        <w:tblInd w:w="0" w:type="dxa"/>
        <w:tblLayout w:type="fixed"/>
        <w:tblCellMar>
          <w:top w:w="0" w:type="dxa"/>
          <w:left w:w="0" w:type="dxa"/>
          <w:bottom w:w="0" w:type="dxa"/>
          <w:right w:w="0" w:type="dxa"/>
        </w:tblCellMar>
      </w:tblPr>
      <w:tblGrid>
        <w:gridCol w:w="3541"/>
        <w:gridCol w:w="211"/>
        <w:gridCol w:w="796"/>
        <w:gridCol w:w="109"/>
        <w:gridCol w:w="211"/>
        <w:gridCol w:w="691"/>
        <w:gridCol w:w="109"/>
        <w:gridCol w:w="211"/>
        <w:gridCol w:w="841"/>
      </w:tblGrid>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05460" cy="175260"/>
                      <wp:effectExtent l="0" t="0" r="0" b="0"/>
                      <wp:wrapNone/>
                      <wp:docPr id="382" name="Frame3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38785" cy="175260"/>
                      <wp:effectExtent l="0" t="0" r="0" b="0"/>
                      <wp:wrapNone/>
                      <wp:docPr id="385" name="Frame3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34035" cy="175260"/>
                      <wp:effectExtent l="0" t="0" r="0" b="0"/>
                      <wp:wrapNone/>
                      <wp:docPr id="388" name="Frame38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2022</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spent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61,063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2023</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64,388</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2022</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Reimbursements received</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(17,127)</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2023</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(17,127)</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pending reimbursement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47,261</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10. EQUITY</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Common Stock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paid quarterly dividends on its Common Stock since the fourth quarter of 1998.</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917" w:name="Tc_HN6_LV0uiUKVx5K0t0wqaw_6_0"/>
      <w:bookmarkStart w:id="1918" w:name="Tc_JHhYpjr-O0yy4WiRv-Zm2Q_5_0"/>
      <w:bookmarkStart w:id="1919" w:name="Tc_bL_3aEvJdEaD2qYFmjEhVg_4_7"/>
      <w:bookmarkStart w:id="1920" w:name="Tc_SeMDgMgOU0uiqWJ7VokmFw_4_4"/>
      <w:bookmarkStart w:id="1921" w:name="Tc_UTE_Sk1HVkqE_Q30r9mF_g_4_0"/>
      <w:bookmarkStart w:id="1922" w:name="Tc_0dcz8P7j40ytHv__rYfvow_3_7"/>
      <w:bookmarkStart w:id="1923" w:name="Tc_pVttupcWTEy8HHv4987KGA_3_4"/>
      <w:bookmarkStart w:id="1924" w:name="Tc_Vd5Ljoa7c06qxt5o0JRQaQ_3_2"/>
      <w:bookmarkStart w:id="1925" w:name="Tc_vg86ukP6pECoBu2P-0KsUQ_3_0"/>
      <w:bookmarkStart w:id="1926" w:name="Tc_cfMJpdZVCkqTHhtyRafWcw_2_7"/>
      <w:bookmarkStart w:id="1927" w:name="Tc_Hm3ffHsHrkC0CQZk3hrzvw_2_4"/>
      <w:bookmarkStart w:id="1928" w:name="Tc_iU54fyEO7kic_TkbONgmaA_2_2"/>
      <w:bookmarkStart w:id="1929" w:name="Tc_EoU58P6GwUyJflIC4MWJtQ_6_0"/>
      <w:bookmarkStart w:id="1930" w:name="Tc__E2rblfEhEWCZd6XG8Xd1Q_5_0"/>
      <w:bookmarkStart w:id="1931" w:name="Tc_rQVpqnE-akmZbIo2giaJ4w_4_7"/>
      <w:bookmarkStart w:id="1932" w:name="Tc_QqHgZhdrI0OyzD1wygGbZw_4_4"/>
      <w:bookmarkStart w:id="1933" w:name="Tc_hKe_r9fhdE6pUZcR-C4Kcw_4_0"/>
      <w:bookmarkStart w:id="1934" w:name="Tc_VDxSDce7uEC407yHsJoF-A_3_7"/>
      <w:bookmarkStart w:id="1935" w:name="Tc_WNlwQPfM3km0UTMHqvbNJA_3_4"/>
      <w:bookmarkStart w:id="1936" w:name="Tc_bGIfzNIgT0WE1edVAhzecA_3_2"/>
      <w:bookmarkStart w:id="1937" w:name="Tc_1-V4Nd0ZAE2ExdieCBhMyg_3_0"/>
      <w:bookmarkStart w:id="1938" w:name="Tc_r7kVR4hd8EerjYaP1kJmJA_2_7"/>
      <w:bookmarkStart w:id="1939" w:name="Tc_-k3MSRYw20GbUnaFAHY-Ag_2_4"/>
      <w:bookmarkStart w:id="1940" w:name="Tc_fID8bccz4EOAC8G6tIjS5Q_2_2"/>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r>
        <w:rPr>
          <w:rFonts w:ascii="Times New Roman;Times;serif" w:hAnsi="Times New Roman;Times;serif"/>
          <w:b/>
          <w:i/>
          <w:sz w:val="20"/>
        </w:rPr>
        <w:t>Treasury Stock</w:t>
      </w:r>
    </w:p>
    <w:p>
      <w:pPr>
        <w:pStyle w:val="TextBody"/>
        <w:bidi w:val="0"/>
        <w:spacing w:before="280" w:after="0"/>
        <w:ind w:left="0" w:right="0" w:firstLine="800"/>
        <w:jc w:val="left"/>
        <w:rPr>
          <w:rFonts w:ascii="Times New Roman;Times;serif" w:hAnsi="Times New Roman;Times;serif"/>
          <w:sz w:val="20"/>
        </w:rPr>
      </w:pPr>
      <w:r>
        <w:rPr>
          <w:rFonts w:ascii="Times New Roman;Times;serif" w:hAnsi="Times New Roman;Times;serif"/>
          <w:sz w:val="20"/>
        </w:rPr>
        <w:t>On December 14, 2023, the Company’s Board of Directors authorized the repurchase of up to $25.0 million of its Common Stock, from time to time, on the open market or in privately negotiated transactions (the “2023 Repurchase Plan”). The 2023 Repurchase Plan replaced the previously approved 2016 Repurchase Plan and, as of December 31, 2024, had $15.0 million available to use to repurchase the Company’s Common Stock.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2024, 2023 and 2022, the Company repurchased the following shares under the 2023 Repurchase Plan and the 2016 Repurchase Plan:</w:t>
      </w:r>
    </w:p>
    <w:p>
      <w:pPr>
        <w:pStyle w:val="TextBody"/>
        <w:bidi w:val="0"/>
        <w:spacing w:before="280" w:after="0"/>
        <w:ind w:left="0" w:right="0" w:hanging="0"/>
        <w:jc w:val="left"/>
        <w:rPr/>
      </w:pPr>
      <w:r>
        <w:rPr/>
        <w:t>​</w:t>
      </w:r>
    </w:p>
    <w:tbl>
      <w:tblPr>
        <w:tblW w:w="6842" w:type="dxa"/>
        <w:jc w:val="left"/>
        <w:tblInd w:w="0" w:type="dxa"/>
        <w:tblLayout w:type="fixed"/>
        <w:tblCellMar>
          <w:top w:w="0" w:type="dxa"/>
          <w:left w:w="0" w:type="dxa"/>
          <w:bottom w:w="0" w:type="dxa"/>
          <w:right w:w="0" w:type="dxa"/>
        </w:tblCellMar>
      </w:tblPr>
      <w:tblGrid>
        <w:gridCol w:w="2026"/>
        <w:gridCol w:w="326"/>
        <w:gridCol w:w="1036"/>
        <w:gridCol w:w="326"/>
        <w:gridCol w:w="296"/>
        <w:gridCol w:w="949"/>
        <w:gridCol w:w="326"/>
        <w:gridCol w:w="368"/>
        <w:gridCol w:w="998"/>
        <w:gridCol w:w="19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286510" cy="175260"/>
                      <wp:effectExtent l="0" t="0" r="0" b="0"/>
                      <wp:wrapNone/>
                      <wp:docPr id="389" name="Frame38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57860" cy="175260"/>
                      <wp:effectExtent l="0" t="0" r="0" b="0"/>
                      <wp:wrapNone/>
                      <wp:docPr id="391" name="Frame3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87960" cy="175260"/>
                      <wp:effectExtent l="0" t="0" r="0" b="0"/>
                      <wp:wrapNone/>
                      <wp:docPr id="393" name="Frame39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02615" cy="175260"/>
                      <wp:effectExtent l="0" t="0" r="0" b="0"/>
                      <wp:wrapNone/>
                      <wp:docPr id="394" name="Frame39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33680" cy="175260"/>
                      <wp:effectExtent l="0" t="0" r="0" b="0"/>
                      <wp:wrapNone/>
                      <wp:docPr id="396" name="Frame39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33730" cy="175260"/>
                      <wp:effectExtent l="0" t="0" r="0" b="0"/>
                      <wp:wrapNone/>
                      <wp:docPr id="397" name="Frame39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21285" cy="175260"/>
                      <wp:effectExtent l="0" t="0" r="0" b="0"/>
                      <wp:wrapNone/>
                      <wp:docPr id="398" name="Frame39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68"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Cost</w:t>
            </w:r>
          </w:p>
        </w:tc>
        <w:tc>
          <w:tcPr>
            <w:tcW w:w="326"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Repurchased</w:t>
            </w:r>
          </w:p>
        </w:tc>
        <w:tc>
          <w:tcPr>
            <w:tcW w:w="326" w:type="dxa"/>
            <w:tcBorders/>
            <w:vAlign w:val="center"/>
          </w:tcPr>
          <w:p>
            <w:pPr>
              <w:pStyle w:val="TableContents"/>
              <w:bidi w:val="0"/>
              <w:spacing w:before="0" w:after="0"/>
              <w:ind w:left="0" w:right="0" w:hanging="0"/>
              <w:jc w:val="center"/>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 Price</w:t>
            </w:r>
          </w:p>
        </w:tc>
        <w:tc>
          <w:tcPr>
            <w:tcW w:w="191" w:type="dxa"/>
            <w:tcBorders/>
            <w:vAlign w:val="center"/>
          </w:tcPr>
          <w:p>
            <w:pPr>
              <w:pStyle w:val="TableContents"/>
              <w:bidi w:val="0"/>
              <w:spacing w:before="0" w:after="0"/>
              <w:ind w:left="0" w:right="0" w:hanging="0"/>
              <w:jc w:val="center"/>
              <w:rPr/>
            </w:pPr>
            <w:r>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423,511</w:t>
            </w:r>
          </w:p>
        </w:tc>
        <w:tc>
          <w:tcPr>
            <w:tcW w:w="326" w:type="dxa"/>
            <w:tcBorders/>
            <w:shd w:fill="CCEEFF" w:val="clear"/>
            <w:vAlign w:val="center"/>
          </w:tcPr>
          <w:p>
            <w:pPr>
              <w:pStyle w:val="TableContents"/>
              <w:bidi w:val="0"/>
              <w:spacing w:before="0" w:after="0"/>
              <w:ind w:left="0" w:right="0" w:hanging="0"/>
              <w:jc w:val="righ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423,328</w:t>
            </w:r>
          </w:p>
        </w:tc>
        <w:tc>
          <w:tcPr>
            <w:tcW w:w="326"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w:t>
            </w:r>
          </w:p>
        </w:tc>
        <w:tc>
          <w:tcPr>
            <w:tcW w:w="326"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w:t>
            </w:r>
          </w:p>
        </w:tc>
        <w:tc>
          <w:tcPr>
            <w:tcW w:w="191"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23,714</w:t>
            </w:r>
          </w:p>
        </w:tc>
        <w:tc>
          <w:tcPr>
            <w:tcW w:w="326" w:type="dxa"/>
            <w:tcBorders/>
            <w:shd w:fill="CCEEFF" w:val="clear"/>
            <w:vAlign w:val="center"/>
          </w:tcPr>
          <w:p>
            <w:pPr>
              <w:pStyle w:val="TableContents"/>
              <w:bidi w:val="0"/>
              <w:spacing w:before="0" w:after="0"/>
              <w:ind w:left="0" w:right="0" w:hanging="0"/>
              <w:jc w:val="righ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2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2024, 2023 and 2022, the Company repurchased the following shares from employees to satisfy tax withholding obligations incurred in connection with the vesting of restricted stock awards:</w:t>
      </w:r>
    </w:p>
    <w:p>
      <w:pPr>
        <w:pStyle w:val="TextBody"/>
        <w:bidi w:val="0"/>
        <w:spacing w:before="280" w:after="0"/>
        <w:ind w:left="0" w:right="0" w:hanging="0"/>
        <w:jc w:val="left"/>
        <w:rPr/>
      </w:pPr>
      <w:r>
        <w:rPr/>
        <w:t>​</w:t>
      </w:r>
    </w:p>
    <w:tbl>
      <w:tblPr>
        <w:tblW w:w="6805" w:type="dxa"/>
        <w:jc w:val="left"/>
        <w:tblInd w:w="0" w:type="dxa"/>
        <w:tblLayout w:type="fixed"/>
        <w:tblCellMar>
          <w:top w:w="0" w:type="dxa"/>
          <w:left w:w="0" w:type="dxa"/>
          <w:bottom w:w="0" w:type="dxa"/>
          <w:right w:w="0" w:type="dxa"/>
        </w:tblCellMar>
      </w:tblPr>
      <w:tblGrid>
        <w:gridCol w:w="2026"/>
        <w:gridCol w:w="326"/>
        <w:gridCol w:w="1036"/>
        <w:gridCol w:w="326"/>
        <w:gridCol w:w="336"/>
        <w:gridCol w:w="909"/>
        <w:gridCol w:w="326"/>
        <w:gridCol w:w="368"/>
        <w:gridCol w:w="998"/>
        <w:gridCol w:w="154"/>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86510" cy="175260"/>
                      <wp:effectExtent l="0" t="0" r="0" b="0"/>
                      <wp:wrapNone/>
                      <wp:docPr id="399" name="Frame39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57860" cy="175260"/>
                      <wp:effectExtent l="0" t="0" r="0" b="0"/>
                      <wp:wrapNone/>
                      <wp:docPr id="401" name="Frame3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3360" cy="175260"/>
                      <wp:effectExtent l="0" t="0" r="0" b="0"/>
                      <wp:wrapNone/>
                      <wp:docPr id="403" name="Frame40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77215" cy="175260"/>
                      <wp:effectExtent l="0" t="0" r="0" b="0"/>
                      <wp:wrapNone/>
                      <wp:docPr id="404" name="Frame40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33680" cy="175260"/>
                      <wp:effectExtent l="0" t="0" r="0" b="0"/>
                      <wp:wrapNone/>
                      <wp:docPr id="406" name="Frame40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33730" cy="175260"/>
                      <wp:effectExtent l="0" t="0" r="0" b="0"/>
                      <wp:wrapNone/>
                      <wp:docPr id="407" name="Frame40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97790" cy="175260"/>
                      <wp:effectExtent l="0" t="0" r="0" b="0"/>
                      <wp:wrapNone/>
                      <wp:docPr id="408" name="Frame4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68"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Cost</w:t>
            </w:r>
          </w:p>
        </w:tc>
        <w:tc>
          <w:tcPr>
            <w:tcW w:w="326" w:type="dxa"/>
            <w:tcBorders/>
            <w:vAlign w:val="center"/>
          </w:tcPr>
          <w:p>
            <w:pPr>
              <w:pStyle w:val="TableContents"/>
              <w:bidi w:val="0"/>
              <w:spacing w:before="0" w:after="0"/>
              <w:ind w:left="0" w:right="0" w:hanging="0"/>
              <w:jc w:val="center"/>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Repurchased</w:t>
            </w:r>
          </w:p>
        </w:tc>
        <w:tc>
          <w:tcPr>
            <w:tcW w:w="326" w:type="dxa"/>
            <w:tcBorders/>
            <w:vAlign w:val="center"/>
          </w:tcPr>
          <w:p>
            <w:pPr>
              <w:pStyle w:val="TableContents"/>
              <w:bidi w:val="0"/>
              <w:spacing w:before="0" w:after="0"/>
              <w:ind w:left="0" w:right="0" w:hanging="0"/>
              <w:jc w:val="center"/>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Repurchase Price</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60,388</w:t>
            </w:r>
          </w:p>
        </w:tc>
        <w:tc>
          <w:tcPr>
            <w:tcW w:w="32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36,951</w:t>
            </w:r>
          </w:p>
        </w:tc>
        <w:tc>
          <w:tcPr>
            <w:tcW w:w="326"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33,401</w:t>
            </w:r>
          </w:p>
        </w:tc>
        <w:tc>
          <w:tcPr>
            <w:tcW w:w="32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6, 2023, the Company established the ATN International, Inc. 2023 Equity Incentive Plan (the “2023 Equity Incentive Plan”) and reserved 1,432,070 shares for the grant of restricted stock units, performance stock units and stock options and awards of shares of Common Stock that are not subject to restrictions or forfeiture. The 2023 Equity Incentive Plan replaces the previously approved ATN International, Inc. 2008 Equity Incentive Plan (the “2008 Equity Incentive Plan”). No additional grants were or will be made under the 2008 Equity Incentive Plan on or after the effective date of the 2023 Equity Incentive Plan. Outstanding grants under the 2008 Equity Incentive Plan continued in effect according to their terms. As of December 31, 2024, the Company has 1,152,949 shares available for grants under the 2023 Equity Incentive Plan.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941" w:name="Tc_JEjPIxjJNkuXj0vMUoRRsQ_7_4"/>
      <w:bookmarkStart w:id="1942" w:name="Tc_uMBJewBm50Ok_mITQOzi3Q_7_0"/>
      <w:bookmarkStart w:id="1943" w:name="Tc_W_bih841gUCTxX8A84FpJA_6_0"/>
      <w:bookmarkStart w:id="1944" w:name="Tc_mtvmzb1jj0yhrcTsI7dNRw_5_0"/>
      <w:bookmarkStart w:id="1945" w:name="Tc_kt74stHaM0uCurIkiLzDmA_4_0"/>
      <w:bookmarkStart w:id="1946" w:name="Tc_GdrtDQfBHkqBsmWv8XGY5A_3_4"/>
      <w:bookmarkStart w:id="1947" w:name="Tc_7PHQQoBMdU-QFPv_CmXzfA_3_0"/>
      <w:bookmarkStart w:id="1948" w:name="Tc_GokBIZpHvkm6w02DzdymLQ_2_4"/>
      <w:bookmarkStart w:id="1949" w:name="Tc_DoIuiWVp40-jA0CVKrNyXQ_2_2"/>
      <w:bookmarkStart w:id="1950" w:name="Tc_suXjiuqfb0O2J0JDDTty1w_1_4"/>
      <w:bookmarkStart w:id="1951" w:name="Tc_KVh7ep-VgEutDN8YTKV5lQ_7_4"/>
      <w:bookmarkStart w:id="1952" w:name="Tc_119LwzuNXEOInhaHAQlQ4Q_7_0"/>
      <w:bookmarkStart w:id="1953" w:name="Tc_Rh9c7bWuUUGjzRlpE4kpEA_6_0"/>
      <w:bookmarkStart w:id="1954" w:name="Tc_y_DV1hL4mEWzZgBPiavOww_5_0"/>
      <w:bookmarkStart w:id="1955" w:name="Tc_5AO2OpStM0yrSmJoa_jf9g_4_0"/>
      <w:bookmarkStart w:id="1956" w:name="Tc_dSD5csI9U0qBio333xkicQ_3_4"/>
      <w:bookmarkStart w:id="1957" w:name="Tc_hipIv4Tad0a1zK7gwrl6DQ_3_0"/>
      <w:bookmarkStart w:id="1958" w:name="Tc_ytGNqCUJn06lN2iHB42nyg_2_4"/>
      <w:bookmarkStart w:id="1959" w:name="Tc_CoRoSt8ejEOvfGvnuwXazQ_2_2"/>
      <w:bookmarkStart w:id="1960" w:name="Tc_6dBjSuYqlEGO2UCZYLJTxQ_1_4"/>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r>
        <w:rPr>
          <w:rFonts w:ascii="Times New Roman;Times;serif" w:hAnsi="Times New Roman;Times;serif"/>
          <w:b/>
          <w:i/>
          <w:sz w:val="20"/>
        </w:rPr>
        <w:t>Restricted Stock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Restricted stock, previously granted under the 2008 Equity Incentive Plan and to be granted under the 2023 Equity Incentive Plan, vests over four years.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restricted stock activity during the years ended December 31, 2024 and 2023:</w:t>
      </w:r>
    </w:p>
    <w:p>
      <w:pPr>
        <w:pStyle w:val="TextBody"/>
        <w:bidi w:val="0"/>
        <w:spacing w:before="280" w:after="0"/>
        <w:ind w:left="0" w:right="0" w:hanging="0"/>
        <w:jc w:val="left"/>
        <w:rPr/>
      </w:pPr>
      <w:r>
        <w:rPr/>
        <w:t>​</w:t>
      </w:r>
    </w:p>
    <w:tbl>
      <w:tblPr>
        <w:tblW w:w="5856" w:type="dxa"/>
        <w:jc w:val="left"/>
        <w:tblInd w:w="0" w:type="dxa"/>
        <w:tblLayout w:type="fixed"/>
        <w:tblCellMar>
          <w:top w:w="0" w:type="dxa"/>
          <w:left w:w="0" w:type="dxa"/>
          <w:bottom w:w="0" w:type="dxa"/>
          <w:right w:w="0" w:type="dxa"/>
        </w:tblCellMar>
      </w:tblPr>
      <w:tblGrid>
        <w:gridCol w:w="2926"/>
        <w:gridCol w:w="326"/>
        <w:gridCol w:w="901"/>
        <w:gridCol w:w="326"/>
        <w:gridCol w:w="320"/>
        <w:gridCol w:w="866"/>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858010" cy="175260"/>
                      <wp:effectExtent l="0" t="0" r="0" b="0"/>
                      <wp:wrapNone/>
                      <wp:docPr id="409" name="Frame407"/>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72135" cy="175260"/>
                      <wp:effectExtent l="0" t="0" r="0" b="0"/>
                      <wp:wrapNone/>
                      <wp:docPr id="411" name="Frame4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3200" cy="175260"/>
                      <wp:effectExtent l="0" t="0" r="0" b="0"/>
                      <wp:wrapNone/>
                      <wp:docPr id="413" name="Frame41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49910" cy="175260"/>
                      <wp:effectExtent l="0" t="0" r="0" b="0"/>
                      <wp:wrapNone/>
                      <wp:docPr id="414" name="Frame41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21285" cy="175260"/>
                      <wp:effectExtent l="0" t="0" r="0" b="0"/>
                      <wp:wrapNone/>
                      <wp:docPr id="415" name="Frame41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w:t>
            </w:r>
          </w:p>
        </w:tc>
        <w:tc>
          <w:tcPr>
            <w:tcW w:w="191"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284,284</w:t>
            </w:r>
          </w:p>
        </w:tc>
        <w:tc>
          <w:tcPr>
            <w:tcW w:w="326"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193,922</w:t>
            </w:r>
          </w:p>
        </w:tc>
        <w:tc>
          <w:tcPr>
            <w:tcW w:w="326"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(51,752)</w:t>
            </w:r>
          </w:p>
        </w:tc>
        <w:tc>
          <w:tcPr>
            <w:tcW w:w="326"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(139,654)</w:t>
            </w:r>
          </w:p>
        </w:tc>
        <w:tc>
          <w:tcPr>
            <w:tcW w:w="326" w:type="dxa"/>
            <w:tcBorders/>
            <w:vAlign w:val="center"/>
          </w:tcPr>
          <w:p>
            <w:pPr>
              <w:pStyle w:val="TableContents"/>
              <w:bidi w:val="0"/>
              <w:spacing w:before="0" w:after="0"/>
              <w:ind w:left="0" w:right="0" w:hanging="0"/>
              <w:jc w:val="righ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286,800</w:t>
            </w:r>
          </w:p>
        </w:tc>
        <w:tc>
          <w:tcPr>
            <w:tcW w:w="326" w:type="dxa"/>
            <w:tcBorders/>
            <w:shd w:fill="CCEEFF" w:val="clear"/>
            <w:vAlign w:val="center"/>
          </w:tcPr>
          <w:p>
            <w:pPr>
              <w:pStyle w:val="TableContents"/>
              <w:bidi w:val="0"/>
              <w:spacing w:before="0" w:after="0"/>
              <w:ind w:left="0" w:right="0" w:hanging="0"/>
              <w:jc w:val="righ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240"/>
        <w:ind w:left="0" w:right="0" w:hanging="0"/>
        <w:jc w:val="left"/>
        <w:rPr/>
      </w:pPr>
      <w:r>
        <w:rPr/>
        <w:t>​</w:t>
      </w:r>
    </w:p>
    <w:tbl>
      <w:tblPr>
        <w:tblW w:w="5901" w:type="dxa"/>
        <w:jc w:val="left"/>
        <w:tblInd w:w="0" w:type="dxa"/>
        <w:tblLayout w:type="fixed"/>
        <w:tblCellMar>
          <w:top w:w="0" w:type="dxa"/>
          <w:left w:w="0" w:type="dxa"/>
          <w:bottom w:w="0" w:type="dxa"/>
          <w:right w:w="0" w:type="dxa"/>
        </w:tblCellMar>
      </w:tblPr>
      <w:tblGrid>
        <w:gridCol w:w="2926"/>
        <w:gridCol w:w="326"/>
        <w:gridCol w:w="901"/>
        <w:gridCol w:w="326"/>
        <w:gridCol w:w="332"/>
        <w:gridCol w:w="899"/>
        <w:gridCol w:w="191"/>
      </w:tblGrid>
      <w:tr>
        <w:trPr/>
        <w:tc>
          <w:tcPr>
            <w:tcW w:w="2926"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901"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332" w:type="dxa"/>
            <w:tcBorders/>
            <w:vAlign w:val="center"/>
          </w:tcPr>
          <w:p>
            <w:pPr>
              <w:pStyle w:val="TableContents"/>
              <w:bidi w:val="0"/>
              <w:spacing w:lineRule="atLeast" w:line="142" w:before="0" w:after="0"/>
              <w:ind w:left="0" w:right="0" w:hanging="0"/>
              <w:jc w:val="left"/>
              <w:rPr/>
            </w:pPr>
            <w:r>
              <w:rPr/>
              <w:t>​</w:t>
            </w:r>
          </w:p>
        </w:tc>
        <w:tc>
          <w:tcPr>
            <w:tcW w:w="899" w:type="dxa"/>
            <w:tcBorders/>
            <w:vAlign w:val="center"/>
          </w:tcPr>
          <w:p>
            <w:pPr>
              <w:pStyle w:val="TableContents"/>
              <w:bidi w:val="0"/>
              <w:spacing w:lineRule="atLeast" w:line="142" w:before="0" w:after="0"/>
              <w:ind w:left="0" w:right="0" w:hanging="0"/>
              <w:jc w:val="left"/>
              <w:rPr/>
            </w:pPr>
            <w:r>
              <w:rPr/>
              <w:t>​</w:t>
            </w:r>
          </w:p>
        </w:tc>
        <w:tc>
          <w:tcPr>
            <w:tcW w:w="191" w:type="dxa"/>
            <w:tcBorders/>
            <w:vAlign w:val="center"/>
          </w:tcPr>
          <w:p>
            <w:pPr>
              <w:pStyle w:val="TableContents"/>
              <w:bidi w:val="0"/>
              <w:spacing w:lineRule="atLeast" w:line="142"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 </w:t>
            </w:r>
          </w:p>
        </w:tc>
        <w:tc>
          <w:tcPr>
            <w:tcW w:w="191"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260,497</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151,560</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(9,354)</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(118,419)</w:t>
            </w:r>
          </w:p>
        </w:tc>
        <w:tc>
          <w:tcPr>
            <w:tcW w:w="326" w:type="dxa"/>
            <w:tcBorders/>
            <w:vAlign w:val="center"/>
          </w:tcPr>
          <w:p>
            <w:pPr>
              <w:pStyle w:val="TableContents"/>
              <w:bidi w:val="0"/>
              <w:spacing w:before="0" w:after="0"/>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44.99</w:t>
            </w:r>
          </w:p>
        </w:tc>
        <w:tc>
          <w:tcPr>
            <w:tcW w:w="19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284,284</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grant of restricted stock, the Company recognized $4.6 million, $5.4 million and $6.8 million of compensation expense within its income statements for the years ended December 31, 2024, 2023, and 2022, respectively. The Company also recognized $1.0 million, $0.7 million and $0.6 million of compensation expense within its income statement for the years ended December 31, 2024, 2023, and 2022, respectively, for common stock of the Company’s subsidiaries granted to the management team of those subsidiaries.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unvested shares as of December 31, 2024, represent $6.9 million in unamortized stock-based compensation which will be recognized over a weighted average period of 2.5 years.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961" w:name="Tc_KeZeJfm1SEitw16J2VxFdA_7_4"/>
      <w:bookmarkStart w:id="1962" w:name="Tc_CjFLhD1yWUOhZbxkKiD2Uw_7_0"/>
      <w:bookmarkStart w:id="1963" w:name="Tc_cf5IoRMPnEOg6uE3Sliisg_6_5"/>
      <w:bookmarkStart w:id="1964" w:name="Tc_32hgT84FvUCS54uOKBPxew_6_2"/>
      <w:bookmarkStart w:id="1965" w:name="Tc_T8_FC885JUq3Q4D-lhPhZg_6_0"/>
      <w:bookmarkStart w:id="1966" w:name="Tc_Mwg57b098EKsNykWYstPDg_5_5"/>
      <w:bookmarkStart w:id="1967" w:name="Tc_DjGEQSC7dEa55pKwdjjBWw_5_2"/>
      <w:bookmarkStart w:id="1968" w:name="Tc_YqE0SLaRek-F5vTMJQi_rw_5_0"/>
      <w:bookmarkStart w:id="1969" w:name="Tc_LUXYd3z9Zk-SjiZb4JPuHA_4_0"/>
      <w:bookmarkStart w:id="1970" w:name="Tc_Q7tELNq5M0mZe1lQJhD4BQ_3_4"/>
      <w:bookmarkStart w:id="1971" w:name="Tc_hr7erDuygkWfVSXCusLe-w_3_0"/>
      <w:bookmarkStart w:id="1972" w:name="Tc_SHRQHeTnQ0uMxTqtD6lJpQ_2_4"/>
      <w:bookmarkStart w:id="1973" w:name="Tc_c74PtU10c0S39uR_r6MT8w_2_2"/>
      <w:bookmarkStart w:id="1974" w:name="Tc_wOOt5fZhU0eyjiEPDqKzbw_1_4"/>
      <w:bookmarkStart w:id="1975" w:name="Tc_b435Aitfi0ifJzCW2tnGnA_7_4"/>
      <w:bookmarkStart w:id="1976" w:name="Tc_dKtjqN-460qLlvcdZtEnHQ_7_0"/>
      <w:bookmarkStart w:id="1977" w:name="Tc_tWZhmXXtYUem7QjlfP6vOA_6_0"/>
      <w:bookmarkStart w:id="1978" w:name="Tc_JmZvQDj9akW6mVr0_AXIPA_5_0"/>
      <w:bookmarkStart w:id="1979" w:name="Tc_YehbpFIuMUibpCF4q3hVXw_4_0"/>
      <w:bookmarkStart w:id="1980" w:name="Tc_DnNa9PuipEiGWUzkOt4shQ_3_4"/>
      <w:bookmarkStart w:id="1981" w:name="Tc_jTuDuPmU0Uqz6l4-CF-MWg_3_0"/>
      <w:bookmarkStart w:id="1982" w:name="Tc_bYv733NjWUSLvfnOwFbBqQ_2_4"/>
      <w:bookmarkStart w:id="1983" w:name="Tc_g3lnIqI0dEuJ85bqIoAvUw_2_2"/>
      <w:bookmarkStart w:id="1984" w:name="Tc__5y0kbYv9U2PDKx9aLB8xg_1_4"/>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r>
        <w:rPr>
          <w:rFonts w:ascii="Times New Roman;Times;serif" w:hAnsi="Times New Roman;Times;serif"/>
          <w:b/>
          <w:i/>
          <w:sz w:val="20"/>
        </w:rPr>
        <w:t>Performance-Based Stock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Performance-based stock, previously granted under the 2008 Equity Incentive Plan and to be granted under the 2023 Equity Incentive Plan, vests on the third anniversary of the grant date.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performance stock activity during the years ended December 31, 2024 and 2023:</w:t>
      </w:r>
    </w:p>
    <w:p>
      <w:pPr>
        <w:pStyle w:val="TextBody"/>
        <w:bidi w:val="0"/>
        <w:spacing w:before="280" w:after="0"/>
        <w:ind w:left="0" w:right="0" w:hanging="0"/>
        <w:jc w:val="left"/>
        <w:rPr/>
      </w:pPr>
      <w:r>
        <w:rPr/>
        <w:t>​</w:t>
      </w:r>
    </w:p>
    <w:tbl>
      <w:tblPr>
        <w:tblW w:w="5605" w:type="dxa"/>
        <w:jc w:val="left"/>
        <w:tblInd w:w="0" w:type="dxa"/>
        <w:tblLayout w:type="fixed"/>
        <w:tblCellMar>
          <w:top w:w="0" w:type="dxa"/>
          <w:left w:w="0" w:type="dxa"/>
          <w:bottom w:w="0" w:type="dxa"/>
          <w:right w:w="0" w:type="dxa"/>
        </w:tblCellMar>
      </w:tblPr>
      <w:tblGrid>
        <w:gridCol w:w="2926"/>
        <w:gridCol w:w="326"/>
        <w:gridCol w:w="796"/>
        <w:gridCol w:w="326"/>
        <w:gridCol w:w="292"/>
        <w:gridCol w:w="939"/>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858010" cy="175260"/>
                      <wp:effectExtent l="0" t="0" r="0" b="0"/>
                      <wp:wrapNone/>
                      <wp:docPr id="416" name="Frame41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05460" cy="175260"/>
                      <wp:effectExtent l="0" t="0" r="0" b="0"/>
                      <wp:wrapNone/>
                      <wp:docPr id="418" name="Frame4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85420" cy="175260"/>
                      <wp:effectExtent l="0" t="0" r="0" b="0"/>
                      <wp:wrapNone/>
                      <wp:docPr id="420" name="Frame418"/>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96265" cy="175260"/>
                      <wp:effectExtent l="0" t="0" r="0" b="0"/>
                      <wp:wrapNone/>
                      <wp:docPr id="421" name="Frame419"/>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158,550</w:t>
            </w:r>
          </w:p>
        </w:tc>
        <w:tc>
          <w:tcPr>
            <w:tcW w:w="32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74,584</w:t>
            </w:r>
          </w:p>
        </w:tc>
        <w:tc>
          <w:tcPr>
            <w:tcW w:w="326"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326"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(36,980)</w:t>
            </w:r>
          </w:p>
        </w:tc>
        <w:tc>
          <w:tcPr>
            <w:tcW w:w="326" w:type="dxa"/>
            <w:tcBorders/>
            <w:vAlign w:val="center"/>
          </w:tcPr>
          <w:p>
            <w:pPr>
              <w:pStyle w:val="TableContents"/>
              <w:bidi w:val="0"/>
              <w:spacing w:before="0" w:after="0"/>
              <w:ind w:left="0" w:right="0" w:hanging="0"/>
              <w:jc w:val="righ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190,134</w:t>
            </w:r>
          </w:p>
        </w:tc>
        <w:tc>
          <w:tcPr>
            <w:tcW w:w="326" w:type="dxa"/>
            <w:tcBorders/>
            <w:shd w:fill="CCEEFF" w:val="clear"/>
            <w:vAlign w:val="center"/>
          </w:tcPr>
          <w:p>
            <w:pPr>
              <w:pStyle w:val="TableContents"/>
              <w:bidi w:val="0"/>
              <w:spacing w:before="0" w:after="0"/>
              <w:ind w:left="0" w:right="0" w:hanging="0"/>
              <w:jc w:val="righ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41.61</w:t>
            </w:r>
          </w:p>
        </w:tc>
      </w:tr>
    </w:tbl>
    <w:p>
      <w:pPr>
        <w:pStyle w:val="TextBody"/>
        <w:bidi w:val="0"/>
        <w:spacing w:before="0" w:after="24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2926"/>
        <w:gridCol w:w="326"/>
        <w:gridCol w:w="781"/>
        <w:gridCol w:w="326"/>
        <w:gridCol w:w="303"/>
        <w:gridCol w:w="973"/>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858010" cy="175260"/>
                      <wp:effectExtent l="0" t="0" r="0" b="0"/>
                      <wp:wrapNone/>
                      <wp:docPr id="422" name="Frame420"/>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95935" cy="175260"/>
                      <wp:effectExtent l="0" t="0" r="0" b="0"/>
                      <wp:wrapNone/>
                      <wp:docPr id="424" name="Frame4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92405" cy="175260"/>
                      <wp:effectExtent l="0" t="0" r="0" b="0"/>
                      <wp:wrapNone/>
                      <wp:docPr id="426" name="Frame42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17855" cy="175260"/>
                      <wp:effectExtent l="0" t="0" r="0" b="0"/>
                      <wp:wrapNone/>
                      <wp:docPr id="427" name="Frame425"/>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Avg. </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99,450</w:t>
            </w:r>
          </w:p>
        </w:tc>
        <w:tc>
          <w:tcPr>
            <w:tcW w:w="3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52.54</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59,100</w:t>
            </w:r>
          </w:p>
        </w:tc>
        <w:tc>
          <w:tcPr>
            <w:tcW w:w="326"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158,550</w:t>
            </w:r>
          </w:p>
        </w:tc>
        <w:tc>
          <w:tcPr>
            <w:tcW w:w="326"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49.77</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grant of performance-based stock, the Company recognized $2.6 million, $2.5 million and $1.5 million of compensation expense, during the years ended December 31, 2024, 2023 and 2022, respectively. The unvested shares as of December 31, 2024 represent $3.1 million in unamortized stock based compensation as of that date which will be recognized ratably over the next 1.7 years.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not granted any options since 2017. The Company did not recognize any compensation expense, related to granted stock options, during the three years ended December 31, 2024.</w:t>
      </w:r>
    </w:p>
    <w:p>
      <w:pPr>
        <w:pStyle w:val="TextBody"/>
        <w:bidi w:val="0"/>
        <w:spacing w:before="28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1985" w:name="Tc_3htucxdKI0-1apzo2CwXSA_4_8"/>
      <w:bookmarkStart w:id="1986" w:name="Tc_xqbfui43m0K_WDjhk-39-w_4_5"/>
      <w:bookmarkStart w:id="1987" w:name="Tc_VSpQnEc6j0GFzKXjpvkaoA_4_2"/>
      <w:bookmarkStart w:id="1988" w:name="Tc_vO539HXTA0iFuDrjMzpbcg_4_0"/>
      <w:bookmarkStart w:id="1989" w:name="Tc_WORrR0V93EywsIHNzv-gdg_3_0"/>
      <w:bookmarkStart w:id="1990" w:name="Tc_5rmfgnNK5Ueu4hjVEhBaoQ_2_8"/>
      <w:bookmarkStart w:id="1991" w:name="Tc_eVUapS-AiE2924FMgjQ5gQ_2_5"/>
      <w:bookmarkStart w:id="1992" w:name="Tc_gB6UFy9pXE6D2OVYTW0ZTA_2_2"/>
      <w:bookmarkStart w:id="1993" w:name="Tc_koJTxpSviUqMgMnSm7MsQQ_2_0"/>
      <w:bookmarkStart w:id="1994" w:name="Tc_Bjx-qN43tkqcwITWYKoaPg_1_8"/>
      <w:bookmarkStart w:id="1995" w:name="Tc_1Ylth5C__Uud84TD5vAPCw_1_5"/>
      <w:bookmarkStart w:id="1996" w:name="Tc_Q3mM0TwAikaguGqdlbM1jQ_1_2"/>
      <w:bookmarkStart w:id="1997" w:name="_d086f26d_595a_4d15_bae4_81466492e6dd"/>
      <w:bookmarkEnd w:id="1985"/>
      <w:bookmarkEnd w:id="1986"/>
      <w:bookmarkEnd w:id="1987"/>
      <w:bookmarkEnd w:id="1988"/>
      <w:bookmarkEnd w:id="1989"/>
      <w:bookmarkEnd w:id="1990"/>
      <w:bookmarkEnd w:id="1991"/>
      <w:bookmarkEnd w:id="1992"/>
      <w:bookmarkEnd w:id="1993"/>
      <w:bookmarkEnd w:id="1994"/>
      <w:bookmarkEnd w:id="1995"/>
      <w:bookmarkEnd w:id="1996"/>
      <w:bookmarkEnd w:id="1997"/>
      <w:r>
        <w:rPr>
          <w:rFonts w:ascii="Times New Roman;Times;serif" w:hAnsi="Times New Roman;Times;serif"/>
          <w:b/>
          <w:sz w:val="20"/>
        </w:rPr>
        <w:t>11. 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components of income before income taxes for the years ended December 31, 2024, 2023 and 2022 are as follows (in thousands):</w:t>
      </w:r>
    </w:p>
    <w:tbl>
      <w:tblPr>
        <w:tblW w:w="5181" w:type="dxa"/>
        <w:jc w:val="left"/>
        <w:tblInd w:w="0" w:type="dxa"/>
        <w:tblLayout w:type="fixed"/>
        <w:tblCellMar>
          <w:top w:w="0" w:type="dxa"/>
          <w:left w:w="0" w:type="dxa"/>
          <w:bottom w:w="0" w:type="dxa"/>
          <w:right w:w="0" w:type="dxa"/>
        </w:tblCellMar>
      </w:tblPr>
      <w:tblGrid>
        <w:gridCol w:w="886"/>
        <w:gridCol w:w="326"/>
        <w:gridCol w:w="211"/>
        <w:gridCol w:w="901"/>
        <w:gridCol w:w="326"/>
        <w:gridCol w:w="211"/>
        <w:gridCol w:w="796"/>
        <w:gridCol w:w="326"/>
        <w:gridCol w:w="211"/>
        <w:gridCol w:w="796"/>
        <w:gridCol w:w="191"/>
      </w:tblGrid>
      <w:tr>
        <w:trPr/>
        <w:tc>
          <w:tcPr>
            <w:tcW w:w="886"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901"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191" w:type="dxa"/>
            <w:tcBorders/>
            <w:vAlign w:val="center"/>
          </w:tcPr>
          <w:p>
            <w:pPr>
              <w:pStyle w:val="TableContents"/>
              <w:bidi w:val="0"/>
              <w:spacing w:lineRule="atLeast" w:line="142"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29,721</w:t>
            </w:r>
          </w:p>
        </w:tc>
        <w:tc>
          <w:tcPr>
            <w:tcW w:w="191" w:type="dxa"/>
            <w:tcBorders/>
            <w:vAlign w:val="center"/>
          </w:tcPr>
          <w:p>
            <w:pPr>
              <w:pStyle w:val="TableContents"/>
              <w:bidi w:val="0"/>
              <w:spacing w:before="0" w:after="0"/>
              <w:ind w:left="0" w:right="0" w:hanging="0"/>
              <w:jc w:val="right"/>
              <w:rPr/>
            </w:pPr>
            <w:r>
              <w:rPr/>
              <w:t>​</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998" w:name="Tc_3tDt0sZ3c0C6XKUHz8wghA_15_8"/>
      <w:bookmarkStart w:id="1999" w:name="Tc_Nt853GK550-LZnslSkvDmg_15_5"/>
      <w:bookmarkStart w:id="2000" w:name="Tc_v-dKNAsCpUixumcw_oVEpw_15_2"/>
      <w:bookmarkStart w:id="2001" w:name="Tc_yapAKNrPUkSU4IraSufrxA_15_0"/>
      <w:bookmarkStart w:id="2002" w:name="Tc_m3AE8B305kW98ik8iMrGsA_14_0"/>
      <w:bookmarkStart w:id="2003" w:name="Tc_KBTNwbTOf06hraYwyJ3zKA_13_0"/>
      <w:bookmarkStart w:id="2004" w:name="Tc_zf7_r3mDkEGOnGkpz3_PUw_12_0"/>
      <w:bookmarkStart w:id="2005" w:name="Tc_jVOo-v7ZSUCWccatjozcjQ_11_0"/>
      <w:bookmarkStart w:id="2006" w:name="Tc_mG8VCx_mXkiMoKQg_d4Ryg_10_0"/>
      <w:bookmarkStart w:id="2007" w:name="Tc_rwzjT-X250SIeR6ydKTxgw_9_0"/>
      <w:bookmarkStart w:id="2008" w:name="Tc_tWdnZZvmPkyQiyvQoKAfqg_8_3"/>
      <w:bookmarkStart w:id="2009" w:name="Tc_Ke9JsNuyf0GlIETjNm6cmA_8_0"/>
      <w:bookmarkStart w:id="2010" w:name="Tc_zk5ph3evskWMY478jAUgBw_7_9"/>
      <w:bookmarkStart w:id="2011" w:name="Tc_Y4RZq3WTuUyn-1TPrRGF2A_7_6"/>
      <w:bookmarkStart w:id="2012" w:name="Tc_gYUdix94M0GnRNgi7Ns-5Q_7_0"/>
      <w:bookmarkStart w:id="2013" w:name="Tc_anJCbKZ7R0C-NSCaR4sh7g_6_0"/>
      <w:bookmarkStart w:id="2014" w:name="Tc_tR3_TI2VvUGZLTPVC1Ccfg_5_0"/>
      <w:bookmarkStart w:id="2015" w:name="Tc_dKHizZOfskmaH6L8imnCog_4_0"/>
      <w:bookmarkStart w:id="2016" w:name="Tc_w9OFUY1KdEKg9yFA3euY2A_3_0"/>
      <w:bookmarkStart w:id="2017" w:name="Tc_YEx0qRl3C0CJSehwWFbgxQ_2_8"/>
      <w:bookmarkStart w:id="2018" w:name="Tc_n-W0WNJY5km6nGVktwIKHA_2_5"/>
      <w:bookmarkStart w:id="2019" w:name="Tc_ZrDVISHzLUy4yFK-xJ0lbg_2_2"/>
      <w:bookmarkStart w:id="2020" w:name="Tc_eNSER6-W90GurqEPZSjN7w_2_0"/>
      <w:bookmarkStart w:id="2021" w:name="Tc_eTLi-56dzk6sIjyQ9Aclgg_1_8"/>
      <w:bookmarkStart w:id="2022" w:name="Tc_3lfulpuFyk6CxFyLx2IU-Q_1_5"/>
      <w:bookmarkStart w:id="2023" w:name="Tc_2_JlLtT0UEi47TwWwP0Mpg_1_2"/>
      <w:bookmarkStart w:id="2024" w:name="_214a94b6_c245_4314_9825_41ae31a0a82b"/>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r>
        <w:rPr>
          <w:rFonts w:ascii="Times New Roman;Times;serif" w:hAnsi="Times New Roman;Times;serif"/>
          <w:sz w:val="20"/>
        </w:rPr>
        <w:t>The following is a reconciliation from the tax computed at statutory income tax rates to the Company’s income tax expense for the years ended December 31, 2024, 2023 and 2022 (in thousands):</w:t>
      </w:r>
    </w:p>
    <w:tbl>
      <w:tblPr>
        <w:tblW w:w="8481" w:type="dxa"/>
        <w:jc w:val="left"/>
        <w:tblInd w:w="0" w:type="dxa"/>
        <w:tblLayout w:type="fixed"/>
        <w:tblCellMar>
          <w:top w:w="0" w:type="dxa"/>
          <w:left w:w="0" w:type="dxa"/>
          <w:bottom w:w="0" w:type="dxa"/>
          <w:right w:w="0" w:type="dxa"/>
        </w:tblCellMar>
      </w:tblPr>
      <w:tblGrid>
        <w:gridCol w:w="4501"/>
        <w:gridCol w:w="326"/>
        <w:gridCol w:w="211"/>
        <w:gridCol w:w="796"/>
        <w:gridCol w:w="326"/>
        <w:gridCol w:w="211"/>
        <w:gridCol w:w="691"/>
        <w:gridCol w:w="326"/>
        <w:gridCol w:w="211"/>
        <w:gridCol w:w="691"/>
        <w:gridCol w:w="191"/>
      </w:tblGrid>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computed at statutory US federal income tax rates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rate differential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provided in prior periods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intangible low-taxed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transactions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tax reserves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Taxes, net of federal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tax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191"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revaluation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025" w:name="Tc_mO-p7v14eU2x3YfYxmkLLw_22_5"/>
      <w:bookmarkStart w:id="2026" w:name="Tc_oHzZ8ttP00yN9hLtqovVOw_22_2"/>
      <w:bookmarkStart w:id="2027" w:name="Tc_jeEUoXCK7kuRKiiuXkibfQ_22_0"/>
      <w:bookmarkStart w:id="2028" w:name="Tc_bZ5x-hZVzk29p1aX0Ymg1Q_20_0"/>
      <w:bookmarkStart w:id="2029" w:name="Tc_esLzBLrsTEOSzHRVpcSgTA_18_0"/>
      <w:bookmarkStart w:id="2030" w:name="Tc_k7E0CGgjo0GbbQY1kAC54Q_17_0"/>
      <w:bookmarkStart w:id="2031" w:name="Tc_QFLgLw8ENEee8OTm2AIicw_16_0"/>
      <w:bookmarkStart w:id="2032" w:name="Tc_uD2nCHEjJ0eFllBx2WJ3wA_15_0"/>
      <w:bookmarkStart w:id="2033" w:name="Tc_gwAN5mZrfEq6raSPbn8YqA_14_0"/>
      <w:bookmarkStart w:id="2034" w:name="Tc_YP87uadFKkOcfa_FPcc9tg_12_0"/>
      <w:bookmarkStart w:id="2035" w:name="Tc_SYpc4_6WIECH59M-1xxl_g_11_0"/>
      <w:bookmarkStart w:id="2036" w:name="Tc_wLYXC1eBaEm4IoP0v1evVw_10_0"/>
      <w:bookmarkStart w:id="2037" w:name="Tc_WnYNaZ-S602lNWCKxkOKXg_9_0"/>
      <w:bookmarkStart w:id="2038" w:name="Tc_XZTfCcMvFE2A4Z5Qi3nnXw_8_0"/>
      <w:bookmarkStart w:id="2039" w:name="Tc_Yijtx0KDMUizP13V5tBP9A_7_0"/>
      <w:bookmarkStart w:id="2040" w:name="Tc_HBgUS_S54EKn1jsnMdCN5A_6_0"/>
      <w:bookmarkStart w:id="2041" w:name="Tc_PGz0o5pJSUyxs4YsUVRmEw_5_0"/>
      <w:bookmarkStart w:id="2042" w:name="Tc_GkPQfibKG0yitq9Jhl9Frg_4_0"/>
      <w:bookmarkStart w:id="2043" w:name="Tc_0ORIiT4OHU20ONp_O7Fxkg_3_5"/>
      <w:bookmarkStart w:id="2044" w:name="Tc__PR_xb6zAUaX-Bj9-EEfsw_3_2"/>
      <w:bookmarkStart w:id="2045" w:name="Tc_i2pLOi65hEOG-g9AS5vBdQ_3_0"/>
      <w:bookmarkStart w:id="2046" w:name="Tc_9F_AunZYuEuYcmo4Abd1pQ_2_0"/>
      <w:bookmarkStart w:id="2047" w:name="Tc_TUIzk1KmE065VvNlY2WFbA_1_5"/>
      <w:bookmarkStart w:id="2048" w:name="Tc_WMoyg62kikqkAfBOo_eqpg_1_2"/>
      <w:bookmarkStart w:id="2049" w:name="_b475ccba_a95f_4e02_b92f_44e4eb589c64"/>
      <w:bookmarkStart w:id="2050" w:name="Tc_6RYn-p_d4U-R6fbw18gCFw_16_8"/>
      <w:bookmarkStart w:id="2051" w:name="Tc_EFO-5ZdDr0-ntA0BOy3q-g_16_5"/>
      <w:bookmarkStart w:id="2052" w:name="Tc_3w6GVi4RMEu9MNE-wkXRZQ_16_2"/>
      <w:bookmarkStart w:id="2053" w:name="Tc_5B6gPF6UC0yvHv5jCMU8Kw_16_0"/>
      <w:bookmarkStart w:id="2054" w:name="Tc_uTxiiFqVV0C1bifYlNLlew_15_0"/>
      <w:bookmarkStart w:id="2055" w:name="Tc_MZBBA095wUyih77z-th0cQ_14_0"/>
      <w:bookmarkStart w:id="2056" w:name="Tc_-1MzUVt6GkKSf5VaQuvq7Q_13_8"/>
      <w:bookmarkStart w:id="2057" w:name="Tc_cvGaZ2LCmE6GkGI-BrRMwg_13_5"/>
      <w:bookmarkStart w:id="2058" w:name="Tc_dxtodPLQQUedUNv59otPQA_13_2"/>
      <w:bookmarkStart w:id="2059" w:name="Tc_I-e9NLAlUkmRbFwpYbc4Qw_13_0"/>
      <w:bookmarkStart w:id="2060" w:name="Tc_UFejZrlzJUGQYxAJM-Yjcw_12_0"/>
      <w:bookmarkStart w:id="2061" w:name="Tc_hXjsqkEuSUG2fBtZhfRNjw_11_8"/>
      <w:bookmarkStart w:id="2062" w:name="Tc_EfK_T8LoQEWzW_nfdaLepA_11_5"/>
      <w:bookmarkStart w:id="2063" w:name="Tc_naf2pDjukkKeAkBU6w0XFw_11_2"/>
      <w:bookmarkStart w:id="2064" w:name="Tc_TtROkpLWA0KydchZPVQkmw_11_0"/>
      <w:bookmarkStart w:id="2065" w:name="Tc_DKrf9CkErUiWdk3x9HYu5A_10_0"/>
      <w:bookmarkStart w:id="2066" w:name="Tc_0fMuukWOBEONeYUmgSGPcw_9_0"/>
      <w:bookmarkStart w:id="2067" w:name="Tc_wXB30gNci0mGAK7wVjqOXQ_8_8"/>
      <w:bookmarkStart w:id="2068" w:name="Tc_Cv9D4igfbEymMdYJ1S1rEw_8_5"/>
      <w:bookmarkStart w:id="2069" w:name="Tc_7Tb63gc1a0G8_WmsIxhKKw_8_2"/>
      <w:bookmarkStart w:id="2070" w:name="Tc_z06pMqws4kuqILLg96V79Q_8_0"/>
      <w:bookmarkStart w:id="2071" w:name="Tc_McnF4aCflU2pInnuQ4bvqQ_7_0"/>
      <w:bookmarkStart w:id="2072" w:name="Tc_ektbTtpfakG1D_1xQsMDtg_6_8"/>
      <w:bookmarkStart w:id="2073" w:name="Tc_D2tHAdYKN0Gex_Abl6rTCA_6_5"/>
      <w:bookmarkStart w:id="2074" w:name="Tc_lkAJifOttUWG0eNfDIR96w_6_2"/>
      <w:bookmarkStart w:id="2075" w:name="Tc_JClZzbREuECT5vBi40Hvlg_6_0"/>
      <w:bookmarkStart w:id="2076" w:name="Tc_lxXhtrKXK0-V0tyR6y7DFQ_5_0"/>
      <w:bookmarkStart w:id="2077" w:name="Tc_Gc7PK1lnakeYXwb9IjsG3g_4_0"/>
      <w:bookmarkStart w:id="2078" w:name="Tc_uzdK3VlDvk2334CFxZIZig_3_8"/>
      <w:bookmarkStart w:id="2079" w:name="Tc_mWMJ0atjjEGprXR7q6hCUQ_3_5"/>
      <w:bookmarkStart w:id="2080" w:name="Tc_zWVfp8gNsEu5ZPsZG2-ZiA_3_2"/>
      <w:bookmarkStart w:id="2081" w:name="Tc_2ge4VDW5sEy_d0R2iBfwoQ_3_0"/>
      <w:bookmarkStart w:id="2082" w:name="Tc_sE1-DPIj3k-IFKYm5P9XmA_2_0"/>
      <w:bookmarkStart w:id="2083" w:name="Tc_9Q-KFCQaz0qTr8YbGGw8Bg_1_8"/>
      <w:bookmarkStart w:id="2084" w:name="Tc_TVwjtzZX9EWKw1KKYYkVZQ_1_5"/>
      <w:bookmarkStart w:id="2085" w:name="Tc_e1ToIxaI20S9UdtYjHmSVg_1_2"/>
      <w:bookmarkStart w:id="2086" w:name="Tc_jpAIps72uUazkUtnNdUNww_0_0"/>
      <w:bookmarkStart w:id="2087" w:name="_502246e8_cee5_4112_97ae_adf1df5f34db"/>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r>
        <w:rPr>
          <w:rFonts w:ascii="Times New Roman;Times;serif" w:hAnsi="Times New Roman;Times;serif"/>
          <w:sz w:val="20"/>
        </w:rPr>
        <w:t>The components of income tax expense (benefit) for the years ended December 31, 2024, 2023 and 2022 are as follows (in thousands):</w:t>
      </w:r>
    </w:p>
    <w:tbl>
      <w:tblPr>
        <w:tblW w:w="7694" w:type="dxa"/>
        <w:jc w:val="left"/>
        <w:tblInd w:w="0" w:type="dxa"/>
        <w:tblLayout w:type="fixed"/>
        <w:tblCellMar>
          <w:top w:w="0" w:type="dxa"/>
          <w:left w:w="0" w:type="dxa"/>
          <w:bottom w:w="0" w:type="dxa"/>
          <w:right w:w="0" w:type="dxa"/>
        </w:tblCellMar>
      </w:tblPr>
      <w:tblGrid>
        <w:gridCol w:w="3646"/>
        <w:gridCol w:w="326"/>
        <w:gridCol w:w="211"/>
        <w:gridCol w:w="796"/>
        <w:gridCol w:w="326"/>
        <w:gridCol w:w="211"/>
        <w:gridCol w:w="796"/>
        <w:gridCol w:w="326"/>
        <w:gridCol w:w="211"/>
        <w:gridCol w:w="691"/>
        <w:gridCol w:w="154"/>
      </w:tblGrid>
      <w:tr>
        <w:trPr/>
        <w:tc>
          <w:tcPr>
            <w:tcW w:w="3646" w:type="dxa"/>
            <w:tcBorders/>
            <w:vAlign w:val="center"/>
          </w:tcPr>
          <w:p>
            <w:pPr>
              <w:pStyle w:val="TableContents"/>
              <w:bidi w:val="0"/>
              <w:spacing w:lineRule="atLeast" w:line="142" w:before="0" w:after="0"/>
              <w:ind w:left="0" w:right="0" w:hanging="0"/>
              <w:jc w:val="left"/>
              <w:rPr>
                <w:rFonts w:ascii="Times New Roman;Times;serif" w:hAnsi="Times New Roman;Times;serif"/>
                <w:sz w:val="2"/>
              </w:rPr>
            </w:pPr>
            <w:r>
              <w:rPr>
                <w:rFonts w:ascii="Times New Roman;Times;serif" w:hAnsi="Times New Roman;Times;serif"/>
                <w:sz w:val="2"/>
              </w:rPr>
              <w:t>\</w:t>
            </w:r>
          </w:p>
        </w:tc>
        <w:tc>
          <w:tcPr>
            <w:tcW w:w="32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796" w:type="dxa"/>
            <w:tcBorders/>
            <w:vAlign w:val="center"/>
          </w:tcPr>
          <w:p>
            <w:pPr>
              <w:pStyle w:val="TableContents"/>
              <w:bidi w:val="0"/>
              <w:spacing w:lineRule="atLeast" w:line="142" w:before="0" w:after="0"/>
              <w:ind w:left="0" w:right="0" w:hanging="0"/>
              <w:jc w:val="left"/>
              <w:rPr/>
            </w:pPr>
            <w:r>
              <w:rPr/>
              <w:t>​</w:t>
            </w:r>
          </w:p>
        </w:tc>
        <w:tc>
          <w:tcPr>
            <w:tcW w:w="326" w:type="dxa"/>
            <w:tcBorders/>
            <w:vAlign w:val="center"/>
          </w:tcPr>
          <w:p>
            <w:pPr>
              <w:pStyle w:val="TableContents"/>
              <w:bidi w:val="0"/>
              <w:spacing w:lineRule="atLeast" w:line="142" w:before="0" w:after="0"/>
              <w:ind w:left="0" w:right="0" w:hanging="0"/>
              <w:jc w:val="left"/>
              <w:rPr/>
            </w:pPr>
            <w:r>
              <w:rPr/>
              <w:t>​</w:t>
            </w:r>
          </w:p>
        </w:tc>
        <w:tc>
          <w:tcPr>
            <w:tcW w:w="211" w:type="dxa"/>
            <w:tcBorders/>
            <w:vAlign w:val="center"/>
          </w:tcPr>
          <w:p>
            <w:pPr>
              <w:pStyle w:val="TableContents"/>
              <w:bidi w:val="0"/>
              <w:spacing w:lineRule="atLeast" w:line="142" w:before="0" w:after="0"/>
              <w:ind w:left="0" w:right="0" w:hanging="0"/>
              <w:jc w:val="left"/>
              <w:rPr/>
            </w:pPr>
            <w:r>
              <w:rPr/>
              <w:t>​</w:t>
            </w:r>
          </w:p>
        </w:tc>
        <w:tc>
          <w:tcPr>
            <w:tcW w:w="691" w:type="dxa"/>
            <w:tcBorders/>
            <w:vAlign w:val="center"/>
          </w:tcPr>
          <w:p>
            <w:pPr>
              <w:pStyle w:val="TableContents"/>
              <w:bidi w:val="0"/>
              <w:spacing w:lineRule="atLeast" w:line="142" w:before="0" w:after="0"/>
              <w:ind w:left="0" w:right="0" w:hanging="0"/>
              <w:jc w:val="left"/>
              <w:rPr/>
            </w:pPr>
            <w:r>
              <w:rPr/>
              <w:t>​</w:t>
            </w:r>
          </w:p>
        </w:tc>
        <w:tc>
          <w:tcPr>
            <w:tcW w:w="154" w:type="dxa"/>
            <w:tcBorders/>
            <w:vAlign w:val="center"/>
          </w:tcPr>
          <w:p>
            <w:pPr>
              <w:pStyle w:val="TableContents"/>
              <w:bidi w:val="0"/>
              <w:spacing w:lineRule="atLeast" w:line="142"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6,657</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States—Federal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States—State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(16,756)</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5,627</w:t>
            </w:r>
          </w:p>
        </w:tc>
        <w:tc>
          <w:tcPr>
            <w:tcW w:w="154"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significant components of deferred tax assets and liabilities are as follows as of December 31, 2024 and 2023 (in thousands):</w:t>
      </w:r>
    </w:p>
    <w:tbl>
      <w:tblPr>
        <w:tblW w:w="7163" w:type="dxa"/>
        <w:jc w:val="left"/>
        <w:tblInd w:w="0" w:type="dxa"/>
        <w:tblLayout w:type="fixed"/>
        <w:tblCellMar>
          <w:top w:w="0" w:type="dxa"/>
          <w:left w:w="0" w:type="dxa"/>
          <w:bottom w:w="0" w:type="dxa"/>
          <w:right w:w="0" w:type="dxa"/>
        </w:tblCellMar>
      </w:tblPr>
      <w:tblGrid>
        <w:gridCol w:w="4306"/>
        <w:gridCol w:w="326"/>
        <w:gridCol w:w="211"/>
        <w:gridCol w:w="796"/>
        <w:gridCol w:w="326"/>
        <w:gridCol w:w="211"/>
        <w:gridCol w:w="796"/>
        <w:gridCol w:w="191"/>
      </w:tblGrid>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and inventory allowances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Basis in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78,876</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23,370</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105,729</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133,078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(8,566)</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280" w:after="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088" w:name="Tc_eUZ7Ymzp0EW4GtvszRizQw_8_5"/>
      <w:bookmarkStart w:id="2089" w:name="Tc_8nfvZAPsDkq70JQ-ZTmvHA_8_2"/>
      <w:bookmarkStart w:id="2090" w:name="Tc_CsZuz-m87EC8TuCVSseA4w_8_0"/>
      <w:bookmarkStart w:id="2091" w:name="Tc_kFBR3s14X0Gx7Je1z5STfQ_7_5"/>
      <w:bookmarkStart w:id="2092" w:name="Tc_kKsPT1BlEEKTjAssUyXobQ_7_2"/>
      <w:bookmarkStart w:id="2093" w:name="Tc_6zETOKXYxUidm6F0W5vODA_7_0"/>
      <w:bookmarkStart w:id="2094" w:name="Tc_KkU2-JKF-ECu6IPYI7N9Mw_6_5"/>
      <w:bookmarkStart w:id="2095" w:name="Tc_Czvo7imw2EKGoni6QuYqWg_6_2"/>
      <w:bookmarkStart w:id="2096" w:name="Tc_NgaECbJPuEGRMuti_CXY7g_6_0"/>
      <w:bookmarkStart w:id="2097" w:name="Tc_swGYrsXs0EGUc-Z8wSdptA_5_0"/>
      <w:bookmarkStart w:id="2098" w:name="Tc_A8sApP9W006TfRrAXHnbAQ_4_5"/>
      <w:bookmarkStart w:id="2099" w:name="Tc_ZWhfjaeMn0eU5nlx1cwqCA_4_2"/>
      <w:bookmarkStart w:id="2100" w:name="Tc_riyW_8iFJE2hh-cB6FrcGA_4_0"/>
      <w:bookmarkStart w:id="2101" w:name="Tc_q2WOAgO_UEmwGcsiA-arTQ_3_5"/>
      <w:bookmarkStart w:id="2102" w:name="Tc_331nqOLkF02ozS85uOaVww_3_2"/>
      <w:bookmarkStart w:id="2103" w:name="Tc_nwih1LFKvUuXqeVm7toIqg_3_0"/>
      <w:bookmarkStart w:id="2104" w:name="Tc_q8QBR0KBK0euuAOFcHD7yw_2_0"/>
      <w:bookmarkStart w:id="2105" w:name="Tc_9msX2lNc1U2X3UZzwFIxfQ_1_5"/>
      <w:bookmarkStart w:id="2106" w:name="Tc_WFzL92V1z06HzL5bK9mPPw_1_2"/>
      <w:bookmarkStart w:id="2107" w:name="_9794783e_9198_4e0c_b161_c5310956924c"/>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r>
        <w:rPr>
          <w:rFonts w:ascii="Times New Roman;Times;serif" w:hAnsi="Times New Roman;Times;serif"/>
          <w:sz w:val="20"/>
        </w:rPr>
        <w:t>Deferred tax assets and liabilities are reflected in the accompanying consolidated balance sheets as follows (in thousands):</w:t>
      </w:r>
    </w:p>
    <w:tbl>
      <w:tblPr>
        <w:tblW w:w="5543" w:type="dxa"/>
        <w:jc w:val="left"/>
        <w:tblInd w:w="0" w:type="dxa"/>
        <w:tblLayout w:type="fixed"/>
        <w:tblCellMar>
          <w:top w:w="0" w:type="dxa"/>
          <w:left w:w="0" w:type="dxa"/>
          <w:bottom w:w="0" w:type="dxa"/>
          <w:right w:w="0" w:type="dxa"/>
        </w:tblCellMar>
      </w:tblPr>
      <w:tblGrid>
        <w:gridCol w:w="2791"/>
        <w:gridCol w:w="326"/>
        <w:gridCol w:w="211"/>
        <w:gridCol w:w="691"/>
        <w:gridCol w:w="326"/>
        <w:gridCol w:w="211"/>
        <w:gridCol w:w="796"/>
        <w:gridCol w:w="191"/>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11,209</w:t>
            </w:r>
          </w:p>
        </w:tc>
        <w:tc>
          <w:tcPr>
            <w:tcW w:w="191"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(19,775)</w:t>
            </w:r>
          </w:p>
        </w:tc>
        <w:tc>
          <w:tcPr>
            <w:tcW w:w="191"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(8,566)</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effective tax rate for the years ended December 31, 2024 and 2023 was 37.5% and 31.9%,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year ended December 31, 2024 was primarily impacted by the following items: (i) a $7.1 million net benefit associated with the change in unrecognized tax positions, (ii) a $6.7 million net expense related to valuation allowances placed on certain deferred tax assets, (iii) a $3.4 million expense associated with Global Intangible Low Tax Income inclusion, (iv) a $3.8 million benefit related to state income taxes, net of federal benefit, and (v) a $12.3 million benefit associated with the mix of income generated among the foreign jurisdictions in which the Company operates.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year ended December 31, 2023 was primarily impacted by the following items: (i) a $2.8 million net increase of unrecognized tax positions, (ii) a $2.5 million net increase related to valuation allowances placed on certain deferred tax assets and (iii) the mix of income generated among the jurisdictions in which the Company operates along with the exclusion of losses in jurisdictions where valuation allowances have been established for deferred tax assets as required by ASC 740-270-30-36(a), primarily in the US Virgin Islands.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estimated that it had gross federal, state and foreign net operating loss (“NOL”) carryforwards of $158.9 million, $142.7 million and $185.6 million respectively. Of these, $147.1 million will expire between 2028 and 2044 and $340.1 million may be carried forward indefinitely.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assesses available positive and negative evidence to estimate if sufficient future taxable income will be generated to realize the existing deferred tax assets. A significant piece of negative evidence evaluated is cumulative losses incurred in certain reporting jurisdictions over the three-year period ended December 31, 2024. Other negative evidence examined includes, but is not limited to, losses expected in early future years, a history of tax benefits expiring unused, uncertainties whose unfavorable resolution would adversely affect future results, and brief carryback, carry forward periods. On the basis of this evaluation, the Company believed it was more likely than not that the benefit from some of these federal, state, and foreign deferred taxes would not be realized.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recognition of this risk at December 31, 2024 the Company has provided a valuation allowance against certain domestic and foreign deferred tax assets of $49.8 million. The valuation allowance primarily relates to net operating losses, with the remaining amount applicable to other net deferred tax assets which the Company does not expect to be able to realize.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2024 the Company had an estimated $222.4 million of undistributed earnings attributable to foreign subsidiaries for which no provision for state income taxes or foreign withholding taxes have been made because it is expected that such earnings will be reinvested outside the U.S. indefinitely unless repatriation can be done substantially tax-free. The Company will generally be free of additional U.S. federal tax consequences on distributed foreign subsidiary earnings due to a dividends received deduction implemented as part of the Tax Act for earnings distributed after January 1, 2018. Additionally, due to the one-time transition tax on the deemed repatriation of post-1986 undistributed foreign subsidiary earnings, the majority of previously unremitted earnings have already been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108" w:name="Tc_cKoh-q7rfk2HIPfSV7J_tQ_19_2"/>
      <w:bookmarkStart w:id="2109" w:name="Tc_8XWqmGVNREy_lU1kB-St5g_19_0"/>
      <w:bookmarkStart w:id="2110" w:name="Tc_n0qVY6IFe0uBVAcKxo1Exg_18_3"/>
      <w:bookmarkStart w:id="2111" w:name="Tc_9_lMdp4SqU65vhLF8IhwPg_18_0"/>
      <w:bookmarkStart w:id="2112" w:name="Tc_R9XEhYQ5XEKJ6cvM140u6A_17_0"/>
      <w:bookmarkStart w:id="2113" w:name="Tc_EIFKgoEtH0GkWNC624Ft-w_16_3"/>
      <w:bookmarkStart w:id="2114" w:name="Tc_F5REP6oNdUahGYd8vDPceA_16_0"/>
      <w:bookmarkStart w:id="2115" w:name="Tc_enpsCaZzPEqLW9Hli8uXTA_15_0"/>
      <w:bookmarkStart w:id="2116" w:name="Tc_vfRlfR5bYUSn76CHPXRWPw_14_0"/>
      <w:bookmarkStart w:id="2117" w:name="Tc_j097dI-G20etfPMyU4TwSg_13_2"/>
      <w:bookmarkStart w:id="2118" w:name="Tc_mOlWNojnI0-NGstEsvDljA_13_0"/>
      <w:bookmarkStart w:id="2119" w:name="Tc_pH7y9f8nc0CB5NLth3h9GQ_12_3"/>
      <w:bookmarkStart w:id="2120" w:name="Tc_0Jitt3qGuEOxNocR2Nu-HA_12_0"/>
      <w:bookmarkStart w:id="2121" w:name="Tc_4n_K7T9mSE-uu167mNUqew_11_0"/>
      <w:bookmarkStart w:id="2122" w:name="Tc_9PT0hwQv7U2cd6fmBvxyRw_10_3"/>
      <w:bookmarkStart w:id="2123" w:name="Tc_MDGqLZvbS0O90qRmMBq11g_10_0"/>
      <w:bookmarkStart w:id="2124" w:name="Tc_qcYXHU4QEkq0fT52pqrEQg_9_0"/>
      <w:bookmarkStart w:id="2125" w:name="Tc_vMM2s-AQ1EiYAODRUA_pAg_8_3"/>
      <w:bookmarkStart w:id="2126" w:name="Tc_TFU0nd2PKkmP1q1IwrbxjQ_8_0"/>
      <w:bookmarkStart w:id="2127" w:name="Tc_dhMm099H4kONkzAXsmxtXQ_7_2"/>
      <w:bookmarkStart w:id="2128" w:name="Tc_xBXghxyLgUmSV8lj1UDIbA_7_0"/>
      <w:bookmarkStart w:id="2129" w:name="Tc_-ZWW-O2GAku7gSMat0xgZA_6_3"/>
      <w:bookmarkStart w:id="2130" w:name="Tc_9BPNDnxPGUCF0SNM6DAz3g_6_0"/>
      <w:bookmarkStart w:id="2131" w:name="Tc_VBOMfow5ZUiKPWe1bHaanw_5_0"/>
      <w:bookmarkStart w:id="2132" w:name="Tc_mjJWIbJeKUOVPbCGLOcsBQ_4_0"/>
      <w:bookmarkStart w:id="2133" w:name="Tc_HOtZBNfAhUa5d_70fi7ldw_3_0"/>
      <w:bookmarkStart w:id="2134" w:name="Tc_aB-TyBRm30Cwd4RMDi8J5g_2_3"/>
      <w:bookmarkStart w:id="2135" w:name="Tc_1IrDS8N7pkGIP7uqTufZng_2_0"/>
      <w:bookmarkStart w:id="2136" w:name="Tc_kVTISzoEj0quyj1di7bUdg_1_2"/>
      <w:bookmarkStart w:id="2137" w:name="Tc_-i2ksuqwPEuz6Lfel22wog_1_0"/>
      <w:bookmarkStart w:id="2138" w:name="_ad0fc7fa_7362_4af9_bec8_29de8918c621"/>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r>
        <w:rPr>
          <w:rFonts w:ascii="Times New Roman;Times;serif" w:hAnsi="Times New Roman;Times;serif"/>
          <w:sz w:val="20"/>
        </w:rPr>
        <w:t xml:space="preserve">subjected to U.S. federal income tax. The Company continues to assert indefinite reinvestment on outside basis differences in our non-U.S. subsidiaries, additionally any determination of the amount of the unrecognized deferred tax liability on outside basis differences is not practicable because of the complexity of laws and regulations, the varying tax treatment of alternative repatriation scenarios and the variation due to multiple potential assumptions relating to the timing of any future repatriation.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had unrecognized tax benefits (including interest and penalty) of $42.8 million as of December 31, 2024, $49.9 million as of December 31, 2023 and, $48.6 million as of December 31, 2022. The net decrease of the reserve during the year ended December 31, 2024 was attributable to an increase in tax positions for prior periods of $4.3 million, an increase in tax positions for the current period of $3.0 million, offset by a lapse in statute of prior year positions of $14.4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shows the activity related to unrecognized tax benefits (not including interest and penalty) during the three years ended December 31, 2024 (in thousands):</w:t>
      </w:r>
    </w:p>
    <w:tbl>
      <w:tblPr>
        <w:tblW w:w="7754" w:type="dxa"/>
        <w:jc w:val="left"/>
        <w:tblInd w:w="0" w:type="dxa"/>
        <w:tblLayout w:type="fixed"/>
        <w:tblCellMar>
          <w:top w:w="0" w:type="dxa"/>
          <w:left w:w="0" w:type="dxa"/>
          <w:bottom w:w="0" w:type="dxa"/>
          <w:right w:w="0" w:type="dxa"/>
        </w:tblCellMar>
      </w:tblPr>
      <w:tblGrid>
        <w:gridCol w:w="6616"/>
        <w:gridCol w:w="146"/>
        <w:gridCol w:w="211"/>
        <w:gridCol w:w="781"/>
      </w:tblGrid>
      <w:tr>
        <w:trPr/>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201160" cy="175260"/>
                      <wp:effectExtent l="0" t="0" r="0" b="0"/>
                      <wp:wrapNone/>
                      <wp:docPr id="428" name="Frame426"/>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92710" cy="175260"/>
                      <wp:effectExtent l="0" t="0" r="0" b="0"/>
                      <wp:wrapNone/>
                      <wp:docPr id="429" name="Frame4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95935" cy="175260"/>
                      <wp:effectExtent l="0" t="0" r="0" b="0"/>
                      <wp:wrapNone/>
                      <wp:docPr id="431" name="Frame4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43,714</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a prior period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the current period</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acquired as part of a business combination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39,919</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a prior period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the current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acquired as part of a business combination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40,068</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a prior period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taken during the current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benefits acquired as part of a business combination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in statute of limitations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(9,557)</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unrecognized uncertain tax benefits at December 31, 2024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35,036</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accounting policy is to classify interest and penalties related to income tax matters as part of income tax expense. The accrued amounts for interest and penalties are $7.8 million as of December 31, 2024, $9.8 million as of December 31, 2023, and $8.7 million as of December 31, 2022.</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majority of unrecognized uncertain tax benefits (including interest and penalty) would impact the effective tax rate if recognized.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and its subsidiaries file income tax returns in the US and in various, state and local and foreign jurisdictions. The statute of limitations related to the consolidated US federal income tax return is closed for all tax years up to and including 2020. The expiration of the statute of limitations related to the various state and foreign income tax returns that the Company and subsidiaries file varies by jurisdiction.</w:t>
      </w:r>
    </w:p>
    <w:p>
      <w:pPr>
        <w:pStyle w:val="TextBody"/>
        <w:bidi w:val="0"/>
        <w:spacing w:before="28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39" w:name="Tc_Q6OhLc1etUesZ4kY_IuXMA_6_7"/>
      <w:bookmarkStart w:id="2140" w:name="Tc_uXwQccgeokCZamCc5xxMUg_6_5"/>
      <w:bookmarkStart w:id="2141" w:name="Tc_Es32qB5sv0-ljVkoc_zcpA_6_3"/>
      <w:bookmarkStart w:id="2142" w:name="Tc_1o_gmSp1skCD2p_ZGktjrg_6_0"/>
      <w:bookmarkStart w:id="2143" w:name="Tc_sOgP18UumUiMCSqP7RbD7w_5_7"/>
      <w:bookmarkStart w:id="2144" w:name="Tc_37s36eCw_EykJB-7cyA_Fg_5_5"/>
      <w:bookmarkStart w:id="2145" w:name="Tc_-axcIalpqU-ZRm1YOw9GlA_5_3"/>
      <w:bookmarkStart w:id="2146" w:name="Tc_Zx-AeysBBkelH6OFbD2FzQ_5_0"/>
      <w:bookmarkStart w:id="2147" w:name="Tc_NczPc6OcMUCXFw--F7SD7A_4_7"/>
      <w:bookmarkStart w:id="2148" w:name="Tc_lKdyV4rltUiqja-OzQs5yA_4_5"/>
      <w:bookmarkStart w:id="2149" w:name="Tc_R2TLPyXZqk6-nkMG9tk6zw_4_3"/>
      <w:bookmarkStart w:id="2150" w:name="Tc_zRjZ3S2Z6kCC6T05UXLWkg_4_0"/>
      <w:bookmarkStart w:id="2151" w:name="Tc_MkjTy-XN20KtHyzJHcbQ6Q_3_7"/>
      <w:bookmarkStart w:id="2152" w:name="Tc_XHrTnB-oTk-VPUeM1PU5Wg_3_5"/>
      <w:bookmarkStart w:id="2153" w:name="Tc_IqE5kcFRAkeQde23FKw1Ig_3_3"/>
      <w:bookmarkStart w:id="2154" w:name="Tc_Q4Br3P8EaU-Hx0X4IGzxCQ_3_0"/>
      <w:bookmarkStart w:id="2155" w:name="Tc_awMpRimoxUKp2Ksn4pcCEw_2_7"/>
      <w:bookmarkStart w:id="2156" w:name="Tc_tpAK-p6I9EK5_e5C01iHEA_2_5"/>
      <w:bookmarkStart w:id="2157" w:name="Tc_3_aCgx7tlEqUqzpMoWcA2g_2_3"/>
      <w:bookmarkStart w:id="2158" w:name="Tc_G8i0gaFRNkmv1vThPxJE_A_2_0"/>
      <w:bookmarkStart w:id="2159" w:name="Tc__BOMjvSX8kGYDOT0oHx9Yg_1_6"/>
      <w:bookmarkStart w:id="2160" w:name="Tc_N0BeeNtAoECNZjPSmznSvA_1_4"/>
      <w:bookmarkStart w:id="2161" w:name="Tc_MWzJmNaVhUWc1qGNHumVaw_1_2"/>
      <w:bookmarkStart w:id="2162" w:name="Tc_3liRWIGsfUSlx72cDgevUA_0_0"/>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r>
        <w:rPr>
          <w:rFonts w:ascii="Times New Roman;Times;serif" w:hAnsi="Times New Roman;Times;serif"/>
          <w:b/>
          <w:sz w:val="20"/>
        </w:rPr>
        <w:t>12. RETIREMENT PLANS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noncontributory defined benefit pension plans as well as noncontributory postretirement benefit plans offering defined medical, dental, vision, and life benefits for certain of its employees. The Company’s pension and other postretirement benefit plans are closed to new participants and only grandfathered participants continue to accrue additional benefits. The Company reviews the funded status of its pension plans and makes contributions based on that analysis. The benefits are based on the participants’ compensation during their employment and the credited service years earned by participants. The Company funds the other postretirement benefit plans as benefits are paid.</w:t>
      </w:r>
    </w:p>
    <w:p>
      <w:pPr>
        <w:pStyle w:val="TextBody"/>
        <w:bidi w:val="0"/>
        <w:spacing w:before="280" w:after="0"/>
        <w:ind w:left="0" w:right="0" w:hanging="0"/>
        <w:jc w:val="left"/>
        <w:rPr/>
      </w:pPr>
      <w:r>
        <w:rPr/>
        <w:t>​</w:t>
      </w:r>
    </w:p>
    <w:tbl>
      <w:tblPr>
        <w:tblW w:w="6978" w:type="dxa"/>
        <w:jc w:val="left"/>
        <w:tblInd w:w="0" w:type="dxa"/>
        <w:tblLayout w:type="fixed"/>
        <w:tblCellMar>
          <w:top w:w="0" w:type="dxa"/>
          <w:left w:w="0" w:type="dxa"/>
          <w:bottom w:w="0" w:type="dxa"/>
          <w:right w:w="0" w:type="dxa"/>
        </w:tblCellMar>
      </w:tblPr>
      <w:tblGrid>
        <w:gridCol w:w="4216"/>
        <w:gridCol w:w="326"/>
        <w:gridCol w:w="466"/>
        <w:gridCol w:w="361"/>
        <w:gridCol w:w="466"/>
        <w:gridCol w:w="361"/>
        <w:gridCol w:w="466"/>
        <w:gridCol w:w="31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677160" cy="586740"/>
                      <wp:effectExtent l="0" t="0" r="0" b="0"/>
                      <wp:wrapNone/>
                      <wp:docPr id="432" name="Frame430"/>
                      <a:graphic xmlns:a="http://schemas.openxmlformats.org/drawingml/2006/main">
                        <a:graphicData uri="http://schemas.microsoft.com/office/word/2010/wordprocessingShape">
                          <wps:wsp>
                            <wps:cNvSpPr txBox="1"/>
                            <wps:spPr>
                              <a:xfrm>
                                <a:off x="0" y="0"/>
                                <a:ext cx="2677160" cy="58674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weighted-average rates assumed in the actuarial calculations for the pension and other postretirement benefit plans are as follows as of December 31, 2024, 2023 and 2022: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weighted-average rates assumed in the actuarial calculations for the pension and other postretirement benefit plans are as follows as of December 31, 2024, 2023 and 2022:</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95910" cy="175260"/>
                      <wp:effectExtent l="0" t="0" r="0" b="0"/>
                      <wp:wrapNone/>
                      <wp:docPr id="434" name="Frame4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29235" cy="175260"/>
                      <wp:effectExtent l="0" t="0" r="0" b="0"/>
                      <wp:wrapNone/>
                      <wp:docPr id="435" name="Frame4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95910" cy="175260"/>
                      <wp:effectExtent l="0" t="0" r="0" b="0"/>
                      <wp:wrapNone/>
                      <wp:docPr id="436" name="Frame43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9235" cy="175260"/>
                      <wp:effectExtent l="0" t="0" r="0" b="0"/>
                      <wp:wrapNone/>
                      <wp:docPr id="437" name="Frame4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95910" cy="175260"/>
                      <wp:effectExtent l="0" t="0" r="0" b="0"/>
                      <wp:wrapNone/>
                      <wp:docPr id="438" name="Frame43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0660" cy="175260"/>
                      <wp:effectExtent l="0" t="0" r="0" b="0"/>
                      <wp:wrapNone/>
                      <wp:docPr id="439" name="Frame4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Pension Benefit Obligation</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Pension Benefit Cost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Postretirement Benefit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 Postretirement Benefit Cost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long-term return on plan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expected long-term rate of return on plan assets was determined based on several factors including input from pension investment consultants, projected long-term returns of equity and bond indices, and historical returns over the life of the related obligations of the fund. The Company, in conjunction with its pension investment consultants, reviews its asset allocation periodically and rebalances its investments when appropriate in an effort to earn the expected long-term returns. The Company will continue to evaluate its long-term rate of return assumptions at least annually and will adjust them as necessary.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annual salary increase assumption is no longer applicable as the plan participants no longer accrue additional service.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discount rate was determined based on a review of market data including yields on high quality corporate bonds with maturities approximating the remaining life of the project benefit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2163" w:name="Tc_iNa60v9Rl0CFN9t34icTjA_7_11"/>
      <w:bookmarkStart w:id="2164" w:name="Tc_njg4aydBekKrSR5wVBB3zw_7_8"/>
      <w:bookmarkStart w:id="2165" w:name="Tc_dpEXh-EZ906a9hNGHDax6g_7_5"/>
      <w:bookmarkStart w:id="2166" w:name="Tc_Q7LQ0JpYsEGpVDgg4eb_Ng_7_2"/>
      <w:bookmarkStart w:id="2167" w:name="Tc_GQwF-UkOpkaoFfndK_HLow_7_0"/>
      <w:bookmarkStart w:id="2168" w:name="Tc_GLY9XlrMbU6CfCQNucH_bg_6_12"/>
      <w:bookmarkStart w:id="2169" w:name="Tc_GTF8o7ZCI0mIEG3i3utRTQ_6_9"/>
      <w:bookmarkStart w:id="2170" w:name="Tc_bICzHOig3k-TXyKXcIyHVQ_6_0"/>
      <w:bookmarkStart w:id="2171" w:name="Tc_GxKecJBF80utN7-bE1UzLw_5_11"/>
      <w:bookmarkStart w:id="2172" w:name="Tc_KROkQ9rOd0mCvv2n7CYJAw_5_8"/>
      <w:bookmarkStart w:id="2173" w:name="Tc_8BJeapvBx0OMC0Z6TUWaeA_5_5"/>
      <w:bookmarkStart w:id="2174" w:name="Tc_p5iLYEPQoEGMDKwRaTSQ_g_5_2"/>
      <w:bookmarkStart w:id="2175" w:name="Tc_Of_PlAWblUuke3S1MrQ7EQ_5_0"/>
      <w:bookmarkStart w:id="2176" w:name="Tc__6ZhK6SWXUGC4aBZAn9OiA_3_11"/>
      <w:bookmarkStart w:id="2177" w:name="Tc_r5A5E7r7UEqMV8k2eNeb4A_3_8"/>
      <w:bookmarkStart w:id="2178" w:name="Tc_FJUIcF33qk6eSPp4-KAWew_3_5"/>
      <w:bookmarkStart w:id="2179" w:name="Tc_R7i_X0p9P0-JRsxzcN_PyQ_3_2"/>
      <w:bookmarkStart w:id="2180" w:name="Tc_JGquu3ntcUmC0PZHsPQ5kg_1_2"/>
      <w:bookmarkStart w:id="2181" w:name="_12b413e6_6200_4c65_8e06_eca8401e95bb"/>
      <w:bookmarkStart w:id="2182" w:name="Tc_lTucf_aZrEe9tw_jL2kGYA_7_11"/>
      <w:bookmarkStart w:id="2183" w:name="Tc_jqts84wjbkOSAf2MUfkjSw_7_8"/>
      <w:bookmarkStart w:id="2184" w:name="Tc_GKLaWYOREUWpwH9B7e-lug_7_5"/>
      <w:bookmarkStart w:id="2185" w:name="Tc_xUEM82mNlES9XIuPM57OZw_7_2"/>
      <w:bookmarkStart w:id="2186" w:name="Tc_I6XulMGeMkSnhqa0mRM62w_7_0"/>
      <w:bookmarkStart w:id="2187" w:name="Tc_qsrL9NdeukWNV0hmAE24Rw_6_12"/>
      <w:bookmarkStart w:id="2188" w:name="Tc_dfUSFtxNg0KpIYij1solLQ_6_9"/>
      <w:bookmarkStart w:id="2189" w:name="Tc_5dPXF-xk1ku-b87MbQ5FGg_6_0"/>
      <w:bookmarkStart w:id="2190" w:name="Tc_zK4ze9ghyUOjaXSHqboilA_5_11"/>
      <w:bookmarkStart w:id="2191" w:name="Tc_FM4rAt7wj0iUBH3EfwZ_6g_5_8"/>
      <w:bookmarkStart w:id="2192" w:name="Tc_PWTHf9cySkymlEzGYu9yBQ_5_5"/>
      <w:bookmarkStart w:id="2193" w:name="Tc_G_yzdIjQUUG8dQX2jzstWA_5_2"/>
      <w:bookmarkStart w:id="2194" w:name="Tc_B7H1kwPWOU6I308knh7QvA_5_0"/>
      <w:bookmarkStart w:id="2195" w:name="Tc_wVgND40yg06bnQAjBLZ7uw_3_11"/>
      <w:bookmarkStart w:id="2196" w:name="Tc_hggo3_SnJ0OopO_aa4gqdQ_3_8"/>
      <w:bookmarkStart w:id="2197" w:name="Tc_lzIIKC4jwkObZVt4lFDDZw_3_5"/>
      <w:bookmarkStart w:id="2198" w:name="Tc_mNNIlYV2l0--ZZlGev0ZUQ_3_2"/>
      <w:bookmarkStart w:id="2199" w:name="Tc_MGFOgVGt1Ue9ltTAiOiqLg_1_2"/>
      <w:bookmarkStart w:id="2200" w:name="_c5d31725_4b25_4378_b522_db6cf90ca38e"/>
      <w:bookmarkStart w:id="2201" w:name="Tc_doP4hDcLQ0urrkg1GFtmaA_17_11"/>
      <w:bookmarkStart w:id="2202" w:name="Tc_RIWt4o5UDEKV5oR7b7eIGA_17_8"/>
      <w:bookmarkStart w:id="2203" w:name="Tc_wtp80iDNe02ZS0zmIJkQjw_17_5"/>
      <w:bookmarkStart w:id="2204" w:name="Tc_gIoNiOIm1EOBnBeMahp6Rg_17_2"/>
      <w:bookmarkStart w:id="2205" w:name="Tc_Y1Zi2No0ok6I9XJZw3c-5g_17_0"/>
      <w:bookmarkStart w:id="2206" w:name="Tc_Zg9q4wicuEOHBjCeyWDmgw_16_12"/>
      <w:bookmarkStart w:id="2207" w:name="Tc_SVfAeL7fqkyBZO9XlVawYA_16_11"/>
      <w:bookmarkStart w:id="2208" w:name="Tc__SApbDn-J0m1ruR_n9VTEA_16_8"/>
      <w:bookmarkStart w:id="2209" w:name="Tc_Suoll1kxq0uDAstpCey95Q_16_6"/>
      <w:bookmarkStart w:id="2210" w:name="Tc_VwS194fufUKGZB0uzOYIGw_16_5"/>
      <w:bookmarkStart w:id="2211" w:name="Tc_3oKcj1WiQkWHyO_ndBTyTA_16_2"/>
      <w:bookmarkStart w:id="2212" w:name="Tc_fbRpwwv1nk2OU_ZzyWejug_16_0"/>
      <w:bookmarkStart w:id="2213" w:name="Tc_83s2jI6k30yzn2yI4fM0OA_15_0"/>
      <w:bookmarkStart w:id="2214" w:name="Tc_pBxxglEwaUmsh--L4RMgCQ_14_0"/>
      <w:bookmarkStart w:id="2215" w:name="Tc_MZZwRXrJgkObqq6cVsncsQ_13_12"/>
      <w:bookmarkStart w:id="2216" w:name="Tc_dAkzWIJBPU66Bm1Pz2kcww_13_6"/>
      <w:bookmarkStart w:id="2217" w:name="Tc_reC4xlVrVU2fp7l1dZC-HQ_13_0"/>
      <w:bookmarkStart w:id="2218" w:name="Tc_9Ersc8K0nE-8sedJux4Xeg_12_12"/>
      <w:bookmarkStart w:id="2219" w:name="Tc_VOAmpnvWL0etJGTfAT365g_12_11"/>
      <w:bookmarkStart w:id="2220" w:name="Tc_xToDfo9dV0arwbmxjxaRiA_12_8"/>
      <w:bookmarkStart w:id="2221" w:name="Tc_fR0JZeei0Eu20Jw7hB-DbA_12_6"/>
      <w:bookmarkStart w:id="2222" w:name="Tc_LERcuoQ65kq7LFXhb6GPXA_12_5"/>
      <w:bookmarkStart w:id="2223" w:name="Tc_Kd4LU2NANkKnpRRYp8ilPw_12_2"/>
      <w:bookmarkStart w:id="2224" w:name="Tc_f7c5OL52tEy7Mm7NiZKz1g_12_0"/>
      <w:bookmarkStart w:id="2225" w:name="Tc_fA2r8LYcu0a6tDZ8QsoDdw_11_0"/>
      <w:bookmarkStart w:id="2226" w:name="Tc_R1MkXlF1okS4H_VwmBoomg_10_11"/>
      <w:bookmarkStart w:id="2227" w:name="Tc_nLRRmWMdBkG0U962Ra4sJw_10_8"/>
      <w:bookmarkStart w:id="2228" w:name="Tc_mwQ9gusPRUyBE11yKxKtlQ_10_5"/>
      <w:bookmarkStart w:id="2229" w:name="Tc_SiMeJ7zcE0ayzE8OsMR_BA_10_2"/>
      <w:bookmarkStart w:id="2230" w:name="Tc_VWP_VDMyAEy1vkSrBzE46Q_10_0"/>
      <w:bookmarkStart w:id="2231" w:name="Tc_p6dBcXsoKEiF0BFBz8htJw_9_0"/>
      <w:bookmarkStart w:id="2232" w:name="Tc_Grxf2ReWGU6d4D6YJQVdbQ_8_0"/>
      <w:bookmarkStart w:id="2233" w:name="Tc_TKS2PZTGwE6gZ1ZnBsJF_g_7_0"/>
      <w:bookmarkStart w:id="2234" w:name="Tc_llthtjS5Xk-gOTT2c_WHlA_6_0"/>
      <w:bookmarkStart w:id="2235" w:name="Tc_1X-84oD03UW72-bjm3o3nA_5_11"/>
      <w:bookmarkStart w:id="2236" w:name="Tc_Uw6EZxWJkE2gNYsYHXQ3Wg_5_8"/>
      <w:bookmarkStart w:id="2237" w:name="Tc_Kjk5cqKeN0qa6S_0CE3QAw_5_5"/>
      <w:bookmarkStart w:id="2238" w:name="Tc_yKLxlxAA7kWmyXWPcsJ6EQ_5_2"/>
      <w:bookmarkStart w:id="2239" w:name="Tc_YnytlJ-LLUuOz_CmmzR29g_5_0"/>
      <w:bookmarkStart w:id="2240" w:name="Tc_UWJGvN3coUyXjOZ4V_6Feg_4_0"/>
      <w:bookmarkStart w:id="2241" w:name="Tc_I5vmFX-Ye0Gm7qenI6FVXg_3_11"/>
      <w:bookmarkStart w:id="2242" w:name="Tc_ahn4SXFkkEKQuKzUjykGSA_3_8"/>
      <w:bookmarkStart w:id="2243" w:name="Tc_eLGTSi42dU6xUeKmiUgRyw_3_5"/>
      <w:bookmarkStart w:id="2244" w:name="Tc__rCneIKE0km6Camgam03ew_3_2"/>
      <w:bookmarkStart w:id="2245" w:name="Tc_rbMcvpl_L0u7KSrlQA_89w_1_8"/>
      <w:bookmarkStart w:id="2246" w:name="Tc_z7XaLiBhM0SbNHXNapk5vw_1_2"/>
      <w:bookmarkStart w:id="2247" w:name="_7337f8f3_a914_44ac_84de_8a67821bd8ba"/>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r>
        <w:rPr>
          <w:rFonts w:ascii="Times New Roman;Times;serif" w:hAnsi="Times New Roman;Times;serif"/>
          <w:sz w:val="20"/>
        </w:rPr>
        <w:t xml:space="preserve">The other postretirement benefit plans healthcare cost trend assumptions is based on health care trend rates. The 2024 assumed medical health care cost trend rate is 1% trending to an ultimate rate of 4% in 2074. The assumed dental care cost trend rate is 4% in 2024 and remains at this rate until 2074.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Changes during the year in the projected benefit obligations and in the fair value of plan assets are as follows for 2024 and 2023 (in thousands):</w:t>
      </w:r>
    </w:p>
    <w:tbl>
      <w:tblPr>
        <w:tblW w:w="9819" w:type="dxa"/>
        <w:jc w:val="left"/>
        <w:tblInd w:w="0" w:type="dxa"/>
        <w:tblLayout w:type="fixed"/>
        <w:tblCellMar>
          <w:top w:w="0" w:type="dxa"/>
          <w:left w:w="0" w:type="dxa"/>
          <w:bottom w:w="0" w:type="dxa"/>
          <w:right w:w="0" w:type="dxa"/>
        </w:tblCellMar>
      </w:tblPr>
      <w:tblGrid>
        <w:gridCol w:w="2971"/>
        <w:gridCol w:w="326"/>
        <w:gridCol w:w="298"/>
        <w:gridCol w:w="977"/>
        <w:gridCol w:w="109"/>
        <w:gridCol w:w="451"/>
        <w:gridCol w:w="1349"/>
        <w:gridCol w:w="109"/>
        <w:gridCol w:w="298"/>
        <w:gridCol w:w="977"/>
        <w:gridCol w:w="109"/>
        <w:gridCol w:w="437"/>
        <w:gridCol w:w="1408"/>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886585" cy="175260"/>
                      <wp:effectExtent l="0" t="0" r="0" b="0"/>
                      <wp:wrapNone/>
                      <wp:docPr id="440" name="Frame438"/>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89230" cy="175260"/>
                      <wp:effectExtent l="0" t="0" r="0" b="0"/>
                      <wp:wrapNone/>
                      <wp:docPr id="442" name="Frame44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20395" cy="175260"/>
                      <wp:effectExtent l="0" t="0" r="0" b="0"/>
                      <wp:wrapNone/>
                      <wp:docPr id="443" name="Frame44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86385" cy="175260"/>
                      <wp:effectExtent l="0" t="0" r="0" b="0"/>
                      <wp:wrapNone/>
                      <wp:docPr id="445" name="Frame44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856615" cy="175260"/>
                      <wp:effectExtent l="0" t="0" r="0" b="0"/>
                      <wp:wrapNone/>
                      <wp:docPr id="446" name="Frame444"/>
                      <a:graphic xmlns:a="http://schemas.openxmlformats.org/drawingml/2006/main">
                        <a:graphicData uri="http://schemas.microsoft.com/office/word/2010/wordprocessingShape">
                          <wps:wsp>
                            <wps:cNvSpPr txBox="1"/>
                            <wps:spPr>
                              <a:xfrm>
                                <a:off x="0" y="0"/>
                                <a:ext cx="856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89230" cy="175260"/>
                      <wp:effectExtent l="0" t="0" r="0" b="0"/>
                      <wp:wrapNone/>
                      <wp:docPr id="448" name="Frame44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20395" cy="175260"/>
                      <wp:effectExtent l="0" t="0" r="0" b="0"/>
                      <wp:wrapNone/>
                      <wp:docPr id="449" name="Frame447"/>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77495" cy="175260"/>
                      <wp:effectExtent l="0" t="0" r="0" b="0"/>
                      <wp:wrapNone/>
                      <wp:docPr id="451" name="Frame449"/>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894080" cy="175260"/>
                      <wp:effectExtent l="0" t="0" r="0" b="0"/>
                      <wp:wrapNone/>
                      <wp:docPr id="452" name="Frame450"/>
                      <a:graphic xmlns:a="http://schemas.openxmlformats.org/drawingml/2006/main">
                        <a:graphicData uri="http://schemas.microsoft.com/office/word/2010/wordprocessingShape">
                          <wps:wsp>
                            <wps:cNvSpPr txBox="1"/>
                            <wps:spPr>
                              <a:xfrm>
                                <a:off x="0" y="0"/>
                                <a:ext cx="89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32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13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7" w:type="dxa"/>
            <w:tcBorders/>
            <w:vAlign w:val="center"/>
          </w:tcPr>
          <w:p>
            <w:pPr>
              <w:pStyle w:val="TableContents"/>
              <w:bidi w:val="0"/>
              <w:spacing w:before="0" w:after="0"/>
              <w:ind w:left="0" w:right="0" w:hanging="0"/>
              <w:jc w:val="center"/>
              <w:rPr/>
            </w:pPr>
            <w:r>
              <w:rPr/>
              <w:t>​</w:t>
            </w:r>
          </w:p>
        </w:tc>
        <w:tc>
          <w:tcPr>
            <w:tcW w:w="1408" w:type="dxa"/>
            <w:tcBorders/>
            <w:vAlign w:val="center"/>
          </w:tcPr>
          <w:p>
            <w:pPr>
              <w:pStyle w:val="TableContents"/>
              <w:bidi w:val="0"/>
              <w:spacing w:before="0" w:after="0"/>
              <w:ind w:left="0" w:right="0" w:hanging="0"/>
              <w:jc w:val="center"/>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benefit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3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1408"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64,149</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109"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66,175</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 </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 </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1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4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and settlements paid</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 loss</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3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vAlign w:val="center"/>
          </w:tcPr>
          <w:p>
            <w:pPr>
              <w:pStyle w:val="TableContents"/>
              <w:bidi w:val="0"/>
              <w:spacing w:before="0" w:after="0"/>
              <w:ind w:left="0" w:right="0" w:hanging="0"/>
              <w:jc w:val="righ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4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60,366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64,149</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net assets:</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3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1408" w:type="dxa"/>
            <w:tcBorders/>
            <w:vAlign w:val="center"/>
          </w:tcPr>
          <w:p>
            <w:pPr>
              <w:pStyle w:val="TableContents"/>
              <w:bidi w:val="0"/>
              <w:spacing w:before="0" w:after="0"/>
              <w:ind w:left="0" w:right="0" w:hanging="0"/>
              <w:jc w:val="lef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71,504</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71,552</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 </w:t>
            </w:r>
          </w:p>
        </w:tc>
        <w:tc>
          <w:tcPr>
            <w:tcW w:w="13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7,142</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 </w:t>
            </w:r>
          </w:p>
        </w:tc>
        <w:tc>
          <w:tcPr>
            <w:tcW w:w="1408"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 </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 </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and settlements paid</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3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vAlign w:val="center"/>
          </w:tcPr>
          <w:p>
            <w:pPr>
              <w:pStyle w:val="TableContents"/>
              <w:bidi w:val="0"/>
              <w:spacing w:before="0" w:after="0"/>
              <w:ind w:left="0" w:right="0" w:hanging="0"/>
              <w:jc w:val="righ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(7,397)</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4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69,869</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71,504</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funded status of plan</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9,503</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c>
          <w:tcPr>
            <w:tcW w:w="109" w:type="dxa"/>
            <w:tcBorders/>
            <w:vAlign w:val="center"/>
          </w:tcPr>
          <w:p>
            <w:pPr>
              <w:pStyle w:val="TableContents"/>
              <w:bidi w:val="0"/>
              <w:spacing w:before="0" w:after="0"/>
              <w:ind w:left="0" w:right="0" w:hanging="0"/>
              <w:jc w:val="righ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7,355</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reports an asset or liability on its balance sheet equal to the funded status of its pension and other postretirement benefit plans. Plans in an overfunded status are aggregated and recorded as a net pension benefit asset in other assets. Plans in an underfunded status are aggregated and recorded as a net postretirement benefit liability in other liabilities. The funded status of the Company’s pension and other retirement benefit plans is below (in thousands):</w:t>
      </w:r>
    </w:p>
    <w:p>
      <w:pPr>
        <w:pStyle w:val="TextBody"/>
        <w:bidi w:val="0"/>
        <w:spacing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00"/>
        <w:gridCol w:w="326"/>
        <w:gridCol w:w="341"/>
        <w:gridCol w:w="1093"/>
        <w:gridCol w:w="109"/>
        <w:gridCol w:w="368"/>
        <w:gridCol w:w="1181"/>
        <w:gridCol w:w="109"/>
        <w:gridCol w:w="488"/>
        <w:gridCol w:w="1464"/>
        <w:gridCol w:w="109"/>
        <w:gridCol w:w="604"/>
        <w:gridCol w:w="1513"/>
      </w:tblGrid>
      <w:tr>
        <w:trPr/>
        <w:tc>
          <w:tcPr>
            <w:tcW w:w="2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587500" cy="175260"/>
                      <wp:effectExtent l="0" t="0" r="0" b="0"/>
                      <wp:wrapNone/>
                      <wp:docPr id="453" name="Frame451"/>
                      <a:graphic xmlns:a="http://schemas.openxmlformats.org/drawingml/2006/main">
                        <a:graphicData uri="http://schemas.microsoft.com/office/word/2010/wordprocessingShape">
                          <wps:wsp>
                            <wps:cNvSpPr txBox="1"/>
                            <wps:spPr>
                              <a:xfrm>
                                <a:off x="0" y="0"/>
                                <a:ext cx="158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6535" cy="175260"/>
                      <wp:effectExtent l="0" t="0" r="0" b="0"/>
                      <wp:wrapNone/>
                      <wp:docPr id="455" name="Frame45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4055" cy="175260"/>
                      <wp:effectExtent l="0" t="0" r="0" b="0"/>
                      <wp:wrapNone/>
                      <wp:docPr id="456" name="Frame454"/>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33680" cy="175260"/>
                      <wp:effectExtent l="0" t="0" r="0" b="0"/>
                      <wp:wrapNone/>
                      <wp:docPr id="458" name="Frame456"/>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49935" cy="175260"/>
                      <wp:effectExtent l="0" t="0" r="0" b="0"/>
                      <wp:wrapNone/>
                      <wp:docPr id="459" name="Frame457"/>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09880" cy="175260"/>
                      <wp:effectExtent l="0" t="0" r="0" b="0"/>
                      <wp:wrapNone/>
                      <wp:docPr id="461" name="Frame459"/>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29640" cy="175260"/>
                      <wp:effectExtent l="0" t="0" r="0" b="0"/>
                      <wp:wrapNone/>
                      <wp:docPr id="462" name="Frame460"/>
                      <a:graphic xmlns:a="http://schemas.openxmlformats.org/drawingml/2006/main">
                        <a:graphicData uri="http://schemas.microsoft.com/office/word/2010/wordprocessingShape">
                          <wps:wsp>
                            <wps:cNvSpPr txBox="1"/>
                            <wps:spPr>
                              <a:xfrm>
                                <a:off x="0" y="0"/>
                                <a:ext cx="929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383540" cy="175260"/>
                      <wp:effectExtent l="0" t="0" r="0" b="0"/>
                      <wp:wrapNone/>
                      <wp:docPr id="464" name="Frame462"/>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960755" cy="175260"/>
                      <wp:effectExtent l="0" t="0" r="0" b="0"/>
                      <wp:wrapNone/>
                      <wp:docPr id="465" name="Frame463"/>
                      <a:graphic xmlns:a="http://schemas.openxmlformats.org/drawingml/2006/main">
                        <a:graphicData uri="http://schemas.microsoft.com/office/word/2010/wordprocessingShape">
                          <wps:wsp>
                            <wps:cNvSpPr txBox="1"/>
                            <wps:spPr>
                              <a:xfrm>
                                <a:off x="0" y="0"/>
                                <a:ext cx="960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3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109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8" w:type="dxa"/>
            <w:tcBorders/>
            <w:vAlign w:val="center"/>
          </w:tcPr>
          <w:p>
            <w:pPr>
              <w:pStyle w:val="TableContents"/>
              <w:bidi w:val="0"/>
              <w:spacing w:before="0" w:after="0"/>
              <w:ind w:left="0" w:right="0" w:hanging="0"/>
              <w:jc w:val="center"/>
              <w:rPr/>
            </w:pPr>
            <w:r>
              <w:rPr/>
              <w:t>​</w:t>
            </w:r>
          </w:p>
        </w:tc>
        <w:tc>
          <w:tcPr>
            <w:tcW w:w="11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88" w:type="dxa"/>
            <w:tcBorders/>
            <w:vAlign w:val="center"/>
          </w:tcPr>
          <w:p>
            <w:pPr>
              <w:pStyle w:val="TableContents"/>
              <w:bidi w:val="0"/>
              <w:spacing w:before="0" w:after="0"/>
              <w:ind w:left="0" w:right="0" w:hanging="0"/>
              <w:jc w:val="center"/>
              <w:rPr/>
            </w:pPr>
            <w:r>
              <w:rPr/>
              <w:t>​</w:t>
            </w:r>
          </w:p>
        </w:tc>
        <w:tc>
          <w:tcPr>
            <w:tcW w:w="146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1513" w:type="dxa"/>
            <w:tcBorders/>
            <w:vAlign w:val="center"/>
          </w:tcPr>
          <w:p>
            <w:pPr>
              <w:pStyle w:val="TableContents"/>
              <w:bidi w:val="0"/>
              <w:spacing w:before="0" w:after="0"/>
              <w:ind w:left="0" w:right="0" w:hanging="0"/>
              <w:jc w:val="center"/>
              <w:rPr/>
            </w:pPr>
            <w:r>
              <w:rPr/>
              <w:t>​</w:t>
            </w:r>
          </w:p>
        </w:tc>
      </w:tr>
      <w:tr>
        <w:trPr/>
        <w:tc>
          <w:tcPr>
            <w:tcW w:w="25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Viya Pension Benefit</w:t>
            </w:r>
          </w:p>
        </w:tc>
        <w:tc>
          <w:tcPr>
            <w:tcW w:w="109" w:type="dxa"/>
            <w:tcBorders/>
            <w:vAlign w:val="center"/>
          </w:tcPr>
          <w:p>
            <w:pPr>
              <w:pStyle w:val="TableContents"/>
              <w:bidi w:val="0"/>
              <w:spacing w:before="0" w:after="0"/>
              <w:ind w:left="0" w:right="0" w:hanging="0"/>
              <w:jc w:val="center"/>
              <w:rPr/>
            </w:pPr>
            <w:r>
              <w:rPr/>
              <w:t>​</w:t>
            </w:r>
          </w:p>
        </w:tc>
        <w:tc>
          <w:tcPr>
            <w:tcW w:w="15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Pension Benefit</w:t>
            </w:r>
          </w:p>
        </w:tc>
        <w:tc>
          <w:tcPr>
            <w:tcW w:w="109" w:type="dxa"/>
            <w:tcBorders/>
            <w:vAlign w:val="center"/>
          </w:tcPr>
          <w:p>
            <w:pPr>
              <w:pStyle w:val="TableContents"/>
              <w:bidi w:val="0"/>
              <w:spacing w:before="0" w:after="0"/>
              <w:ind w:left="0" w:right="0" w:hanging="0"/>
              <w:jc w:val="center"/>
              <w:rPr/>
            </w:pPr>
            <w:r>
              <w:rPr/>
              <w:t>​</w:t>
            </w:r>
          </w:p>
        </w:tc>
        <w:tc>
          <w:tcPr>
            <w:tcW w:w="1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Viya Postretirement Benefits</w:t>
            </w:r>
          </w:p>
        </w:tc>
        <w:tc>
          <w:tcPr>
            <w:tcW w:w="109" w:type="dxa"/>
            <w:tcBorders/>
            <w:vAlign w:val="center"/>
          </w:tcPr>
          <w:p>
            <w:pPr>
              <w:pStyle w:val="TableContents"/>
              <w:bidi w:val="0"/>
              <w:spacing w:before="0" w:after="0"/>
              <w:ind w:left="0" w:right="0" w:hanging="0"/>
              <w:jc w:val="center"/>
              <w:rPr/>
            </w:pPr>
            <w:r>
              <w:rPr/>
              <w:t>​</w:t>
            </w:r>
          </w:p>
        </w:tc>
        <w:tc>
          <w:tcPr>
            <w:tcW w:w="2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Postretirement Benefits</w:t>
            </w:r>
          </w:p>
        </w:tc>
      </w:tr>
      <w:tr>
        <w:trPr/>
        <w:tc>
          <w:tcPr>
            <w:tcW w:w="25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4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1513" w:type="dxa"/>
            <w:tcBorders/>
            <w:vAlign w:val="center"/>
          </w:tcPr>
          <w:p>
            <w:pPr>
              <w:pStyle w:val="TableContents"/>
              <w:bidi w:val="0"/>
              <w:spacing w:before="0" w:after="0"/>
              <w:ind w:left="0" w:right="0" w:hanging="0"/>
              <w:jc w:val="left"/>
              <w:rPr/>
            </w:pPr>
            <w:r>
              <w:rPr/>
              <w:t>​</w:t>
            </w:r>
          </w:p>
        </w:tc>
      </w:tr>
      <w:tr>
        <w:trPr/>
        <w:tc>
          <w:tcPr>
            <w:tcW w:w="25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benefit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49,889</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10,477</w:t>
            </w:r>
          </w:p>
        </w:tc>
        <w:tc>
          <w:tcPr>
            <w:tcW w:w="109"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109"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Net Assets</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60,250</w:t>
            </w:r>
          </w:p>
        </w:tc>
        <w:tc>
          <w:tcPr>
            <w:tcW w:w="109" w:type="dxa"/>
            <w:tcBorders/>
            <w:vAlign w:val="center"/>
          </w:tcPr>
          <w:p>
            <w:pPr>
              <w:pStyle w:val="TableContents"/>
              <w:bidi w:val="0"/>
              <w:spacing w:before="0" w:after="0"/>
              <w:ind w:left="0" w:right="0" w:hanging="0"/>
              <w:jc w:val="righ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w:t>
            </w:r>
          </w:p>
        </w:tc>
        <w:tc>
          <w:tcPr>
            <w:tcW w:w="109" w:type="dxa"/>
            <w:tcBorders/>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funded status of plan</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10,361</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109" w:type="dxa"/>
            <w:tcBorders/>
            <w:shd w:fill="CCEEFF" w:val="clear"/>
            <w:vAlign w:val="center"/>
          </w:tcPr>
          <w:p>
            <w:pPr>
              <w:pStyle w:val="TableContents"/>
              <w:bidi w:val="0"/>
              <w:spacing w:before="0" w:after="0"/>
              <w:ind w:left="0" w:right="0" w:hanging="0"/>
              <w:jc w:val="left"/>
              <w:rPr/>
            </w:pPr>
            <w:r>
              <w:rPr/>
              <w:t>​</w:t>
            </w:r>
          </w:p>
        </w:tc>
        <w:tc>
          <w:tcPr>
            <w:tcW w:w="4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109" w:type="dxa"/>
            <w:tcBorders/>
            <w:shd w:fill="CCEEFF" w:val="clear"/>
            <w:vAlign w:val="center"/>
          </w:tcPr>
          <w:p>
            <w:pPr>
              <w:pStyle w:val="TableContents"/>
              <w:bidi w:val="0"/>
              <w:spacing w:before="0" w:after="0"/>
              <w:ind w:left="0" w:right="0" w:hanging="0"/>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575"/>
        <w:gridCol w:w="109"/>
        <w:gridCol w:w="348"/>
        <w:gridCol w:w="1114"/>
        <w:gridCol w:w="109"/>
        <w:gridCol w:w="370"/>
        <w:gridCol w:w="1212"/>
        <w:gridCol w:w="109"/>
        <w:gridCol w:w="498"/>
        <w:gridCol w:w="1492"/>
        <w:gridCol w:w="109"/>
        <w:gridCol w:w="616"/>
        <w:gridCol w:w="1544"/>
      </w:tblGrid>
      <w:tr>
        <w:trPr/>
        <w:tc>
          <w:tcPr>
            <w:tcW w:w="2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635125" cy="175260"/>
                      <wp:effectExtent l="0" t="0" r="0" b="0"/>
                      <wp:wrapNone/>
                      <wp:docPr id="466" name="Frame464"/>
                      <a:graphic xmlns:a="http://schemas.openxmlformats.org/drawingml/2006/main">
                        <a:graphicData uri="http://schemas.microsoft.com/office/word/2010/wordprocessingShape">
                          <wps:wsp>
                            <wps:cNvSpPr txBox="1"/>
                            <wps:spPr>
                              <a:xfrm>
                                <a:off x="0" y="0"/>
                                <a:ext cx="163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20980" cy="175260"/>
                      <wp:effectExtent l="0" t="0" r="0" b="0"/>
                      <wp:wrapNone/>
                      <wp:docPr id="468" name="Frame46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707390" cy="175260"/>
                      <wp:effectExtent l="0" t="0" r="0" b="0"/>
                      <wp:wrapNone/>
                      <wp:docPr id="469" name="Frame467"/>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70" name="Frame4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34950" cy="175260"/>
                      <wp:effectExtent l="0" t="0" r="0" b="0"/>
                      <wp:wrapNone/>
                      <wp:docPr id="471" name="Frame46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769620" cy="175260"/>
                      <wp:effectExtent l="0" t="0" r="0" b="0"/>
                      <wp:wrapNone/>
                      <wp:docPr id="472" name="Frame470"/>
                      <a:graphic xmlns:a="http://schemas.openxmlformats.org/drawingml/2006/main">
                        <a:graphicData uri="http://schemas.microsoft.com/office/word/2010/wordprocessingShape">
                          <wps:wsp>
                            <wps:cNvSpPr txBox="1"/>
                            <wps:spPr>
                              <a:xfrm>
                                <a:off x="0" y="0"/>
                                <a:ext cx="76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9215" cy="175260"/>
                      <wp:effectExtent l="0" t="0" r="0" b="0"/>
                      <wp:wrapNone/>
                      <wp:docPr id="473" name="Frame4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16230" cy="175260"/>
                      <wp:effectExtent l="0" t="0" r="0" b="0"/>
                      <wp:wrapNone/>
                      <wp:docPr id="474" name="Frame472"/>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947420" cy="175260"/>
                      <wp:effectExtent l="0" t="0" r="0" b="0"/>
                      <wp:wrapNone/>
                      <wp:docPr id="475" name="Frame473"/>
                      <a:graphic xmlns:a="http://schemas.openxmlformats.org/drawingml/2006/main">
                        <a:graphicData uri="http://schemas.microsoft.com/office/word/2010/wordprocessingShape">
                          <wps:wsp>
                            <wps:cNvSpPr txBox="1"/>
                            <wps:spPr>
                              <a:xfrm>
                                <a:off x="0" y="0"/>
                                <a:ext cx="947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91160" cy="175260"/>
                      <wp:effectExtent l="0" t="0" r="0" b="0"/>
                      <wp:wrapNone/>
                      <wp:docPr id="477" name="Frame47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980440" cy="175260"/>
                      <wp:effectExtent l="0" t="0" r="0" b="0"/>
                      <wp:wrapNone/>
                      <wp:docPr id="478" name="Frame476"/>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2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center"/>
              <w:rPr/>
            </w:pPr>
            <w:r>
              <w:rPr/>
              <w:t>​</w:t>
            </w:r>
          </w:p>
        </w:tc>
        <w:tc>
          <w:tcPr>
            <w:tcW w:w="111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70" w:type="dxa"/>
            <w:tcBorders/>
            <w:vAlign w:val="center"/>
          </w:tcPr>
          <w:p>
            <w:pPr>
              <w:pStyle w:val="TableContents"/>
              <w:bidi w:val="0"/>
              <w:spacing w:before="0" w:after="0"/>
              <w:ind w:left="0" w:right="0" w:hanging="0"/>
              <w:jc w:val="center"/>
              <w:rPr/>
            </w:pPr>
            <w:r>
              <w:rPr/>
              <w:t>​</w:t>
            </w:r>
          </w:p>
        </w:tc>
        <w:tc>
          <w:tcPr>
            <w:tcW w:w="121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14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left"/>
              <w:rPr/>
            </w:pPr>
            <w:r>
              <w:rPr/>
              <w:t>​</w:t>
            </w:r>
          </w:p>
        </w:tc>
      </w:tr>
      <w:tr>
        <w:trPr/>
        <w:tc>
          <w:tcPr>
            <w:tcW w:w="25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Viya Pension Benefit</w:t>
            </w:r>
          </w:p>
        </w:tc>
        <w:tc>
          <w:tcPr>
            <w:tcW w:w="109" w:type="dxa"/>
            <w:tcBorders/>
            <w:vAlign w:val="center"/>
          </w:tcPr>
          <w:p>
            <w:pPr>
              <w:pStyle w:val="TableContents"/>
              <w:bidi w:val="0"/>
              <w:spacing w:before="0" w:after="0"/>
              <w:ind w:left="0" w:right="0" w:hanging="0"/>
              <w:jc w:val="center"/>
              <w:rPr/>
            </w:pPr>
            <w:r>
              <w:rPr/>
              <w:t>​</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Pension Benefit</w:t>
            </w:r>
          </w:p>
        </w:tc>
        <w:tc>
          <w:tcPr>
            <w:tcW w:w="109" w:type="dxa"/>
            <w:tcBorders/>
            <w:vAlign w:val="center"/>
          </w:tcPr>
          <w:p>
            <w:pPr>
              <w:pStyle w:val="TableContents"/>
              <w:bidi w:val="0"/>
              <w:spacing w:before="0" w:after="0"/>
              <w:ind w:left="0" w:right="0" w:hanging="0"/>
              <w:jc w:val="center"/>
              <w:rPr/>
            </w:pPr>
            <w:r>
              <w:rPr/>
              <w:t>​</w:t>
            </w:r>
          </w:p>
        </w:tc>
        <w:tc>
          <w:tcPr>
            <w:tcW w:w="1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Viya Postretirement Benefits</w:t>
            </w:r>
          </w:p>
        </w:tc>
        <w:tc>
          <w:tcPr>
            <w:tcW w:w="109" w:type="dxa"/>
            <w:tcBorders/>
            <w:vAlign w:val="center"/>
          </w:tcPr>
          <w:p>
            <w:pPr>
              <w:pStyle w:val="TableContents"/>
              <w:bidi w:val="0"/>
              <w:spacing w:before="0" w:after="0"/>
              <w:ind w:left="0" w:right="0" w:hanging="0"/>
              <w:jc w:val="center"/>
              <w:rPr/>
            </w:pPr>
            <w:r>
              <w:rPr/>
              <w:t>​</w:t>
            </w:r>
          </w:p>
        </w:tc>
        <w:tc>
          <w:tcPr>
            <w:tcW w:w="2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Alaska Postretirement Benefits</w:t>
            </w:r>
          </w:p>
        </w:tc>
      </w:tr>
      <w:tr>
        <w:trPr/>
        <w:tc>
          <w:tcPr>
            <w:tcW w:w="25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2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14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left"/>
              <w:rPr/>
            </w:pPr>
            <w:r>
              <w:rPr/>
              <w:t>​</w:t>
            </w:r>
          </w:p>
        </w:tc>
      </w:tr>
      <w:tr>
        <w:trPr/>
        <w:tc>
          <w:tcPr>
            <w:tcW w:w="25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benefit obligation</w:t>
            </w:r>
          </w:p>
        </w:tc>
        <w:tc>
          <w:tcPr>
            <w:tcW w:w="109"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53,075</w:t>
            </w:r>
          </w:p>
        </w:tc>
        <w:tc>
          <w:tcPr>
            <w:tcW w:w="109" w:type="dxa"/>
            <w:tcBorders/>
            <w:shd w:fill="CCEEFF" w:val="clear"/>
            <w:vAlign w:val="center"/>
          </w:tcPr>
          <w:p>
            <w:pPr>
              <w:pStyle w:val="TableContents"/>
              <w:bidi w:val="0"/>
              <w:spacing w:before="0" w:after="0"/>
              <w:ind w:left="0" w:right="0" w:hanging="0"/>
              <w:jc w:val="righ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11,074</w:t>
            </w:r>
          </w:p>
        </w:tc>
        <w:tc>
          <w:tcPr>
            <w:tcW w:w="109"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2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Net Assets</w:t>
            </w:r>
          </w:p>
        </w:tc>
        <w:tc>
          <w:tcPr>
            <w:tcW w:w="109"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62,142</w:t>
            </w:r>
          </w:p>
        </w:tc>
        <w:tc>
          <w:tcPr>
            <w:tcW w:w="109" w:type="dxa"/>
            <w:tcBorders/>
            <w:vAlign w:val="center"/>
          </w:tcPr>
          <w:p>
            <w:pPr>
              <w:pStyle w:val="TableContents"/>
              <w:bidi w:val="0"/>
              <w:spacing w:before="0" w:after="0"/>
              <w:ind w:left="0" w:right="0" w:hanging="0"/>
              <w:jc w:val="righ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9,362</w:t>
            </w:r>
          </w:p>
        </w:tc>
        <w:tc>
          <w:tcPr>
            <w:tcW w:w="109" w:type="dxa"/>
            <w:tcBorders/>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(Under) funded status of plan</w:t>
            </w:r>
          </w:p>
        </w:tc>
        <w:tc>
          <w:tcPr>
            <w:tcW w:w="109"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9,067</w:t>
            </w:r>
          </w:p>
        </w:tc>
        <w:tc>
          <w:tcPr>
            <w:tcW w:w="109" w:type="dxa"/>
            <w:tcBorders/>
            <w:shd w:fill="CCEEFF" w:val="clear"/>
            <w:vAlign w:val="center"/>
          </w:tcPr>
          <w:p>
            <w:pPr>
              <w:pStyle w:val="TableContents"/>
              <w:bidi w:val="0"/>
              <w:spacing w:before="0" w:after="0"/>
              <w:ind w:left="0" w:right="0" w:hanging="0"/>
              <w:jc w:val="righ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109" w:type="dxa"/>
            <w:tcBorders/>
            <w:shd w:fill="CCEEFF" w:val="clear"/>
            <w:vAlign w:val="center"/>
          </w:tcPr>
          <w:p>
            <w:pPr>
              <w:pStyle w:val="TableContents"/>
              <w:bidi w:val="0"/>
              <w:spacing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248" w:name="Tc_b50oCmjk2EGONXwk-rMX8g_8_5"/>
      <w:bookmarkStart w:id="2249" w:name="Tc_lEjrKlXZA06WVEz9kLSe0g_8_3"/>
      <w:bookmarkStart w:id="2250" w:name="Tc_pFI3M8AHY0GDjIWzPaBbWA_8_0"/>
      <w:bookmarkStart w:id="2251" w:name="Tc_ntUY1MQUCkaD9E_4fJGCBQ_7_0"/>
      <w:bookmarkStart w:id="2252" w:name="Tc_KAZD4UiMn0GmbIxU7yQBHw_6_0"/>
      <w:bookmarkStart w:id="2253" w:name="Tc_IUXPuuNHREy163VGDxrBsw_5_0"/>
      <w:bookmarkStart w:id="2254" w:name="Tc__YJn-9a5x0GLE0RyF_5g7g_4_0"/>
      <w:bookmarkStart w:id="2255" w:name="Tc_h-MzeUA1mkm-RQ3IRnX9nQ_3_0"/>
      <w:bookmarkStart w:id="2256" w:name="Tc_BXEyd3W62U6N_F-j99EMcA_2_5"/>
      <w:bookmarkStart w:id="2257" w:name="Tc_I7XaD09O70OJQQJeI8C3hw_2_3"/>
      <w:bookmarkStart w:id="2258" w:name="Tc_q3ouxxi6s0SIdoAuoVqNHA_2_0"/>
      <w:bookmarkStart w:id="2259" w:name="Tc_ymjwDE44uUu_CEmAw_q_6A_1_4"/>
      <w:bookmarkStart w:id="2260" w:name="Tc_ktA_RpY6EE6zHAiwRwbgnQ_1_2"/>
      <w:bookmarkStart w:id="2261" w:name="Tc_wf3GTUvgXkOH9XZaVX5sLg_8_8"/>
      <w:bookmarkStart w:id="2262" w:name="Tc_OjzhVTh9i0uEx1Ug7vTp2w_8_5"/>
      <w:bookmarkStart w:id="2263" w:name="Tc_etdLBuPGQ0KDzSRKNQJ7qw_8_2"/>
      <w:bookmarkStart w:id="2264" w:name="Tc_9siQkE1RlUa2T055aw6jnQ_8_0"/>
      <w:bookmarkStart w:id="2265" w:name="Tc_zD7-UvNhd0KpCW-daLJnwQ_7_9"/>
      <w:bookmarkStart w:id="2266" w:name="Tc_X7rf2tDljUmVdJYb4CbpJQ_7_0"/>
      <w:bookmarkStart w:id="2267" w:name="Tc_oqOXuo6F-keBPW9laxSbLg_6_6"/>
      <w:bookmarkStart w:id="2268" w:name="Tc_DjYTkyA-akWCbjFnBWOE2w_6_0"/>
      <w:bookmarkStart w:id="2269" w:name="Tc_uGQROt7zfE2WzswdfYIUCA_5_9"/>
      <w:bookmarkStart w:id="2270" w:name="Tc_E8AE7x6iyUm-7jgD_pE_UQ_5_0"/>
      <w:bookmarkStart w:id="2271" w:name="Tc_YQ-yrQmnckuh_U9DjcVsAQ_4_9"/>
      <w:bookmarkStart w:id="2272" w:name="Tc_-eazhNRy-kiDSwF1-F_LZA_4_0"/>
      <w:bookmarkStart w:id="2273" w:name="Tc_tUDB2XEirkiiFtALPhNPtA_3_9"/>
      <w:bookmarkStart w:id="2274" w:name="Tc_e2BBQvC_0kiYhrQbxqjfZQ_3_0"/>
      <w:bookmarkStart w:id="2275" w:name="Tc_1QL8WWvdrkaaeHhmRGPS7g_2_9"/>
      <w:bookmarkStart w:id="2276" w:name="Tc_e_uU-c3vFki-zjfrKQKfWg_2_8"/>
      <w:bookmarkStart w:id="2277" w:name="Tc_AhdchuWc9UiUV9fQMu_jzQ_2_5"/>
      <w:bookmarkStart w:id="2278" w:name="Tc_5n8OFkY8rkG4fMXzoD-kuQ_2_2"/>
      <w:bookmarkStart w:id="2279" w:name="Tc_lrz3UPG8YUKrawdwYmoI3g_2_0"/>
      <w:bookmarkStart w:id="2280" w:name="Tc_-Cd8OVAOWkGS-yqBiPKzcQ_1_8"/>
      <w:bookmarkStart w:id="2281" w:name="Tc_AjyIfbOGT0eT_z8a6LGHbg_1_5"/>
      <w:bookmarkStart w:id="2282" w:name="Tc_c1z57x-_x06YhwK-NMfzVQ_1_2"/>
      <w:bookmarkStart w:id="2283" w:name="Tc_sHYI7BkAA0aghhk6MCpU5A_1_0"/>
      <w:bookmarkStart w:id="2284" w:name="_955ae545_2d5c_4da5_bb5e_51f0b54b4265"/>
      <w:bookmarkStart w:id="2285" w:name="Tc_VrrhukAE3EqNp8pr2HxvVw_8_8"/>
      <w:bookmarkStart w:id="2286" w:name="Tc_kCH-IBFPXEeLVtIw1G_2PQ_8_5"/>
      <w:bookmarkStart w:id="2287" w:name="Tc__ke850N_MECeXso8m87BZA_8_2"/>
      <w:bookmarkStart w:id="2288" w:name="Tc_FAqSsyJ-W0OEBeuzDtX-7A_8_0"/>
      <w:bookmarkStart w:id="2289" w:name="Tc_rZepZ4hFJkyco-VEWXvzQQ_7_9"/>
      <w:bookmarkStart w:id="2290" w:name="Tc_SmU4-mZutU2K_vJ6I8aE-Q_7_0"/>
      <w:bookmarkStart w:id="2291" w:name="Tc_dmzZHz4nrUqy9cPfx4unkw_6_6"/>
      <w:bookmarkStart w:id="2292" w:name="Tc_17txSyfuPUeoYFHYyUeJ0A_6_0"/>
      <w:bookmarkStart w:id="2293" w:name="Tc_BZpfGk0gZkOy5uLkdCBDcw_5_9"/>
      <w:bookmarkStart w:id="2294" w:name="Tc_f9xDcAV8W06tfXou83ryrw_5_0"/>
      <w:bookmarkStart w:id="2295" w:name="Tc_MMOPHDUMREaUAqR3OZnlgA_4_9"/>
      <w:bookmarkStart w:id="2296" w:name="Tc_zQavezz1qk2SczRonRtNqw_4_0"/>
      <w:bookmarkStart w:id="2297" w:name="Tc_CsYd0orm0EKEoiVzJGydJA_3_9"/>
      <w:bookmarkStart w:id="2298" w:name="Tc_VJhR7572DkGm2mq9tef0gw_3_0"/>
      <w:bookmarkStart w:id="2299" w:name="Tc_KNIgjjIxxUubsCaj9mkp4g_2_9"/>
      <w:bookmarkStart w:id="2300" w:name="Tc_PldB1Bl_J0GgIyZRxBXhtw_2_8"/>
      <w:bookmarkStart w:id="2301" w:name="Tc_Uq9-W5Gv7USYZx42WnTH8g_2_5"/>
      <w:bookmarkStart w:id="2302" w:name="Tc_CyKQ5IEyPEeFOqSY1fpGCw_2_2"/>
      <w:bookmarkStart w:id="2303" w:name="Tc__9M0JwsvikOtCQN3MLSy_A_2_0"/>
      <w:bookmarkStart w:id="2304" w:name="Tc_tQQhSFoM80eOCbd0tN_ZqA_1_8"/>
      <w:bookmarkStart w:id="2305" w:name="Tc_YSQlYxnk6kWodyPnHtFWUw_1_5"/>
      <w:bookmarkStart w:id="2306" w:name="Tc_oEnE4npqy0mZl8isNCn6eg_1_2"/>
      <w:bookmarkStart w:id="2307" w:name="Tc_innhU1zAC0S-GX2TPUU-fQ_1_0"/>
      <w:bookmarkStart w:id="2308" w:name="_ac1552ea_6b08_48f9_bed2_4119958c3ad4"/>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r>
        <w:rPr>
          <w:rFonts w:ascii="Times New Roman;Times;serif" w:hAnsi="Times New Roman;Times;serif"/>
          <w:sz w:val="20"/>
        </w:rPr>
        <w:t xml:space="preserve">The Company’s investment policy for its pension assets is to have a reasonably balanced investment approach, with a long-term bias toward debt investments. The Company’s strategy allocates plan assets among equity, debt and other assets to achieve long-term returns without significant risk to principal. The pension fund has limitations from investing in the equity, debt or other securities of the employer, its subsidiaries or associates of the employer or any company of which the employer is a subsidiary or an associate.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values for the pension plan’s net assets, by asset category, at December 31, 2024 are as follows (in thousands): </w:t>
      </w:r>
    </w:p>
    <w:tbl>
      <w:tblPr>
        <w:tblW w:w="7926" w:type="dxa"/>
        <w:jc w:val="left"/>
        <w:tblInd w:w="0" w:type="dxa"/>
        <w:tblLayout w:type="fixed"/>
        <w:tblCellMar>
          <w:top w:w="0" w:type="dxa"/>
          <w:left w:w="0" w:type="dxa"/>
          <w:bottom w:w="0" w:type="dxa"/>
          <w:right w:w="0" w:type="dxa"/>
        </w:tblCellMar>
      </w:tblPr>
      <w:tblGrid>
        <w:gridCol w:w="4096"/>
        <w:gridCol w:w="326"/>
        <w:gridCol w:w="211"/>
        <w:gridCol w:w="676"/>
        <w:gridCol w:w="326"/>
        <w:gridCol w:w="211"/>
        <w:gridCol w:w="676"/>
        <w:gridCol w:w="326"/>
        <w:gridCol w:w="211"/>
        <w:gridCol w:w="676"/>
        <w:gridCol w:w="19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600960" cy="175260"/>
                      <wp:effectExtent l="0" t="0" r="0" b="0"/>
                      <wp:wrapNone/>
                      <wp:docPr id="479" name="Frame477"/>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9260" cy="175260"/>
                      <wp:effectExtent l="0" t="0" r="0" b="0"/>
                      <wp:wrapNone/>
                      <wp:docPr id="482" name="Frame4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85" name="Frame4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9260" cy="175260"/>
                      <wp:effectExtent l="0" t="0" r="0" b="0"/>
                      <wp:wrapNone/>
                      <wp:docPr id="488" name="Frame4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21285" cy="175260"/>
                      <wp:effectExtent l="0" t="0" r="0" b="0"/>
                      <wp:wrapNone/>
                      <wp:docPr id="489" name="Frame48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91" w:type="dxa"/>
            <w:tcBorders/>
            <w:vAlign w:val="center"/>
          </w:tcPr>
          <w:p>
            <w:pPr>
              <w:pStyle w:val="TableContents"/>
              <w:bidi w:val="0"/>
              <w:spacing w:before="0" w:after="0"/>
              <w:ind w:left="0" w:right="0" w:hanging="0"/>
              <w:jc w:val="center"/>
              <w:rPr/>
            </w:pPr>
            <w:r>
              <w:rPr/>
              <w:t> </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money markets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fixed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equities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31,421</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values for the pension plan’s net assets, by asset category, at December 31, 2023 are as follows (in thousands): </w:t>
      </w:r>
    </w:p>
    <w:tbl>
      <w:tblPr>
        <w:tblW w:w="7840" w:type="dxa"/>
        <w:jc w:val="left"/>
        <w:tblInd w:w="0" w:type="dxa"/>
        <w:tblLayout w:type="fixed"/>
        <w:tblCellMar>
          <w:top w:w="0" w:type="dxa"/>
          <w:left w:w="0" w:type="dxa"/>
          <w:bottom w:w="0" w:type="dxa"/>
          <w:right w:w="0" w:type="dxa"/>
        </w:tblCellMar>
      </w:tblPr>
      <w:tblGrid>
        <w:gridCol w:w="4096"/>
        <w:gridCol w:w="326"/>
        <w:gridCol w:w="211"/>
        <w:gridCol w:w="676"/>
        <w:gridCol w:w="326"/>
        <w:gridCol w:w="211"/>
        <w:gridCol w:w="676"/>
        <w:gridCol w:w="326"/>
        <w:gridCol w:w="211"/>
        <w:gridCol w:w="78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600960" cy="175260"/>
                      <wp:effectExtent l="0" t="0" r="0" b="0"/>
                      <wp:wrapNone/>
                      <wp:docPr id="490" name="Frame488"/>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29260" cy="175260"/>
                      <wp:effectExtent l="0" t="0" r="0" b="0"/>
                      <wp:wrapNone/>
                      <wp:docPr id="493" name="Frame4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29260" cy="175260"/>
                      <wp:effectExtent l="0" t="0" r="0" b="0"/>
                      <wp:wrapNone/>
                      <wp:docPr id="496" name="Frame4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99" name="Frame4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money markets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fixed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equities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33,728</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plan’s weighted-average asset allocations at December 31, 2024 and 2023, by asset category are as follows:</w:t>
      </w:r>
    </w:p>
    <w:p>
      <w:pPr>
        <w:pStyle w:val="TextBody"/>
        <w:bidi w:val="0"/>
        <w:spacing w:before="280" w:after="0"/>
        <w:ind w:left="0" w:right="0" w:hanging="0"/>
        <w:jc w:val="left"/>
        <w:rPr/>
      </w:pPr>
      <w:r>
        <w:rPr/>
        <w:t>​</w:t>
      </w:r>
    </w:p>
    <w:tbl>
      <w:tblPr>
        <w:tblW w:w="6031" w:type="dxa"/>
        <w:jc w:val="left"/>
        <w:tblInd w:w="0" w:type="dxa"/>
        <w:tblLayout w:type="fixed"/>
        <w:tblCellMar>
          <w:top w:w="0" w:type="dxa"/>
          <w:left w:w="0" w:type="dxa"/>
          <w:bottom w:w="0" w:type="dxa"/>
          <w:right w:w="0" w:type="dxa"/>
        </w:tblCellMar>
      </w:tblPr>
      <w:tblGrid>
        <w:gridCol w:w="4096"/>
        <w:gridCol w:w="326"/>
        <w:gridCol w:w="466"/>
        <w:gridCol w:w="361"/>
        <w:gridCol w:w="466"/>
        <w:gridCol w:w="316"/>
      </w:tblGrid>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money markets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fixed income</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 - equities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309" w:name="Tc_4ynR11nd3EaOMzCqH1KKIw_10_17"/>
      <w:bookmarkStart w:id="2310" w:name="Tc_YAXgG7BCeEeWfxDwLOId-A_10_14"/>
      <w:bookmarkStart w:id="2311" w:name="Tc_f4HN4IiMQ0OYZEjddeWihw_10_11"/>
      <w:bookmarkStart w:id="2312" w:name="Tc_DbmcoaNyk0Kel1DmOp5Ytg_10_8"/>
      <w:bookmarkStart w:id="2313" w:name="Tc_Vq8Q2ThDLEiwFONr6kF1Aw_10_5"/>
      <w:bookmarkStart w:id="2314" w:name="Tc_vycy_lLNGkmGX7c1QZOuww_10_2"/>
      <w:bookmarkStart w:id="2315" w:name="Tc_yE_ylnd58UqcEAq24zonRw_10_0"/>
      <w:bookmarkStart w:id="2316" w:name="Tc_c5XKTQPjkUKcE762aOVNLQ_9_18"/>
      <w:bookmarkStart w:id="2317" w:name="Tc_l4kCxGsouEaTRLqrcW4Edw_9_12"/>
      <w:bookmarkStart w:id="2318" w:name="Tc_GPmVUKpYbUCsfnoWAfn9AQ_9_9"/>
      <w:bookmarkStart w:id="2319" w:name="Tc_Qz9OA_e0xUKFea6cKMYIAw_9_6"/>
      <w:bookmarkStart w:id="2320" w:name="Tc_RBjtXBmdLE2sZVoMgaHxpw_9_3"/>
      <w:bookmarkStart w:id="2321" w:name="Tc_97cHuAu_7EGwlXe0_SvYQA_9_0"/>
      <w:bookmarkStart w:id="2322" w:name="Tc_IvsxP6qijk-87FfNbynWIA_8_18"/>
      <w:bookmarkStart w:id="2323" w:name="Tc_vBFtSQW5R0q6oitcYSXzLA_8_15"/>
      <w:bookmarkStart w:id="2324" w:name="Tc_6fegQvSNRk6bq09rCPHe_A_8_0"/>
      <w:bookmarkStart w:id="2325" w:name="Tc_Mri4A5Vi9kWkrHl34aTvlg_7_18"/>
      <w:bookmarkStart w:id="2326" w:name="Tc_LspHWE31o0izPx_4I_IqfQ_7_12"/>
      <w:bookmarkStart w:id="2327" w:name="Tc_yYgVe3lGc0Ke-gvb2eiFtg_7_6"/>
      <w:bookmarkStart w:id="2328" w:name="Tc_ClJcS6xQ4kqBSFpqwNyoGA_7_0"/>
      <w:bookmarkStart w:id="2329" w:name="Tc_2QjDbQqSq0-0rROuT5a9oA_6_0"/>
      <w:bookmarkStart w:id="2330" w:name="Tc_pABWm0HbZUWN5TbswDpLdw_5_0"/>
      <w:bookmarkStart w:id="2331" w:name="Tc_60JXU0EQQkumqrFvCpd5Ag_4_17"/>
      <w:bookmarkStart w:id="2332" w:name="Tc_97io5GKvKEqucveCoVEpZA_4_14"/>
      <w:bookmarkStart w:id="2333" w:name="Tc_dSArgS_Ff0WrvgUcavpRsA_4_11"/>
      <w:bookmarkStart w:id="2334" w:name="Tc_WgQTKsJGx0qKKhB45yVCeQ_4_8"/>
      <w:bookmarkStart w:id="2335" w:name="Tc_GubAa_Jld02x9laaHtiO3w_4_5"/>
      <w:bookmarkStart w:id="2336" w:name="Tc_WkLNroyxCkWZvjcK0Bt04g_4_2"/>
      <w:bookmarkStart w:id="2337" w:name="Tc_yIDGMQo-jE2OdbCAcV9M8w_4_0"/>
      <w:bookmarkStart w:id="2338" w:name="Tc_27F7fUTRg0mT1PLeI5S9qA_3_0"/>
      <w:bookmarkStart w:id="2339" w:name="Tc_D6_S9P69xU29JwQrg0Vztw_2_17"/>
      <w:bookmarkStart w:id="2340" w:name="Tc_Eeg8c1FS3kivLm-CJ8aWhQ_2_14"/>
      <w:bookmarkStart w:id="2341" w:name="Tc_Mx7bzmeny0imCdjigSW4FA_2_11"/>
      <w:bookmarkStart w:id="2342" w:name="Tc_z8RFKhOwO0S-vvBGmG-XqQ_2_8"/>
      <w:bookmarkStart w:id="2343" w:name="Tc_w6PUJ0_LbUWCJ_5OjYzm9A_2_5"/>
      <w:bookmarkStart w:id="2344" w:name="Tc_G8_ZeXJNMEaLs0mmrakcUA_2_2"/>
      <w:bookmarkStart w:id="2345" w:name="Tc_GZ5lkWAPcU2i8NQx4HSZ3Q_1_14"/>
      <w:bookmarkStart w:id="2346" w:name="Tc_yKSzEq4hjUKuLd5ch1W3JA_1_8"/>
      <w:bookmarkStart w:id="2347" w:name="Tc_A4ImNG5IoUCYKFfuvoUl9g_1_2"/>
      <w:bookmarkStart w:id="2348" w:name="_9e70fc38_56f3_44bf_b6ab_1d61cf31958a"/>
      <w:bookmarkStart w:id="2349" w:name="Tc_jBJ4_drsYk6jb_uLaPFzIQ_7_0"/>
      <w:bookmarkStart w:id="2350" w:name="Tc_ywiqCxjcZ0Cr7iHf9gnD_A_6_0"/>
      <w:bookmarkStart w:id="2351" w:name="Tc_PEJ8oSqCqUqH_imhzNWfxw_5_11"/>
      <w:bookmarkStart w:id="2352" w:name="Tc_jCv05JJ08kaR-4z5d1vYIg_5_8"/>
      <w:bookmarkStart w:id="2353" w:name="Tc_i_qubKSn_EqgcViPF2pRAA_5_5"/>
      <w:bookmarkStart w:id="2354" w:name="Tc_5XMN76xRE0GK76ohw-Mgkw_5_2"/>
      <w:bookmarkStart w:id="2355" w:name="Tc_XkTEG0g21UO67R0CkNl5dw_5_0"/>
      <w:bookmarkStart w:id="2356" w:name="Tc_yPFIqPRTOk-p2xTt0e1ZSA_3_11"/>
      <w:bookmarkStart w:id="2357" w:name="Tc_-DNOT6-txUm2THmtJcZnjw_3_8"/>
      <w:bookmarkStart w:id="2358" w:name="Tc_qAsmwE9Ej06Lffg0Q343SQ_3_5"/>
      <w:bookmarkStart w:id="2359" w:name="Tc_BG7BXwXEWEuEZXYphdSidQ_3_2"/>
      <w:bookmarkStart w:id="2360" w:name="Tc_iLYsUNs20USqwbDw3iaI6Q_2_8"/>
      <w:bookmarkStart w:id="2361" w:name="Tc_fq-TjN2O_0aYFuKBocPcSA_2_2"/>
      <w:bookmarkStart w:id="2362" w:name="Tc_yUwg-dXCvUyGxjgCBUTfxw_1_2"/>
      <w:bookmarkStart w:id="2363" w:name="_ef6de075_fe5d_4e9d_b6fb_9c8b97db2f55"/>
      <w:bookmarkStart w:id="2364" w:name="Tc_2cOVQ1qH-0mmd-8-8DXE5w_8_0"/>
      <w:bookmarkStart w:id="2365" w:name="Tc_kWPM-VHkbUiQismVvd4wYg_7_12"/>
      <w:bookmarkStart w:id="2366" w:name="Tc_4426zI0sDkqlYwSmcmavzw_7_6"/>
      <w:bookmarkStart w:id="2367" w:name="Tc_YPBxZ7r_ZkCF9qz9bdq_VA_7_0"/>
      <w:bookmarkStart w:id="2368" w:name="Tc__HtnF2QXNkCuB3Kk2n88Dw_6_0"/>
      <w:bookmarkStart w:id="2369" w:name="Tc_I0hWDaKGCkezlum5WNhdZQ_5_11"/>
      <w:bookmarkStart w:id="2370" w:name="Tc_tUztL_iYVEa8sjWgSTqQ6w_5_9"/>
      <w:bookmarkStart w:id="2371" w:name="Tc_bu5iTXBglkO2Jdxx9eAQpg_5_8"/>
      <w:bookmarkStart w:id="2372" w:name="Tc_4THHAf76TE6w0K-p9chVvg_5_5"/>
      <w:bookmarkStart w:id="2373" w:name="Tc_6-F-LnyarU6h7z2tToHksw_5_3"/>
      <w:bookmarkStart w:id="2374" w:name="Tc_Hl2fZFwq8k-dG0-YedNqgg_5_2"/>
      <w:bookmarkStart w:id="2375" w:name="Tc_xARQGE9TX0C_KWI71PNBLA_5_0"/>
      <w:bookmarkStart w:id="2376" w:name="Tc_3VYPah4GAEWDds7_Y-NSAw_3_11"/>
      <w:bookmarkStart w:id="2377" w:name="Tc_2qoo9bBcWUWkhuHeSgFumg_3_8"/>
      <w:bookmarkStart w:id="2378" w:name="Tc_rv6SWaA9SEeLZY48e0-_oA_3_5"/>
      <w:bookmarkStart w:id="2379" w:name="Tc_gGS2EHE_ykeUulBDZo7wzQ_3_2"/>
      <w:bookmarkStart w:id="2380" w:name="Tc_ZuCKBxrpC0-02KetGdu8rg_2_8"/>
      <w:bookmarkStart w:id="2381" w:name="Tc_aY6lhWKbwEuykyMsZVpzjw_2_2"/>
      <w:bookmarkStart w:id="2382" w:name="Tc_Y7fiBj27nUy5y3t3hlhc1w_1_2"/>
      <w:bookmarkStart w:id="2383" w:name="_2478f758_db08_43cd_a92d_b9f4a25213ce"/>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r>
        <w:rPr>
          <w:rFonts w:ascii="Times New Roman;Times;serif" w:hAnsi="Times New Roman;Times;serif"/>
          <w:sz w:val="20"/>
        </w:rPr>
        <w:t>Amounts recognized on the Company’s consolidated balance sheets consist of (in thousands):</w:t>
      </w:r>
    </w:p>
    <w:tbl>
      <w:tblPr>
        <w:tblW w:w="10205" w:type="dxa"/>
        <w:jc w:val="left"/>
        <w:tblInd w:w="0" w:type="dxa"/>
        <w:tblLayout w:type="fixed"/>
        <w:tblCellMar>
          <w:top w:w="0" w:type="dxa"/>
          <w:left w:w="0" w:type="dxa"/>
          <w:bottom w:w="0" w:type="dxa"/>
          <w:right w:w="0" w:type="dxa"/>
        </w:tblCellMar>
      </w:tblPr>
      <w:tblGrid>
        <w:gridCol w:w="3825"/>
        <w:gridCol w:w="109"/>
        <w:gridCol w:w="281"/>
        <w:gridCol w:w="904"/>
        <w:gridCol w:w="109"/>
        <w:gridCol w:w="448"/>
        <w:gridCol w:w="1216"/>
        <w:gridCol w:w="326"/>
        <w:gridCol w:w="314"/>
        <w:gridCol w:w="850"/>
        <w:gridCol w:w="109"/>
        <w:gridCol w:w="405"/>
        <w:gridCol w:w="1309"/>
      </w:tblGrid>
      <w:tr>
        <w:trPr/>
        <w:tc>
          <w:tcPr>
            <w:tcW w:w="3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428875" cy="175260"/>
                      <wp:effectExtent l="0" t="0" r="0" b="0"/>
                      <wp:wrapNone/>
                      <wp:docPr id="500" name="Frame498"/>
                      <a:graphic xmlns:a="http://schemas.openxmlformats.org/drawingml/2006/main">
                        <a:graphicData uri="http://schemas.microsoft.com/office/word/2010/wordprocessingShape">
                          <wps:wsp>
                            <wps:cNvSpPr txBox="1"/>
                            <wps:spPr>
                              <a:xfrm>
                                <a:off x="0" y="0"/>
                                <a:ext cx="2428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260"/>
                      <wp:effectExtent l="0" t="0" r="0" b="0"/>
                      <wp:wrapNone/>
                      <wp:docPr id="501" name="Frame4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78435" cy="175260"/>
                      <wp:effectExtent l="0" t="0" r="0" b="0"/>
                      <wp:wrapNone/>
                      <wp:docPr id="502" name="Frame50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74040" cy="175260"/>
                      <wp:effectExtent l="0" t="0" r="0" b="0"/>
                      <wp:wrapNone/>
                      <wp:docPr id="503" name="Frame50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260"/>
                      <wp:effectExtent l="0" t="0" r="0" b="0"/>
                      <wp:wrapNone/>
                      <wp:docPr id="504"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84480" cy="175260"/>
                      <wp:effectExtent l="0" t="0" r="0" b="0"/>
                      <wp:wrapNone/>
                      <wp:docPr id="505" name="Frame50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72160" cy="175260"/>
                      <wp:effectExtent l="0" t="0" r="0" b="0"/>
                      <wp:wrapNone/>
                      <wp:docPr id="506" name="Frame50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99390" cy="175260"/>
                      <wp:effectExtent l="0" t="0" r="0" b="0"/>
                      <wp:wrapNone/>
                      <wp:docPr id="508" name="Frame506"/>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39750" cy="175260"/>
                      <wp:effectExtent l="0" t="0" r="0" b="0"/>
                      <wp:wrapNone/>
                      <wp:docPr id="509" name="Frame507"/>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9215" cy="175260"/>
                      <wp:effectExtent l="0" t="0" r="0" b="0"/>
                      <wp:wrapNone/>
                      <wp:docPr id="510"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57175" cy="175260"/>
                      <wp:effectExtent l="0" t="0" r="0" b="0"/>
                      <wp:wrapNone/>
                      <wp:docPr id="511" name="Frame509"/>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831215" cy="175260"/>
                      <wp:effectExtent l="0" t="0" r="0" b="0"/>
                      <wp:wrapNone/>
                      <wp:docPr id="512" name="Frame510"/>
                      <a:graphic xmlns:a="http://schemas.openxmlformats.org/drawingml/2006/main">
                        <a:graphicData uri="http://schemas.microsoft.com/office/word/2010/wordprocessingShape">
                          <wps:wsp>
                            <wps:cNvSpPr txBox="1"/>
                            <wps:spPr>
                              <a:xfrm>
                                <a:off x="0" y="0"/>
                                <a:ext cx="831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29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26" w:type="dxa"/>
            <w:tcBorders/>
            <w:vAlign w:val="center"/>
          </w:tcPr>
          <w:p>
            <w:pPr>
              <w:pStyle w:val="TableContents"/>
              <w:bidi w:val="0"/>
              <w:spacing w:before="0" w:after="0"/>
              <w:ind w:left="0" w:right="0" w:hanging="0"/>
              <w:jc w:val="center"/>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38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center"/>
              <w:rPr/>
            </w:pPr>
            <w:r>
              <w:rPr/>
              <w:t>​</w:t>
            </w:r>
          </w:p>
        </w:tc>
        <w:tc>
          <w:tcPr>
            <w:tcW w:w="9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48"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14" w:type="dxa"/>
            <w:tcBorders/>
            <w:vAlign w:val="center"/>
          </w:tcPr>
          <w:p>
            <w:pPr>
              <w:pStyle w:val="TableContents"/>
              <w:bidi w:val="0"/>
              <w:spacing w:before="0" w:after="0"/>
              <w:ind w:left="0" w:right="0" w:hanging="0"/>
              <w:jc w:val="center"/>
              <w:rPr/>
            </w:pPr>
            <w:r>
              <w:rPr/>
              <w:t>​</w:t>
            </w:r>
          </w:p>
        </w:tc>
        <w:tc>
          <w:tcPr>
            <w:tcW w:w="8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center"/>
              <w:rPr/>
            </w:pPr>
            <w:r>
              <w:rPr/>
              <w:t>​</w:t>
            </w:r>
          </w:p>
        </w:tc>
        <w:tc>
          <w:tcPr>
            <w:tcW w:w="1309" w:type="dxa"/>
            <w:tcBorders/>
            <w:vAlign w:val="center"/>
          </w:tcPr>
          <w:p>
            <w:pPr>
              <w:pStyle w:val="TableContents"/>
              <w:bidi w:val="0"/>
              <w:spacing w:before="0" w:after="0"/>
              <w:ind w:left="0" w:right="0" w:hanging="0"/>
              <w:jc w:val="center"/>
              <w:rPr/>
            </w:pPr>
            <w:r>
              <w:rPr/>
              <w:t>​</w:t>
            </w:r>
          </w:p>
        </w:tc>
      </w:tr>
      <w:tr>
        <w:trPr/>
        <w:tc>
          <w:tcPr>
            <w:tcW w:w="3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3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Liabilities </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109"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109"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1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w:t>
            </w:r>
          </w:p>
        </w:tc>
      </w:tr>
      <w:tr>
        <w:trPr/>
        <w:tc>
          <w:tcPr>
            <w:tcW w:w="3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righ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10,363</w:t>
            </w:r>
          </w:p>
        </w:tc>
        <w:tc>
          <w:tcPr>
            <w:tcW w:w="109"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w:t>
            </w:r>
          </w:p>
        </w:tc>
        <w:tc>
          <w:tcPr>
            <w:tcW w:w="109"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right"/>
              <w:rPr/>
            </w:pPr>
            <w:r>
              <w:rPr/>
              <w:t> </w:t>
            </w:r>
          </w:p>
        </w:tc>
        <w:tc>
          <w:tcPr>
            <w:tcW w:w="1309" w:type="dxa"/>
            <w:tcBorders/>
            <w:shd w:fill="CCEEFF" w:val="clear"/>
            <w:vAlign w:val="center"/>
          </w:tcPr>
          <w:p>
            <w:pPr>
              <w:pStyle w:val="TableContents"/>
              <w:bidi w:val="0"/>
              <w:spacing w:before="0" w:after="0"/>
              <w:ind w:left="0" w:right="0" w:hanging="0"/>
              <w:jc w:val="right"/>
              <w:rPr/>
            </w:pPr>
            <w:r>
              <w:rPr/>
              <w:t>—</w:t>
            </w:r>
          </w:p>
        </w:tc>
      </w:tr>
      <w:tr>
        <w:trPr/>
        <w:tc>
          <w:tcPr>
            <w:tcW w:w="3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net of tax</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10,348</w:t>
            </w:r>
          </w:p>
        </w:tc>
        <w:tc>
          <w:tcPr>
            <w:tcW w:w="109"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8,592</w:t>
            </w:r>
          </w:p>
        </w:tc>
        <w:tc>
          <w:tcPr>
            <w:tcW w:w="109"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130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1,415</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recognized in accumulated other comprehensive income consist of (in thousands):</w:t>
      </w:r>
    </w:p>
    <w:tbl>
      <w:tblPr>
        <w:tblW w:w="10205" w:type="dxa"/>
        <w:jc w:val="left"/>
        <w:tblInd w:w="0" w:type="dxa"/>
        <w:tblLayout w:type="fixed"/>
        <w:tblCellMar>
          <w:top w:w="0" w:type="dxa"/>
          <w:left w:w="0" w:type="dxa"/>
          <w:bottom w:w="0" w:type="dxa"/>
          <w:right w:w="0" w:type="dxa"/>
        </w:tblCellMar>
      </w:tblPr>
      <w:tblGrid>
        <w:gridCol w:w="3629"/>
        <w:gridCol w:w="326"/>
        <w:gridCol w:w="265"/>
        <w:gridCol w:w="896"/>
        <w:gridCol w:w="109"/>
        <w:gridCol w:w="438"/>
        <w:gridCol w:w="1188"/>
        <w:gridCol w:w="326"/>
        <w:gridCol w:w="292"/>
        <w:gridCol w:w="842"/>
        <w:gridCol w:w="109"/>
        <w:gridCol w:w="438"/>
        <w:gridCol w:w="1188"/>
        <w:gridCol w:w="159"/>
      </w:tblGrid>
      <w:tr>
        <w:trPr/>
        <w:tc>
          <w:tcPr>
            <w:tcW w:w="36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36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9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59" w:type="dxa"/>
            <w:tcBorders/>
            <w:vAlign w:val="center"/>
          </w:tcPr>
          <w:p>
            <w:pPr>
              <w:pStyle w:val="TableContents"/>
              <w:bidi w:val="0"/>
              <w:spacing w:before="0" w:after="0"/>
              <w:ind w:left="0" w:right="0" w:hanging="0"/>
              <w:jc w:val="left"/>
              <w:rPr/>
            </w:pPr>
            <w:r>
              <w:rPr/>
              <w:t>​</w:t>
            </w:r>
          </w:p>
        </w:tc>
      </w:tr>
      <w:tr>
        <w:trPr/>
        <w:tc>
          <w:tcPr>
            <w:tcW w:w="36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28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9" w:type="dxa"/>
            <w:tcBorders/>
            <w:vAlign w:val="center"/>
          </w:tcPr>
          <w:p>
            <w:pPr>
              <w:pStyle w:val="TableContents"/>
              <w:bidi w:val="0"/>
              <w:spacing w:before="0" w:after="0"/>
              <w:ind w:left="0" w:right="0" w:hanging="0"/>
              <w:jc w:val="left"/>
              <w:rPr/>
            </w:pPr>
            <w:r>
              <w:rPr/>
              <w:t>​</w:t>
            </w:r>
          </w:p>
        </w:tc>
      </w:tr>
      <w:tr>
        <w:trPr/>
        <w:tc>
          <w:tcPr>
            <w:tcW w:w="36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6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26" w:type="dxa"/>
            <w:tcBorders/>
            <w:vAlign w:val="center"/>
          </w:tcPr>
          <w:p>
            <w:pPr>
              <w:pStyle w:val="TableContents"/>
              <w:bidi w:val="0"/>
              <w:spacing w:before="0" w:after="0"/>
              <w:ind w:left="0" w:right="0" w:hanging="0"/>
              <w:jc w:val="center"/>
              <w:rPr/>
            </w:pPr>
            <w:r>
              <w:rPr/>
              <w:t>​</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6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59" w:type="dxa"/>
            <w:tcBorders/>
            <w:vAlign w:val="center"/>
          </w:tcPr>
          <w:p>
            <w:pPr>
              <w:pStyle w:val="TableContents"/>
              <w:bidi w:val="0"/>
              <w:spacing w:before="0" w:after="0"/>
              <w:ind w:left="0" w:right="0" w:hanging="0"/>
              <w:jc w:val="left"/>
              <w:rPr/>
            </w:pPr>
            <w:r>
              <w:rPr/>
              <w:t>​</w:t>
            </w:r>
          </w:p>
        </w:tc>
      </w:tr>
      <w:tr>
        <w:trPr/>
        <w:tc>
          <w:tcPr>
            <w:tcW w:w="36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5"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8" w:type="dxa"/>
            <w:tcBorders/>
            <w:vAlign w:val="center"/>
          </w:tcPr>
          <w:p>
            <w:pPr>
              <w:pStyle w:val="TableContents"/>
              <w:bidi w:val="0"/>
              <w:spacing w:before="0" w:after="0"/>
              <w:ind w:left="0" w:right="0" w:hanging="0"/>
              <w:jc w:val="center"/>
              <w:rPr/>
            </w:pPr>
            <w:r>
              <w:rPr/>
              <w:t>​</w:t>
            </w:r>
          </w:p>
        </w:tc>
        <w:tc>
          <w:tcPr>
            <w:tcW w:w="11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92" w:type="dxa"/>
            <w:tcBorders/>
            <w:vAlign w:val="center"/>
          </w:tcPr>
          <w:p>
            <w:pPr>
              <w:pStyle w:val="TableContents"/>
              <w:bidi w:val="0"/>
              <w:spacing w:before="0" w:after="0"/>
              <w:ind w:left="0" w:right="0" w:hanging="0"/>
              <w:jc w:val="center"/>
              <w:rPr/>
            </w:pPr>
            <w:r>
              <w:rPr/>
              <w:t>​</w:t>
            </w:r>
          </w:p>
        </w:tc>
        <w:tc>
          <w:tcPr>
            <w:tcW w:w="8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8" w:type="dxa"/>
            <w:tcBorders/>
            <w:vAlign w:val="center"/>
          </w:tcPr>
          <w:p>
            <w:pPr>
              <w:pStyle w:val="TableContents"/>
              <w:bidi w:val="0"/>
              <w:spacing w:before="0" w:after="0"/>
              <w:ind w:left="0" w:right="0" w:hanging="0"/>
              <w:jc w:val="center"/>
              <w:rPr/>
            </w:pPr>
            <w:r>
              <w:rPr/>
              <w:t>​</w:t>
            </w:r>
          </w:p>
        </w:tc>
        <w:tc>
          <w:tcPr>
            <w:tcW w:w="1188" w:type="dxa"/>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0"/>
              <w:ind w:left="0" w:right="0" w:hanging="0"/>
              <w:jc w:val="left"/>
              <w:rPr/>
            </w:pPr>
            <w:r>
              <w:rPr/>
              <w:t>​</w:t>
            </w:r>
          </w:p>
        </w:tc>
      </w:tr>
      <w:tr>
        <w:trPr/>
        <w:tc>
          <w:tcPr>
            <w:tcW w:w="3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net actuarial gain</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3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pre-tax</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w:t>
            </w:r>
          </w:p>
        </w:tc>
        <w:tc>
          <w:tcPr>
            <w:tcW w:w="109" w:type="dxa"/>
            <w:tcBorders/>
            <w:vAlign w:val="center"/>
          </w:tcPr>
          <w:p>
            <w:pPr>
              <w:pStyle w:val="TableContents"/>
              <w:bidi w:val="0"/>
              <w:spacing w:before="0" w:after="0"/>
              <w:ind w:left="0" w:right="0" w:hanging="0"/>
              <w:jc w:val="left"/>
              <w:rPr/>
            </w:pPr>
            <w:r>
              <w:rPr/>
              <w:t>​</w:t>
            </w:r>
          </w:p>
        </w:tc>
        <w:tc>
          <w:tcPr>
            <w:tcW w:w="43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w:t>
            </w:r>
          </w:p>
        </w:tc>
        <w:tc>
          <w:tcPr>
            <w:tcW w:w="109" w:type="dxa"/>
            <w:tcBorders/>
            <w:vAlign w:val="center"/>
          </w:tcPr>
          <w:p>
            <w:pPr>
              <w:pStyle w:val="TableContents"/>
              <w:bidi w:val="0"/>
              <w:spacing w:before="0" w:after="0"/>
              <w:ind w:left="0" w:right="0" w:hanging="0"/>
              <w:jc w:val="left"/>
              <w:rPr/>
            </w:pPr>
            <w:r>
              <w:rPr/>
              <w:t>​</w:t>
            </w:r>
          </w:p>
        </w:tc>
        <w:tc>
          <w:tcPr>
            <w:tcW w:w="43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159" w:type="dxa"/>
            <w:tcBorders/>
            <w:vAlign w:val="center"/>
          </w:tcPr>
          <w:p>
            <w:pPr>
              <w:pStyle w:val="TableContents"/>
              <w:bidi w:val="0"/>
              <w:spacing w:before="0" w:after="0"/>
              <w:ind w:left="0" w:right="0" w:hanging="0"/>
              <w:jc w:val="left"/>
              <w:rPr/>
            </w:pPr>
            <w:r>
              <w:rPr/>
              <w:t>​</w:t>
            </w:r>
          </w:p>
        </w:tc>
      </w:tr>
      <w:tr>
        <w:trPr/>
        <w:tc>
          <w:tcPr>
            <w:tcW w:w="3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righ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10,348 </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 </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8,592 </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 </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159"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Components of the plan’s net periodic pension cost are as follows for the years ended December 31, 2024, 2023 and 2022 (in thousands):</w:t>
      </w:r>
    </w:p>
    <w:tbl>
      <w:tblPr>
        <w:tblW w:w="10205" w:type="dxa"/>
        <w:jc w:val="left"/>
        <w:tblInd w:w="0" w:type="dxa"/>
        <w:tblLayout w:type="fixed"/>
        <w:tblCellMar>
          <w:top w:w="0" w:type="dxa"/>
          <w:left w:w="0" w:type="dxa"/>
          <w:bottom w:w="0" w:type="dxa"/>
          <w:right w:w="0" w:type="dxa"/>
        </w:tblCellMar>
      </w:tblPr>
      <w:tblGrid>
        <w:gridCol w:w="1886"/>
        <w:gridCol w:w="326"/>
        <w:gridCol w:w="237"/>
        <w:gridCol w:w="739"/>
        <w:gridCol w:w="109"/>
        <w:gridCol w:w="459"/>
        <w:gridCol w:w="921"/>
        <w:gridCol w:w="326"/>
        <w:gridCol w:w="237"/>
        <w:gridCol w:w="739"/>
        <w:gridCol w:w="109"/>
        <w:gridCol w:w="420"/>
        <w:gridCol w:w="960"/>
        <w:gridCol w:w="109"/>
        <w:gridCol w:w="237"/>
        <w:gridCol w:w="739"/>
        <w:gridCol w:w="109"/>
        <w:gridCol w:w="459"/>
        <w:gridCol w:w="921"/>
        <w:gridCol w:w="163"/>
      </w:tblGrid>
      <w:tr>
        <w:trPr/>
        <w:tc>
          <w:tcPr>
            <w:tcW w:w="1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197610" cy="175260"/>
                      <wp:effectExtent l="0" t="0" r="0" b="0"/>
                      <wp:wrapNone/>
                      <wp:docPr id="513" name="Frame511"/>
                      <a:graphic xmlns:a="http://schemas.openxmlformats.org/drawingml/2006/main">
                        <a:graphicData uri="http://schemas.microsoft.com/office/word/2010/wordprocessingShape">
                          <wps:wsp>
                            <wps:cNvSpPr txBox="1"/>
                            <wps:spPr>
                              <a:xfrm>
                                <a:off x="0" y="0"/>
                                <a:ext cx="119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50495" cy="175260"/>
                      <wp:effectExtent l="0" t="0" r="0" b="0"/>
                      <wp:wrapNone/>
                      <wp:docPr id="515" name="Frame51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69265" cy="175260"/>
                      <wp:effectExtent l="0" t="0" r="0" b="0"/>
                      <wp:wrapNone/>
                      <wp:docPr id="516" name="Frame514"/>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17"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91465" cy="175260"/>
                      <wp:effectExtent l="0" t="0" r="0" b="0"/>
                      <wp:wrapNone/>
                      <wp:docPr id="518" name="Frame51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84835" cy="175260"/>
                      <wp:effectExtent l="0" t="0" r="0" b="0"/>
                      <wp:wrapNone/>
                      <wp:docPr id="519" name="Frame51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50495" cy="175260"/>
                      <wp:effectExtent l="0" t="0" r="0" b="0"/>
                      <wp:wrapNone/>
                      <wp:docPr id="521" name="Frame51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69265" cy="175260"/>
                      <wp:effectExtent l="0" t="0" r="0" b="0"/>
                      <wp:wrapNone/>
                      <wp:docPr id="522" name="Frame520"/>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5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66700" cy="175260"/>
                      <wp:effectExtent l="0" t="0" r="0" b="0"/>
                      <wp:wrapNone/>
                      <wp:docPr id="524" name="Frame52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09600" cy="175260"/>
                      <wp:effectExtent l="0" t="0" r="0" b="0"/>
                      <wp:wrapNone/>
                      <wp:docPr id="525" name="Frame523"/>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26"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50495" cy="175260"/>
                      <wp:effectExtent l="0" t="0" r="0" b="0"/>
                      <wp:wrapNone/>
                      <wp:docPr id="527" name="Frame52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69265" cy="175260"/>
                      <wp:effectExtent l="0" t="0" r="0" b="0"/>
                      <wp:wrapNone/>
                      <wp:docPr id="528" name="Frame52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91465" cy="175260"/>
                      <wp:effectExtent l="0" t="0" r="0" b="0"/>
                      <wp:wrapNone/>
                      <wp:docPr id="530" name="Frame528"/>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84835" cy="175260"/>
                      <wp:effectExtent l="0" t="0" r="0" b="0"/>
                      <wp:wrapNone/>
                      <wp:docPr id="531" name="Frame529"/>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03505" cy="175260"/>
                      <wp:effectExtent l="0" t="0" r="0" b="0"/>
                      <wp:wrapNone/>
                      <wp:docPr id="532" name="Frame53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63" w:type="dxa"/>
            <w:tcBorders/>
            <w:vAlign w:val="center"/>
          </w:tcPr>
          <w:p>
            <w:pPr>
              <w:pStyle w:val="TableContents"/>
              <w:bidi w:val="0"/>
              <w:spacing w:before="0" w:after="0"/>
              <w:ind w:left="0" w:right="0" w:hanging="0"/>
              <w:jc w:val="left"/>
              <w:rPr/>
            </w:pPr>
            <w:r>
              <w:rPr/>
              <w:t>​</w:t>
            </w:r>
          </w:p>
        </w:tc>
      </w:tr>
      <w:tr>
        <w:trPr/>
        <w:tc>
          <w:tcPr>
            <w:tcW w:w="1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09"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163" w:type="dxa"/>
            <w:tcBorders/>
            <w:vAlign w:val="center"/>
          </w:tcPr>
          <w:p>
            <w:pPr>
              <w:pStyle w:val="TableContents"/>
              <w:bidi w:val="0"/>
              <w:spacing w:before="0" w:after="0"/>
              <w:ind w:left="0" w:right="0" w:hanging="0"/>
              <w:jc w:val="left"/>
              <w:rPr/>
            </w:pPr>
            <w:r>
              <w:rPr/>
              <w:t>​</w:t>
            </w:r>
          </w:p>
        </w:tc>
      </w:tr>
      <w:tr>
        <w:trPr/>
        <w:tc>
          <w:tcPr>
            <w:tcW w:w="1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w:t>
            </w:r>
          </w:p>
        </w:tc>
        <w:tc>
          <w:tcPr>
            <w:tcW w:w="32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59"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0" w:type="dxa"/>
            <w:tcBorders/>
            <w:vAlign w:val="center"/>
          </w:tcPr>
          <w:p>
            <w:pPr>
              <w:pStyle w:val="TableContents"/>
              <w:bidi w:val="0"/>
              <w:spacing w:before="0" w:after="0"/>
              <w:ind w:left="0" w:right="0" w:hanging="0"/>
              <w:jc w:val="center"/>
              <w:rPr/>
            </w:pPr>
            <w:r>
              <w:rPr/>
              <w:t>​</w:t>
            </w:r>
          </w:p>
        </w:tc>
        <w:tc>
          <w:tcPr>
            <w:tcW w:w="9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7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expense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right"/>
              <w:rPr/>
            </w:pPr>
            <w:r>
              <w:rPr/>
              <w:t> </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w:t>
            </w:r>
          </w:p>
        </w:tc>
        <w:tc>
          <w:tcPr>
            <w:tcW w:w="109"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right"/>
              <w:rPr/>
            </w:pPr>
            <w:r>
              <w:rPr/>
              <w:t> </w:t>
            </w:r>
          </w:p>
        </w:tc>
        <w:tc>
          <w:tcPr>
            <w:tcW w:w="9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right"/>
              <w:rPr/>
            </w:pPr>
            <w:r>
              <w:rPr/>
              <w:t> </w:t>
            </w:r>
          </w:p>
        </w:tc>
        <w:tc>
          <w:tcPr>
            <w:tcW w:w="9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c>
          <w:tcPr>
            <w:tcW w:w="109"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right"/>
              <w:rPr/>
            </w:pPr>
            <w:r>
              <w:rPr/>
              <w:t> </w:t>
            </w:r>
          </w:p>
        </w:tc>
        <w:tc>
          <w:tcPr>
            <w:tcW w:w="921"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actuarial (gain) loss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right"/>
              <w:rPr/>
            </w:pPr>
            <w:r>
              <w:rPr/>
              <w:t> </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right"/>
              <w:rPr/>
            </w:pPr>
            <w:r>
              <w:rPr/>
              <w:t> </w:t>
            </w:r>
          </w:p>
        </w:tc>
        <w:tc>
          <w:tcPr>
            <w:tcW w:w="7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921" w:type="dxa"/>
            <w:tcBorders/>
            <w:shd w:fill="CCEEFF" w:val="clear"/>
            <w:vAlign w:val="center"/>
          </w:tcPr>
          <w:p>
            <w:pPr>
              <w:pStyle w:val="TableContents"/>
              <w:bidi w:val="0"/>
              <w:spacing w:before="0" w:after="0"/>
              <w:ind w:left="0" w:right="0" w:hanging="0"/>
              <w:jc w:val="righ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5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c>
          <w:tcPr>
            <w:tcW w:w="109" w:type="dxa"/>
            <w:tcBorders/>
            <w:vAlign w:val="center"/>
          </w:tcPr>
          <w:p>
            <w:pPr>
              <w:pStyle w:val="TableContents"/>
              <w:bidi w:val="0"/>
              <w:spacing w:before="0" w:after="0"/>
              <w:ind w:left="0" w:right="0" w:hanging="0"/>
              <w:jc w:val="right"/>
              <w:rPr/>
            </w:pPr>
            <w:r>
              <w:rPr/>
              <w:t>​</w:t>
            </w:r>
          </w:p>
        </w:tc>
        <w:tc>
          <w:tcPr>
            <w:tcW w:w="45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109" w:type="dxa"/>
            <w:tcBorders/>
            <w:shd w:fill="CCEEFF" w:val="clear"/>
            <w:vAlign w:val="center"/>
          </w:tcPr>
          <w:p>
            <w:pPr>
              <w:pStyle w:val="TableContents"/>
              <w:bidi w:val="0"/>
              <w:spacing w:before="0" w:after="0"/>
              <w:ind w:left="0" w:right="0" w:hanging="0"/>
              <w:jc w:val="righ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16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currently evaluating whether it will make any contributions to its pension and postretirement benefit plans during the year ending December 31, 2025.</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left"/>
        <w:rPr>
          <w:rFonts w:ascii="Times New Roman;Times;serif" w:hAnsi="Times New Roman;Times;serif"/>
          <w:sz w:val="20"/>
        </w:rPr>
      </w:pPr>
      <w:bookmarkStart w:id="2384" w:name="Tc_fALOR28iN0CUwatuXJtFKA_21_1"/>
      <w:bookmarkStart w:id="2385" w:name="Tc_3Cj4CO_J60CGcdVR-MznqQ_21_0"/>
      <w:bookmarkStart w:id="2386" w:name="Tc_X0Pq9cxqXkqNNO0fsXa7kw_20_0"/>
      <w:bookmarkStart w:id="2387" w:name="Tc_ZSid5HYOzUu9AMENRhwgag_19_0"/>
      <w:bookmarkStart w:id="2388" w:name="Tc_W0nAeJYeSUWhxj2Uflrmqw_18_1"/>
      <w:bookmarkStart w:id="2389" w:name="Tc_zxi1aZ9NWEyu7ZzlVCo0fw_18_0"/>
      <w:bookmarkStart w:id="2390" w:name="Tc_GoQ8vIORrEe3j3BQ1kW4Fg_17_0"/>
      <w:bookmarkStart w:id="2391" w:name="Tc_Ado5k9tvDUqr97H4LRcUyg_16_0"/>
      <w:bookmarkStart w:id="2392" w:name="Tc_Jf7tUK3shUGUZCMoBNnRWw_15_1"/>
      <w:bookmarkStart w:id="2393" w:name="Tc_2yNviQvgCUu5X8-B3_ncfA_15_0"/>
      <w:bookmarkStart w:id="2394" w:name="Tc_h2PLwQ4FAkqkJCg3I6wc3g_14_0"/>
      <w:bookmarkStart w:id="2395" w:name="Tc_GUJAe_qkj0CJIV7ZvYBIeg_13_0"/>
      <w:bookmarkStart w:id="2396" w:name="Tc_46P2HOuqOkC7oonl4r5rdA_12_1"/>
      <w:bookmarkStart w:id="2397" w:name="Tc_O3yjlDoaPky2ipdddecj7w_12_0"/>
      <w:bookmarkStart w:id="2398" w:name="Tc_pl6cA_76BU-i5b9LBwUdvQ_11_1"/>
      <w:bookmarkStart w:id="2399" w:name="Tc_MGhlAVFpk0GOmPMn91aWEQ_11_0"/>
      <w:bookmarkStart w:id="2400" w:name="Tc_SR_Nh-hlT02QZkrRgYOT3w_10_1"/>
      <w:bookmarkStart w:id="2401" w:name="Tc_VFIvW7cyJkKjdFgmE6J_hA_10_0"/>
      <w:bookmarkStart w:id="2402" w:name="Tc_5jLTovqGLUqISoAji2mslQ_9_0"/>
      <w:bookmarkStart w:id="2403" w:name="Tc_kSXgjUg9Kkamm2p3qOIhyA_8_1"/>
      <w:bookmarkStart w:id="2404" w:name="Tc_Lu9mM0n3Qka287-HOVZCLQ_8_0"/>
      <w:bookmarkStart w:id="2405" w:name="Tc_YjqCnsD12UGVnlR8t_96YA_7_1"/>
      <w:bookmarkStart w:id="2406" w:name="Tc_qtEkPkh3xUmkhLZs-QBjtg_7_0"/>
      <w:bookmarkStart w:id="2407" w:name="Tc_OTCpr8L4lkiI9aLAv2BaCQ_6_1"/>
      <w:bookmarkStart w:id="2408" w:name="Tc_qjoXc1_Uf0uhNlsA1bRRNw_6_0"/>
      <w:bookmarkStart w:id="2409" w:name="Tc_KC7weUEonEak7K5tJ-rSdw_5_1"/>
      <w:bookmarkStart w:id="2410" w:name="Tc_VgD9RmAFi0OPESP6d4uOdg_5_0"/>
      <w:bookmarkStart w:id="2411" w:name="Tc_f7pTy3gS-ESKmtHHq5MwYQ_4_1"/>
      <w:bookmarkStart w:id="2412" w:name="Tc_bn274cNo5kWnCB2k9lxZgA_4_0"/>
      <w:bookmarkStart w:id="2413" w:name="Tc_2KIwyt_6PEqXFDA6_t_UpA_3_0"/>
      <w:bookmarkStart w:id="2414" w:name="Tc_hITH2WfPY06eUbEjKjImZA_2_0"/>
      <w:bookmarkStart w:id="2415" w:name="Tc_kWWkajud-USzVFF5ILiZ3w_1_1"/>
      <w:bookmarkStart w:id="2416" w:name="Tc_Xc9YfjxVpkOZRiHFx4W_UA_1_0"/>
      <w:bookmarkStart w:id="2417" w:name="Tc_ODxXw7KAmkeyTfeXNgykSg_9_5"/>
      <w:bookmarkStart w:id="2418" w:name="Tc_NOhUb-Mu2U-xG4YvXmNXAQ_9_2"/>
      <w:bookmarkStart w:id="2419" w:name="Tc_Cw3K7IGZz0-ctSjwb03KYg_9_0"/>
      <w:bookmarkStart w:id="2420" w:name="Tc_VHYrwkYo60Wv1DC2w2Eehg_8_0"/>
      <w:bookmarkStart w:id="2421" w:name="Tc_EuipncUQpEKhNH3-YJZSNQ_7_0"/>
      <w:bookmarkStart w:id="2422" w:name="Tc_3IB7XH-bVUG-aOJH5F_ysg_6_0"/>
      <w:bookmarkStart w:id="2423" w:name="Tc_HJmUA122ekeBtpNZGoo8mQ_5_0"/>
      <w:bookmarkStart w:id="2424" w:name="Tc_S-6YvItAfEiZt1XlhkwdWw_4_0"/>
      <w:bookmarkStart w:id="2425" w:name="Tc_0wwetuYWvECEB4cvRy7T5Q_3_5"/>
      <w:bookmarkStart w:id="2426" w:name="Tc_1j72-p-uo0KesSBIFQpF4Q_3_2"/>
      <w:bookmarkStart w:id="2427" w:name="Tc_jVznUluKZ0-d4PvSzPCeYg_3_0"/>
      <w:bookmarkStart w:id="2428" w:name="Tc_VBuag2YdI0a9l_X2eF5X3w_2_5"/>
      <w:bookmarkStart w:id="2429" w:name="Tc_MqsAlv1OJEGUhNal4kkfOA_2_2"/>
      <w:bookmarkStart w:id="2430" w:name="Tc_kqh-KVy_bU-NeNANJMmJVA_2_0"/>
      <w:bookmarkStart w:id="2431" w:name="Tc_JOWUysBEfEO1BobIaIISmw_1_5"/>
      <w:bookmarkStart w:id="2432" w:name="Tc_p6ky2-VTaEO3P7Bvp3K9Bg_1_2"/>
      <w:bookmarkStart w:id="2433" w:name="_dc49ab94_1a87_418c_b5c4_524467bf0b24"/>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r>
        <w:rPr>
          <w:rFonts w:ascii="Times New Roman;Times;serif" w:hAnsi="Times New Roman;Times;serif"/>
          <w:sz w:val="20"/>
        </w:rPr>
        <w:t>The following estimated benefits, which reflect expected future service, as appropriate, are expected to be paid over the next 10 years as indicated below (in thousands):</w:t>
      </w:r>
    </w:p>
    <w:tbl>
      <w:tblPr>
        <w:tblW w:w="3611" w:type="dxa"/>
        <w:jc w:val="left"/>
        <w:tblInd w:w="0" w:type="dxa"/>
        <w:tblLayout w:type="fixed"/>
        <w:tblCellMar>
          <w:top w:w="0" w:type="dxa"/>
          <w:left w:w="0" w:type="dxa"/>
          <w:bottom w:w="0" w:type="dxa"/>
          <w:right w:w="0" w:type="dxa"/>
        </w:tblCellMar>
      </w:tblPr>
      <w:tblGrid>
        <w:gridCol w:w="1021"/>
        <w:gridCol w:w="326"/>
        <w:gridCol w:w="211"/>
        <w:gridCol w:w="676"/>
        <w:gridCol w:w="146"/>
        <w:gridCol w:w="292"/>
        <w:gridCol w:w="939"/>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335" cy="175260"/>
                      <wp:effectExtent l="0" t="0" r="0" b="0"/>
                      <wp:wrapNone/>
                      <wp:docPr id="533" name="Frame53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35"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29260" cy="175260"/>
                      <wp:effectExtent l="0" t="0" r="0" b="0"/>
                      <wp:wrapNone/>
                      <wp:docPr id="536" name="Frame5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92710" cy="175260"/>
                      <wp:effectExtent l="0" t="0" r="0" b="0"/>
                      <wp:wrapNone/>
                      <wp:docPr id="537" name="Frame5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85420" cy="175260"/>
                      <wp:effectExtent l="0" t="0" r="0" b="0"/>
                      <wp:wrapNone/>
                      <wp:docPr id="538" name="Frame53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96265" cy="175260"/>
                      <wp:effectExtent l="0" t="0" r="0" b="0"/>
                      <wp:wrapNone/>
                      <wp:docPr id="539" name="Frame537"/>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1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w:t>
            </w:r>
          </w:p>
        </w:tc>
      </w:tr>
      <w:tr>
        <w:trPr/>
        <w:tc>
          <w:tcPr>
            <w:tcW w:w="1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14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4,978</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w:t>
            </w:r>
          </w:p>
        </w:tc>
        <w:tc>
          <w:tcPr>
            <w:tcW w:w="1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5,069</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2029-2033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22,549</w:t>
            </w:r>
          </w:p>
        </w:tc>
        <w:tc>
          <w:tcPr>
            <w:tcW w:w="14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r>
      <w:tr>
        <w:trPr/>
        <w:tc>
          <w:tcPr>
            <w:tcW w:w="1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47,809</w:t>
            </w:r>
          </w:p>
        </w:tc>
        <w:tc>
          <w:tcPr>
            <w:tcW w:w="1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3,039</w:t>
            </w:r>
          </w:p>
        </w:tc>
      </w:tr>
    </w:tbl>
    <w:p>
      <w:pPr>
        <w:pStyle w:val="TextBody"/>
        <w:bidi w:val="0"/>
        <w:spacing w:before="0" w:after="0"/>
        <w:ind w:left="0" w:right="0" w:hanging="0"/>
        <w:jc w:val="left"/>
        <w:rPr/>
      </w:pPr>
      <w:r>
        <w:rPr/>
        <w:t>​</w:t>
      </w:r>
    </w:p>
    <w:p>
      <w:pPr>
        <w:pStyle w:val="TextBody"/>
        <w:bidi w:val="0"/>
        <w:spacing w:before="280" w:after="160"/>
        <w:ind w:left="0" w:right="0" w:hanging="0"/>
        <w:jc w:val="left"/>
        <w:rPr>
          <w:rFonts w:ascii="Times New Roman;Times;serif" w:hAnsi="Times New Roman;Times;serif"/>
          <w:i/>
          <w:sz w:val="20"/>
        </w:rPr>
      </w:pPr>
      <w:r>
        <w:rPr>
          <w:rFonts w:ascii="Times New Roman;Times;serif" w:hAnsi="Times New Roman;Times;serif"/>
          <w:i/>
          <w:sz w:val="20"/>
        </w:rPr>
        <w:t>Multi-employer Defined Benefit Plan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Certain employees of the Company’s US Telecom segment participate in the Alaska Electrical Pension Plan (“AEPF”). The Company pays the AEPF a contractual hourly amount based on employee classification or base compensation. As a multi-employer defined benefit plan, the accumulated benefits and plan assets are not determined for, or allocated separately to, the individual employer.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additional information about the AEPF multi-employer pension plan.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80"/>
        <w:gridCol w:w="2525"/>
      </w:tblGrid>
      <w:tr>
        <w:trPr/>
        <w:tc>
          <w:tcPr>
            <w:tcW w:w="7680" w:type="dxa"/>
            <w:tcBorders/>
            <w:vAlign w:val="center"/>
          </w:tcPr>
          <w:p>
            <w:pPr>
              <w:pStyle w:val="TableContents"/>
              <w:bidi w:val="0"/>
              <w:spacing w:before="0" w:after="0"/>
              <w:ind w:left="0" w:right="0" w:hanging="0"/>
              <w:jc w:val="left"/>
              <w:rPr/>
            </w:pPr>
            <w:r>
              <w:rPr/>
              <w:t>​</w:t>
            </w:r>
          </w:p>
        </w:tc>
        <w:tc>
          <w:tcPr>
            <w:tcW w:w="2525" w:type="dxa"/>
            <w:tcBorders/>
            <w:vAlign w:val="center"/>
          </w:tcPr>
          <w:p>
            <w:pPr>
              <w:pStyle w:val="TableContents"/>
              <w:bidi w:val="0"/>
              <w:spacing w:before="0" w:after="0"/>
              <w:ind w:left="0" w:right="0" w:hanging="0"/>
              <w:jc w:val="left"/>
              <w:rPr/>
            </w:pPr>
            <w:r>
              <w:rPr/>
              <w:t>​</w:t>
            </w:r>
          </w:p>
        </w:tc>
      </w:tr>
      <w:tr>
        <w:trPr/>
        <w:tc>
          <w:tcPr>
            <w:tcW w:w="7680"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name</w:t>
            </w:r>
          </w:p>
        </w:tc>
        <w:tc>
          <w:tcPr>
            <w:tcW w:w="252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Alaska Electrical Pension Plan</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employees covered</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426</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Protection Act zone status at the plan's year-end:</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Green</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Green</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subject to funding improvement plan</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subject to rehabilitation plan</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subject to contribution surcharge</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contributions to the plan for the year ended:</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$ 6.5 million </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$ 6.2 million </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$ 6.6 million </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 expiration date of collective bargaining agreements requiring contributions to the plan:</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r>
        <w:trPr/>
        <w:tc>
          <w:tcPr>
            <w:tcW w:w="7680"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Bargaining Agreement Between Alaska</w:t>
            </w:r>
          </w:p>
        </w:tc>
        <w:tc>
          <w:tcPr>
            <w:tcW w:w="2525"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Communications Systems and Local Union 1547 IBEW</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2025</w:t>
            </w:r>
          </w:p>
        </w:tc>
      </w:tr>
      <w:tr>
        <w:trPr/>
        <w:tc>
          <w:tcPr>
            <w:tcW w:w="7680"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Agreement Alaska Electrical Construction between</w:t>
            </w:r>
          </w:p>
        </w:tc>
        <w:tc>
          <w:tcPr>
            <w:tcW w:w="2525"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r>
      <w:tr>
        <w:trPr/>
        <w:tc>
          <w:tcPr>
            <w:tcW w:w="768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Union 1547 IBEW and Alaska Chapter National</w:t>
            </w:r>
          </w:p>
        </w:tc>
        <w:tc>
          <w:tcPr>
            <w:tcW w:w="2525"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pPr>
            <w:r>
              <w:rPr/>
              <w:t>​</w:t>
            </w:r>
          </w:p>
        </w:tc>
      </w:tr>
      <w:tr>
        <w:trPr/>
        <w:tc>
          <w:tcPr>
            <w:tcW w:w="7680"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Contractors Association Inc.</w:t>
            </w:r>
          </w:p>
        </w:tc>
        <w:tc>
          <w:tcPr>
            <w:tcW w:w="2525" w:type="dxa"/>
            <w:tcBorders>
              <w:left w:val="single" w:sz="2" w:space="0" w:color="000000"/>
              <w:bottom w:val="single" w:sz="1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31, 2027</w:t>
            </w:r>
          </w:p>
        </w:tc>
      </w:tr>
      <w:tr>
        <w:trPr/>
        <w:tc>
          <w:tcPr>
            <w:tcW w:w="768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Agreement Alaska Electrical Construction between</w:t>
            </w:r>
          </w:p>
        </w:tc>
        <w:tc>
          <w:tcPr>
            <w:tcW w:w="2525"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pPr>
            <w:r>
              <w:rPr/>
              <w:t>​</w:t>
            </w:r>
          </w:p>
        </w:tc>
      </w:tr>
      <w:tr>
        <w:trPr/>
        <w:tc>
          <w:tcPr>
            <w:tcW w:w="7680"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Union 1547 IBEW and Alaska Chapter National</w:t>
            </w:r>
          </w:p>
        </w:tc>
        <w:tc>
          <w:tcPr>
            <w:tcW w:w="2525"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r>
      <w:tr>
        <w:trPr/>
        <w:tc>
          <w:tcPr>
            <w:tcW w:w="7680"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Contractors Association Inc.</w:t>
            </w:r>
          </w:p>
        </w:tc>
        <w:tc>
          <w:tcPr>
            <w:tcW w:w="2525"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2026</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contributions to the plan in 2024 and 2023 represent greater than 5% of the total contributions to the plan. The Company cannot accurately project any change in the plan status in future years given the uncertainty of economic conditions or the effect of actuarial valuations versus actual performance in the market. Minimum required future contributions to the AEPF are subject to the number of employees in each classification and base compensation of employees in future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13. COMMITMENTS AND CONTINGENCIES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Regulatory and Litigation Matters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Beginning in 2006, the National Frequency Management Unit (now the Telecommunications Agency, or the “NFMU/TA”) and OneGY have been engaged in discussions regarding the amount of and methodology for calculation of spectrum fees payable by OneGY in Guyana. Since that time, OneGY has made payments of undisputed spectrum fees as amounts invoiced by the NFMU, and to its successor, the Telecommunications Authority (“TA”). There have been limited further discussions on the subject of a revised spectrum fee methodology with the TA.</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has filed several lawsuits in the High Court of Guyana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including most recently in February 2024, and while all matters have been appealed by the GRA, only one remains pending for determination by the High Court.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8, 2024, the Company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At this time, the Company believes that it can comply with all of the terms of the compliance agreement.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settlement amount of $6.3 million consists of a $5.3 million cash payment and the $1.0 million forgiveness of certain receivables, both of which have been accrued on the Company’s balance sheet as of December 31, 2024. As such, this settlement will not impact the statement of operations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434" w:name="Tc_sQTsSM3q2kSJ0NdLZ4ZCWA_7_2"/>
      <w:bookmarkStart w:id="2435" w:name="Tc_hxXWS1-kb0CQlSJ-LzidKA_7_0"/>
      <w:bookmarkStart w:id="2436" w:name="Tc_LcidNa1LXUSF0w2SO_Pjwg_6_0"/>
      <w:bookmarkStart w:id="2437" w:name="Tc_4B02bPukxUWx5a6-uLMhMw_5_0"/>
      <w:bookmarkStart w:id="2438" w:name="Tc_xUVeY-tg50Cu9q77yIkd2w_4_0"/>
      <w:bookmarkStart w:id="2439" w:name="Tc_EuvEMnY_r0qaKwr_xNp70g_3_0"/>
      <w:bookmarkStart w:id="2440" w:name="Tc_shDzOODtvESZzLGClmUXyA_2_0"/>
      <w:bookmarkStart w:id="2441" w:name="Tc_znfVj3kpdEaZ8-CQMa7xKw_1_2"/>
      <w:bookmarkStart w:id="2442" w:name="Tc_qh0TH5egaEOGvUiouX3iCA_1_0"/>
      <w:bookmarkEnd w:id="2434"/>
      <w:bookmarkEnd w:id="2435"/>
      <w:bookmarkEnd w:id="2436"/>
      <w:bookmarkEnd w:id="2437"/>
      <w:bookmarkEnd w:id="2438"/>
      <w:bookmarkEnd w:id="2439"/>
      <w:bookmarkEnd w:id="2440"/>
      <w:bookmarkEnd w:id="2441"/>
      <w:bookmarkEnd w:id="2442"/>
      <w:r>
        <w:rPr>
          <w:rFonts w:ascii="Times New Roman;Times;serif" w:hAnsi="Times New Roman;Times;serif"/>
          <w:sz w:val="20"/>
        </w:rPr>
        <w:t>With respect to all of the foregoing unresolved matters, the Company believes that some adverse outcome is probable and has accordingly accrued $13.8  million as of December 31, 2024,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obligations under non-cancellable contracts for network facilities and transport services, agreements for software licensing, as well as certain agreements to purchase goods or services. Future minimum payments required under these commitments are as follows at December 31, 2024 (in thousands):</w:t>
      </w:r>
    </w:p>
    <w:p>
      <w:pPr>
        <w:pStyle w:val="TextBody"/>
        <w:bidi w:val="0"/>
        <w:spacing w:before="100" w:after="100"/>
        <w:ind w:left="0" w:right="0" w:firstLine="720"/>
        <w:jc w:val="left"/>
        <w:rPr/>
      </w:pPr>
      <w:r>
        <w:rPr/>
        <w:t>​</w:t>
      </w:r>
    </w:p>
    <w:tbl>
      <w:tblPr>
        <w:tblW w:w="2868" w:type="dxa"/>
        <w:jc w:val="left"/>
        <w:tblInd w:w="0" w:type="dxa"/>
        <w:tblLayout w:type="fixed"/>
        <w:tblCellMar>
          <w:top w:w="0" w:type="dxa"/>
          <w:left w:w="0" w:type="dxa"/>
          <w:bottom w:w="0" w:type="dxa"/>
          <w:right w:w="0" w:type="dxa"/>
        </w:tblCellMar>
      </w:tblPr>
      <w:tblGrid>
        <w:gridCol w:w="1576"/>
        <w:gridCol w:w="146"/>
        <w:gridCol w:w="211"/>
        <w:gridCol w:w="781"/>
        <w:gridCol w:w="154"/>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000760" cy="175895"/>
                      <wp:effectExtent l="0" t="0" r="0" b="0"/>
                      <wp:wrapNone/>
                      <wp:docPr id="540" name="Frame538"/>
                      <a:graphic xmlns:a="http://schemas.openxmlformats.org/drawingml/2006/main">
                        <a:graphicData uri="http://schemas.microsoft.com/office/word/2010/wordprocessingShape">
                          <wps:wsp>
                            <wps:cNvSpPr txBox="1"/>
                            <wps:spPr>
                              <a:xfrm>
                                <a:off x="0" y="0"/>
                                <a:ext cx="1000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92710" cy="175895"/>
                      <wp:effectExtent l="0" t="0" r="0" b="0"/>
                      <wp:wrapNone/>
                      <wp:docPr id="541" name="Frame539"/>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33985" cy="175895"/>
                      <wp:effectExtent l="0" t="0" r="0" b="0"/>
                      <wp:wrapNone/>
                      <wp:docPr id="542" name="Frame54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95935" cy="175895"/>
                      <wp:effectExtent l="0" t="0" r="0" b="0"/>
                      <wp:wrapNone/>
                      <wp:docPr id="543" name="Frame541"/>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97790" cy="175895"/>
                      <wp:effectExtent l="0" t="0" r="0" b="0"/>
                      <wp:wrapNone/>
                      <wp:docPr id="544" name="Frame542"/>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72,389</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1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38,978</w:t>
            </w:r>
          </w:p>
        </w:tc>
        <w:tc>
          <w:tcPr>
            <w:tcW w:w="154" w:type="dxa"/>
            <w:tcBorders/>
            <w:vAlign w:val="center"/>
          </w:tcPr>
          <w:p>
            <w:pPr>
              <w:pStyle w:val="TableContents"/>
              <w:bidi w:val="0"/>
              <w:spacing w:before="1" w:after="1"/>
              <w:ind w:left="0" w:right="0" w:hanging="0"/>
              <w:jc w:val="left"/>
              <w:rPr/>
            </w:pPr>
            <w:r>
              <w:rPr/>
              <w:t>​</w: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18,614</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1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10,757</w:t>
            </w:r>
          </w:p>
        </w:tc>
        <w:tc>
          <w:tcPr>
            <w:tcW w:w="154" w:type="dxa"/>
            <w:tcBorders/>
            <w:vAlign w:val="center"/>
          </w:tcPr>
          <w:p>
            <w:pPr>
              <w:pStyle w:val="TableContents"/>
              <w:bidi w:val="0"/>
              <w:spacing w:before="1" w:after="1"/>
              <w:ind w:left="0" w:right="0" w:hanging="0"/>
              <w:jc w:val="left"/>
              <w:rPr/>
            </w:pPr>
            <w:r>
              <w:rPr/>
              <w:t>​</w: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6,665</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1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46" w:type="dxa"/>
            <w:tcBorders/>
            <w:vAlign w:val="center"/>
          </w:tcPr>
          <w:p>
            <w:pPr>
              <w:pStyle w:val="TableContents"/>
              <w:bidi w:val="0"/>
              <w:spacing w:before="1"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23,670</w:t>
            </w:r>
          </w:p>
        </w:tc>
        <w:tc>
          <w:tcPr>
            <w:tcW w:w="154" w:type="dxa"/>
            <w:tcBorders/>
            <w:vAlign w:val="center"/>
          </w:tcPr>
          <w:p>
            <w:pPr>
              <w:pStyle w:val="TableContents"/>
              <w:bidi w:val="0"/>
              <w:spacing w:before="1" w:after="1"/>
              <w:ind w:left="0" w:right="0" w:hanging="0"/>
              <w:jc w:val="left"/>
              <w:rPr/>
            </w:pPr>
            <w:r>
              <w:rPr/>
              <w:t>​</w:t>
            </w:r>
          </w:p>
        </w:tc>
      </w:tr>
      <w:tr>
        <w:trPr/>
        <w:tc>
          <w:tcPr>
            <w:tcW w:w="1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Total obligations </w:t>
            </w:r>
          </w:p>
        </w:tc>
        <w:tc>
          <w:tcPr>
            <w:tcW w:w="1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171,073</w:t>
            </w:r>
          </w:p>
        </w:tc>
        <w:tc>
          <w:tcPr>
            <w:tcW w:w="154" w:type="dxa"/>
            <w:tcBorders/>
            <w:shd w:fill="CCEEFF" w:val="clear"/>
            <w:vAlign w:val="center"/>
          </w:tcPr>
          <w:p>
            <w:pPr>
              <w:pStyle w:val="TableContents"/>
              <w:bidi w:val="0"/>
              <w:spacing w:before="1" w:after="1"/>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14. SEGMENT REPORTING</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Through December 31, 2024, the Company has the following two reportable and operating segments: (i) International Telecom and (ii) US Telecom.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our financial data in evaluating the effectiveness of the Company’s operations and underlying business trends in a manner that is consistent with management's evaluation of business performance. The Company’s chief operating decision maker is our Chief Executive Officer.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for each operating segment (in thousands):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2443" w:name="Tc_6Or5Qm1Qu0iUIIzKmX2KHA_43_9"/>
      <w:bookmarkStart w:id="2444" w:name="Tc_eoCEeWm1RUmhLDVcRTXa8Q_43_0"/>
      <w:bookmarkStart w:id="2445" w:name="Tc_ICdqC9_Z902LreOIOAG7dw_42_0"/>
      <w:bookmarkStart w:id="2446" w:name="Tc_IdpxHOiPEkuRP11Xbc696A_40_0"/>
      <w:bookmarkStart w:id="2447" w:name="Tc_F17Ax3_an0-OkgvEpY0BDw_39_0"/>
      <w:bookmarkStart w:id="2448" w:name="Tc_xAkL71z1tkyZDNaX3mvMPQ_38_0"/>
      <w:bookmarkStart w:id="2449" w:name="Tc_QcH20HEmw0e3rOOM3Ghxhw_37_0"/>
      <w:bookmarkStart w:id="2450" w:name="Tc_cqiMR7WxxUK_oEn70mngng_36_0"/>
      <w:bookmarkStart w:id="2451" w:name="Tc_kjXtOTvXjk6-POLVoTTfLQ_35_0"/>
      <w:bookmarkStart w:id="2452" w:name="Tc_fLljJN17xUeoz9iRHEBKow_34_0"/>
      <w:bookmarkStart w:id="2453" w:name="Tc_Oi7RFIaiMUuEUvLl9GnFrw_33_0"/>
      <w:bookmarkStart w:id="2454" w:name="Tc_ILBIDqaTrU6UhBRmSvPwmg_32_9"/>
      <w:bookmarkStart w:id="2455" w:name="Tc_J8fzJu7oHkGBpE0lVsbg7w_32_3"/>
      <w:bookmarkStart w:id="2456" w:name="Tc_Nj593mM-TkuxGx75pAabLA_32_0"/>
      <w:bookmarkStart w:id="2457" w:name="Tc_nZHznpWdEkOeaKKis9kNkw_31_0"/>
      <w:bookmarkStart w:id="2458" w:name="Tc_S3Hd19k8M0qjZMrnUf0myg_30_9"/>
      <w:bookmarkStart w:id="2459" w:name="Tc_HbPhUOOHwkaQcS509rRLjg_30_0"/>
      <w:bookmarkStart w:id="2460" w:name="Tc_0BkvtspuBUq419qQYr8LJw_29_0"/>
      <w:bookmarkStart w:id="2461" w:name="Tc_zI8sfzft8Ue68avh3HruYA_28_0"/>
      <w:bookmarkStart w:id="2462" w:name="Tc_JbymhXUZxkKnLHTPQjxWCA_27_3"/>
      <w:bookmarkStart w:id="2463" w:name="Tc_CnlGnIwApkCHs9KlUN0JiQ_27_0"/>
      <w:bookmarkStart w:id="2464" w:name="Tc_ap4s3IX34kGTWPutF1LOMw_26_0"/>
      <w:bookmarkStart w:id="2465" w:name="Tc_DA6zWtKoA0WWS9s6GBLH6A_25_0"/>
      <w:bookmarkStart w:id="2466" w:name="Tc_HrjGasAAFke2Tzw_gBYZsw_24_9"/>
      <w:bookmarkStart w:id="2467" w:name="Tc_mTc0EzoOIE27FOdCqdWX0A_24_3"/>
      <w:bookmarkStart w:id="2468" w:name="Tc_4_a75FH1fEmpyd_AbEc6NQ_24_0"/>
      <w:bookmarkStart w:id="2469" w:name="Tc_YzVVmnYgCUOB00x5BkdE-Q_23_0"/>
      <w:bookmarkStart w:id="2470" w:name="Tc_oX7_y4lpuEqSXsHZ-eW0lg_22_0"/>
      <w:bookmarkStart w:id="2471" w:name="Tc_QDLQb0M88UCMJx5gjdZS2A_20_9"/>
      <w:bookmarkStart w:id="2472" w:name="Tc_xDnF8xbsSU6Q2PVeSuoNoQ_20_0"/>
      <w:bookmarkStart w:id="2473" w:name="Tc_N_8ZaQooJEWWNIhDoP3i8g_19_9"/>
      <w:bookmarkStart w:id="2474" w:name="Tc_H4oxoUmftUe41da3VlDIHA_19_0"/>
      <w:bookmarkStart w:id="2475" w:name="Tc_OIPzxQrjL0ipd2xpaIFqpg_18_9"/>
      <w:bookmarkStart w:id="2476" w:name="Tc_iqIn82gZB0aHcpn-cu5Znw_18_0"/>
      <w:bookmarkStart w:id="2477" w:name="Tc_ldB_GQ_QTUSpx-jSHKQ0YQ_17_0"/>
      <w:bookmarkStart w:id="2478" w:name="Tc_a_7znXxHG0Cxjk1Yn71MEg_16_9"/>
      <w:bookmarkStart w:id="2479" w:name="Tc_dYeulnpltkavJpWo4O92rw_16_3"/>
      <w:bookmarkStart w:id="2480" w:name="Tc_b07R_cM-Ak2W1EN2dwFcFQ_16_0"/>
      <w:bookmarkStart w:id="2481" w:name="Tc_yXbOiAsPRke-GEoALsxHrw_15_9"/>
      <w:bookmarkStart w:id="2482" w:name="Tc_2SFK8Rv8r0y3XLemcz4RFA_15_0"/>
      <w:bookmarkStart w:id="2483" w:name="Tc_HPBeVYPyp0S5SeTtV_Ouew_14_9"/>
      <w:bookmarkStart w:id="2484" w:name="Tc_dHXAWRsVnUe7em9vYPiQiQ_14_0"/>
      <w:bookmarkStart w:id="2485" w:name="Tc_ZCOtLoz5AUuWERHjXSynjA_13_9"/>
      <w:bookmarkStart w:id="2486" w:name="Tc_soMeOCGjIEyHlwoAWBafrA_13_0"/>
      <w:bookmarkStart w:id="2487" w:name="Tc_--0EvilU9kiMKiaIdLfiIA_12_9"/>
      <w:bookmarkStart w:id="2488" w:name="Tc_7ZVMyUmIoEeuhXJ90CjrsA_12_0"/>
      <w:bookmarkStart w:id="2489" w:name="Tc_tRhFrjRDq0WFiQvrsbNa9w_11_9"/>
      <w:bookmarkStart w:id="2490" w:name="Tc_zB5Y0pJ25UmVurkDi1XwZA_11_0"/>
      <w:bookmarkStart w:id="2491" w:name="Tc_lalZwff1EUKYQ9IxGlix0w_10_9"/>
      <w:bookmarkStart w:id="2492" w:name="Tc_Q_Z2X8OV7UuMe3Gr8nJlNQ_10_0"/>
      <w:bookmarkStart w:id="2493" w:name="Tc_1fJUpswWSEuMIlz-yUvgHQ_9_9"/>
      <w:bookmarkStart w:id="2494" w:name="Tc_jXSTgm39KEqz_gs1x4IwAQ_9_0"/>
      <w:bookmarkStart w:id="2495" w:name="Tc_Ik27GRQ9lUKGO2JGVZ2wNQ_8_9"/>
      <w:bookmarkStart w:id="2496" w:name="Tc_qG-nK6JsDkOqNREQA6OwlA_8_0"/>
      <w:bookmarkStart w:id="2497" w:name="Tc_4cxeBhIvGkC4bXTXvMYe4w_7_11"/>
      <w:bookmarkStart w:id="2498" w:name="Tc_xu7xi96MPkGFyvkJQH9DAQ_7_9"/>
      <w:bookmarkStart w:id="2499" w:name="Tc_CWEIZPlXB02YIYZisu_O2w_7_8"/>
      <w:bookmarkStart w:id="2500" w:name="Tc_K4261P3il0yvfGg1I75nfQ_7_5"/>
      <w:bookmarkStart w:id="2501" w:name="Tc_Srsdr2Tx706rDMnXVyBRRQ_7_2"/>
      <w:bookmarkStart w:id="2502" w:name="Tc_js1M-e87SUyhD12GkGVGEg_7_0"/>
      <w:bookmarkStart w:id="2503" w:name="Tc_V7rlMiUm9UGZvKA8sywG7w_6_0"/>
      <w:bookmarkStart w:id="2504" w:name="Tc_2hhCD6-drEWlpiPqPT9HHQ_5_0"/>
      <w:bookmarkStart w:id="2505" w:name="Tc_NEQd0bI_BUiIa2U22KvBrg_4_11"/>
      <w:bookmarkStart w:id="2506" w:name="Tc_YmkVd49ncEaO7LttCHe0kg_4_8"/>
      <w:bookmarkStart w:id="2507" w:name="Tc_gPqsy4Qw3kSEs1X3fK41YA_4_5"/>
      <w:bookmarkStart w:id="2508" w:name="Tc_adre8TrSDUyRbgAovFKs3A_4_2"/>
      <w:bookmarkStart w:id="2509" w:name="Tc_4MxzHtHUckOeP3Vn_xX_OQ_3_8"/>
      <w:bookmarkStart w:id="2510" w:name="Tc_1at_O1Y-0USFcaxgKDSdmA_3_5"/>
      <w:bookmarkStart w:id="2511" w:name="Tc_1rD9u7f5IkKQhdnKDIiplQ_3_2"/>
      <w:bookmarkStart w:id="2512" w:name="Tc_9zNADKZtQEeWIuq58MHGKw_1_0"/>
      <w:bookmarkStart w:id="2513" w:name="_2973cb5f_72fe_4faf_9112_980d4230d708"/>
      <w:bookmarkStart w:id="2514" w:name="Tc_6Or5Qm1Qu0iUIIzKmX2KHA_43_9"/>
      <w:bookmarkStart w:id="2515" w:name="Tc_eoCEeWm1RUmhLDVcRTXa8Q_43_0"/>
      <w:bookmarkStart w:id="2516" w:name="Tc_ICdqC9_Z902LreOIOAG7dw_42_0"/>
      <w:bookmarkStart w:id="2517" w:name="Tc_IdpxHOiPEkuRP11Xbc696A_40_0"/>
      <w:bookmarkStart w:id="2518" w:name="Tc_F17Ax3_an0-OkgvEpY0BDw_39_0"/>
      <w:bookmarkStart w:id="2519" w:name="Tc_xAkL71z1tkyZDNaX3mvMPQ_38_0"/>
      <w:bookmarkStart w:id="2520" w:name="Tc_QcH20HEmw0e3rOOM3Ghxhw_37_0"/>
      <w:bookmarkStart w:id="2521" w:name="Tc_cqiMR7WxxUK_oEn70mngng_36_0"/>
      <w:bookmarkStart w:id="2522" w:name="Tc_kjXtOTvXjk6-POLVoTTfLQ_35_0"/>
      <w:bookmarkStart w:id="2523" w:name="Tc_fLljJN17xUeoz9iRHEBKow_34_0"/>
      <w:bookmarkStart w:id="2524" w:name="Tc_Oi7RFIaiMUuEUvLl9GnFrw_33_0"/>
      <w:bookmarkStart w:id="2525" w:name="Tc_ILBIDqaTrU6UhBRmSvPwmg_32_9"/>
      <w:bookmarkStart w:id="2526" w:name="Tc_J8fzJu7oHkGBpE0lVsbg7w_32_3"/>
      <w:bookmarkStart w:id="2527" w:name="Tc_Nj593mM-TkuxGx75pAabLA_32_0"/>
      <w:bookmarkStart w:id="2528" w:name="Tc_nZHznpWdEkOeaKKis9kNkw_31_0"/>
      <w:bookmarkStart w:id="2529" w:name="Tc_S3Hd19k8M0qjZMrnUf0myg_30_9"/>
      <w:bookmarkStart w:id="2530" w:name="Tc_HbPhUOOHwkaQcS509rRLjg_30_0"/>
      <w:bookmarkStart w:id="2531" w:name="Tc_0BkvtspuBUq419qQYr8LJw_29_0"/>
      <w:bookmarkStart w:id="2532" w:name="Tc_zI8sfzft8Ue68avh3HruYA_28_0"/>
      <w:bookmarkStart w:id="2533" w:name="Tc_JbymhXUZxkKnLHTPQjxWCA_27_3"/>
      <w:bookmarkStart w:id="2534" w:name="Tc_CnlGnIwApkCHs9KlUN0JiQ_27_0"/>
      <w:bookmarkStart w:id="2535" w:name="Tc_ap4s3IX34kGTWPutF1LOMw_26_0"/>
      <w:bookmarkStart w:id="2536" w:name="Tc_DA6zWtKoA0WWS9s6GBLH6A_25_0"/>
      <w:bookmarkStart w:id="2537" w:name="Tc_HrjGasAAFke2Tzw_gBYZsw_24_9"/>
      <w:bookmarkStart w:id="2538" w:name="Tc_mTc0EzoOIE27FOdCqdWX0A_24_3"/>
      <w:bookmarkStart w:id="2539" w:name="Tc_4_a75FH1fEmpyd_AbEc6NQ_24_0"/>
      <w:bookmarkStart w:id="2540" w:name="Tc_YzVVmnYgCUOB00x5BkdE-Q_23_0"/>
      <w:bookmarkStart w:id="2541" w:name="Tc_oX7_y4lpuEqSXsHZ-eW0lg_22_0"/>
      <w:bookmarkStart w:id="2542" w:name="Tc_QDLQb0M88UCMJx5gjdZS2A_20_9"/>
      <w:bookmarkStart w:id="2543" w:name="Tc_xDnF8xbsSU6Q2PVeSuoNoQ_20_0"/>
      <w:bookmarkStart w:id="2544" w:name="Tc_N_8ZaQooJEWWNIhDoP3i8g_19_9"/>
      <w:bookmarkStart w:id="2545" w:name="Tc_H4oxoUmftUe41da3VlDIHA_19_0"/>
      <w:bookmarkStart w:id="2546" w:name="Tc_OIPzxQrjL0ipd2xpaIFqpg_18_9"/>
      <w:bookmarkStart w:id="2547" w:name="Tc_iqIn82gZB0aHcpn-cu5Znw_18_0"/>
      <w:bookmarkStart w:id="2548" w:name="Tc_ldB_GQ_QTUSpx-jSHKQ0YQ_17_0"/>
      <w:bookmarkStart w:id="2549" w:name="Tc_a_7znXxHG0Cxjk1Yn71MEg_16_9"/>
      <w:bookmarkStart w:id="2550" w:name="Tc_dYeulnpltkavJpWo4O92rw_16_3"/>
      <w:bookmarkStart w:id="2551" w:name="Tc_b07R_cM-Ak2W1EN2dwFcFQ_16_0"/>
      <w:bookmarkStart w:id="2552" w:name="Tc_yXbOiAsPRke-GEoALsxHrw_15_9"/>
      <w:bookmarkStart w:id="2553" w:name="Tc_2SFK8Rv8r0y3XLemcz4RFA_15_0"/>
      <w:bookmarkStart w:id="2554" w:name="Tc_HPBeVYPyp0S5SeTtV_Ouew_14_9"/>
      <w:bookmarkStart w:id="2555" w:name="Tc_dHXAWRsVnUe7em9vYPiQiQ_14_0"/>
      <w:bookmarkStart w:id="2556" w:name="Tc_ZCOtLoz5AUuWERHjXSynjA_13_9"/>
      <w:bookmarkStart w:id="2557" w:name="Tc_soMeOCGjIEyHlwoAWBafrA_13_0"/>
      <w:bookmarkStart w:id="2558" w:name="Tc_--0EvilU9kiMKiaIdLfiIA_12_9"/>
      <w:bookmarkStart w:id="2559" w:name="Tc_7ZVMyUmIoEeuhXJ90CjrsA_12_0"/>
      <w:bookmarkStart w:id="2560" w:name="Tc_tRhFrjRDq0WFiQvrsbNa9w_11_9"/>
      <w:bookmarkStart w:id="2561" w:name="Tc_zB5Y0pJ25UmVurkDi1XwZA_11_0"/>
      <w:bookmarkStart w:id="2562" w:name="Tc_lalZwff1EUKYQ9IxGlix0w_10_9"/>
      <w:bookmarkStart w:id="2563" w:name="Tc_Q_Z2X8OV7UuMe3Gr8nJlNQ_10_0"/>
      <w:bookmarkStart w:id="2564" w:name="Tc_1fJUpswWSEuMIlz-yUvgHQ_9_9"/>
      <w:bookmarkStart w:id="2565" w:name="Tc_jXSTgm39KEqz_gs1x4IwAQ_9_0"/>
      <w:bookmarkStart w:id="2566" w:name="Tc_Ik27GRQ9lUKGO2JGVZ2wNQ_8_9"/>
      <w:bookmarkStart w:id="2567" w:name="Tc_qG-nK6JsDkOqNREQA6OwlA_8_0"/>
      <w:bookmarkStart w:id="2568" w:name="Tc_4cxeBhIvGkC4bXTXvMYe4w_7_11"/>
      <w:bookmarkStart w:id="2569" w:name="Tc_xu7xi96MPkGFyvkJQH9DAQ_7_9"/>
      <w:bookmarkStart w:id="2570" w:name="Tc_CWEIZPlXB02YIYZisu_O2w_7_8"/>
      <w:bookmarkStart w:id="2571" w:name="Tc_K4261P3il0yvfGg1I75nfQ_7_5"/>
      <w:bookmarkStart w:id="2572" w:name="Tc_Srsdr2Tx706rDMnXVyBRRQ_7_2"/>
      <w:bookmarkStart w:id="2573" w:name="Tc_js1M-e87SUyhD12GkGVGEg_7_0"/>
      <w:bookmarkStart w:id="2574" w:name="Tc_V7rlMiUm9UGZvKA8sywG7w_6_0"/>
      <w:bookmarkStart w:id="2575" w:name="Tc_2hhCD6-drEWlpiPqPT9HHQ_5_0"/>
      <w:bookmarkStart w:id="2576" w:name="Tc_NEQd0bI_BUiIa2U22KvBrg_4_11"/>
      <w:bookmarkStart w:id="2577" w:name="Tc_YmkVd49ncEaO7LttCHe0kg_4_8"/>
      <w:bookmarkStart w:id="2578" w:name="Tc_gPqsy4Qw3kSEs1X3fK41YA_4_5"/>
      <w:bookmarkStart w:id="2579" w:name="Tc_adre8TrSDUyRbgAovFKs3A_4_2"/>
      <w:bookmarkStart w:id="2580" w:name="Tc_4MxzHtHUckOeP3Vn_xX_OQ_3_8"/>
      <w:bookmarkStart w:id="2581" w:name="Tc_1at_O1Y-0USFcaxgKDSdmA_3_5"/>
      <w:bookmarkStart w:id="2582" w:name="Tc_1rD9u7f5IkKQhdnKDIiplQ_3_2"/>
      <w:bookmarkStart w:id="2583" w:name="Tc_9zNADKZtQEeWIuq58MHGKw_1_0"/>
      <w:bookmarkStart w:id="2584" w:name="_2973cb5f_72fe_4faf_9112_980d4230d708"/>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p>
    <w:tbl>
      <w:tblPr>
        <w:tblW w:w="10205" w:type="dxa"/>
        <w:jc w:val="left"/>
        <w:tblInd w:w="0" w:type="dxa"/>
        <w:tblLayout w:type="fixed"/>
        <w:tblCellMar>
          <w:top w:w="0" w:type="dxa"/>
          <w:left w:w="0" w:type="dxa"/>
          <w:bottom w:w="0" w:type="dxa"/>
          <w:right w:w="0" w:type="dxa"/>
        </w:tblCellMar>
      </w:tblPr>
      <w:tblGrid>
        <w:gridCol w:w="4526"/>
        <w:gridCol w:w="326"/>
        <w:gridCol w:w="226"/>
        <w:gridCol w:w="840"/>
        <w:gridCol w:w="326"/>
        <w:gridCol w:w="211"/>
        <w:gridCol w:w="794"/>
        <w:gridCol w:w="326"/>
        <w:gridCol w:w="253"/>
        <w:gridCol w:w="953"/>
        <w:gridCol w:w="326"/>
        <w:gridCol w:w="223"/>
        <w:gridCol w:w="875"/>
      </w:tblGrid>
      <w:tr>
        <w:trPr/>
        <w:tc>
          <w:tcPr>
            <w:tcW w:w="4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874010" cy="175260"/>
                      <wp:effectExtent l="0" t="0" r="0" b="0"/>
                      <wp:wrapNone/>
                      <wp:docPr id="545" name="Frame543"/>
                      <a:graphic xmlns:a="http://schemas.openxmlformats.org/drawingml/2006/main">
                        <a:graphicData uri="http://schemas.microsoft.com/office/word/2010/wordprocessingShape">
                          <wps:wsp>
                            <wps:cNvSpPr txBox="1"/>
                            <wps:spPr>
                              <a:xfrm>
                                <a:off x="0" y="0"/>
                                <a:ext cx="287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43510" cy="175260"/>
                      <wp:effectExtent l="0" t="0" r="0" b="0"/>
                      <wp:wrapNone/>
                      <wp:docPr id="547" name="Frame5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33400" cy="175260"/>
                      <wp:effectExtent l="0" t="0" r="0" b="0"/>
                      <wp:wrapNone/>
                      <wp:docPr id="548" name="Frame54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50" name="Frame5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04190" cy="175260"/>
                      <wp:effectExtent l="0" t="0" r="0" b="0"/>
                      <wp:wrapNone/>
                      <wp:docPr id="551" name="Frame54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2"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60655" cy="175260"/>
                      <wp:effectExtent l="0" t="0" r="0" b="0"/>
                      <wp:wrapNone/>
                      <wp:docPr id="553" name="Frame55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05155" cy="175260"/>
                      <wp:effectExtent l="0" t="0" r="0" b="0"/>
                      <wp:wrapNone/>
                      <wp:docPr id="554" name="Frame552"/>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41605" cy="175260"/>
                      <wp:effectExtent l="0" t="0" r="0" b="0"/>
                      <wp:wrapNone/>
                      <wp:docPr id="556" name="Frame55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55625" cy="175260"/>
                      <wp:effectExtent l="0" t="0" r="0" b="0"/>
                      <wp:wrapNone/>
                      <wp:docPr id="557" name="Frame555"/>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4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4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5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875" w:type="dxa"/>
            <w:tcBorders/>
            <w:shd w:fill="CCEEFF" w:val="clear"/>
            <w:vAlign w:val="center"/>
          </w:tcPr>
          <w:p>
            <w:pPr>
              <w:pStyle w:val="TableContents"/>
              <w:bidi w:val="0"/>
              <w:spacing w:before="0" w:after="0"/>
              <w:ind w:left="0" w:right="0" w:hanging="0"/>
              <w:jc w:val="center"/>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20,071</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89,901</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109,972</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125,439</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199,526</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258,838</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212,199</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458,364</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119,561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133,285</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371,770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335,988</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707,758</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17,417</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377,463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351,612</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729,075</w:t>
            </w:r>
          </w:p>
        </w:tc>
      </w:tr>
      <w:tr>
        <w:trPr/>
        <w:tc>
          <w:tcPr>
            <w:tcW w:w="4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176,268</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312,256</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91,650</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228,869</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73,994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138,335</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7,907</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and transfers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301,690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396,054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729,870</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(32,126)</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(49,548)</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(50,171)</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(50,966)</w:t>
            </w:r>
          </w:p>
        </w:tc>
      </w:tr>
      <w:tr>
        <w:trPr/>
        <w:tc>
          <w:tcPr>
            <w:tcW w:w="4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pPr>
            <w:r>
              <w:rPr/>
              <w:t>​</w:t>
            </w:r>
          </w:p>
        </w:tc>
      </w:tr>
      <w:tr>
        <w:trPr/>
        <w:tc>
          <w:tcPr>
            <w:tcW w:w="4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pPr>
            <w:r>
              <w:rPr/>
              <w:t>​</w:t>
            </w:r>
          </w:p>
        </w:tc>
      </w:tr>
      <w:tr>
        <w:trPr/>
        <w:tc>
          <w:tcPr>
            <w:tcW w:w="4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585" w:name="Tc_kEi2xEyOREazgpAj60A8Eg_42_9"/>
      <w:bookmarkStart w:id="2586" w:name="Tc_TR5Z11UMhkmbtk3TaRfbYA_42_0"/>
      <w:bookmarkStart w:id="2587" w:name="Tc_AWSATfdDYEaZSznMQxmeSw_41_0"/>
      <w:bookmarkStart w:id="2588" w:name="Tc_Nh_QHEaYj06_H79pUQAqJQ_39_0"/>
      <w:bookmarkStart w:id="2589" w:name="Tc_qpOYwBfP6kyxSev_pcqMAw_38_0"/>
      <w:bookmarkStart w:id="2590" w:name="Tc_n9H0iT_FJkifQpG2GnyXug_37_0"/>
      <w:bookmarkStart w:id="2591" w:name="Tc_U5wcxAK5xEuvBSXF9Djv5A_36_0"/>
      <w:bookmarkStart w:id="2592" w:name="Tc_KOwaTPJAEkqpv2j_-jlckA_35_0"/>
      <w:bookmarkStart w:id="2593" w:name="Tc_y0exCw-JY0-ZqlP404e6Nw_34_0"/>
      <w:bookmarkStart w:id="2594" w:name="Tc_CC7ROV-VO0inH9iL-PhOEA_33_0"/>
      <w:bookmarkStart w:id="2595" w:name="Tc_xg0C78qv6UqPJWxFV53rGA_32_0"/>
      <w:bookmarkStart w:id="2596" w:name="Tc_-5R3WXZ9t0uGcrgwUpnYxQ_31_0"/>
      <w:bookmarkStart w:id="2597" w:name="Tc_xaGSAqu62kOFr0hjAYnLbA_30_9"/>
      <w:bookmarkStart w:id="2598" w:name="Tc_9g9ZqF_0AkaJoZUvQij9VQ_30_0"/>
      <w:bookmarkStart w:id="2599" w:name="Tc_U28DSlAbBUiel9X7dTbDow_29_0"/>
      <w:bookmarkStart w:id="2600" w:name="Tc_CPQxAJcdJk2Q-n5xQWVpkg_28_9"/>
      <w:bookmarkStart w:id="2601" w:name="Tc_R2gftvKuHkyVpnZU0tNZ3w_28_0"/>
      <w:bookmarkStart w:id="2602" w:name="Tc_FUW2Y0iP50yON__GZ0A0cw_27_3"/>
      <w:bookmarkStart w:id="2603" w:name="Tc_o0plobVhykKYsSxls04GWw_27_0"/>
      <w:bookmarkStart w:id="2604" w:name="Tc_cF8rx-RRVEqyN_VjCA3eUw_26_0"/>
      <w:bookmarkStart w:id="2605" w:name="Tc_7fbX6TkP70maBCSRlZTacg_25_0"/>
      <w:bookmarkStart w:id="2606" w:name="Tc_KG9yO3_j9kqUkvWcC3pYGQ_24_9"/>
      <w:bookmarkStart w:id="2607" w:name="Tc_n1QsUe3kHk6dzKYDpCopyQ_24_3"/>
      <w:bookmarkStart w:id="2608" w:name="Tc_MT8w2sSg-k2tY2M03k_5mw_24_0"/>
      <w:bookmarkStart w:id="2609" w:name="Tc__4YA_ZY3v0OplYcAk2JJZg_23_0"/>
      <w:bookmarkStart w:id="2610" w:name="Tc_TGrbM8sZK0OABZq35a-YHg_22_0"/>
      <w:bookmarkStart w:id="2611" w:name="Tc_SJ9HRaswWEqt88N60GsU5w_20_9"/>
      <w:bookmarkStart w:id="2612" w:name="Tc_q1J_rRzJFkuK01J9xOoj8g_20_0"/>
      <w:bookmarkStart w:id="2613" w:name="Tc_PCWPRS3ExU-U5nxHSb9RUg_19_9"/>
      <w:bookmarkStart w:id="2614" w:name="Tc_ueRjlowzkk26gduOI7xE5Q_19_0"/>
      <w:bookmarkStart w:id="2615" w:name="Tc_35I9WyrtRUybrCFQreIChA_18_9"/>
      <w:bookmarkStart w:id="2616" w:name="Tc_p4F473d4Uk6qrr-DCl8emA_18_0"/>
      <w:bookmarkStart w:id="2617" w:name="Tc_yhWEVrTck0WOxLxCNOuJTw_17_0"/>
      <w:bookmarkStart w:id="2618" w:name="Tc_a233aKPgPkeq0f53QmMz6g_16_9"/>
      <w:bookmarkStart w:id="2619" w:name="Tc_wi6wb66lTkC_B1wXNzfMZQ_16_3"/>
      <w:bookmarkStart w:id="2620" w:name="Tc_3D7HbBERzkOXewg94ef8yQ_16_0"/>
      <w:bookmarkStart w:id="2621" w:name="Tc_1NGyHR04LE-0XlAfq5C0Rg_15_9"/>
      <w:bookmarkStart w:id="2622" w:name="Tc_ULRYkyWxM0S9oa8VM05kCQ_15_0"/>
      <w:bookmarkStart w:id="2623" w:name="Tc_S1-szuU0ZkWzhlLExElsNA_14_9"/>
      <w:bookmarkStart w:id="2624" w:name="Tc_TTl5j4zpsUKcQJn8zsylLQ_14_0"/>
      <w:bookmarkStart w:id="2625" w:name="Tc_Yw6gX58U8Uy4cJMbJixBNQ_13_9"/>
      <w:bookmarkStart w:id="2626" w:name="Tc_0qHJ--gyLEqRq1aAXQAmGw_13_0"/>
      <w:bookmarkStart w:id="2627" w:name="Tc_NHG3gbjAE0a-CQ9UewxN0A_12_9"/>
      <w:bookmarkStart w:id="2628" w:name="Tc_34MwhEwUMEueRo73MLhXkQ_12_0"/>
      <w:bookmarkStart w:id="2629" w:name="Tc_5l7UEg7L606zlDJp4yMZqQ_11_9"/>
      <w:bookmarkStart w:id="2630" w:name="Tc_rG-VG9vs5U2UCJE5a6bamg_11_0"/>
      <w:bookmarkStart w:id="2631" w:name="Tc_DIlR_iqmQUS9OjcRqTimSA_10_9"/>
      <w:bookmarkStart w:id="2632" w:name="Tc_U6SuzL9JZ0ioDYWocnCOgA_10_0"/>
      <w:bookmarkStart w:id="2633" w:name="Tc_XguSBjUX6E-fTeUsv-EvkA_9_9"/>
      <w:bookmarkStart w:id="2634" w:name="Tc_z96nEKm4SESd7RZSCHNH-A_9_0"/>
      <w:bookmarkStart w:id="2635" w:name="Tc_gvhheatxAkqAg9-EPx-_Jg_8_9"/>
      <w:bookmarkStart w:id="2636" w:name="Tc_cfqVcvwWw0iafbXgl60NDQ_8_0"/>
      <w:bookmarkStart w:id="2637" w:name="Tc_JRk9wAjzx0CJzOLvtEjtqA_7_11"/>
      <w:bookmarkStart w:id="2638" w:name="Tc_mwIs4R2BzkqoyeAPIy83Sw_7_9"/>
      <w:bookmarkStart w:id="2639" w:name="Tc_goZ-ulNrA0OAw01AB7UmEw_7_8"/>
      <w:bookmarkStart w:id="2640" w:name="Tc_GfEqGv_YMEqxULUXW9QEaA_7_5"/>
      <w:bookmarkStart w:id="2641" w:name="Tc_mOJsIaMfwk2Hkejh_S_5qw_7_2"/>
      <w:bookmarkStart w:id="2642" w:name="Tc_uilin27EfUWPxUkjL5HF4w_7_0"/>
      <w:bookmarkStart w:id="2643" w:name="Tc_ed0llqEC7k6cTM2X_NTAhQ_6_0"/>
      <w:bookmarkStart w:id="2644" w:name="Tc_6-lbRSoVXUaenJTsYV5Kkg_5_0"/>
      <w:bookmarkStart w:id="2645" w:name="Tc_xnTN2dzaVkqAuzViDsoOcQ_4_11"/>
      <w:bookmarkStart w:id="2646" w:name="Tc_pAJfp9oS40-pkgLaxcRbww_4_8"/>
      <w:bookmarkStart w:id="2647" w:name="Tc_-Mmjl1lYK0yvJGrSDxeReQ_4_5"/>
      <w:bookmarkStart w:id="2648" w:name="Tc_bzoltYT9oEO99xFPfOunqA_4_2"/>
      <w:bookmarkStart w:id="2649" w:name="Tc_ya9v8FjXqU2FAjDVuFrY1Q_3_8"/>
      <w:bookmarkStart w:id="2650" w:name="Tc_sU5AazWztES52ZvI7liHJQ_3_5"/>
      <w:bookmarkStart w:id="2651" w:name="Tc_7ebxLcys-02SxaT0BSXWxA_3_2"/>
      <w:bookmarkStart w:id="2652" w:name="Tc_yjn2RKPQL0unBTznrA-siA_1_0"/>
      <w:bookmarkStart w:id="2653" w:name="_5b1c922f_f397_40ef_a1eb_d7135d49d76f"/>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r>
        <w:rPr/>
        <w:t>​</w:t>
      </w:r>
    </w:p>
    <w:tbl>
      <w:tblPr>
        <w:tblW w:w="10205" w:type="dxa"/>
        <w:jc w:val="left"/>
        <w:tblInd w:w="0" w:type="dxa"/>
        <w:tblLayout w:type="fixed"/>
        <w:tblCellMar>
          <w:top w:w="0" w:type="dxa"/>
          <w:left w:w="0" w:type="dxa"/>
          <w:bottom w:w="0" w:type="dxa"/>
          <w:right w:w="0" w:type="dxa"/>
        </w:tblCellMar>
      </w:tblPr>
      <w:tblGrid>
        <w:gridCol w:w="4738"/>
        <w:gridCol w:w="326"/>
        <w:gridCol w:w="226"/>
        <w:gridCol w:w="840"/>
        <w:gridCol w:w="326"/>
        <w:gridCol w:w="211"/>
        <w:gridCol w:w="781"/>
        <w:gridCol w:w="326"/>
        <w:gridCol w:w="256"/>
        <w:gridCol w:w="969"/>
        <w:gridCol w:w="109"/>
        <w:gridCol w:w="223"/>
        <w:gridCol w:w="874"/>
      </w:tblGrid>
      <w:tr>
        <w:trPr/>
        <w:tc>
          <w:tcPr>
            <w:tcW w:w="4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008630" cy="175260"/>
                      <wp:effectExtent l="0" t="0" r="0" b="0"/>
                      <wp:wrapNone/>
                      <wp:docPr id="558" name="Frame556"/>
                      <a:graphic xmlns:a="http://schemas.openxmlformats.org/drawingml/2006/main">
                        <a:graphicData uri="http://schemas.microsoft.com/office/word/2010/wordprocessingShape">
                          <wps:wsp>
                            <wps:cNvSpPr txBox="1"/>
                            <wps:spPr>
                              <a:xfrm>
                                <a:off x="0" y="0"/>
                                <a:ext cx="300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9"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43510" cy="175260"/>
                      <wp:effectExtent l="0" t="0" r="0" b="0"/>
                      <wp:wrapNone/>
                      <wp:docPr id="560" name="Frame5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33400" cy="175260"/>
                      <wp:effectExtent l="0" t="0" r="0" b="0"/>
                      <wp:wrapNone/>
                      <wp:docPr id="561" name="Frame55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2"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33985" cy="175260"/>
                      <wp:effectExtent l="0" t="0" r="0" b="0"/>
                      <wp:wrapNone/>
                      <wp:docPr id="563" name="Frame5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95935" cy="175260"/>
                      <wp:effectExtent l="0" t="0" r="0" b="0"/>
                      <wp:wrapNone/>
                      <wp:docPr id="564" name="Frame5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07010" cy="175260"/>
                      <wp:effectExtent l="0" t="0" r="0" b="0"/>
                      <wp:wrapNone/>
                      <wp:docPr id="565"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62560" cy="175260"/>
                      <wp:effectExtent l="0" t="0" r="0" b="0"/>
                      <wp:wrapNone/>
                      <wp:docPr id="566" name="Frame56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15315" cy="175260"/>
                      <wp:effectExtent l="0" t="0" r="0" b="0"/>
                      <wp:wrapNone/>
                      <wp:docPr id="567" name="Frame565"/>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8"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41605" cy="175260"/>
                      <wp:effectExtent l="0" t="0" r="0" b="0"/>
                      <wp:wrapNone/>
                      <wp:docPr id="569" name="Frame56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54990" cy="175260"/>
                      <wp:effectExtent l="0" t="0" r="0" b="0"/>
                      <wp:wrapNone/>
                      <wp:docPr id="570" name="Frame568"/>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874" w:type="dxa"/>
            <w:tcBorders/>
            <w:shd w:fill="CCEEFF" w:val="clear"/>
            <w:vAlign w:val="center"/>
          </w:tcPr>
          <w:p>
            <w:pPr>
              <w:pStyle w:val="TableContents"/>
              <w:bidi w:val="0"/>
              <w:spacing w:before="0" w:after="0"/>
              <w:ind w:left="0" w:right="0" w:hanging="0"/>
              <w:jc w:val="center"/>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16,860</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95,663</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112,523</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143,322</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214,537</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90,283</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258,236</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233,605</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472,773</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142,881</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369,676</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735,082</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10,629</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370,733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391,483</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762,216</w:t>
            </w:r>
          </w:p>
        </w:tc>
      </w:tr>
      <w:tr>
        <w:trPr/>
        <w:tc>
          <w:tcPr>
            <w:tcW w:w="47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141,771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178,829</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319,723</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102,375</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242,697</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7,857</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11,228</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81,594</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141,627</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11,383</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12,636</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and transfers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317,313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397,005</w:t>
            </w:r>
          </w:p>
        </w:tc>
        <w:tc>
          <w:tcPr>
            <w:tcW w:w="326" w:type="dxa"/>
            <w:tcBorders/>
            <w:vAlign w:val="center"/>
          </w:tcPr>
          <w:p>
            <w:pPr>
              <w:pStyle w:val="TableContents"/>
              <w:bidi w:val="0"/>
              <w:spacing w:before="0" w:after="0"/>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34,723</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749,041</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(34,723)</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(42,686)</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(40,714)</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(27,539)</w:t>
            </w:r>
          </w:p>
        </w:tc>
      </w:tr>
      <w:tr>
        <w:trPr/>
        <w:tc>
          <w:tcPr>
            <w:tcW w:w="47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7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11,321</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654" w:name="Tc_lHefB44KIkmEsTEf8wFoSw_41_9"/>
      <w:bookmarkStart w:id="2655" w:name="Tc_ObnTkmntK06Lc9JPMRstNA_41_0"/>
      <w:bookmarkStart w:id="2656" w:name="Tc_Plvb2G_BukqNsjfaSKHtLw_40_0"/>
      <w:bookmarkStart w:id="2657" w:name="Tc_XbIJKBUcdkyexU9Guotzsg_38_0"/>
      <w:bookmarkStart w:id="2658" w:name="Tc_rXODEQoY0Uqc1xQPqms7IQ_37_0"/>
      <w:bookmarkStart w:id="2659" w:name="Tc_kfB52JvfSU2EY8tLaAQCPg_36_0"/>
      <w:bookmarkStart w:id="2660" w:name="Tc_O6Fe8MnRXkCKaL_SKVbq1w_35_0"/>
      <w:bookmarkStart w:id="2661" w:name="Tc_zCMJaVTeH0G8pYe_0bbrbA_34_0"/>
      <w:bookmarkStart w:id="2662" w:name="Tc_9ksQUsFFAUabNAkRj2hffA_33_0"/>
      <w:bookmarkStart w:id="2663" w:name="Tc_vxVsnKvk30-v2f0jppx19w_32_0"/>
      <w:bookmarkStart w:id="2664" w:name="Tc_w70-FijliEObI3rrLT4SoQ_31_0"/>
      <w:bookmarkStart w:id="2665" w:name="Tc_ejlhCnjkXUSeMPXc8JRyDw_30_0"/>
      <w:bookmarkStart w:id="2666" w:name="Tc_4prQs1f4ekaBx6cpXJF2GQ_29_9"/>
      <w:bookmarkStart w:id="2667" w:name="Tc_5h1m5enSrE61SdFeC8H3Xg_29_0"/>
      <w:bookmarkStart w:id="2668" w:name="Tc_PUxo-nU85EuzckarQU1bnA_28_0"/>
      <w:bookmarkStart w:id="2669" w:name="Tc__gRbKiKowk6slAt-iySmgw_27_3"/>
      <w:bookmarkStart w:id="2670" w:name="Tc_nHcdm6Wps0Ce8mGQCnxgkw_27_0"/>
      <w:bookmarkStart w:id="2671" w:name="Tc_TrT3iY4OKUCwpYDYbJ8Qpw_26_0"/>
      <w:bookmarkStart w:id="2672" w:name="Tc_K7EWSvgl-k2JCxoBfrqSPw_25_0"/>
      <w:bookmarkStart w:id="2673" w:name="Tc_Mlp8yxNj-UagR2A14PKkNA_24_9"/>
      <w:bookmarkStart w:id="2674" w:name="Tc_4VRhaId3tES6ZyCxTK9IjQ_24_3"/>
      <w:bookmarkStart w:id="2675" w:name="Tc_IJxItfCZbEqY0EX3PhjD4A_24_0"/>
      <w:bookmarkStart w:id="2676" w:name="Tc_6PJ1JKzb4kqVkTW-_rlW4g_23_0"/>
      <w:bookmarkStart w:id="2677" w:name="Tc_ANL9oRQqC0-ISZroNat4YA_22_0"/>
      <w:bookmarkStart w:id="2678" w:name="Tc_b6hJUHKKSUOv5RVIWbTWdQ_20_9"/>
      <w:bookmarkStart w:id="2679" w:name="Tc_Q86rY3rvhkW6xHkZCFXEZw_20_0"/>
      <w:bookmarkStart w:id="2680" w:name="Tc_250oL0f700-1ExOk7yShHw_19_9"/>
      <w:bookmarkStart w:id="2681" w:name="Tc_Du7dT7WEXEyfwOY8BdlEZQ_19_0"/>
      <w:bookmarkStart w:id="2682" w:name="Tc_7aOj_gRAyEG0peK_ndR7Pg_18_9"/>
      <w:bookmarkStart w:id="2683" w:name="Tc_T9V49wm-Q0q0oue6q1xSvA_18_0"/>
      <w:bookmarkStart w:id="2684" w:name="Tc_srXHja1xbEWar0MlmlrMIQ_17_0"/>
      <w:bookmarkStart w:id="2685" w:name="Tc_SZ852bUBuUOU6N5FBT4s-w_16_9"/>
      <w:bookmarkStart w:id="2686" w:name="Tc_AsQbqtBHwUiQrunNMwiNpw_16_3"/>
      <w:bookmarkStart w:id="2687" w:name="Tc_889_GMihWUmsXqyXVnFGIQ_16_0"/>
      <w:bookmarkStart w:id="2688" w:name="Tc_5UvxDOhTsEegZvsNA9LeuQ_15_9"/>
      <w:bookmarkStart w:id="2689" w:name="Tc_dAjA_9JztkaBbmwPCkS4wQ_15_0"/>
      <w:bookmarkStart w:id="2690" w:name="Tc_5XNWWFcaW0WrzUqOAp2OzA_14_9"/>
      <w:bookmarkStart w:id="2691" w:name="Tc_dX2CAmXue0CgFcbRLIOfEQ_14_0"/>
      <w:bookmarkStart w:id="2692" w:name="Tc_g0tP5Hm7Bk2ycPYyxO6k3g_13_9"/>
      <w:bookmarkStart w:id="2693" w:name="Tc_vr6T3PIqGUecIhVEs4s-NQ_13_0"/>
      <w:bookmarkStart w:id="2694" w:name="Tc_lfCXmfw900OgT0jry4kziw_12_9"/>
      <w:bookmarkStart w:id="2695" w:name="Tc_gBkwB497t0Knmr6s4LQuQA_12_0"/>
      <w:bookmarkStart w:id="2696" w:name="Tc_QrqUILPK3k-fZJPAa8vp0Q_11_9"/>
      <w:bookmarkStart w:id="2697" w:name="Tc_dgN7RAxWZEWST01xzIwIbw_11_0"/>
      <w:bookmarkStart w:id="2698" w:name="Tc_8g1kuaPWaUOEuQbcG5bsNg_10_9"/>
      <w:bookmarkStart w:id="2699" w:name="Tc_bGZOVFeQ3kyKuBG06g0psQ_10_0"/>
      <w:bookmarkStart w:id="2700" w:name="Tc_Wdh3HdeHEk-mJuI-d2YI_A_9_9"/>
      <w:bookmarkStart w:id="2701" w:name="Tc_OcfC5dLETkCgSTthnftY7Q_9_0"/>
      <w:bookmarkStart w:id="2702" w:name="Tc_fxn6w2-f40yxK_CWk_JtGg_8_9"/>
      <w:bookmarkStart w:id="2703" w:name="Tc_KqWj7vYNvEqsieHlLsCAVg_8_0"/>
      <w:bookmarkStart w:id="2704" w:name="Tc_3izcSqYey0aEaqz6nRbLaw_7_11"/>
      <w:bookmarkStart w:id="2705" w:name="Tc_l4mMF2m0IEOgC8q4yDiVeA_7_9"/>
      <w:bookmarkStart w:id="2706" w:name="Tc_PA7jnHHD6E6d5t-IWy9AHg_7_8"/>
      <w:bookmarkStart w:id="2707" w:name="Tc_Z-b3PwJq10yk0RiO3etIFQ_7_5"/>
      <w:bookmarkStart w:id="2708" w:name="Tc_Zh4M-9fpz0a3qNPV-8BV2A_7_2"/>
      <w:bookmarkStart w:id="2709" w:name="Tc_DP056vOujEqpUMZS9tFHBg_7_0"/>
      <w:bookmarkStart w:id="2710" w:name="Tc_7s_H4E5Sn0u8ittyEUXNrw_6_0"/>
      <w:bookmarkStart w:id="2711" w:name="Tc_cODff1nbbkq68CQZ53Jocg_5_0"/>
      <w:bookmarkStart w:id="2712" w:name="Tc_c1z5AtVTL0G4DtKyCgKwfQ_4_11"/>
      <w:bookmarkStart w:id="2713" w:name="Tc_frKDWREKm0qcTHJpOWzVgw_4_8"/>
      <w:bookmarkStart w:id="2714" w:name="Tc_di5yq3WGuUq3sY_aajZSJA_4_5"/>
      <w:bookmarkStart w:id="2715" w:name="Tc_M5DzB3_5F0yZwO9K6tBozQ_4_2"/>
      <w:bookmarkStart w:id="2716" w:name="Tc_oU_uhWCmk0uM--v6kyowtw_3_8"/>
      <w:bookmarkStart w:id="2717" w:name="Tc_93qlcLuSkk6scK6nSJNiEA_3_5"/>
      <w:bookmarkStart w:id="2718" w:name="Tc_tQEF3Wksr02NueoXuGZhPA_3_2"/>
      <w:bookmarkStart w:id="2719" w:name="Tc_GLL17FHVL0-SjPqvasXWXA_1_0"/>
      <w:bookmarkStart w:id="2720" w:name="_ef908859_a9ce_4c18_8eac_12279ab45a71"/>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r>
        <w:rPr/>
        <w:t>​</w:t>
      </w:r>
    </w:p>
    <w:tbl>
      <w:tblPr>
        <w:tblW w:w="10205" w:type="dxa"/>
        <w:jc w:val="left"/>
        <w:tblInd w:w="0" w:type="dxa"/>
        <w:tblLayout w:type="fixed"/>
        <w:tblCellMar>
          <w:top w:w="0" w:type="dxa"/>
          <w:left w:w="0" w:type="dxa"/>
          <w:bottom w:w="0" w:type="dxa"/>
          <w:right w:w="0" w:type="dxa"/>
        </w:tblCellMar>
      </w:tblPr>
      <w:tblGrid>
        <w:gridCol w:w="4539"/>
        <w:gridCol w:w="326"/>
        <w:gridCol w:w="226"/>
        <w:gridCol w:w="840"/>
        <w:gridCol w:w="326"/>
        <w:gridCol w:w="211"/>
        <w:gridCol w:w="781"/>
        <w:gridCol w:w="326"/>
        <w:gridCol w:w="253"/>
        <w:gridCol w:w="954"/>
        <w:gridCol w:w="326"/>
        <w:gridCol w:w="223"/>
        <w:gridCol w:w="874"/>
      </w:tblGrid>
      <w:tr>
        <w:trPr/>
        <w:tc>
          <w:tcPr>
            <w:tcW w:w="4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882265" cy="175260"/>
                      <wp:effectExtent l="0" t="0" r="0" b="0"/>
                      <wp:wrapNone/>
                      <wp:docPr id="571" name="Frame569"/>
                      <a:graphic xmlns:a="http://schemas.openxmlformats.org/drawingml/2006/main">
                        <a:graphicData uri="http://schemas.microsoft.com/office/word/2010/wordprocessingShape">
                          <wps:wsp>
                            <wps:cNvSpPr txBox="1"/>
                            <wps:spPr>
                              <a:xfrm>
                                <a:off x="0" y="0"/>
                                <a:ext cx="288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43510" cy="175260"/>
                      <wp:effectExtent l="0" t="0" r="0" b="0"/>
                      <wp:wrapNone/>
                      <wp:docPr id="573" name="Frame5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533400" cy="175260"/>
                      <wp:effectExtent l="0" t="0" r="0" b="0"/>
                      <wp:wrapNone/>
                      <wp:docPr id="574" name="Frame57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5"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76"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95935" cy="175260"/>
                      <wp:effectExtent l="0" t="0" r="0" b="0"/>
                      <wp:wrapNone/>
                      <wp:docPr id="577" name="Frame5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8" name="Frame5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60655" cy="175260"/>
                      <wp:effectExtent l="0" t="0" r="0" b="0"/>
                      <wp:wrapNone/>
                      <wp:docPr id="579" name="Frame57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05790" cy="175260"/>
                      <wp:effectExtent l="0" t="0" r="0" b="0"/>
                      <wp:wrapNone/>
                      <wp:docPr id="580" name="Frame57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41605" cy="175260"/>
                      <wp:effectExtent l="0" t="0" r="0" b="0"/>
                      <wp:wrapNone/>
                      <wp:docPr id="582" name="Frame58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54990" cy="175260"/>
                      <wp:effectExtent l="0" t="0" r="0" b="0"/>
                      <wp:wrapNone/>
                      <wp:docPr id="583" name="Frame581"/>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4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r>
      <w:tr>
        <w:trPr/>
        <w:tc>
          <w:tcPr>
            <w:tcW w:w="4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26" w:type="dxa"/>
            <w:tcBorders/>
            <w:vAlign w:val="center"/>
          </w:tcPr>
          <w:p>
            <w:pPr>
              <w:pStyle w:val="TableContents"/>
              <w:bidi w:val="0"/>
              <w:spacing w:before="0" w:after="0"/>
              <w:ind w:left="0" w:right="0" w:hanging="0"/>
              <w:jc w:val="left"/>
              <w:rPr/>
            </w:pPr>
            <w:r>
              <w:rPr/>
              <w:t>​</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16,058</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93,960</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110,018</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126,735</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196,638</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78,338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241,746</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205,073</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438,384</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128,864</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142,323</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350,651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341,570</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692,221</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15,762</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15,762</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12,832</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17,762</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12,832</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17,762</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355,581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370,164</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725,745</w:t>
            </w:r>
          </w:p>
        </w:tc>
      </w:tr>
      <w:tr>
        <w:trPr/>
        <w:tc>
          <w:tcPr>
            <w:tcW w:w="45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140,099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173,302</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312,895</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15,763</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15,763</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103,933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95,703</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24,763</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224,399</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7,406</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56,568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75,020</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135,137</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11,444</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13,016</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and transfers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303,569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375,820</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38,414</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717,803</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(5,656)</w:t>
            </w:r>
          </w:p>
        </w:tc>
        <w:tc>
          <w:tcPr>
            <w:tcW w:w="3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(38,414)</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7,942</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(20,417)</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4,245</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(15,998)</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r>
      <w:tr>
        <w:trPr/>
        <w:tc>
          <w:tcPr>
            <w:tcW w:w="45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53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74" w:type="dxa"/>
            <w:tcBorders/>
            <w:vAlign w:val="center"/>
          </w:tcPr>
          <w:p>
            <w:pPr>
              <w:pStyle w:val="TableContents"/>
              <w:bidi w:val="0"/>
              <w:spacing w:before="0" w:after="0"/>
              <w:ind w:left="0" w:right="0" w:hanging="0"/>
              <w:jc w:val="right"/>
              <w:rPr/>
            </w:pPr>
            <w:r>
              <w:rPr/>
              <w:t>​</w:t>
            </w:r>
          </w:p>
        </w:tc>
      </w:tr>
      <w:tr>
        <w:trPr/>
        <w:tc>
          <w:tcPr>
            <w:tcW w:w="4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w:t>
            </w:r>
          </w:p>
        </w:tc>
        <w:tc>
          <w:tcPr>
            <w:tcW w:w="3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721" w:name="Tc_oVhYJ0JRSEqEO6K2HHrg7A_10_17"/>
      <w:bookmarkStart w:id="2722" w:name="Tc_oZto6ON3MEC4_C-5Kg0zXw_10_14"/>
      <w:bookmarkStart w:id="2723" w:name="Tc_lOhUGtTEyEytMOgCKDv7mw_10_11"/>
      <w:bookmarkStart w:id="2724" w:name="Tc_IT6iUWrF4EWs7b7anMuE3Q_10_8"/>
      <w:bookmarkStart w:id="2725" w:name="Tc__c80zIG6LEWjp4jJ8g-cJg_10_5"/>
      <w:bookmarkStart w:id="2726" w:name="Tc_PsrEOFCMt02tNS5yFCA_Rg_10_2"/>
      <w:bookmarkStart w:id="2727" w:name="Tc_EBRIOPN-W0aVdBRxNhGF8Q_9_0"/>
      <w:bookmarkStart w:id="2728" w:name="Tc_M9zPhyfbiEqTLHZSKaZWrw_8_0"/>
      <w:bookmarkStart w:id="2729" w:name="Tc_R3NeJZKoM0GXvVA6bCnoSg_7_0"/>
      <w:bookmarkStart w:id="2730" w:name="Tc_fxUAB_OBQEmX5iwsrvkYow_6_0"/>
      <w:bookmarkStart w:id="2731" w:name="Tc_ZhGZfJhVCUab0dgjIC8YKw_5_17"/>
      <w:bookmarkStart w:id="2732" w:name="Tc_FRtP-rUF2kSLr8zuNQV-qg_5_14"/>
      <w:bookmarkStart w:id="2733" w:name="Tc_eDlGKFOwB0CcPIJpDbiBVA_5_11"/>
      <w:bookmarkStart w:id="2734" w:name="Tc_4eYuLN6e00SDEVEvCwD56Q_5_8"/>
      <w:bookmarkStart w:id="2735" w:name="Tc_5PSCTvz0qUqrpmKApHy0gg_5_5"/>
      <w:bookmarkStart w:id="2736" w:name="Tc_0ggBvogZL0G8u_hwe-wg2A_5_2"/>
      <w:bookmarkStart w:id="2737" w:name="Tc_h1M_1mirXEOgYsNdXNkCQA_5_0"/>
      <w:bookmarkStart w:id="2738" w:name="Tc_DVztnRdRBEikfrmVNk3YGw_3_17"/>
      <w:bookmarkStart w:id="2739" w:name="Tc_odqUVVc1oUKET5YWlVkYLw_3_14"/>
      <w:bookmarkStart w:id="2740" w:name="Tc_pBZbYwJ93UKdTGpaJ5e85A_3_11"/>
      <w:bookmarkStart w:id="2741" w:name="Tc_QNw-6Ig4hk6aqA8MNKj7TA_3_8"/>
      <w:bookmarkStart w:id="2742" w:name="Tc_yvg45Vhe6EWvi3WFGq33jQ_3_5"/>
      <w:bookmarkStart w:id="2743" w:name="Tc_t3g6XTbHmEagk6Mj0d0ZdA_3_2"/>
      <w:bookmarkStart w:id="2744" w:name="Tc_m8A_lzQ5AESg98dAdWEgXA_2_17"/>
      <w:bookmarkStart w:id="2745" w:name="Tc_h-MdUY_ExkiJhNgUZt0zfg_2_11"/>
      <w:bookmarkStart w:id="2746" w:name="Tc_lNT1wcXb_kCsq4f8iPjXoQ_2_5"/>
      <w:bookmarkStart w:id="2747" w:name="Tc_ZWxYn6zV0EGMcnXvgNJ43g_1_14"/>
      <w:bookmarkStart w:id="2748" w:name="Tc_VPpi-pf-BU6Q7HAT_tdltA_1_8"/>
      <w:bookmarkStart w:id="2749" w:name="Tc_8-QZYTD760G8LZ50aXNsZQ_1_2"/>
      <w:bookmarkStart w:id="2750" w:name="_49ef8a52_2534_45e6_8eb3_c9e9359bb0cc"/>
      <w:bookmarkStart w:id="2751" w:name="Tc_TyTs-2VGZEm2bHBLD2Sbxg_6_9"/>
      <w:bookmarkStart w:id="2752" w:name="Tc_zvqg5K81h0ef8seDS1t0VQ_6_0"/>
      <w:bookmarkStart w:id="2753" w:name="Tc_Tj6GOqLBj0G7eKGTJzcQag_5_11"/>
      <w:bookmarkStart w:id="2754" w:name="Tc_Z8CpYkmXZkeOidrA_Vmatg_5_8"/>
      <w:bookmarkStart w:id="2755" w:name="Tc_BeAJkLBbc0C1AkHypktYEQ_5_5"/>
      <w:bookmarkStart w:id="2756" w:name="Tc_wbMf6YAY2UiDz19ctaz-Pw_5_2"/>
      <w:bookmarkStart w:id="2757" w:name="Tc_WM7gcC3tpEqKZ3rwyZFbBg_5_0"/>
      <w:bookmarkStart w:id="2758" w:name="Tc_Bo0DezqHzk2AWVHMPs-gpg_4_12"/>
      <w:bookmarkStart w:id="2759" w:name="Tc_9kPCwjGKiUi3hqKpYdQemg_4_9"/>
      <w:bookmarkStart w:id="2760" w:name="Tc_xe3aFvkxuUKZzNpTnTyOQw_4_6"/>
      <w:bookmarkStart w:id="2761" w:name="Tc_vP2a2UnC0UCTPh8A3xZkeQ_4_3"/>
      <w:bookmarkStart w:id="2762" w:name="Tc_1lgwZ2YiD0St_Eq7T6gqBQ_4_0"/>
      <w:bookmarkStart w:id="2763" w:name="Tc_AFbWp1i3A0eyquBFGKGpag_3_9"/>
      <w:bookmarkStart w:id="2764" w:name="Tc_vz2Oxul27kWWjLgWNXs13Q_3_6"/>
      <w:bookmarkStart w:id="2765" w:name="Tc_PqbUA3jr_E6g3toIIlfJEQ_3_3"/>
      <w:bookmarkStart w:id="2766" w:name="Tc_uYnLjBVKlkagH59VJTYWcA_1_2"/>
      <w:bookmarkStart w:id="2767" w:name="_33d3b12f_e280_4ab6_959d_e4b3dc43621f"/>
      <w:bookmarkStart w:id="2768" w:name="Tc_qolwTwu-VUyGXLAlEiHwaQ_18_0"/>
      <w:bookmarkStart w:id="2769" w:name="Tc_B2--VcnbvEma9A92kTwb8g_17_0"/>
      <w:bookmarkStart w:id="2770" w:name="Tc_RYr7eM3VykSUAFjcbXkxlw_16_0"/>
      <w:bookmarkStart w:id="2771" w:name="Tc_2DcsR9Z6t0C_4mR18A71CQ_15_9"/>
      <w:bookmarkStart w:id="2772" w:name="Tc_Tp4g1KD7p0uLJjN0hiA2KA_15_0"/>
      <w:bookmarkStart w:id="2773" w:name="Tc_iseuaK0ahUq9ZmCh-fpJoA_14_0"/>
      <w:bookmarkStart w:id="2774" w:name="Tc_8WZ8IAf_G0OCxI6JYV-L9g_13_0"/>
      <w:bookmarkStart w:id="2775" w:name="Tc_vJFaJHV-okm4XYnTQ2neVw_12_11"/>
      <w:bookmarkStart w:id="2776" w:name="Tc_pDi290P-bUC1rHiSonIOZQ_12_8"/>
      <w:bookmarkStart w:id="2777" w:name="Tc_kV1BZ2N6SE63gxyhIDz_pg_12_5"/>
      <w:bookmarkStart w:id="2778" w:name="Tc_Jz-JI8Vc_0e_r499Qeb8Nw_12_2"/>
      <w:bookmarkStart w:id="2779" w:name="Tc_n2sp1_fT7kGoissbZn4Y7A_12_0"/>
      <w:bookmarkStart w:id="2780" w:name="Tc_nihy1pnQTUa0laLwg1p1hA_11_0"/>
      <w:bookmarkStart w:id="2781" w:name="Tc_HdHE-QzcXUG6LQA8d2GJqw_10_0"/>
      <w:bookmarkStart w:id="2782" w:name="Tc_aY6pXmKpmUOPP3MgFhg0bw_9_0"/>
      <w:bookmarkStart w:id="2783" w:name="Tc_1i3mvDfsDk6iGm0QAtHIqw_8_0"/>
      <w:bookmarkStart w:id="2784" w:name="Tc_-E7QKVcRi0-46cwTnjLohw_7_9"/>
      <w:bookmarkStart w:id="2785" w:name="Tc_a6F_nunt806A4BaLwkUU7A_7_6"/>
      <w:bookmarkStart w:id="2786" w:name="Tc_KCVtHt7c3k2GFmZZp0us6A_7_0"/>
      <w:bookmarkStart w:id="2787" w:name="Tc_F3zBoNFCsEaXoONrefTtyQ_6_0"/>
      <w:bookmarkStart w:id="2788" w:name="Tc_K7rvsKXkKU6sKywJopftOA_5_0"/>
      <w:bookmarkStart w:id="2789" w:name="Tc_mTo1G9bO3ke7wM7Czo_4ag_4_11"/>
      <w:bookmarkStart w:id="2790" w:name="Tc_aJ8ffG8sDU2dvKhbSIaa7Q_4_8"/>
      <w:bookmarkStart w:id="2791" w:name="Tc_s-ImGR753Em0lQ7wCbwYRA_4_5"/>
      <w:bookmarkStart w:id="2792" w:name="Tc_rVL7UVRRLEC3D4iwNI8LEw_4_2"/>
      <w:bookmarkStart w:id="2793" w:name="Tc_Tj4kuYMJmEy-S1Q8QmPTRQ_4_0"/>
      <w:bookmarkStart w:id="2794" w:name="Tc_yJa0a85FLkW5YPz7wDJBzw_3_0"/>
      <w:bookmarkStart w:id="2795" w:name="Tc_dEIJkkpxpkiH5c9F5DNRtA_2_11"/>
      <w:bookmarkStart w:id="2796" w:name="Tc_3vhVPLeTWkmw_q8FT5t8Hw_2_8"/>
      <w:bookmarkStart w:id="2797" w:name="Tc_fnEt_pTNi0qOjBv4ZCJosg_2_5"/>
      <w:bookmarkStart w:id="2798" w:name="Tc_iDALzsV6G06E1ycMmuqR8Q_2_2"/>
      <w:bookmarkStart w:id="2799" w:name="Tc_6WgevrNuj0qxoFoT_93Otg_1_8"/>
      <w:bookmarkStart w:id="2800" w:name="Tc_QKazm2lprEW4AeGZPn70wg_1_5"/>
      <w:bookmarkStart w:id="2801" w:name="Tc_FwqeC1Kij0SQfhuWQ1g3mA_1_2"/>
      <w:bookmarkStart w:id="2802" w:name="_b706b00a_12ba_43b6_acd2_efc4e5b3654f"/>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r>
        <w:rPr/>
        <w:t>​</w:t>
      </w:r>
    </w:p>
    <w:p>
      <w:pPr>
        <w:pStyle w:val="TextBody"/>
        <w:bidi w:val="0"/>
        <w:spacing w:before="0" w:after="0"/>
        <w:ind w:left="0" w:right="0" w:hanging="0"/>
        <w:jc w:val="left"/>
        <w:rPr/>
      </w:pPr>
      <w:r>
        <w:rPr/>
        <w:t>​</w:t>
      </w:r>
    </w:p>
    <w:tbl>
      <w:tblPr>
        <w:tblW w:w="8617" w:type="dxa"/>
        <w:jc w:val="left"/>
        <w:tblInd w:w="0" w:type="dxa"/>
        <w:tblLayout w:type="fixed"/>
        <w:tblCellMar>
          <w:top w:w="0" w:type="dxa"/>
          <w:left w:w="0" w:type="dxa"/>
          <w:bottom w:w="0" w:type="dxa"/>
          <w:right w:w="0" w:type="dxa"/>
        </w:tblCellMar>
      </w:tblPr>
      <w:tblGrid>
        <w:gridCol w:w="3556"/>
        <w:gridCol w:w="109"/>
        <w:gridCol w:w="226"/>
        <w:gridCol w:w="840"/>
        <w:gridCol w:w="109"/>
        <w:gridCol w:w="211"/>
        <w:gridCol w:w="931"/>
        <w:gridCol w:w="109"/>
        <w:gridCol w:w="261"/>
        <w:gridCol w:w="969"/>
        <w:gridCol w:w="109"/>
        <w:gridCol w:w="211"/>
        <w:gridCol w:w="97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258060" cy="175260"/>
                      <wp:effectExtent l="0" t="0" r="0" b="0"/>
                      <wp:wrapNone/>
                      <wp:docPr id="584" name="Frame58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85" name="Frame5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43510" cy="175260"/>
                      <wp:effectExtent l="0" t="0" r="0" b="0"/>
                      <wp:wrapNone/>
                      <wp:docPr id="586" name="Frame5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33400" cy="175260"/>
                      <wp:effectExtent l="0" t="0" r="0" b="0"/>
                      <wp:wrapNone/>
                      <wp:docPr id="587" name="Frame58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33985" cy="175260"/>
                      <wp:effectExtent l="0" t="0" r="0" b="0"/>
                      <wp:wrapNone/>
                      <wp:docPr id="589" name="Frame5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91185" cy="175260"/>
                      <wp:effectExtent l="0" t="0" r="0" b="0"/>
                      <wp:wrapNone/>
                      <wp:docPr id="590" name="Frame5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175260"/>
                      <wp:effectExtent l="0" t="0" r="0" b="0"/>
                      <wp:wrapNone/>
                      <wp:docPr id="591" name="Frame5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65735" cy="175260"/>
                      <wp:effectExtent l="0" t="0" r="0" b="0"/>
                      <wp:wrapNone/>
                      <wp:docPr id="592" name="Frame59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15315" cy="175260"/>
                      <wp:effectExtent l="0" t="0" r="0" b="0"/>
                      <wp:wrapNone/>
                      <wp:docPr id="593" name="Frame591"/>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9215" cy="175260"/>
                      <wp:effectExtent l="0" t="0" r="0" b="0"/>
                      <wp:wrapNone/>
                      <wp:docPr id="594" name="Frame5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33985" cy="175260"/>
                      <wp:effectExtent l="0" t="0" r="0" b="0"/>
                      <wp:wrapNone/>
                      <wp:docPr id="595"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19760" cy="175260"/>
                      <wp:effectExtent l="0" t="0" r="0" b="0"/>
                      <wp:wrapNone/>
                      <wp:docPr id="596" name="Frame59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35,231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51,604 </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2,409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89,244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129,866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168,754 </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10,541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309,161</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466,861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565,625 </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7,707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1,040,193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4,835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675,642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957,914 </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93,547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1,727,103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85,588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147,490 </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34,236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267,314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current portion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316,241</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557,356</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33,574</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162,768</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281,272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593,833</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1,080,659</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35,268</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1,019,924</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1,783,714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169,297</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293,194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current portion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293,607</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516,870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865" w:type="dxa"/>
        <w:jc w:val="left"/>
        <w:tblInd w:w="0" w:type="dxa"/>
        <w:tblLayout w:type="fixed"/>
        <w:tblCellMar>
          <w:top w:w="0" w:type="dxa"/>
          <w:left w:w="0" w:type="dxa"/>
          <w:bottom w:w="0" w:type="dxa"/>
          <w:right w:w="0" w:type="dxa"/>
        </w:tblCellMar>
      </w:tblPr>
      <w:tblGrid>
        <w:gridCol w:w="2026"/>
        <w:gridCol w:w="109"/>
        <w:gridCol w:w="326"/>
        <w:gridCol w:w="1066"/>
        <w:gridCol w:w="109"/>
        <w:gridCol w:w="326"/>
        <w:gridCol w:w="706"/>
        <w:gridCol w:w="109"/>
        <w:gridCol w:w="326"/>
        <w:gridCol w:w="1231"/>
        <w:gridCol w:w="109"/>
        <w:gridCol w:w="326"/>
        <w:gridCol w:w="109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286510" cy="175260"/>
                      <wp:effectExtent l="0" t="0" r="0" b="0"/>
                      <wp:wrapNone/>
                      <wp:docPr id="597" name="Frame595"/>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9215" cy="175260"/>
                      <wp:effectExtent l="0" t="0" r="0" b="0"/>
                      <wp:wrapNone/>
                      <wp:docPr id="598"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9"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76910" cy="175260"/>
                      <wp:effectExtent l="0" t="0" r="0" b="0"/>
                      <wp:wrapNone/>
                      <wp:docPr id="600" name="Frame59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175260"/>
                      <wp:effectExtent l="0" t="0" r="0" b="0"/>
                      <wp:wrapNone/>
                      <wp:docPr id="601"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48310" cy="175260"/>
                      <wp:effectExtent l="0" t="0" r="0" b="0"/>
                      <wp:wrapNone/>
                      <wp:docPr id="603" name="Frame60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9215" cy="175260"/>
                      <wp:effectExtent l="0" t="0" r="0" b="0"/>
                      <wp:wrapNone/>
                      <wp:docPr id="604"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781685" cy="175260"/>
                      <wp:effectExtent l="0" t="0" r="0" b="0"/>
                      <wp:wrapNone/>
                      <wp:docPr id="606" name="Frame60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75260"/>
                      <wp:effectExtent l="0" t="0" r="0" b="0"/>
                      <wp:wrapNone/>
                      <wp:docPr id="607"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608"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5960" cy="175260"/>
                      <wp:effectExtent l="0" t="0" r="0" b="0"/>
                      <wp:wrapNone/>
                      <wp:docPr id="609" name="Frame60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3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Capital</w:t>
            </w:r>
            <w:r>
              <w:rPr>
                <w:rFonts w:ascii="Times New Roman;Times;serif" w:hAnsi="Times New Roman;Times;serif"/>
                <w:sz w:val="16"/>
              </w:rPr>
              <w:t> </w:t>
            </w:r>
            <w:r>
              <w:rPr>
                <w:rFonts w:ascii="Times New Roman;Times;serif" w:hAnsi="Times New Roman;Times;serif"/>
                <w:b/>
                <w:sz w:val="16"/>
              </w:rPr>
              <w:t>Expenditures</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76,379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86,918</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163,297</w:t>
            </w:r>
          </w:p>
        </w:tc>
      </w:tr>
    </w:tbl>
    <w:tbl>
      <w:tblPr>
        <w:tblW w:w="7817" w:type="dxa"/>
        <w:jc w:val="left"/>
        <w:tblInd w:w="0" w:type="dxa"/>
        <w:tblLayout w:type="fixed"/>
        <w:tblCellMar>
          <w:top w:w="0" w:type="dxa"/>
          <w:left w:w="0" w:type="dxa"/>
          <w:bottom w:w="0" w:type="dxa"/>
          <w:right w:w="0" w:type="dxa"/>
        </w:tblCellMar>
      </w:tblPr>
      <w:tblGrid>
        <w:gridCol w:w="346"/>
        <w:gridCol w:w="74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Corporate and other refers to corporate overhead expenses and consolidating adjustments.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table below identifies the Company’s revenues and long-lived assets by geographic location. The Company attributes revenue to geographic location based on location of the customer (in thousands): </w:t>
      </w:r>
    </w:p>
    <w:p>
      <w:pPr>
        <w:pStyle w:val="TextBody"/>
        <w:bidi w:val="0"/>
        <w:spacing w:before="0" w:after="0"/>
        <w:ind w:left="0" w:right="0" w:firstLine="720"/>
        <w:jc w:val="left"/>
        <w:rPr/>
      </w:pPr>
      <w:r>
        <w:rPr/>
        <w:t>​</w:t>
      </w:r>
    </w:p>
    <w:tbl>
      <w:tblPr>
        <w:tblW w:w="9247" w:type="dxa"/>
        <w:jc w:val="left"/>
        <w:tblInd w:w="0" w:type="dxa"/>
        <w:tblLayout w:type="fixed"/>
        <w:tblCellMar>
          <w:top w:w="0" w:type="dxa"/>
          <w:left w:w="0" w:type="dxa"/>
          <w:bottom w:w="0" w:type="dxa"/>
          <w:right w:w="0" w:type="dxa"/>
        </w:tblCellMar>
      </w:tblPr>
      <w:tblGrid>
        <w:gridCol w:w="2086"/>
        <w:gridCol w:w="109"/>
        <w:gridCol w:w="211"/>
        <w:gridCol w:w="781"/>
        <w:gridCol w:w="109"/>
        <w:gridCol w:w="211"/>
        <w:gridCol w:w="931"/>
        <w:gridCol w:w="109"/>
        <w:gridCol w:w="211"/>
        <w:gridCol w:w="781"/>
        <w:gridCol w:w="109"/>
        <w:gridCol w:w="211"/>
        <w:gridCol w:w="931"/>
        <w:gridCol w:w="109"/>
        <w:gridCol w:w="211"/>
        <w:gridCol w:w="781"/>
        <w:gridCol w:w="109"/>
        <w:gridCol w:w="211"/>
        <w:gridCol w:w="103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24610" cy="175260"/>
                      <wp:effectExtent l="0" t="0" r="0" b="0"/>
                      <wp:wrapNone/>
                      <wp:docPr id="610" name="Frame60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33985" cy="175260"/>
                      <wp:effectExtent l="0" t="0" r="0" b="0"/>
                      <wp:wrapNone/>
                      <wp:docPr id="612" name="Frame6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95935" cy="175260"/>
                      <wp:effectExtent l="0" t="0" r="0" b="0"/>
                      <wp:wrapNone/>
                      <wp:docPr id="613" name="Frame6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33985" cy="175260"/>
                      <wp:effectExtent l="0" t="0" r="0" b="0"/>
                      <wp:wrapNone/>
                      <wp:docPr id="615" name="Frame6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91185" cy="175260"/>
                      <wp:effectExtent l="0" t="0" r="0" b="0"/>
                      <wp:wrapNone/>
                      <wp:docPr id="616" name="Frame6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33985" cy="175260"/>
                      <wp:effectExtent l="0" t="0" r="0" b="0"/>
                      <wp:wrapNone/>
                      <wp:docPr id="618" name="Frame6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95935" cy="175260"/>
                      <wp:effectExtent l="0" t="0" r="0" b="0"/>
                      <wp:wrapNone/>
                      <wp:docPr id="619" name="Frame6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20" name="Frame6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33985" cy="175260"/>
                      <wp:effectExtent l="0" t="0" r="0" b="0"/>
                      <wp:wrapNone/>
                      <wp:docPr id="621"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91185" cy="175260"/>
                      <wp:effectExtent l="0" t="0" r="0" b="0"/>
                      <wp:wrapNone/>
                      <wp:docPr id="622" name="Frame6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9215" cy="175260"/>
                      <wp:effectExtent l="0" t="0" r="0" b="0"/>
                      <wp:wrapNone/>
                      <wp:docPr id="623"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33985" cy="175260"/>
                      <wp:effectExtent l="0" t="0" r="0" b="0"/>
                      <wp:wrapNone/>
                      <wp:docPr id="624" name="Frame6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95935" cy="175260"/>
                      <wp:effectExtent l="0" t="0" r="0" b="0"/>
                      <wp:wrapNone/>
                      <wp:docPr id="625" name="Frame6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57860" cy="175260"/>
                      <wp:effectExtent l="0" t="0" r="0" b="0"/>
                      <wp:wrapNone/>
                      <wp:docPr id="628" name="Frame6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2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3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391,870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927,177</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Guyana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119,915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174,719</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Virgin Islands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209,101</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114,096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100,125</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Countries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67,058</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729,075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1,502,442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725,745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1,478,180</w:t>
            </w:r>
          </w:p>
        </w:tc>
      </w:tr>
    </w:tbl>
    <w:p>
      <w:pPr>
        <w:pStyle w:val="TextBody"/>
        <w:bidi w:val="0"/>
        <w:spacing w:before="0" w:after="0"/>
        <w:ind w:left="0" w:right="0" w:hanging="0"/>
        <w:jc w:val="left"/>
        <w:rPr/>
      </w:pPr>
      <w:r>
        <w:rPr/>
        <w:t>​</w:t>
      </w:r>
    </w:p>
    <w:p>
      <w:pPr>
        <w:pStyle w:val="TextBody"/>
        <w:bidi w:val="0"/>
        <w:spacing w:before="0" w:after="8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2803" w:name="Tc_NEJ1H5GkRUS23-6Se2Oa1A_18_11"/>
      <w:bookmarkStart w:id="2804" w:name="Tc_bgCBylICGUmd93sc0EmlvA_18_8"/>
      <w:bookmarkStart w:id="2805" w:name="Tc_TgJUiJDBbEehiGONtHJ2NQ_18_5"/>
      <w:bookmarkStart w:id="2806" w:name="Tc_7sqFOVjG2E27ShoiySmo_g_18_2"/>
      <w:bookmarkStart w:id="2807" w:name="Tc_FfBPU5HgPEiObsocXVc0Qw_17_0"/>
      <w:bookmarkStart w:id="2808" w:name="Tc_NNMEwWmdQUurYci8BB_Mkw_16_11"/>
      <w:bookmarkStart w:id="2809" w:name="Tc_5yAzGN_9REmEBQQgrk3wEQ_16_8"/>
      <w:bookmarkStart w:id="2810" w:name="Tc_pL2Rici8Yk2XGGtXPBgAFg_16_5"/>
      <w:bookmarkStart w:id="2811" w:name="Tc_qtwwKeQbc0mehsFqC8SbUQ_16_2"/>
      <w:bookmarkStart w:id="2812" w:name="Tc_98758FwvXk24QGmnEjiZHw_16_0"/>
      <w:bookmarkStart w:id="2813" w:name="Tc_oxqZH5pWOkS_wxqgxpAtgg_15_0"/>
      <w:bookmarkStart w:id="2814" w:name="Tc_Ng_nLpWZ10mtHteNJ8dh-w_14_0"/>
      <w:bookmarkStart w:id="2815" w:name="Tc_C-KRXIOWCESJOUOsO1iXIA_13_11"/>
      <w:bookmarkStart w:id="2816" w:name="Tc_eiUkWxwoI0yDmM1pl-Nfrw_13_8"/>
      <w:bookmarkStart w:id="2817" w:name="Tc_X1D-hnkhqESJb7Ci36By2w_13_5"/>
      <w:bookmarkStart w:id="2818" w:name="Tc_hy2iwzrBgka8uYh15VAGxA_13_2"/>
      <w:bookmarkStart w:id="2819" w:name="Tc_kW4_Ur8KcEysokEYwoezCA_12_0"/>
      <w:bookmarkStart w:id="2820" w:name="Tc_haAimre3V0u_BE7NX8J1sA_11_11"/>
      <w:bookmarkStart w:id="2821" w:name="Tc_yTJyrMg4U0i1uhRrSKKeNQ_11_8"/>
      <w:bookmarkStart w:id="2822" w:name="Tc_ZGpLoJSt50yUnRE4M74G8g_11_5"/>
      <w:bookmarkStart w:id="2823" w:name="Tc_N_4LLCx1VEa8ez1KzpQ81w_11_2"/>
      <w:bookmarkStart w:id="2824" w:name="Tc_0zlSelYVWkSFWz0E6bp1Zw_11_0"/>
      <w:bookmarkStart w:id="2825" w:name="Tc_Ta2vGJt9EEy3UAxd6WHkEg_10_0"/>
      <w:bookmarkStart w:id="2826" w:name="Tc_zAkgQESRp0uuA7lVjD13sg_9_0"/>
      <w:bookmarkStart w:id="2827" w:name="Tc_r9AldcHGXUCfDUGGMOLD6Q_8_11"/>
      <w:bookmarkStart w:id="2828" w:name="Tc_xFt7pj6l9UiDmxaGaAELLg_8_8"/>
      <w:bookmarkStart w:id="2829" w:name="Tc_3f1wK9M0fUiiVr9_4UMtQQ_8_5"/>
      <w:bookmarkStart w:id="2830" w:name="Tc_YVymHIRByEKBn5zL8_ztTA_8_2"/>
      <w:bookmarkStart w:id="2831" w:name="Tc_Qvs5cTU2KUGZMSKqdMkq7Q_7_0"/>
      <w:bookmarkStart w:id="2832" w:name="Tc_Y9bcDRSTnkqoyuNc6wJZVg_6_11"/>
      <w:bookmarkStart w:id="2833" w:name="Tc_INFfPtTo1kKDCl6-5TqejA_6_8"/>
      <w:bookmarkStart w:id="2834" w:name="Tc_kC7qthKGR0eeUcpBDQ_wAw_6_5"/>
      <w:bookmarkStart w:id="2835" w:name="Tc_XL545jTGoUmTzXD7EeLesA_6_2"/>
      <w:bookmarkStart w:id="2836" w:name="Tc_BpNDqS8yKkuwag0ZEvMyMw_6_0"/>
      <w:bookmarkStart w:id="2837" w:name="Tc_29uyUu876UqRGYnCc1Jt5g_5_0"/>
      <w:bookmarkStart w:id="2838" w:name="Tc_gwV3y5J5q06YOB7k5-9Y6A_4_0"/>
      <w:bookmarkStart w:id="2839" w:name="Tc_Y1XDLIL4tkiMJkro1unsJQ_3_11"/>
      <w:bookmarkStart w:id="2840" w:name="Tc_NMw9hyM3Wkis9nXej2fmrw_3_8"/>
      <w:bookmarkStart w:id="2841" w:name="Tc_e4MeKhB2-U69PE3e7vOJRA_3_5"/>
      <w:bookmarkStart w:id="2842" w:name="Tc_ZV_3VSjG-0W0csegOPrnJg_3_2"/>
      <w:bookmarkStart w:id="2843" w:name="Tc_Hnd3EmrtjUGkOjg7lENv_Q_2_11"/>
      <w:bookmarkStart w:id="2844" w:name="Tc_mlH-CTpQtkasIZtaQfjOlg_2_5"/>
      <w:bookmarkStart w:id="2845" w:name="Tc_AiB8AdoMzU-Do6v3UxcuFA_2_2"/>
      <w:bookmarkStart w:id="2846" w:name="Tc_Ev03jVFnPEykllBiBMuZvw_1_11"/>
      <w:bookmarkStart w:id="2847" w:name="Tc__zcYsI8pQUKEn79eu7WpyA_1_5"/>
      <w:bookmarkStart w:id="2848" w:name="Tc_J5r-UZ4nDU6HvJWnQLPY8g_1_2"/>
      <w:bookmarkStart w:id="2849" w:name="_634d12b6_f989_47c6_bbf4_c280f25cea76"/>
      <w:bookmarkStart w:id="2850" w:name="SCHEDULEIIATNINTERNATIONALINCANDSUBSIDIA"/>
      <w:bookmarkStart w:id="2851" w:name="SCHEDULEII_173671"/>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ATN INTERNATIONAL,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VALUATION AND QUALIFYING ACCOUNTS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w:t>
      </w:r>
    </w:p>
    <w:tbl>
      <w:tblPr>
        <w:tblW w:w="10205" w:type="dxa"/>
        <w:jc w:val="left"/>
        <w:tblInd w:w="0" w:type="dxa"/>
        <w:tblLayout w:type="fixed"/>
        <w:tblCellMar>
          <w:top w:w="0" w:type="dxa"/>
          <w:left w:w="0" w:type="dxa"/>
          <w:bottom w:w="0" w:type="dxa"/>
          <w:right w:w="0" w:type="dxa"/>
        </w:tblCellMar>
      </w:tblPr>
      <w:tblGrid>
        <w:gridCol w:w="5104"/>
        <w:gridCol w:w="326"/>
        <w:gridCol w:w="211"/>
        <w:gridCol w:w="676"/>
        <w:gridCol w:w="326"/>
        <w:gridCol w:w="221"/>
        <w:gridCol w:w="710"/>
        <w:gridCol w:w="326"/>
        <w:gridCol w:w="243"/>
        <w:gridCol w:w="658"/>
        <w:gridCol w:w="326"/>
        <w:gridCol w:w="211"/>
        <w:gridCol w:w="676"/>
        <w:gridCol w:w="191"/>
      </w:tblGrid>
      <w:tr>
        <w:trPr/>
        <w:tc>
          <w:tcPr>
            <w:tcW w:w="5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3241040" cy="175260"/>
                      <wp:effectExtent l="0" t="0" r="0" b="0"/>
                      <wp:wrapNone/>
                      <wp:docPr id="629" name="Frame627"/>
                      <a:graphic xmlns:a="http://schemas.openxmlformats.org/drawingml/2006/main">
                        <a:graphicData uri="http://schemas.microsoft.com/office/word/2010/wordprocessingShape">
                          <wps:wsp>
                            <wps:cNvSpPr txBox="1"/>
                            <wps:spPr>
                              <a:xfrm>
                                <a:off x="0" y="0"/>
                                <a:ext cx="324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30"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429260" cy="175260"/>
                      <wp:effectExtent l="0" t="0" r="0" b="0"/>
                      <wp:wrapNone/>
                      <wp:docPr id="632" name="Frame6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3"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40335" cy="175260"/>
                      <wp:effectExtent l="0" t="0" r="0" b="0"/>
                      <wp:wrapNone/>
                      <wp:docPr id="634" name="Frame63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450850" cy="175260"/>
                      <wp:effectExtent l="0" t="0" r="0" b="0"/>
                      <wp:wrapNone/>
                      <wp:docPr id="635" name="Frame63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07010" cy="175260"/>
                      <wp:effectExtent l="0" t="0" r="0" b="0"/>
                      <wp:wrapNone/>
                      <wp:docPr id="636" name="Frame6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54305" cy="175260"/>
                      <wp:effectExtent l="0" t="0" r="0" b="0"/>
                      <wp:wrapNone/>
                      <wp:docPr id="637" name="Frame63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17830" cy="175260"/>
                      <wp:effectExtent l="0" t="0" r="0" b="0"/>
                      <wp:wrapNone/>
                      <wp:docPr id="638" name="Frame63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9" name="Frame6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29260" cy="175260"/>
                      <wp:effectExtent l="0" t="0" r="0" b="0"/>
                      <wp:wrapNone/>
                      <wp:docPr id="641" name="Frame6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21285" cy="175260"/>
                      <wp:effectExtent l="0" t="0" r="0" b="0"/>
                      <wp:wrapNone/>
                      <wp:docPr id="642" name="Frame6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Balance</w:t>
            </w:r>
            <w:r>
              <w:rPr>
                <w:rFonts w:ascii="Times New Roman;Times;serif" w:hAnsi="Times New Roman;Times;serif"/>
                <w:sz w:val="16"/>
              </w:rPr>
              <w:t> </w:t>
            </w:r>
            <w:r>
              <w:rPr>
                <w:rFonts w:ascii="Times New Roman;Times;serif" w:hAnsi="Times New Roman;Times;serif"/>
                <w:b/>
                <w:sz w:val="16"/>
              </w:rPr>
              <w:t>at</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91" w:type="dxa"/>
            <w:tcBorders/>
            <w:vAlign w:val="center"/>
          </w:tcPr>
          <w:p>
            <w:pPr>
              <w:pStyle w:val="TableContents"/>
              <w:bidi w:val="0"/>
              <w:spacing w:before="0" w:after="0"/>
              <w:ind w:left="0" w:right="0" w:hanging="0"/>
              <w:jc w:val="left"/>
              <w:rPr/>
            </w:pPr>
            <w:r>
              <w:rPr/>
              <w:t> </w:t>
            </w:r>
          </w:p>
        </w:tc>
      </w:tr>
      <w:tr>
        <w:trPr/>
        <w:tc>
          <w:tcPr>
            <w:tcW w:w="5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and</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End</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Year</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Year</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net operating losses and other 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15,171</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47,527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9,348</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net operating losses and other deferred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43,118</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50,930</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13,339</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59,480</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net operating losses and other 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15,132</w:t>
            </w:r>
          </w:p>
        </w:tc>
        <w:tc>
          <w:tcPr>
            <w:tcW w:w="191" w:type="dxa"/>
            <w:tcBorders/>
            <w:vAlign w:val="center"/>
          </w:tcPr>
          <w:p>
            <w:pPr>
              <w:pStyle w:val="TableContents"/>
              <w:bidi w:val="0"/>
              <w:spacing w:before="0" w:after="0"/>
              <w:ind w:left="0" w:right="0" w:hanging="0"/>
              <w:jc w:val="left"/>
              <w:rPr/>
            </w:pPr>
            <w:r>
              <w:rPr/>
              <w:t>​</w:t>
            </w:r>
          </w:p>
        </w:tc>
      </w:tr>
      <w:tr>
        <w:trPr/>
        <w:tc>
          <w:tcPr>
            <w:tcW w:w="5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64,906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0"/>
        <w:ind w:left="0" w:right="0" w:hanging="0"/>
        <w:jc w:val="left"/>
        <w:rPr/>
      </w:pPr>
      <w:bookmarkStart w:id="2852" w:name="atni-20241231xex10d36.htm"/>
      <w:bookmarkStart w:id="2853" w:name="ksatni20241231xex10d36"/>
      <w:bookmarkEnd w:id="2852"/>
      <w:bookmarkEnd w:id="2853"/>
      <w:r>
        <w:rPr/>
        <w:t>​</w:t>
      </w:r>
      <w:r>
        <w:br w:type="page"/>
      </w:r>
    </w:p>
    <w:p>
      <w:pPr>
        <w:pStyle w:val="TextBody"/>
        <w:bidi w:val="0"/>
        <w:spacing w:before="0" w:after="60"/>
        <w:ind w:left="0" w:right="0" w:hanging="0"/>
        <w:jc w:val="right"/>
        <w:rPr>
          <w:rFonts w:ascii="Times New Roman;Times;serif" w:hAnsi="Times New Roman;Times;serif"/>
          <w:b/>
          <w:sz w:val="24"/>
        </w:rPr>
      </w:pPr>
      <w:r>
        <w:rPr>
          <w:rFonts w:ascii="Times New Roman;Times;serif" w:hAnsi="Times New Roman;Times;serif"/>
          <w:b/>
          <w:sz w:val="24"/>
        </w:rPr>
        <w:t>Exhibit 10.36</w:t>
      </w:r>
    </w:p>
    <w:p>
      <w:pPr>
        <w:pStyle w:val="TextBody"/>
        <w:bidi w:val="0"/>
        <w:spacing w:before="0" w:after="60"/>
        <w:ind w:left="0" w:right="0" w:hanging="0"/>
        <w:jc w:val="right"/>
        <w:rPr/>
      </w:pPr>
      <w:r>
        <w:rPr/>
        <w: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i/>
          <w:sz w:val="24"/>
        </w:rPr>
        <w:t xml:space="preserve">CERTAIN CONFIDENTIAL PORTIONS OF THIS EXHIBIT HAVE BEEN OMITTED AND REPLACED WITH </w:t>
      </w:r>
      <w:r>
        <w:rPr>
          <w:rFonts w:ascii="Times New Roman;Times;serif" w:hAnsi="Times New Roman;Times;serif"/>
          <w:sz w:val="20"/>
        </w:rPr>
        <w:t>“</w:t>
      </w:r>
      <w:r>
        <w:rPr>
          <w:rFonts w:ascii="Times New Roman;Times;serif" w:hAnsi="Times New Roman;Times;serif"/>
          <w:i/>
          <w:sz w:val="24"/>
        </w:rPr>
        <w:t>[***]</w:t>
      </w:r>
      <w:r>
        <w:rPr>
          <w:rFonts w:ascii="Times New Roman;Times;serif" w:hAnsi="Times New Roman;Times;serif"/>
          <w:sz w:val="20"/>
        </w:rPr>
        <w:t>”</w:t>
      </w:r>
      <w:r>
        <w:rPr>
          <w:rFonts w:ascii="Times New Roman;Times;serif" w:hAnsi="Times New Roman;Times;serif"/>
          <w:i/>
          <w:sz w:val="24"/>
        </w:rPr>
        <w:t>. SUCH IDENTIFIED INFORMATION HAS BEEN EXCLUDED FROM THIS EXHIBIT BECAUSE IT IS (I) NOT MATERIAL AND (II) WOULD LIKELY CAUSE COMPETITIVE HARM TO THE COMPANY IF DISCLOSED.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Fifth Amendment to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Network Build and Maintenance Agreement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Between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AT&amp;T Mobility, LLC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Commnet Wireless, LLC</w:t>
      </w:r>
    </w:p>
    <w:p>
      <w:pPr>
        <w:pStyle w:val="TextBody"/>
        <w:bidi w:val="0"/>
        <w:spacing w:before="0" w:after="0"/>
        <w:ind w:left="0" w:right="0" w:hanging="0"/>
        <w:jc w:val="both"/>
        <w:rPr/>
      </w:pPr>
      <w:r>
        <w:rPr/>
        <w:t>​</w:t>
      </w:r>
    </w:p>
    <w:p>
      <w:pPr>
        <w:pStyle w:val="TextBody"/>
        <w:bidi w:val="0"/>
        <w:spacing w:before="0" w:after="240"/>
        <w:ind w:left="0" w:right="0" w:firstLine="719"/>
        <w:jc w:val="both"/>
        <w:rPr>
          <w:rFonts w:ascii="Times New Roman;Times;serif" w:hAnsi="Times New Roman;Times;serif"/>
          <w:sz w:val="20"/>
        </w:rPr>
      </w:pPr>
      <w:r>
        <w:rPr>
          <w:rFonts w:ascii="Times New Roman;Times;serif" w:hAnsi="Times New Roman;Times;serif"/>
          <w:sz w:val="24"/>
        </w:rPr>
        <w:t xml:space="preserve">This </w:t>
      </w:r>
      <w:r>
        <w:rPr>
          <w:rFonts w:ascii="Times New Roman;Times;serif" w:hAnsi="Times New Roman;Times;serif"/>
          <w:b/>
          <w:sz w:val="24"/>
        </w:rPr>
        <w:t xml:space="preserve">Fifth Amendment to the Network Build and Maintenance Agreement </w:t>
      </w:r>
      <w:r>
        <w:rPr>
          <w:rFonts w:ascii="Times New Roman;Times;serif" w:hAnsi="Times New Roman;Times;serif"/>
          <w:sz w:val="24"/>
        </w:rPr>
        <w:t>(“Fifth Amendment”) is entered into as of the 4th day of March, 2025 and is effective as of the 1st day of January, 2025 (the “Effective Date”) by and between Commnet Wireless, LLC, a Delaware limited liability company, on behalf of itself and its Affiliates (collectively and hereinafter referred to as “</w:t>
      </w:r>
      <w:r>
        <w:rPr>
          <w:rFonts w:ascii="Times New Roman;Times;serif" w:hAnsi="Times New Roman;Times;serif"/>
          <w:sz w:val="24"/>
          <w:u w:val="single"/>
        </w:rPr>
        <w:t>Vendor</w:t>
      </w:r>
      <w:r>
        <w:rPr>
          <w:rFonts w:ascii="Times New Roman;Times;serif" w:hAnsi="Times New Roman;Times;serif"/>
          <w:sz w:val="20"/>
        </w:rPr>
        <w:t>”</w:t>
      </w:r>
      <w:r>
        <w:rPr>
          <w:rFonts w:ascii="Times New Roman;Times;serif" w:hAnsi="Times New Roman;Times;serif"/>
          <w:sz w:val="24"/>
        </w:rPr>
        <w:t>), and AT&amp;T Mobility LLC, a Delaware limited liability company on behalf of itself and its Affiliates (as such term is defined herein) (collectively and hereinafter referred to as “</w:t>
      </w:r>
      <w:r>
        <w:rPr>
          <w:rFonts w:ascii="Times New Roman;Times;serif" w:hAnsi="Times New Roman;Times;serif"/>
          <w:sz w:val="24"/>
          <w:u w:val="single"/>
        </w:rPr>
        <w:t>AT&amp;T</w:t>
      </w:r>
      <w:r>
        <w:rPr>
          <w:rFonts w:ascii="Times New Roman;Times;serif" w:hAnsi="Times New Roman;Times;serif"/>
          <w:sz w:val="20"/>
        </w:rPr>
        <w:t>”</w:t>
      </w:r>
      <w:r>
        <w:rPr>
          <w:rFonts w:ascii="Times New Roman;Times;serif" w:hAnsi="Times New Roman;Times;serif"/>
          <w:sz w:val="24"/>
        </w:rPr>
        <w:t>), each of which may be referred to in the singular as a “</w:t>
      </w:r>
      <w:r>
        <w:rPr>
          <w:rFonts w:ascii="Times New Roman;Times;serif" w:hAnsi="Times New Roman;Times;serif"/>
          <w:sz w:val="24"/>
          <w:u w:val="single"/>
        </w:rPr>
        <w:t>Party</w:t>
      </w:r>
      <w:r>
        <w:rPr>
          <w:rFonts w:ascii="Times New Roman;Times;serif" w:hAnsi="Times New Roman;Times;serif"/>
          <w:sz w:val="20"/>
        </w:rPr>
        <w:t xml:space="preserve">” </w:t>
      </w:r>
      <w:r>
        <w:rPr>
          <w:rFonts w:ascii="Times New Roman;Times;serif" w:hAnsi="Times New Roman;Times;serif"/>
          <w:sz w:val="24"/>
        </w:rPr>
        <w:t>or in the plural as the “</w:t>
      </w:r>
      <w:r>
        <w:rPr>
          <w:rFonts w:ascii="Times New Roman;Times;serif" w:hAnsi="Times New Roman;Times;serif"/>
          <w:sz w:val="24"/>
          <w:u w:val="single"/>
        </w:rPr>
        <w:t>Parties</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Background</w:t>
      </w:r>
    </w:p>
    <w:p>
      <w:pPr>
        <w:pStyle w:val="TextBody"/>
        <w:bidi w:val="0"/>
        <w:spacing w:before="0" w:after="240"/>
        <w:ind w:left="0" w:right="0" w:firstLine="719"/>
        <w:jc w:val="both"/>
        <w:rPr>
          <w:rFonts w:ascii="Times New Roman;Times;serif" w:hAnsi="Times New Roman;Times;serif"/>
          <w:sz w:val="20"/>
        </w:rPr>
      </w:pPr>
      <w:r>
        <w:rPr>
          <w:rFonts w:ascii="Times New Roman;Times;serif" w:hAnsi="Times New Roman;Times;serif"/>
          <w:b/>
          <w:sz w:val="24"/>
        </w:rPr>
        <w:t xml:space="preserve">WHEREAS, </w:t>
      </w:r>
      <w:r>
        <w:rPr>
          <w:rFonts w:ascii="Times New Roman;Times;serif" w:hAnsi="Times New Roman;Times;serif"/>
          <w:sz w:val="24"/>
        </w:rPr>
        <w:t>the Parties entered into a Network Build and Maintenance Agreement dated as of July 31, 2019 (together, with all attachments, addendum, exhibits, schedules and amendments, the “Agreement”); and</w:t>
      </w:r>
    </w:p>
    <w:p>
      <w:pPr>
        <w:pStyle w:val="TextBody"/>
        <w:bidi w:val="0"/>
        <w:spacing w:before="0" w:after="240"/>
        <w:ind w:left="0" w:right="0" w:firstLine="719"/>
        <w:jc w:val="both"/>
        <w:rPr>
          <w:rFonts w:ascii="Times New Roman;Times;serif" w:hAnsi="Times New Roman;Times;serif"/>
          <w:sz w:val="20"/>
        </w:rPr>
      </w:pPr>
      <w:r>
        <w:rPr>
          <w:rFonts w:ascii="Times New Roman;Times;serif" w:hAnsi="Times New Roman;Times;serif"/>
          <w:b/>
          <w:sz w:val="24"/>
        </w:rPr>
        <w:t xml:space="preserve">WHEREAS, </w:t>
      </w:r>
      <w:r>
        <w:rPr>
          <w:rFonts w:ascii="Times New Roman;Times;serif" w:hAnsi="Times New Roman;Times;serif"/>
          <w:sz w:val="24"/>
        </w:rPr>
        <w:t>the Parties now desire to amend the Agreement in accordance with the terms set forth in this Fifth Amendment;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these covenants, and for other good and valuable consideration, and intending to be legally bound, the Parties agree as follows:</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100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Capitalized Terms: </w:t>
            </w:r>
            <w:r>
              <w:rPr>
                <w:rFonts w:ascii="Times New Roman;Times;serif" w:hAnsi="Times New Roman;Times;serif"/>
                <w:sz w:val="24"/>
              </w:rPr>
              <w:t>All capitalized terms used herein shall have the same meanings ascribed to them in the Agreement, unless otherwise expressly defined in this Amendment.</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99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Amendment to the Agreement. </w:t>
            </w:r>
            <w:r>
              <w:rPr>
                <w:rFonts w:ascii="Times New Roman;Times;serif" w:hAnsi="Times New Roman;Times;serif"/>
                <w:sz w:val="24"/>
              </w:rPr>
              <w:t>As of the Effective Date, the Agreement is hereby amended and modified as follows:</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A.</w:t>
            </w:r>
          </w:p>
        </w:tc>
        <w:tc>
          <w:tcPr>
            <w:tcW w:w="992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Build Addendum: Section 16: Termination Events; Remedies. </w:t>
            </w:r>
            <w:r>
              <w:rPr>
                <w:rFonts w:ascii="Times New Roman;Times;serif" w:hAnsi="Times New Roman;Times;serif"/>
                <w:sz w:val="24"/>
              </w:rPr>
              <w:t>Section 16: Termination Events; Remedies, of the Build Addendum, is hereby amended by deleting Sections 16(a)(iii) and (iv) in their entirety and replacing them with the following:</w:t>
            </w:r>
          </w:p>
        </w:tc>
      </w:tr>
    </w:tbl>
    <w:p>
      <w:pPr>
        <w:pStyle w:val="TextBody"/>
        <w:bidi w:val="0"/>
        <w:spacing w:before="0" w:after="240"/>
        <w:ind w:left="1080" w:right="0" w:hanging="0"/>
        <w:jc w:val="both"/>
        <w:rPr/>
      </w:pPr>
      <w:r>
        <w:rPr/>
        <w:t>“</w:t>
      </w:r>
      <w:r>
        <w:rPr>
          <w:rFonts w:ascii="Times New Roman;Times;serif" w:hAnsi="Times New Roman;Times;serif"/>
          <w:b/>
          <w:sz w:val="24"/>
        </w:rPr>
        <w:t>(a) (iii) Vendor fails to obtain Location Acceptance of a Cell Site on or before the Phase Completion Date for such Cell Site set forth in Schedule 4 and does not cure such failure to obtain Location Acceptance within ninety (90) days from the applicable Phase Completion Date but in no event shall such cure period extend beyond [***], subject to the provisions in the Agreement pertaining to any Excusable Delay; or (a)(iv) A Cell Site has not reached Location Acceptance by [***] for any reason other than as caused by an Excusable Delay.”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76"/>
        <w:ind w:left="0" w:right="0" w:hanging="0"/>
        <w:jc w:val="left"/>
        <w:rPr/>
      </w:pPr>
      <w:r>
        <w:rPr/>
        <w:t>​</w:t>
      </w:r>
    </w:p>
    <w:p>
      <w:pPr>
        <w:pStyle w:val="TextBody"/>
        <w:pBdr/>
        <w:bidi w:val="0"/>
        <w:spacing w:before="0" w:after="0"/>
        <w:ind w:left="82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B.</w:t>
      </w:r>
      <w:r>
        <w:rPr>
          <w:rFonts w:ascii="Times New Roman;Times;serif" w:hAnsi="Times New Roman;Times;serif"/>
          <w:b/>
          <w:sz w:val="24"/>
        </w:rPr>
        <w:t>Build Addendum: Section 17: Additional Termination Rights</w:t>
      </w:r>
      <w:r>
        <w:rPr>
          <w:rFonts w:ascii="Times New Roman;Times;serif" w:hAnsi="Times New Roman;Times;serif"/>
          <w:sz w:val="24"/>
        </w:rPr>
        <w:t>. Section 17: Additional Termination Rights, of the Build Addendum is hereby amended by deleting Section 17(b) in its entirety and replacing it with the following:</w:t>
      </w:r>
    </w:p>
    <w:p>
      <w:pPr>
        <w:pStyle w:val="TextBody"/>
        <w:bidi w:val="0"/>
        <w:spacing w:before="0" w:after="0"/>
        <w:ind w:left="0" w:right="0" w:hanging="0"/>
        <w:jc w:val="left"/>
        <w:rPr/>
      </w:pPr>
      <w:r>
        <w:rPr/>
        <w:t>​</w:t>
      </w:r>
    </w:p>
    <w:p>
      <w:pPr>
        <w:pStyle w:val="TextBody"/>
        <w:bidi w:val="0"/>
        <w:spacing w:before="0" w:after="0"/>
        <w:ind w:left="1080" w:right="0" w:hanging="0"/>
        <w:jc w:val="both"/>
        <w:rPr/>
      </w:pPr>
      <w:r>
        <w:rPr/>
        <w:t>“</w:t>
      </w:r>
      <w:r>
        <w:rPr>
          <w:rFonts w:ascii="Times New Roman;Times;serif" w:hAnsi="Times New Roman;Times;serif"/>
          <w:b/>
          <w:sz w:val="24"/>
        </w:rPr>
        <w:t xml:space="preserve">(b) </w:t>
      </w:r>
      <w:r>
        <w:rPr>
          <w:rFonts w:ascii="Times New Roman;Times;serif" w:hAnsi="Times New Roman;Times;serif"/>
          <w:b/>
          <w:i/>
          <w:sz w:val="24"/>
        </w:rPr>
        <w:t>Termination due to Excusable Delay</w:t>
      </w:r>
      <w:r>
        <w:rPr>
          <w:rFonts w:ascii="Times New Roman;Times;serif" w:hAnsi="Times New Roman;Times;serif"/>
          <w:b/>
          <w:sz w:val="24"/>
        </w:rPr>
        <w:t>. In the event that a Cell Site never reaches Location Acceptance due to an Excusable Delay (other than a Force Majeure Event or Permitting Delay), then on or after [***] either Party may remove such Cell Site from the Build Out Plan and terminate this Build Addendum with respect to such Cell Site; provided, however, that Vendor shall only be able to exercise the termination right set forth in this Section 17(b) if Vendor is not otherwise in breach of the Agreement or this Build Addendum with respect to such Cell Site. Upon such termination, Vendor shall sell or transfer all of the Vendor Provided Equipment ordered by Vendor for construction of the Cell Site together with any Work completed (in accordance with applicable Specifications and requirements) in connection with the Cell Site through the date of termination to AT&amp;T at a purchase price equal to Vendor’s reasonable and demonstrated costs for such Work (including its documented procurement costs for such Vendor Provided Equipment without any margin or mark-up by Vendor); provided, however, that in no event shall AT&amp;T be required to pay in excess of $[***] (or $[***] for those Cell Sites listed in Schedule 3) for any such Vendor Provided Equipment and Work completed by Vendor prior to the date of termination. In addition to the foregoing, at AT&amp;T’s sole election upon such termination, either (i) Vendor shall assign the tower lease for such Cell Site to AT&amp;T in the case of any Third Party Cell Site or require Vendor to enter into a Site License with AT&amp;T pursuant to the Master License Agreement in the case of any Vendor Cell Site and assign to AT&amp;T any subcontract entered into by Vendor to provide any portion of the backhaul at such Cell Site pursuant to the Transport Agreement or (ii) AT&amp;T shall reimburse Vendor for all of Vendor’s reasonable and demonstrated costs, if any, up to an aggregate amount equal to $[***] per Cell Site, to terminate (A) in the case of a Third Party Cell Site, the Tower Lease entered into by Vendor in accordance with the terms of this Agreement but only to the extent that such Tower Lease is solely for the location of the AT&amp;T Provided Equipment, Vendor Provided Equipment and other Material contemplated herein, and (B) any subcontract entered into by Vendor to provide any portion of the backhaul at such Cell Site pursuant to the Transport Agreement. To the extent that AT&amp;T elects to assume the Tower Lease or transport contract and/or enter into a Site License with respect to a Cell Site, then upon completion of such Cell Site, AT&amp;T may elect to include such Cell Site in the Maintenance Addendum and the Agreement and Maintenance Addendum shall not terminate with respect to such Cell Site. To the extent AT&amp;T elects to reimburse Vendor for the costs described in subsection (ii) of the preceding sentence, then AT&amp;T shall pay such amounts within sixty (60) days of receipt of an invoice from Vendor for such costs and expenses. In the event that either Party exercises the termination right set forth in this Section 17(b), the Parties agree that Location Acceptance shall not occur with respect to such Cell Site and AT&amp;T shall have no obligation to make the Structured Payments for such Cell Site.”</w:t>
      </w:r>
    </w:p>
    <w:p>
      <w:pPr>
        <w:pStyle w:val="TextBody"/>
        <w:bidi w:val="0"/>
        <w:spacing w:before="0" w:after="0"/>
        <w:ind w:left="118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240"/>
        <w:ind w:left="1180" w:right="0" w:hanging="0"/>
        <w:jc w:val="left"/>
        <w:rPr>
          <w:rFonts w:ascii="Times New Roman;Times;serif" w:hAnsi="Times New Roman;Times;serif"/>
          <w:sz w:val="20"/>
        </w:rPr>
      </w:pPr>
      <w:r>
        <w:rPr>
          <w:rFonts w:ascii="Times New Roman;Times;serif" w:hAnsi="Times New Roman;Times;serif"/>
          <w:b/>
          <w:sz w:val="24"/>
        </w:rPr>
        <w:t xml:space="preserve">Amendment to Schedule 1: Cell Sites. </w:t>
      </w:r>
      <w:r>
        <w:rPr>
          <w:rFonts w:ascii="Times New Roman;Times;serif" w:hAnsi="Times New Roman;Times;serif"/>
          <w:sz w:val="24"/>
        </w:rPr>
        <w:t>The Parties have agreed to amend the number of Cell Sites within the Build Addendum. The revised Cell Site count will be [***] Cell Sites as identified in Schedule 1: Cell Sites Revised. The Cell Site added to the Build Addendum is listed hereto:</w:t>
      </w:r>
    </w:p>
    <w:p>
      <w:pPr>
        <w:pStyle w:val="TextBody"/>
        <w:bidi w:val="0"/>
        <w:spacing w:before="0" w:after="240"/>
        <w:ind w:left="118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1180" w:right="0" w:hanging="0"/>
        <w:jc w:val="left"/>
        <w:rPr>
          <w:rFonts w:ascii="Times New Roman;Times;serif" w:hAnsi="Times New Roman;Times;serif"/>
          <w:sz w:val="20"/>
        </w:rPr>
      </w:pPr>
      <w:r>
        <w:rPr>
          <w:rFonts w:ascii="Times New Roman;Times;serif" w:hAnsi="Times New Roman;Times;serif"/>
          <w:b/>
          <w:sz w:val="24"/>
        </w:rPr>
        <w:t xml:space="preserve">Amendment to Addendum 2: Maintenance </w:t>
      </w:r>
      <w:r>
        <w:rPr>
          <w:rFonts w:ascii="Times New Roman;Times;serif" w:hAnsi="Times New Roman;Times;serif"/>
          <w:sz w:val="24"/>
        </w:rPr>
        <w:t>(the “Maintenance Addendum”) The Parties have agreed to amend the number of Cell Sites within the Maintenance Addendum. The revised Cell Site count will be [***] Cell Sites identified in Schedule B: Maintenance Addendum Cell Sites Revised. The Cell Site added to the Maintenance Addendum are listed hereto:</w:t>
      </w:r>
    </w:p>
    <w:p>
      <w:pPr>
        <w:pStyle w:val="TextBody"/>
        <w:bidi w:val="0"/>
        <w:spacing w:before="0" w:after="240"/>
        <w:ind w:left="1180" w:right="0" w:hanging="0"/>
        <w:jc w:val="left"/>
        <w:rPr>
          <w:rFonts w:ascii="Times New Roman;Times;serif" w:hAnsi="Times New Roman;Times;serif"/>
          <w:sz w:val="24"/>
        </w:rPr>
      </w:pP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3.</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Amendment to the Agreement: Schedule 4: Build Out Plan - Cell Sites Table </w:t>
            </w:r>
            <w:r>
              <w:rPr>
                <w:rFonts w:ascii="Times New Roman;Times;serif" w:hAnsi="Times New Roman;Times;serif"/>
                <w:sz w:val="24"/>
              </w:rPr>
              <w:t>shall be deleted in its entirety and replaced as follows:</w:t>
            </w:r>
          </w:p>
        </w:tc>
      </w:tr>
    </w:tbl>
    <w:p>
      <w:pPr>
        <w:pStyle w:val="TextBody"/>
        <w:bidi w:val="0"/>
        <w:spacing w:before="0" w:after="240"/>
        <w:ind w:left="1180" w:right="0" w:hanging="0"/>
        <w:jc w:val="left"/>
        <w:rPr>
          <w:rFonts w:ascii="Times New Roman;Times;serif" w:hAnsi="Times New Roman;Times;serif"/>
          <w:b/>
          <w:sz w:val="24"/>
        </w:rPr>
      </w:pPr>
      <w:r>
        <w:rPr>
          <w:rFonts w:ascii="Times New Roman;Times;serif" w:hAnsi="Times New Roman;Times;serif"/>
          <w:b/>
          <w:sz w:val="24"/>
        </w:rPr>
        <w:t>Cell Sites:</w:t>
      </w:r>
    </w:p>
    <w:p>
      <w:pPr>
        <w:pStyle w:val="TextBody"/>
        <w:bidi w:val="0"/>
        <w:spacing w:before="0" w:after="240"/>
        <w:ind w:left="1180" w:right="0" w:hanging="0"/>
        <w:jc w:val="left"/>
        <w:rPr>
          <w:rFonts w:ascii="Times New Roman;Times;serif" w:hAnsi="Times New Roman;Times;serif"/>
          <w:b/>
          <w:sz w:val="24"/>
        </w:rPr>
      </w:pPr>
      <w:r>
        <w:rPr>
          <w:rFonts w:ascii="Times New Roman;Times;serif" w:hAnsi="Times New Roman;Times;serif"/>
          <w:b/>
          <w:sz w:val="24"/>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Amendment to the Agreement: Schedule 5: Milestones to the Build Addendum. </w:t>
            </w:r>
            <w:r>
              <w:rPr>
                <w:rFonts w:ascii="Times New Roman;Times;serif" w:hAnsi="Times New Roman;Times;serif"/>
                <w:sz w:val="24"/>
              </w:rPr>
              <w:t>Schedule 5: Milestones, attached to the Build Addendum, shall be deleted in its entirety and replaced as follows:</w:t>
            </w:r>
          </w:p>
        </w:tc>
      </w:tr>
    </w:tbl>
    <w:p>
      <w:pPr>
        <w:pStyle w:val="TextBody"/>
        <w:bidi w:val="0"/>
        <w:spacing w:before="0" w:after="240"/>
        <w:ind w:left="1180" w:right="0" w:hanging="0"/>
        <w:jc w:val="left"/>
        <w:rPr>
          <w:rFonts w:ascii="Times New Roman;Times;serif" w:hAnsi="Times New Roman;Times;serif"/>
          <w:sz w:val="24"/>
        </w:rPr>
      </w:pP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w:t>
            </w:r>
          </w:p>
        </w:tc>
        <w:tc>
          <w:tcPr>
            <w:tcW w:w="100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Amendment to the Transport Agreement. </w:t>
            </w:r>
            <w:r>
              <w:rPr>
                <w:rFonts w:ascii="Times New Roman;Times;serif" w:hAnsi="Times New Roman;Times;serif"/>
                <w:sz w:val="24"/>
              </w:rPr>
              <w:t>The Parties hereby acknowledge and agree that the provision of backhaul transport to the New Cell Site shall be governed by and subject to the terms and conditions set forth in the Transport Agreement in accordance with Section 8 of the Build Addendum. Following Location Acceptance of the New Cell Site, Vendor will provide backhaul transport to such New Cell Site as described in the Transport Agreement, and the Circuit Service Term for each CSBH Circuit pursuant to the Transport Agreement shall be extended to [***].</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w:t>
            </w:r>
          </w:p>
        </w:tc>
        <w:tc>
          <w:tcPr>
            <w:tcW w:w="100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4"/>
              </w:rPr>
              <w:t xml:space="preserve">Amendment to the Agreement: Schedule 3: Structured Payments </w:t>
            </w:r>
            <w:r>
              <w:rPr>
                <w:rFonts w:ascii="Times New Roman;Times;serif" w:hAnsi="Times New Roman;Times;serif"/>
                <w:sz w:val="24"/>
              </w:rPr>
              <w:t>shall be restated to account for [***] existing Cell Sites with an increased payment structure that covers the costs of transitioning from [***] to [***]. To reflect this, Schedule 3: Structured Payments shall be deleted in its entirety and replaced as attached hereto.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19"/>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w:t>
            </w:r>
          </w:p>
        </w:tc>
        <w:tc>
          <w:tcPr>
            <w:tcW w:w="1002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Except as expressly amended hereby, the Agreement shall remain in full force and effect. The Agreement is hereby amended so that any reference to the Agreement shall mean a reference to the Agreement as amended by this Fifth Amendment. In the event of a conflict between the terms of the Agreement and this Fifth Amendment, the terms of this Fifth Amendment shall control.</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w:t>
            </w:r>
          </w:p>
        </w:tc>
        <w:tc>
          <w:tcPr>
            <w:tcW w:w="1002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Fifth Amendment may be executed in one or more counterparts, each of which when so executed shall be an original, but all of which together shall constitute one agreement. Signatures delivered by facsimile or electronic mail shall be deemed original signatures.</w:t>
            </w:r>
          </w:p>
        </w:tc>
      </w:tr>
    </w:tbl>
    <w:p>
      <w:pPr>
        <w:pStyle w:val="TextBody"/>
        <w:pBdr/>
        <w:bidi w:val="0"/>
        <w:spacing w:before="0" w:after="0"/>
        <w:ind w:left="820" w:right="0" w:hanging="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the Parties have caused their duly authorized representatives to execute this Fifth Amendment as of the date first written above.</w:t>
      </w:r>
    </w:p>
    <w:p>
      <w:pPr>
        <w:pStyle w:val="TextBody"/>
        <w:bidi w:val="0"/>
        <w:spacing w:before="0" w:after="0"/>
        <w:ind w:left="0" w:right="0" w:hanging="0"/>
        <w:jc w:val="left"/>
        <w:rPr/>
      </w:pPr>
      <w:r>
        <w:rPr/>
        <w:t>​</w:t>
      </w:r>
    </w:p>
    <w:tbl>
      <w:tblPr>
        <w:tblW w:w="9838" w:type="dxa"/>
        <w:jc w:val="left"/>
        <w:tblInd w:w="0" w:type="dxa"/>
        <w:tblLayout w:type="fixed"/>
        <w:tblCellMar>
          <w:top w:w="0" w:type="dxa"/>
          <w:left w:w="0" w:type="dxa"/>
          <w:bottom w:w="0" w:type="dxa"/>
          <w:right w:w="0" w:type="dxa"/>
        </w:tblCellMar>
      </w:tblPr>
      <w:tblGrid>
        <w:gridCol w:w="751"/>
        <w:gridCol w:w="4336"/>
        <w:gridCol w:w="326"/>
        <w:gridCol w:w="857"/>
        <w:gridCol w:w="3568"/>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76885" cy="175260"/>
                      <wp:effectExtent l="0" t="0" r="0" b="0"/>
                      <wp:wrapNone/>
                      <wp:docPr id="643" name="Frame64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753360" cy="175260"/>
                      <wp:effectExtent l="0" t="0" r="0" b="0"/>
                      <wp:wrapNone/>
                      <wp:docPr id="644" name="Frame642"/>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544195" cy="175260"/>
                      <wp:effectExtent l="0" t="0" r="0" b="0"/>
                      <wp:wrapNone/>
                      <wp:docPr id="645" name="Frame643"/>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265680" cy="175260"/>
                      <wp:effectExtent l="0" t="0" r="0" b="0"/>
                      <wp:wrapNone/>
                      <wp:docPr id="646" name="Frame644"/>
                      <a:graphic xmlns:a="http://schemas.openxmlformats.org/drawingml/2006/main">
                        <a:graphicData uri="http://schemas.microsoft.com/office/word/2010/wordprocessingShape">
                          <wps:wsp>
                            <wps:cNvSpPr txBox="1"/>
                            <wps:spPr>
                              <a:xfrm>
                                <a:off x="0" y="0"/>
                                <a:ext cx="2265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Commnet Wireless, LLC</w:t>
            </w:r>
          </w:p>
        </w:tc>
        <w:tc>
          <w:tcPr>
            <w:tcW w:w="326" w:type="dxa"/>
            <w:tcBorders/>
            <w:vAlign w:val="center"/>
          </w:tcPr>
          <w:p>
            <w:pPr>
              <w:pStyle w:val="TableContents"/>
              <w:bidi w:val="0"/>
              <w:spacing w:before="0" w:after="0"/>
              <w:ind w:left="0" w:right="0" w:hanging="0"/>
              <w:jc w:val="left"/>
              <w:rPr/>
            </w:pPr>
            <w:r>
              <w:rPr/>
              <w:t>    </w:t>
            </w:r>
          </w:p>
        </w:tc>
        <w:tc>
          <w:tcPr>
            <w:tcW w:w="442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AT&amp;T Mobility LLC</w:t>
            </w:r>
          </w:p>
        </w:tc>
      </w:tr>
      <w:tr>
        <w:trPr/>
        <w:tc>
          <w:tcPr>
            <w:tcW w:w="5087"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AT&amp;T Mobility Corporation, its manager</w:t>
            </w:r>
          </w:p>
        </w:tc>
      </w:tr>
      <w:tr>
        <w:trPr/>
        <w:tc>
          <w:tcPr>
            <w:tcW w:w="5087"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DeMent</w:t>
            </w:r>
          </w:p>
        </w:tc>
        <w:tc>
          <w:tcPr>
            <w:tcW w:w="32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Kurt Dresch</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3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Edward DeMent</w:t>
            </w:r>
          </w:p>
        </w:tc>
        <w:tc>
          <w:tcPr>
            <w:tcW w:w="32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56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Kurt Dresch</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3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Manager, Carrier Managed Services</w:t>
            </w:r>
          </w:p>
        </w:tc>
        <w:tc>
          <w:tcPr>
            <w:tcW w:w="32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5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 – Global Connections</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4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12, 2025</w:t>
            </w:r>
          </w:p>
        </w:tc>
        <w:tc>
          <w:tcPr>
            <w:tcW w:w="32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35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12, 2025</w:t>
            </w:r>
          </w:p>
        </w:tc>
      </w:tr>
      <w:tr>
        <w:trPr/>
        <w:tc>
          <w:tcPr>
            <w:tcW w:w="5087"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854" w:name="atni-20241231xex19.htm"/>
      <w:bookmarkStart w:id="2855" w:name="ksatni20241231xex19"/>
      <w:bookmarkEnd w:id="2854"/>
      <w:bookmarkEnd w:id="2855"/>
      <w:r>
        <w:rPr/>
        <w:t>​</w:t>
      </w:r>
      <w:r>
        <w:br w:type="page"/>
      </w:r>
    </w:p>
    <w:p>
      <w:pPr>
        <w:pStyle w:val="TextBody"/>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19</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sz w:val="24"/>
        </w:rPr>
        <w:t>December 2023</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Insider Trading and Anti-Hedging Policy</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ATN INTERNATIONAL,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And its Subsidiaries</w:t>
      </w:r>
    </w:p>
    <w:p>
      <w:pPr>
        <w:pStyle w:val="TextBody"/>
        <w:bidi w:val="0"/>
        <w:spacing w:before="0" w:after="0"/>
        <w:ind w:left="0" w:right="0" w:hanging="0"/>
        <w:jc w:val="center"/>
        <w:rPr/>
      </w:pPr>
      <w:r>
        <w:rPr/>
        <w:t>​</w:t>
      </w:r>
    </w:p>
    <w:tbl>
      <w:tblPr>
        <w:tblW w:w="3805" w:type="dxa"/>
        <w:jc w:val="left"/>
        <w:tblInd w:w="0" w:type="dxa"/>
        <w:tblLayout w:type="fixed"/>
        <w:tblCellMar>
          <w:top w:w="0" w:type="dxa"/>
          <w:left w:w="0" w:type="dxa"/>
          <w:bottom w:w="0" w:type="dxa"/>
          <w:right w:w="0" w:type="dxa"/>
        </w:tblCellMar>
      </w:tblPr>
      <w:tblGrid>
        <w:gridCol w:w="200"/>
        <w:gridCol w:w="360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3605" w:type="dxa"/>
            <w:tcBorders/>
            <w:vAlign w:val="center"/>
          </w:tcPr>
          <w:p>
            <w:pPr>
              <w:pStyle w:val="TableContents"/>
              <w:bidi w:val="0"/>
              <w:spacing w:before="0" w:after="283"/>
              <w:jc w:val="left"/>
              <w:rPr>
                <w:rFonts w:ascii="Times New Roman;Times;serif" w:hAnsi="Times New Roman;Times;serif"/>
                <w:b/>
                <w:i w:val="false"/>
                <w:caps/>
                <w:sz w:val="24"/>
              </w:rPr>
            </w:pPr>
            <w:r>
              <w:rPr>
                <w:rFonts w:ascii="Times New Roman;Times;serif" w:hAnsi="Times New Roman;Times;serif"/>
                <w:b/>
                <w:i w:val="false"/>
                <w:caps/>
                <w:sz w:val="24"/>
              </w:rPr>
              <w:t>Background and purpose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4"/>
        </w:rPr>
        <w:t>The federal securities laws prohibit any employee or member of the Board of Directors (a “</w:t>
      </w:r>
      <w:r>
        <w:rPr>
          <w:rFonts w:ascii="Times New Roman;Times;serif" w:hAnsi="Times New Roman;Times;serif"/>
          <w:sz w:val="24"/>
          <w:u w:val="single"/>
        </w:rPr>
        <w:t>Director</w:t>
      </w:r>
      <w:r>
        <w:rPr>
          <w:rFonts w:ascii="Times New Roman;Times;serif" w:hAnsi="Times New Roman;Times;serif"/>
          <w:sz w:val="20"/>
        </w:rPr>
        <w:t>”</w:t>
      </w:r>
      <w:r>
        <w:rPr>
          <w:rFonts w:ascii="Times New Roman;Times;serif" w:hAnsi="Times New Roman;Times;serif"/>
          <w:sz w:val="24"/>
        </w:rPr>
        <w:t>) of ATN International, Inc. (“</w:t>
      </w:r>
      <w:r>
        <w:rPr>
          <w:rFonts w:ascii="Times New Roman;Times;serif" w:hAnsi="Times New Roman;Times;serif"/>
          <w:sz w:val="24"/>
          <w:u w:val="single"/>
        </w:rPr>
        <w:t>ATN</w:t>
      </w:r>
      <w:r>
        <w:rPr>
          <w:rFonts w:ascii="Times New Roman;Times;serif" w:hAnsi="Times New Roman;Times;serif"/>
          <w:sz w:val="20"/>
        </w:rPr>
        <w:t>”</w:t>
      </w:r>
      <w:r>
        <w:rPr>
          <w:rFonts w:ascii="Times New Roman;Times;serif" w:hAnsi="Times New Roman;Times;serif"/>
          <w:sz w:val="24"/>
        </w:rPr>
        <w:t>, and ATN together with its subsidiaries are collectively referred to as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or its subsidiaries from purchasing or selling Company securities or the securities of any other company on the basis of material nonpublic information (whether positive or negative) concerning the Company or any such other company, or from disclosing (or “tipping”) material nonpublic information to others who might trade on the basis of that information. Hedging and short-selling of Company stock might be perceived as involving insider trading or otherwise act as “tipping” or signaling a lack in confidence in the stock of the Company. These laws impose severe sanctions on individuals who violate them. In addition, the SEC has the authority to impose large fines on ATN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This Insider Trading and Anti-Hedging policy (this “Policy”) is being adopted in light of these legal requirements, and with the goal of helping:</w:t>
      </w:r>
    </w:p>
    <w:p>
      <w:pPr>
        <w:pStyle w:val="TextBody"/>
        <w:bidi w:val="0"/>
        <w:spacing w:before="0" w:after="0"/>
        <w:ind w:left="0" w:right="0" w:firstLine="720"/>
        <w:jc w:val="left"/>
        <w:rPr/>
      </w:pPr>
      <w:r>
        <w:rPr/>
        <w:t>​</w:t>
      </w:r>
    </w:p>
    <w:tbl>
      <w:tblPr>
        <w:tblW w:w="5568" w:type="dxa"/>
        <w:jc w:val="left"/>
        <w:tblInd w:w="0" w:type="dxa"/>
        <w:tblLayout w:type="fixed"/>
        <w:tblCellMar>
          <w:top w:w="0" w:type="dxa"/>
          <w:left w:w="0" w:type="dxa"/>
          <w:bottom w:w="0" w:type="dxa"/>
          <w:right w:w="0" w:type="dxa"/>
        </w:tblCellMar>
      </w:tblPr>
      <w:tblGrid>
        <w:gridCol w:w="23"/>
        <w:gridCol w:w="1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prevent inadvertent violations of the insider trading laws;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avoid embarrassing proxy disclosure of reporting violations by persons subject to Section 16 of the Securities Exchange Act of 1934 (the “</w:t>
            </w:r>
            <w:r>
              <w:rPr>
                <w:rFonts w:ascii="Times New Roman;Times;serif" w:hAnsi="Times New Roman;Times;serif"/>
                <w:b w:val="false"/>
                <w:i w:val="false"/>
                <w:caps w:val="false"/>
                <w:smallCaps w:val="false"/>
                <w:sz w:val="24"/>
                <w:u w:val="single"/>
              </w:rPr>
              <w:t>Exchange Act</w:t>
            </w:r>
            <w:r>
              <w:rPr>
                <w:caps w:val="false"/>
                <w:smallCaps w:val="false"/>
              </w:rPr>
              <w:t>”</w:t>
            </w:r>
            <w:r>
              <w:rPr>
                <w:rFonts w:ascii="Times New Roman;Times;serif" w:hAnsi="Times New Roman;Times;serif"/>
                <w:b w:val="false"/>
                <w:i w:val="false"/>
                <w:caps w:val="false"/>
                <w:smallCaps w:val="false"/>
                <w:sz w:val="24"/>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avoid even the appearance of impropriety on the part of those employed by, or associated with, the Company;</w:t>
            </w:r>
          </w:p>
        </w:tc>
      </w:tr>
    </w:tbl>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protect the Company from controlling person liability; and</w:t>
            </w:r>
          </w:p>
        </w:tc>
      </w:tr>
    </w:tbl>
    <w:tbl>
      <w:tblPr>
        <w:tblW w:w="6858" w:type="dxa"/>
        <w:jc w:val="left"/>
        <w:tblInd w:w="0" w:type="dxa"/>
        <w:tblLayout w:type="fixed"/>
        <w:tblCellMar>
          <w:top w:w="0" w:type="dxa"/>
          <w:left w:w="0" w:type="dxa"/>
          <w:bottom w:w="0" w:type="dxa"/>
          <w:right w:w="0" w:type="dxa"/>
        </w:tblCellMar>
      </w:tblPr>
      <w:tblGrid>
        <w:gridCol w:w="23"/>
        <w:gridCol w:w="170"/>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protect the reputation of the Company, its Directors and its employees.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Definition of Material Nonpublic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u w:val="single"/>
        </w:rPr>
        <w:t>Material Information.</w:t>
      </w:r>
      <w:r>
        <w:rPr>
          <w:rFonts w:ascii="Times New Roman;Times;serif" w:hAnsi="Times New Roman;Times;serif"/>
          <w:sz w:val="20"/>
        </w:rPr>
        <w:t xml:space="preserve"> </w:t>
      </w:r>
      <w:r>
        <w:rPr>
          <w:rFonts w:ascii="Times New Roman;Times;serif" w:hAnsi="Times New Roman;Times;serif"/>
          <w:sz w:val="24"/>
        </w:rPr>
        <w:t xml:space="preserve">Information is considered </w:t>
      </w:r>
      <w:r>
        <w:rPr>
          <w:rFonts w:ascii="Times New Roman;Times;serif" w:hAnsi="Times New Roman;Times;serif"/>
          <w:sz w:val="20"/>
        </w:rPr>
        <w:t>“</w:t>
      </w:r>
      <w:r>
        <w:rPr>
          <w:rFonts w:ascii="Times New Roman;Times;serif" w:hAnsi="Times New Roman;Times;serif"/>
          <w:sz w:val="24"/>
        </w:rPr>
        <w:t>material</w:t>
      </w:r>
      <w:r>
        <w:rPr>
          <w:rFonts w:ascii="Times New Roman;Times;serif" w:hAnsi="Times New Roman;Times;serif"/>
          <w:sz w:val="20"/>
        </w:rPr>
        <w:t xml:space="preserve">” </w:t>
      </w:r>
      <w:r>
        <w:rPr>
          <w:rFonts w:ascii="Times New Roman;Times;serif" w:hAnsi="Times New Roman;Times;serif"/>
          <w:sz w:val="24"/>
        </w:rPr>
        <w:t>if a reasonable investor would consider that information important in making a decision to buy, hold or sell securities. Any information that could be expected to affect a company</w:t>
      </w:r>
      <w:r>
        <w:rPr>
          <w:rFonts w:ascii="Times New Roman;Times;serif" w:hAnsi="Times New Roman;Times;serif"/>
          <w:sz w:val="20"/>
        </w:rPr>
        <w:t>’</w:t>
      </w:r>
      <w:r>
        <w:rPr>
          <w:rFonts w:ascii="Times New Roman;Times;serif" w:hAnsi="Times New Roman;Times;serif"/>
          <w:sz w:val="24"/>
        </w:rPr>
        <w:t>s stock price, whether it is positive or negative, should be considered material. While it is not possible to define all categories of material information, some examples of information that ordinarily would be regarded as material 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pending or proposed strategic transaction such as an acquisition, significant investment, disposition, merger or other transaction;</w:t>
            </w:r>
          </w:p>
        </w:tc>
      </w:tr>
    </w:tbl>
    <w:tbl>
      <w:tblPr>
        <w:tblW w:w="9468" w:type="dxa"/>
        <w:jc w:val="left"/>
        <w:tblInd w:w="0" w:type="dxa"/>
        <w:tblLayout w:type="fixed"/>
        <w:tblCellMar>
          <w:top w:w="0" w:type="dxa"/>
          <w:left w:w="0" w:type="dxa"/>
          <w:bottom w:w="0" w:type="dxa"/>
          <w:right w:w="0" w:type="dxa"/>
        </w:tblCellMar>
      </w:tblPr>
      <w:tblGrid>
        <w:gridCol w:w="23"/>
        <w:gridCol w:w="170"/>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change in dividend policy, the declaration of a stock split, or an offering of additional securities;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323" w:type="dxa"/>
        <w:jc w:val="left"/>
        <w:tblInd w:w="0" w:type="dxa"/>
        <w:tblLayout w:type="fixed"/>
        <w:tblCellMar>
          <w:top w:w="0" w:type="dxa"/>
          <w:left w:w="0" w:type="dxa"/>
          <w:bottom w:w="0" w:type="dxa"/>
          <w:right w:w="0" w:type="dxa"/>
        </w:tblCellMar>
      </w:tblPr>
      <w:tblGrid>
        <w:gridCol w:w="23"/>
        <w:gridCol w:w="170"/>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Bank borrowings or other financing transactions out of the ordinary course;</w:t>
            </w:r>
          </w:p>
        </w:tc>
      </w:tr>
    </w:tbl>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establishment or material change to a repurchase program for the Company's common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 material financial misstatement or notification that the Company's auditor</w:t>
            </w:r>
            <w:r>
              <w:rPr>
                <w:caps w:val="false"/>
                <w:smallCaps w:val="false"/>
              </w:rPr>
              <w:t>’</w:t>
            </w:r>
            <w:r>
              <w:rPr>
                <w:rFonts w:ascii="Times New Roman;Times;serif" w:hAnsi="Times New Roman;Times;serif"/>
                <w:b w:val="false"/>
                <w:i w:val="false"/>
                <w:caps w:val="false"/>
                <w:smallCaps w:val="false"/>
                <w:sz w:val="24"/>
              </w:rPr>
              <w:t>s reports may no longer be relied upon;</w:t>
            </w:r>
          </w:p>
        </w:tc>
      </w:tr>
    </w:tbl>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gain or loss of a significant customer or supplier or line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 significant cybersecurity incident, such as a data breach, or any other significant disruption in the company</w:t>
            </w:r>
            <w:r>
              <w:rPr>
                <w:caps w:val="false"/>
                <w:smallCaps w:val="false"/>
              </w:rPr>
              <w:t>’</w:t>
            </w:r>
            <w:r>
              <w:rPr>
                <w:rFonts w:ascii="Times New Roman;Times;serif" w:hAnsi="Times New Roman;Times;serif"/>
                <w:b w:val="false"/>
                <w:i w:val="false"/>
                <w:caps w:val="false"/>
                <w:smallCaps w:val="false"/>
                <w:sz w:val="24"/>
              </w:rPr>
              <w:t>s operations;</w:t>
            </w:r>
          </w:p>
        </w:tc>
      </w:tr>
    </w:tbl>
    <w:tbl>
      <w:tblPr>
        <w:tblW w:w="6618" w:type="dxa"/>
        <w:jc w:val="left"/>
        <w:tblInd w:w="0" w:type="dxa"/>
        <w:tblLayout w:type="fixed"/>
        <w:tblCellMar>
          <w:top w:w="0" w:type="dxa"/>
          <w:left w:w="0" w:type="dxa"/>
          <w:bottom w:w="0" w:type="dxa"/>
          <w:right w:w="0" w:type="dxa"/>
        </w:tblCellMar>
      </w:tblPr>
      <w:tblGrid>
        <w:gridCol w:w="23"/>
        <w:gridCol w:w="17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and material loss of the Company's property or assets; or</w:t>
            </w:r>
          </w:p>
        </w:tc>
      </w:tr>
    </w:tbl>
    <w:tbl>
      <w:tblPr>
        <w:tblW w:w="8253" w:type="dxa"/>
        <w:jc w:val="left"/>
        <w:tblInd w:w="0" w:type="dxa"/>
        <w:tblLayout w:type="fixed"/>
        <w:tblCellMar>
          <w:top w:w="0" w:type="dxa"/>
          <w:left w:w="0" w:type="dxa"/>
          <w:bottom w:w="0" w:type="dxa"/>
          <w:right w:w="0" w:type="dxa"/>
        </w:tblCellMar>
      </w:tblPr>
      <w:tblGrid>
        <w:gridCol w:w="23"/>
        <w:gridCol w:w="170"/>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imposition of an event-specific restriction on trading in the Company's securities.</w:t>
            </w:r>
          </w:p>
        </w:tc>
      </w:tr>
    </w:tbl>
    <w:p>
      <w:pPr>
        <w:pStyle w:val="TextBody"/>
        <w:bidi w:val="0"/>
        <w:spacing w:before="0" w:after="0"/>
        <w:ind w:left="135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u w:val="single"/>
        </w:rPr>
        <w:t>When Information is Considered Public.</w:t>
      </w:r>
      <w:r>
        <w:rPr>
          <w:rFonts w:ascii="Times New Roman;Times;serif" w:hAnsi="Times New Roman;Times;serif"/>
          <w:sz w:val="20"/>
        </w:rPr>
        <w:t xml:space="preserve"> </w:t>
      </w:r>
      <w:r>
        <w:rPr>
          <w:rFonts w:ascii="Times New Roman;Times;serif" w:hAnsi="Times New Roman;Times;serif"/>
          <w:sz w:val="24"/>
        </w:rPr>
        <w:t>Information that has not been disclosed to the public is generally considered to be nonpublic information. Information generally would be considered disclosed to the public if it is widely disseminated, such as through a press release, publication in a widely-available newspaper or website, or public disclosure documents filed with the SEC that are available on the SEC</w:t>
      </w:r>
      <w:r>
        <w:rPr>
          <w:rFonts w:ascii="Times New Roman;Times;serif" w:hAnsi="Times New Roman;Times;serif"/>
          <w:sz w:val="20"/>
        </w:rPr>
        <w:t>’</w:t>
      </w:r>
      <w:r>
        <w:rPr>
          <w:rFonts w:ascii="Times New Roman;Times;serif" w:hAnsi="Times New Roman;Times;serif"/>
          <w:sz w:val="24"/>
        </w:rPr>
        <w:t>s website. By contrast, information would likely not be considered widely disseminated if it is available only to the Company</w:t>
      </w:r>
      <w:r>
        <w:rPr>
          <w:rFonts w:ascii="Times New Roman;Times;serif" w:hAnsi="Times New Roman;Times;serif"/>
          <w:sz w:val="20"/>
        </w:rPr>
        <w:t>’</w:t>
      </w:r>
      <w:r>
        <w:rPr>
          <w:rFonts w:ascii="Times New Roman;Times;serif" w:hAnsi="Times New Roman;Times;serif"/>
          <w:sz w:val="24"/>
        </w:rPr>
        <w:t>s employees, or if it is only available to a select group of analysts, brokers and institutional investors.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Once information is widely disseminated, it is still necessary to provide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the Company's securities until Thursday. Depending on the particular circumstances, the Company may determine that a longer or shorter period should apply to the release of specific material nonpublic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10034" w:type="dxa"/>
            <w:tcBorders/>
            <w:vAlign w:val="center"/>
          </w:tcPr>
          <w:p>
            <w:pPr>
              <w:pStyle w:val="TableContents"/>
              <w:bidi w:val="0"/>
              <w:spacing w:before="0" w:after="283"/>
              <w:jc w:val="left"/>
              <w:rPr>
                <w:rFonts w:ascii="Times New Roman;Times;serif" w:hAnsi="Times New Roman;Times;serif"/>
                <w:b/>
                <w:i w:val="false"/>
                <w:caps/>
                <w:sz w:val="24"/>
              </w:rPr>
            </w:pPr>
            <w:r>
              <w:rPr>
                <w:rFonts w:ascii="Times New Roman;Times;serif" w:hAnsi="Times New Roman;Times;serif"/>
                <w:b/>
                <w:i w:val="false"/>
                <w:caps/>
                <w:sz w:val="24"/>
              </w:rPr>
              <w:t>PROHIBITIONs on transactions in securities while aware of material NONPUBLIC information; PROHIBITION ON TIPPING OTHERS</w:t>
            </w:r>
          </w:p>
        </w:tc>
      </w:tr>
    </w:tbl>
    <w:p>
      <w:pPr>
        <w:pStyle w:val="TextBody"/>
        <w:bidi w:val="0"/>
        <w:spacing w:before="0" w:after="0"/>
        <w:ind w:left="0" w:right="0" w:hanging="0"/>
        <w:jc w:val="left"/>
        <w:rPr/>
      </w:pPr>
      <w:r>
        <w:rPr/>
        <w:t>​</w:t>
      </w:r>
    </w:p>
    <w:tbl>
      <w:tblPr>
        <w:tblW w:w="4473" w:type="dxa"/>
        <w:jc w:val="left"/>
        <w:tblInd w:w="0" w:type="dxa"/>
        <w:tblLayout w:type="fixed"/>
        <w:tblCellMar>
          <w:top w:w="0" w:type="dxa"/>
          <w:left w:w="0" w:type="dxa"/>
          <w:bottom w:w="0" w:type="dxa"/>
          <w:right w:w="0" w:type="dxa"/>
        </w:tblCellMar>
      </w:tblPr>
      <w:tblGrid>
        <w:gridCol w:w="23"/>
        <w:gridCol w:w="32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w:t>
            </w:r>
          </w:p>
        </w:tc>
        <w:tc>
          <w:tcPr>
            <w:tcW w:w="41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Covered Persons</w:t>
            </w:r>
            <w:r>
              <w:rPr>
                <w:rFonts w:ascii="Times New Roman;Times;serif" w:hAnsi="Times New Roman;Times;serif"/>
                <w:b w:val="false"/>
                <w:i w:val="false"/>
                <w:caps w:val="false"/>
                <w:smallCaps w:val="false"/>
                <w:sz w:val="24"/>
              </w:rPr>
              <w:t>. This Section 2 applies to:</w:t>
            </w:r>
          </w:p>
        </w:tc>
      </w:tr>
    </w:tbl>
    <w:p>
      <w:pPr>
        <w:pStyle w:val="TextBody"/>
        <w:bidi w:val="0"/>
        <w:spacing w:before="0" w:after="0"/>
        <w:ind w:left="0" w:right="0" w:hanging="0"/>
        <w:jc w:val="left"/>
        <w:rPr/>
      </w:pPr>
      <w:r>
        <w:rPr/>
        <w:t>​</w:t>
      </w:r>
    </w:p>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employees of ATN and its subsidiaries;</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Directors of ATN and its subsidiaries;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General Counsel determines should not be covered by this policy);</w:t>
            </w:r>
          </w:p>
        </w:tc>
      </w:tr>
    </w:tbl>
    <w:tbl>
      <w:tblPr>
        <w:tblW w:w="10068" w:type="dxa"/>
        <w:jc w:val="left"/>
        <w:tblInd w:w="0" w:type="dxa"/>
        <w:tblLayout w:type="fixed"/>
        <w:tblCellMar>
          <w:top w:w="0" w:type="dxa"/>
          <w:left w:w="0" w:type="dxa"/>
          <w:bottom w:w="0" w:type="dxa"/>
          <w:right w:w="0" w:type="dxa"/>
        </w:tblCellMar>
      </w:tblPr>
      <w:tblGrid>
        <w:gridCol w:w="23"/>
        <w:gridCol w:w="170"/>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other persons, such as contractors or consultants who have access to material nonpublic information; and</w:t>
            </w:r>
          </w:p>
        </w:tc>
      </w:tr>
    </w:tbl>
    <w:tbl>
      <w:tblPr>
        <w:tblW w:w="9798" w:type="dxa"/>
        <w:jc w:val="left"/>
        <w:tblInd w:w="0" w:type="dxa"/>
        <w:tblLayout w:type="fixed"/>
        <w:tblCellMar>
          <w:top w:w="0" w:type="dxa"/>
          <w:left w:w="0" w:type="dxa"/>
          <w:bottom w:w="0" w:type="dxa"/>
          <w:right w:w="0" w:type="dxa"/>
        </w:tblCellMar>
      </w:tblPr>
      <w:tblGrid>
        <w:gridCol w:w="23"/>
        <w:gridCol w:w="170"/>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corporations, partnerships, trusts or other entities owned or controlled by any of the above persons.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Prohibition on Transactions While Aware of Material Nonpublic Information</w:t>
      </w:r>
      <w:r>
        <w:rPr>
          <w:rFonts w:ascii="Times New Roman;Times;serif" w:hAnsi="Times New Roman;Times;serif"/>
          <w:sz w:val="24"/>
        </w:rPr>
        <w:t>.</w:t>
      </w:r>
    </w:p>
    <w:p>
      <w:pPr>
        <w:pStyle w:val="TextBody"/>
        <w:bidi w:val="0"/>
        <w:spacing w:before="0" w:after="0"/>
        <w:ind w:left="630" w:right="0" w:hanging="0"/>
        <w:jc w:val="left"/>
        <w:rPr/>
      </w:pPr>
      <w:r>
        <w:rPr/>
        <w:t>​</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No person or entity described in Section 2.1 may: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Prohibited Activities</w:t>
      </w:r>
      <w:r>
        <w:rPr>
          <w:rFonts w:ascii="Times New Roman;Times;serif" w:hAnsi="Times New Roman;Times;serif"/>
          <w:sz w:val="24"/>
        </w:rPr>
        <w:t>. Except as provided in Section 4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engage in any transaction in the Company’s securities (collectively referred to in this Policy as “ATN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ATN securities, while he or she is aware of any material nonpublic information concerning the Company, or recommend to another person that they do so;</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recommend the purchase or sale of any ATN securities on the basis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disclose (or “tip”) to any other person any material nonpublic information concerning the Company if such person may misuse that information, such as by purchasing, selling or pledging ATN securities or tipping that information to others;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purchase, sell or pledge any securities of another company while he or she is aware of any material nonpublic information concerning such other company that he or she learned in the course of his or her service as a Director or employee of the Company, or recommend to another person that they do so;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disclose (or “tip”) to any other person any material nonpublic information concerning another company that he or she learned in the course of his or her service as a Director or employee of the Company if such other person may misuse that information, such as by purchasing, selling or pledging securities of such other company or tipping that information to others; or</w:t>
            </w:r>
          </w:p>
        </w:tc>
      </w:tr>
    </w:tbl>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 anyone engaged in the above activities.</w:t>
            </w:r>
          </w:p>
        </w:tc>
      </w:tr>
    </w:tbl>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Application of Policy After Cessation of Service</w:t>
      </w:r>
      <w:r>
        <w:rPr>
          <w:rFonts w:ascii="Times New Roman;Times;serif" w:hAnsi="Times New Roman;Times;serif"/>
          <w:sz w:val="24"/>
        </w:rPr>
        <w:t>. If a person ceases to be a Director or employee of the Company at a time when he or she is aware of material nonpublic information concerning the Company, or material nonpublic information concerning another company that he or she learned in the course of his or her service as a Director or employee of the Company, the prohibition on transactions in ATN securities or the securities of such other company in Section 2.2(a) shall continue to apply to such person until that information has become public or is no longer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Certain Prohibited Transactions</w:t>
      </w:r>
      <w:r>
        <w:rPr>
          <w:rFonts w:ascii="Times New Roman;Times;serif" w:hAnsi="Times New Roman;Times;serif"/>
          <w:sz w:val="24"/>
        </w:rPr>
        <w:t>. The Company has determined that there is a heightened legal risk and/or the appearance of improper or inappropriate conduct if the persons subject to this Policy engage in certain types of transactions. It therefore is the Company</w:t>
      </w:r>
      <w:r>
        <w:rPr>
          <w:rFonts w:ascii="Times New Roman;Times;serif" w:hAnsi="Times New Roman;Times;serif"/>
          <w:sz w:val="20"/>
        </w:rPr>
        <w:t>’</w:t>
      </w:r>
      <w:r>
        <w:rPr>
          <w:rFonts w:ascii="Times New Roman;Times;serif" w:hAnsi="Times New Roman;Times;serif"/>
          <w:sz w:val="24"/>
        </w:rPr>
        <w:t xml:space="preserve">s policy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that no Covered Person may engage in any of the following transactions or should otherwise comply with the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Short-Term Trading.</w:t>
            </w:r>
            <w:r>
              <w:rPr>
                <w:caps w:val="false"/>
                <w:smallCaps w:val="false"/>
              </w:rPr>
              <w:t xml:space="preserve"> </w:t>
            </w:r>
            <w:r>
              <w:rPr>
                <w:rFonts w:ascii="Times New Roman;Times;serif" w:hAnsi="Times New Roman;Times;serif"/>
                <w:b w:val="false"/>
                <w:i w:val="false"/>
                <w:caps w:val="false"/>
                <w:smallCaps w:val="false"/>
                <w:sz w:val="24"/>
              </w:rPr>
              <w:t>Any Covered Person who purchases ATN securities in the open market may not sell any ATN securities of the same class during the six months following the purchase (or vice versa).</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Short Sales.</w:t>
            </w:r>
            <w:r>
              <w:rPr>
                <w:caps w:val="false"/>
                <w:smallCaps w:val="false"/>
              </w:rPr>
              <w:t xml:space="preserve"> </w:t>
            </w:r>
            <w:r>
              <w:rPr>
                <w:rFonts w:ascii="Times New Roman;Times;serif" w:hAnsi="Times New Roman;Times;serif"/>
                <w:b w:val="false"/>
                <w:i w:val="false"/>
                <w:caps w:val="false"/>
                <w:smallCaps w:val="false"/>
                <w:sz w:val="24"/>
              </w:rPr>
              <w:t>Short sales of ATN securities (</w:t>
            </w:r>
            <w:r>
              <w:rPr>
                <w:rFonts w:ascii="Times New Roman;Times;serif" w:hAnsi="Times New Roman;Times;serif"/>
                <w:b w:val="false"/>
                <w:i/>
                <w:sz w:val="24"/>
              </w:rPr>
              <w:t>i.e.</w:t>
            </w:r>
            <w:r>
              <w:rPr>
                <w:rFonts w:ascii="Times New Roman;Times;serif" w:hAnsi="Times New Roman;Times;serif"/>
                <w:b w:val="false"/>
                <w:i w:val="false"/>
                <w:caps w:val="false"/>
                <w:smallCaps w:val="false"/>
                <w:sz w:val="24"/>
              </w:rPr>
              <w:t>, the sale of a security that the seller does not own) are prohibited.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Publicly-Traded Options.</w:t>
            </w:r>
            <w:r>
              <w:rPr>
                <w:caps w:val="false"/>
                <w:smallCaps w:val="false"/>
              </w:rPr>
              <w:t xml:space="preserve"> </w:t>
            </w:r>
            <w:r>
              <w:rPr>
                <w:rFonts w:ascii="Times New Roman;Times;serif" w:hAnsi="Times New Roman;Times;serif"/>
                <w:b w:val="false"/>
                <w:i w:val="false"/>
                <w:caps w:val="false"/>
                <w:smallCaps w:val="false"/>
                <w:sz w:val="24"/>
              </w:rPr>
              <w:t>Transactions in put options, call options or other derivative securities, on an exchange or in any other organized market, are prohibited by this Policy.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Hedging Transactions.</w:t>
            </w:r>
            <w:r>
              <w:rPr>
                <w:caps w:val="false"/>
                <w:smallCaps w:val="false"/>
              </w:rPr>
              <w:t xml:space="preserve"> </w:t>
            </w:r>
            <w:r>
              <w:rPr>
                <w:rFonts w:ascii="Times New Roman;Times;serif" w:hAnsi="Times New Roman;Times;serif"/>
                <w:b w:val="false"/>
                <w:i w:val="false"/>
                <w:caps w:val="false"/>
                <w:smallCaps w:val="false"/>
                <w:sz w:val="24"/>
              </w:rPr>
              <w:t>Hedging or monetization transactions, including through the use of financial instruments such as prepaid variable forward contracts, equity swaps, collars and exchange funds are prohibited.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Standing and Limit Orders.</w:t>
            </w:r>
            <w:r>
              <w:rPr>
                <w:caps w:val="false"/>
                <w:smallCaps w:val="false"/>
              </w:rPr>
              <w:t xml:space="preserve"> </w:t>
            </w:r>
            <w:r>
              <w:rPr>
                <w:rFonts w:ascii="Times New Roman;Times;serif" w:hAnsi="Times New Roman;Times;serif"/>
                <w:b w:val="false"/>
                <w:i w:val="false"/>
                <w:caps w:val="false"/>
                <w:smallCaps w:val="false"/>
                <w:sz w:val="24"/>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ATN securities. If a person subject to this Policy determines that they must use a standing order or limit order, the order should be limited to short duration and should otherwise comply with the restrictions and procedures outlined below in Section 3.3.</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transactions prohibited above, including among others short sales and hedging transactions, may not be carried out through a Trading Plan or other arrangement or trading instruction involving potential sales or purchases of the Company’s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2.4</w:t>
      </w:r>
      <w:r>
        <w:rPr>
          <w:rFonts w:ascii="Times New Roman;Times;serif" w:hAnsi="Times New Roman;Times;serif"/>
          <w:sz w:val="24"/>
          <w:u w:val="single"/>
        </w:rPr>
        <w:t>Margin Accounts and Pledges</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should exercise caution in holding ATN securities in a margin account or pledging Company securities as collateral for a loan.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10034" w:type="dxa"/>
            <w:tcBorders/>
            <w:vAlign w:val="center"/>
          </w:tcPr>
          <w:p>
            <w:pPr>
              <w:pStyle w:val="TableContents"/>
              <w:bidi w:val="0"/>
              <w:spacing w:before="0" w:after="283"/>
              <w:jc w:val="left"/>
              <w:rPr>
                <w:rFonts w:ascii="Times New Roman;Times;serif" w:hAnsi="Times New Roman;Times;serif"/>
                <w:b/>
                <w:i w:val="false"/>
                <w:caps/>
                <w:sz w:val="24"/>
              </w:rPr>
            </w:pPr>
            <w:r>
              <w:rPr>
                <w:rFonts w:ascii="Times New Roman;Times;serif" w:hAnsi="Times New Roman;Times;serif"/>
                <w:b/>
                <w:i w:val="false"/>
                <w:caps/>
                <w:sz w:val="24"/>
              </w:rPr>
              <w:t>ADDItional prohibitions applIcable to directors, executive officers and designated employees of ATn and its Subsidiaries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3.1</w:t>
      </w:r>
      <w:r>
        <w:rPr>
          <w:rFonts w:ascii="Times New Roman;Times;serif" w:hAnsi="Times New Roman;Times;serif"/>
          <w:sz w:val="24"/>
          <w:u w:val="single"/>
        </w:rPr>
        <w:t>Restricted Persons</w:t>
      </w:r>
      <w:r>
        <w:rPr>
          <w:rFonts w:ascii="Times New Roman;Times;serif" w:hAnsi="Times New Roman;Times;serif"/>
          <w:sz w:val="24"/>
        </w:rPr>
        <w:t>. The prohibitions and requirements set forth in Section 3 below apply to (each, a “Restricted Person”):</w:t>
      </w:r>
    </w:p>
    <w:p>
      <w:pPr>
        <w:pStyle w:val="TextBody"/>
        <w:bidi w:val="0"/>
        <w:spacing w:before="0" w:after="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23"/>
        <w:gridCol w:w="170"/>
        <w:gridCol w:w="8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employees of ATN and its subsidiaries working at the headquarters office of ATN;</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Directors of ATN and its subsidiaries;</w:t>
            </w:r>
          </w:p>
        </w:tc>
      </w:tr>
    </w:tbl>
    <w:tbl>
      <w:tblPr>
        <w:tblW w:w="3918" w:type="dxa"/>
        <w:jc w:val="left"/>
        <w:tblInd w:w="0" w:type="dxa"/>
        <w:tblLayout w:type="fixed"/>
        <w:tblCellMar>
          <w:top w:w="0" w:type="dxa"/>
          <w:left w:w="0" w:type="dxa"/>
          <w:bottom w:w="0" w:type="dxa"/>
          <w:right w:w="0" w:type="dxa"/>
        </w:tblCellMar>
      </w:tblPr>
      <w:tblGrid>
        <w:gridCol w:w="23"/>
        <w:gridCol w:w="170"/>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officers of ATN and its subsidiaries;</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accounting staff and managers of ATN and its subsidiaries;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such other employees as are designated from time to time by the Board of Directors, the Chief Executive Officer, the Chief Financial Officer or the General Counsel as being subject to this Section 3;</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all family members of a Restricted Person who share the same address as, or are financially dependent on the Restricted Person and any other person who shares the same address as the Restricted Person (other than (</w:t>
            </w:r>
            <w:r>
              <w:rPr>
                <w:rFonts w:ascii="Times New Roman;Times;serif" w:hAnsi="Times New Roman;Times;serif"/>
                <w:b w:val="false"/>
                <w:i/>
                <w:sz w:val="24"/>
              </w:rPr>
              <w:t>x</w:t>
            </w:r>
            <w:r>
              <w:rPr>
                <w:rFonts w:ascii="Times New Roman;Times;serif" w:hAnsi="Times New Roman;Times;serif"/>
                <w:b w:val="false"/>
                <w:i w:val="false"/>
                <w:caps w:val="false"/>
                <w:smallCaps w:val="false"/>
                <w:sz w:val="24"/>
              </w:rPr>
              <w:t>) an employee or tenant of the Restricted Person or (</w:t>
            </w:r>
            <w:r>
              <w:rPr>
                <w:rFonts w:ascii="Times New Roman;Times;serif" w:hAnsi="Times New Roman;Times;serif"/>
                <w:b w:val="false"/>
                <w:i/>
                <w:sz w:val="24"/>
              </w:rPr>
              <w:t>y</w:t>
            </w:r>
            <w:r>
              <w:rPr>
                <w:rFonts w:ascii="Times New Roman;Times;serif" w:hAnsi="Times New Roman;Times;serif"/>
                <w:b w:val="false"/>
                <w:i w:val="false"/>
                <w:caps w:val="false"/>
                <w:smallCaps w:val="false"/>
                <w:sz w:val="24"/>
              </w:rPr>
              <w:t>) another unrelated person who the General Counsel determines should not be covered by this policy); and</w:t>
            </w:r>
          </w:p>
        </w:tc>
      </w:tr>
    </w:tbl>
    <w:tbl>
      <w:tblPr>
        <w:tblW w:w="9798" w:type="dxa"/>
        <w:jc w:val="left"/>
        <w:tblInd w:w="0" w:type="dxa"/>
        <w:tblLayout w:type="fixed"/>
        <w:tblCellMar>
          <w:top w:w="0" w:type="dxa"/>
          <w:left w:w="0" w:type="dxa"/>
          <w:bottom w:w="0" w:type="dxa"/>
          <w:right w:w="0" w:type="dxa"/>
        </w:tblCellMar>
      </w:tblPr>
      <w:tblGrid>
        <w:gridCol w:w="23"/>
        <w:gridCol w:w="170"/>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corporations, partnerships, trusts or other entities owned or controlled by any of the above persons.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Blackout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Regular Blackout Periods</w:t>
      </w:r>
      <w:r>
        <w:rPr>
          <w:rFonts w:ascii="Times New Roman;Times;serif" w:hAnsi="Times New Roman;Times;serif"/>
          <w:sz w:val="24"/>
        </w:rPr>
        <w:t>. Except as provided in Section 4, no Restricted Person may purchase, sell or pledge any ATN securities during the following time periods (each, a “regular blackout period”):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beginning on the fifteenth day of the final month of each fiscal quarter and ending upon the completion of the second full trading day after the public announcement of earnings for such quarter;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beginning at the time of any public earnings-related announcement or public announcement of a significant corporate transaction or event and ending upon the completion of the second full trading day after such announcement.</w:t>
            </w:r>
          </w:p>
        </w:tc>
      </w:tr>
    </w:tbl>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Special Blackout Period.</w:t>
      </w:r>
      <w:r>
        <w:rPr>
          <w:rFonts w:ascii="Times New Roman;Times;serif" w:hAnsi="Times New Roman;Times;serif"/>
          <w:sz w:val="20"/>
        </w:rPr>
        <w:t xml:space="preserve"> </w:t>
      </w:r>
      <w:r>
        <w:rPr>
          <w:rFonts w:ascii="Times New Roman;Times;serif" w:hAnsi="Times New Roman;Times;serif"/>
          <w:sz w:val="24"/>
        </w:rPr>
        <w:t>Except as provided in Section 4, no Restricted Person may purchase, sell or pledge any ATN securities during such period (each a “special blackout period”) as may be established from time to time by the Board of Directors, the Chief Executive Officer, the Chief Financial Officer or the General Counsel in light of particular events or developments affecting the Company. In that situation, the applicable Company representative may notify these persons that they should not trade in ATN securities, without disclosing the reason for the restriction. The existence of a special blackout period may not be announced to the Company as a whole, and in addition, no Restricted Person shall inform any person who is not also a Restricted Person that a special blackout period has been imposed in accordance with this Section 3.2(b).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3.3</w:t>
      </w:r>
      <w:r>
        <w:rPr>
          <w:rFonts w:ascii="Times New Roman;Times;serif" w:hAnsi="Times New Roman;Times;serif"/>
          <w:sz w:val="24"/>
          <w:u w:val="single"/>
        </w:rPr>
        <w:t>Notice of and Pre-clearance for Securities Transactions</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Pre-Transaction Clearance</w:t>
      </w:r>
      <w:r>
        <w:rPr>
          <w:rFonts w:ascii="Times New Roman;Times;serif" w:hAnsi="Times New Roman;Times;serif"/>
          <w:sz w:val="24"/>
        </w:rPr>
        <w:t>. No Restricted Person may purchase, sell, pledge, gift or otherwise acquire or dispose of ATN securities or options with respect thereto, other than in a transaction permitted under Section 4, unless such person pre-clears the transaction with either the Chief Financial Officer or the General Counsel. A request for pre-clearance shall be made in accordance with the procedures established by the General Counsel. Either the Chief Financial Officer or the General Counsel shall have sole discretion to decide whether or not to clear any requested transaction. The General Counsel shall have sole discretion to decide whether or not to clear transactions by the Chief Financial Officer or persons or entities subject to this policy as a result of their relationship with the Chief Financial Officer, and the Chief Financial Officer shall have sole discretion to decide whether or not to clear transactions by the General Counsel or persons or entities subject to this policy as a result of their relationship with the General Counsel. All transactions that are pre-cleared must be effected within five business days of receipt of the pre-clearance unless a specific exception has been granted by the General Counsel or the Chief Financial Officer, as applicable. A pre-cleared transaction (or any portion of a pre-cleared transaction) that has not been effected during the five business day period must be pre-cleared again prior to execution. Notwithstanding receipt of pre-clearance, if the Restricted Person becomes aware of material nonpublic information or becomes subject to a blackout period before the transaction is effected, the transaction may not be completed without again being pre-cleared by either the Chief Financial Officer or General Counsel. When a request for pre-clearance is made, the requestor should carefully consider whether he or she may be aware of any material nonpublic information about the Company, and should describe fully those circumstances to the Chief Financial Officer or the General Counsel. Any executive officer or director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Post-Transaction Notice</w:t>
      </w:r>
      <w:r>
        <w:rPr>
          <w:rFonts w:ascii="Times New Roman;Times;serif" w:hAnsi="Times New Roman;Times;serif"/>
          <w:sz w:val="24"/>
        </w:rPr>
        <w:t>. Each Restricted Person (including specifically, but without limitation, those who are subject to reporting obligations under Section 16 of the Exchange Act) shall also notify the Chief Financial Officer or the General Counsel (or his or her designee) of the occurrence of any purchase, sale, pledge, gift or other acquisition or disposition of ATN securities as soon as possible following the transaction, but in any event within one business day after the transaction. Such notification may be oral or in writing (including by email) and should include the identity of the Restricted Person, the type of transaction, the date of the transaction, the number of shares involved and the purchase or sale price.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Deemed Time of a Transaction</w:t>
      </w:r>
      <w:r>
        <w:rPr>
          <w:rFonts w:ascii="Times New Roman;Times;serif" w:hAnsi="Times New Roman;Times;serif"/>
          <w:sz w:val="24"/>
        </w:rPr>
        <w:t>. For purposes of this Section 3.3, a purchase, sale, pledge, gift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0"/>
        <w:ind w:left="0" w:right="0" w:hanging="0"/>
        <w:jc w:val="left"/>
        <w:rPr/>
      </w:pPr>
      <w:r>
        <w:rPr/>
        <w:t>​</w:t>
      </w:r>
    </w:p>
    <w:tbl>
      <w:tblPr>
        <w:tblW w:w="1810" w:type="dxa"/>
        <w:jc w:val="left"/>
        <w:tblInd w:w="0" w:type="dxa"/>
        <w:tblLayout w:type="fixed"/>
        <w:tblCellMar>
          <w:top w:w="0" w:type="dxa"/>
          <w:left w:w="0" w:type="dxa"/>
          <w:bottom w:w="0" w:type="dxa"/>
          <w:right w:w="0" w:type="dxa"/>
        </w:tblCellMar>
      </w:tblPr>
      <w:tblGrid>
        <w:gridCol w:w="200"/>
        <w:gridCol w:w="1610"/>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4.</w:t>
            </w:r>
          </w:p>
        </w:tc>
        <w:tc>
          <w:tcPr>
            <w:tcW w:w="1610"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EXCEPTIONS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The prohibitions in Sections 2.2(a) and 3.2 on purchases, sales and pledges of Company securities do not apply to the following transactions: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exercises of stock options or rights under other equity plans or the surrender of shares to the Company in payment of the exercise price or in satisfaction of any tax withholding obligations, in each case in a manner permitted by the applicable stock option or equity award agreement;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that the securities so acquired may not be sold (either outright or in connection with a “cashless” exercise transaction through a broker) while the employee or Director is aware of material nonpublic information or, in the case of a Restricted Person subject to Section 3, during a regular or special blackout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vesting of restricted stock or restricted stock units, or the exercise of a tax withholding right pursuant to which you elect to have the Company withhold shares of stock to satisfy tax withholding requirements upon the vesting of any restricted stock or restricted stock units;</w:t>
            </w:r>
          </w:p>
        </w:tc>
      </w:tr>
    </w:tbl>
    <w:tbl>
      <w:tblPr>
        <w:tblW w:w="9333" w:type="dxa"/>
        <w:jc w:val="left"/>
        <w:tblInd w:w="0" w:type="dxa"/>
        <w:tblLayout w:type="fixed"/>
        <w:tblCellMar>
          <w:top w:w="0" w:type="dxa"/>
          <w:left w:w="0" w:type="dxa"/>
          <w:bottom w:w="0" w:type="dxa"/>
          <w:right w:w="0" w:type="dxa"/>
        </w:tblCellMar>
      </w:tblPr>
      <w:tblGrid>
        <w:gridCol w:w="23"/>
        <w:gridCol w:w="17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other purchases of securities from the Company or sales or pledges of securities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purchases or sales of Company securities made pursuant to a binding contract, written plan or specific instruction (a “trading plan”) that is adopted and operated in compliance with Rule 10b5-1; </w:t>
            </w:r>
            <w:r>
              <w:rPr>
                <w:rFonts w:ascii="Times New Roman;Times;serif" w:hAnsi="Times New Roman;Times;serif"/>
                <w:b w:val="false"/>
                <w:i w:val="false"/>
                <w:caps w:val="false"/>
                <w:smallCaps w:val="false"/>
                <w:sz w:val="24"/>
                <w:u w:val="single"/>
              </w:rPr>
              <w:t>provided</w:t>
            </w:r>
            <w:r>
              <w:rPr>
                <w:caps w:val="false"/>
                <w:smallCaps w:val="false"/>
              </w:rPr>
              <w:t xml:space="preserve"> </w:t>
            </w:r>
            <w:r>
              <w:rPr>
                <w:rFonts w:ascii="Times New Roman;Times;serif" w:hAnsi="Times New Roman;Times;serif"/>
                <w:b w:val="false"/>
                <w:i w:val="false"/>
                <w:caps w:val="false"/>
                <w:smallCaps w:val="false"/>
                <w:sz w:val="24"/>
              </w:rPr>
              <w:t>such trading plan meets the conditions as set forth in Section 5 below.</w:t>
            </w:r>
          </w:p>
        </w:tc>
      </w:tr>
    </w:tbl>
    <w:p>
      <w:pPr>
        <w:pStyle w:val="TextBody"/>
        <w:bidi w:val="0"/>
        <w:spacing w:before="0" w:after="0"/>
        <w:ind w:left="0" w:right="0" w:hanging="0"/>
        <w:jc w:val="left"/>
        <w:rPr/>
      </w:pPr>
      <w:r>
        <w:rPr/>
        <w:t>​</w:t>
      </w:r>
    </w:p>
    <w:tbl>
      <w:tblPr>
        <w:tblW w:w="3835" w:type="dxa"/>
        <w:jc w:val="left"/>
        <w:tblInd w:w="0" w:type="dxa"/>
        <w:tblLayout w:type="fixed"/>
        <w:tblCellMar>
          <w:top w:w="0" w:type="dxa"/>
          <w:left w:w="0" w:type="dxa"/>
          <w:bottom w:w="0" w:type="dxa"/>
          <w:right w:w="0" w:type="dxa"/>
        </w:tblCellMar>
      </w:tblPr>
      <w:tblGrid>
        <w:gridCol w:w="200"/>
        <w:gridCol w:w="3635"/>
      </w:tblGrid>
      <w:tr>
        <w:trPr/>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5.</w:t>
            </w:r>
          </w:p>
        </w:tc>
        <w:tc>
          <w:tcPr>
            <w:tcW w:w="3635" w:type="dxa"/>
            <w:tcBorders/>
            <w:vAlign w:val="center"/>
          </w:tcPr>
          <w:p>
            <w:pPr>
              <w:pStyle w:val="TableContents"/>
              <w:bidi w:val="0"/>
              <w:spacing w:before="0" w:after="240"/>
              <w:jc w:val="left"/>
              <w:rPr>
                <w:rFonts w:ascii="Times New Roman;Times;serif" w:hAnsi="Times New Roman;Times;serif"/>
                <w:b/>
                <w:caps/>
                <w:sz w:val="24"/>
              </w:rPr>
            </w:pPr>
            <w:r>
              <w:rPr>
                <w:rFonts w:ascii="Times New Roman;Times;serif" w:hAnsi="Times New Roman;Times;serif"/>
                <w:b/>
                <w:caps/>
                <w:sz w:val="24"/>
              </w:rPr>
              <w:t>RULE 10B5-1 TRADING PLANS.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Background</w:t>
      </w:r>
      <w:r>
        <w:rPr>
          <w:rFonts w:ascii="Times New Roman;Times;serif" w:hAnsi="Times New Roman;Times;serif"/>
          <w:sz w:val="24"/>
        </w:rPr>
        <w:t>. Rule 10b5-1 is intended to protect Covered Persons from insider trading liability under Rule 10b5-1 for transactions under a previously established contract, plan or instruction to trade in the Company’s stock (a “</w:t>
      </w:r>
      <w:r>
        <w:rPr>
          <w:rFonts w:ascii="Times New Roman;Times;serif" w:hAnsi="Times New Roman;Times;serif"/>
          <w:b/>
          <w:i/>
          <w:sz w:val="24"/>
        </w:rPr>
        <w:t>Trading Plan</w:t>
      </w:r>
      <w:r>
        <w:rPr>
          <w:rFonts w:ascii="Times New Roman;Times;serif" w:hAnsi="Times New Roman;Times;serif"/>
          <w:sz w:val="20"/>
        </w:rPr>
        <w:t>”</w:t>
      </w:r>
      <w:r>
        <w:rPr>
          <w:rFonts w:ascii="Times New Roman;Times;serif" w:hAnsi="Times New Roman;Times;serif"/>
          <w:sz w:val="24"/>
        </w:rPr>
        <w:t>) entered into in good faith and in accordance with the terms of Rule 10b5-1 and all applicable state laws.  The initiation of, and any modification to, any such Trading Plan will be deemed to be a transaction in the Company’s securities, and such initiation or modification is subject to all limitations and prohibitions relating to transactions in the Company’s securities, including the cooling-off period discussed below.  Each such Trading Plan, and any modification thereof, must be submitted to and pre-approved by the Company’s General Counsel, or, in the case of exceptions for the General Counsel, by the Company's Chief Executive Officer, or Chief Financial Officer (as applicable, an “</w:t>
      </w:r>
      <w:r>
        <w:rPr>
          <w:rFonts w:ascii="Times New Roman;Times;serif" w:hAnsi="Times New Roman;Times;serif"/>
          <w:b/>
          <w:i/>
          <w:sz w:val="24"/>
        </w:rPr>
        <w:t>Authorizing Officer</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Although non-discretionary Trading Plans are preferred, discretionary Trading Plans, where the discretion or control over trading is transferred to a broker, are permitted if pre-approved by the Authorizing Officer. The Authorizing Officer of the Company must pre-approve any Trading Plan, arrangement or trading instructions, etc., involving potential sales or purchases of the Company’s stock or option exercises, including but not limited to, blind trusts, or discretionary accounts with banks or brokers.  The actual transactions effected pursuant to a pre-approved Trading Plan will not be subject to further pre-clearance for transactions in the Company’s stock once the Trading Plan or other arrangement has been pre-approved.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Authorizing Officer may impose such conditions on the implementation and operation of the Trading Plan as the Authorizing Officer deems necessary or advisable. For example,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Authorizing Officer may prescribe certain forms of Trading Plans to which employees’ Trading Plans must conform.  However, compliance of the Trading Plan to the terms of Rule 10b5-1 and the execution of transactions pursuant to the Trading Plan are the sole responsibility of the person initiating the Trading Plan, not the Company or the Authorizing Officer.</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Trading Plans do not exempt individuals from complying with Section 16 short-swing profit rules or liability</w:t>
      </w:r>
      <w:r>
        <w:rPr>
          <w:rFonts w:ascii="Times New Roman;Times;serif" w:hAnsi="Times New Roman;Times;serif"/>
          <w:sz w:val="24"/>
        </w:rPr>
        <w:t>.  A Covered Person may enter into or modify a Trading Plan only when he or she is not in possession of material non-public information, and only during a Trading Window.  </w:t>
      </w:r>
      <w:r>
        <w:rPr>
          <w:rFonts w:ascii="Times New Roman;Times;serif" w:hAnsi="Times New Roman;Times;serif"/>
          <w:b/>
          <w:sz w:val="24"/>
        </w:rPr>
        <w:t>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Company reserves the right from time to time to suspend, discontinue or otherwise prohibit any transaction in the Company’s securities, even pursuant to a previously approved Trading Plan, if an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Policy and result in a loss of the exemption set forth 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Covered Persons may adopt Trading Plans that outline a pre-set plan for trading of the Company’s stock, including the exercise of options. Trades pursuant to a Trading Plan generally may occur at any time, subject to the mandatory cooling off periods and other requirements set forth in this Policy.</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Plan Prerequisites</w:t>
      </w:r>
      <w:r>
        <w:rPr>
          <w:rFonts w:ascii="Times New Roman;Times;serif" w:hAnsi="Times New Roman;Times;serif"/>
          <w:sz w:val="24"/>
        </w:rPr>
        <w:t>. Pursuant to Rule 10b5-1, an individual’s purchase or sale of securities will not be “on the basis of” material non-public information if: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Before becoming aware of the information, the individual enters into a binding contract to purchase or sell the securities, provides instructions to another person to sell the securities or adopts a written plan for trading the securities (i.e., the Trading Plan);</w:t>
      </w:r>
    </w:p>
    <w:p>
      <w:pPr>
        <w:pStyle w:val="TextBody"/>
        <w:bidi w:val="0"/>
        <w:spacing w:before="0" w:after="0"/>
        <w:ind w:left="144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Trading Plan must either (i) specify the amount of securities to be purchased or sold, the price at which the securities are to be purchased or sold and the date on which the securities are to be purchased or sold; or (ii) include a written formula or computer program for determining the amount, price and date of the transactions;</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Except with respect to modifications or amendments as described below, the Trading Plan must prohibit the individual from exercising any subsequent influence over the purchase or sale of the Company’s stock under the Trading Plan in question; and</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purchase or sale must occur pursuant to the Trading Plan and the individual must not enter into a corresponding hedging transaction or alter or deviate from the Trading Plan.</w:t>
      </w:r>
    </w:p>
    <w:p>
      <w:pPr>
        <w:pStyle w:val="TextBody"/>
        <w:bidi w:val="0"/>
        <w:spacing w:before="0" w:after="0"/>
        <w:ind w:left="144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Cooling-Off Periods.</w:t>
      </w:r>
      <w:r>
        <w:rPr>
          <w:rFonts w:ascii="Times New Roman;Times;serif" w:hAnsi="Times New Roman;Times;serif"/>
          <w:sz w:val="20"/>
        </w:rPr>
        <w:t xml:space="preserve">  </w:t>
      </w:r>
      <w:r>
        <w:rPr>
          <w:rFonts w:ascii="Times New Roman;Times;serif" w:hAnsi="Times New Roman;Times;serif"/>
          <w:sz w:val="24"/>
        </w:rPr>
        <w:t>SEC rules require a minimum “cooling-off” period of 30 days between the establishment of modification of a Trading Plan by a Covered Person and commencement of any transactions under such plan.  Amendments or modifications will trigger a new cooling-off period if the modification changes the amount, price or timing of trades, including a change to a formula that affects these inputs. Amendments or modifications do not trigger a new cooling-off period if they are immaterial or administrative, such as an adjustment for stock splits or a change in account information. The Company is not subject to a minimum cooling-off period under SEC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Directors and executive officers must use a cooling-off period that expires 90 days after adoption or modification of a plan or, if later, two Trading Days after filing the Form 10-Q or Form 10-K covering the fiscal quarter in which the plan was adopted. In any case, this cooling-off period is subject to a maximum of 120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Employees and any other Covered Person other than a director or executive officer must use a cooling-off period of at least 30 days after adoption or modification of a plan. Furthermore, as set forth in Section 5.5 below, this Policy also requires an additional 30 day cooling off period after revocation or termination of a Trading Plan before commencement of any transaction in Company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Company is not required to use a cooling-off period when trading in its own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5.5</w:t>
      </w:r>
      <w:r>
        <w:rPr>
          <w:rFonts w:ascii="Times New Roman;Times;serif" w:hAnsi="Times New Roman;Times;serif"/>
          <w:sz w:val="24"/>
          <w:u w:val="single"/>
        </w:rPr>
        <w:t>Overlapping Plans and “Single Trade” Plans</w:t>
      </w:r>
      <w:r>
        <w:rPr>
          <w:rFonts w:ascii="Times New Roman;Times;serif" w:hAnsi="Times New Roman;Times;serif"/>
          <w:sz w:val="24"/>
        </w:rPr>
        <w:t>.  SEC rules permit Covered Persons to have only one trading plan at a time, rather than multiple overlapping plans, subject to a few very limited exceptions that require approval of an Authorizing Officer. The Company is not subject to this limitation and may adopt multiple overlapping trading plans.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SEC rules also limit “single-trade plans”. Single-trade plans are Trading Plans that are designed to effect a trade in a single transaction, meaning that the plan has the practical effect of requiring such a result. Single-trade plans do not include plans that use several different stock price triggers or that give trading discretion to a broker, even if they happen to execute in one single trade. Except for sell-to-cover arrangements, SEC rules permit only one single-trade plan during any consecutive 12-month period.</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5.6</w:t>
      </w:r>
      <w:r>
        <w:rPr>
          <w:rFonts w:ascii="Times New Roman;Times;serif" w:hAnsi="Times New Roman;Times;serif"/>
          <w:sz w:val="24"/>
          <w:u w:val="single"/>
        </w:rPr>
        <w:t>Revocations, Terminations, Amendments and Modifications to Trading Plans</w:t>
      </w:r>
      <w:r>
        <w:rPr>
          <w:rFonts w:ascii="Times New Roman;Times;serif" w:hAnsi="Times New Roman;Times;serif"/>
          <w:sz w:val="24"/>
        </w:rPr>
        <w:t>. Revocations or terminations of Trading Plans should occur only in unusual circumstances.  Effectiveness of any revocation or amendment of a Trading Plan will be subject to the prior review and approval of the Authorizing Officer.  Subject to approval from the Authorizing Officer, revocation is effective upon written notice to the broker.  </w:t>
      </w:r>
      <w:r>
        <w:rPr>
          <w:rFonts w:ascii="Times New Roman;Times;serif" w:hAnsi="Times New Roman;Times;serif"/>
          <w:b/>
          <w:sz w:val="24"/>
        </w:rPr>
        <w:t>Once a Trading Plan has been revoked, the participant must wait at least 30 days before trading outside of a Trading Plan. In addition, if a participant has adopted an approved successor or “back-to-back” Trading Plan and the predecessor Trading Plan is terminated early, trading under the successor Trading Plan cannot commence until the applicable cooling-off period has run from the date of termination of the predecessor Trading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A person acting in good faith may amend or modify a prior Trading Plan so long as such amendments are made during a Trading Window and at a time when the Trading Plan participant does not possess material non-public information.  </w:t>
      </w:r>
      <w:r>
        <w:rPr>
          <w:rFonts w:ascii="Times New Roman;Times;serif" w:hAnsi="Times New Roman;Times;serif"/>
          <w:b/>
          <w:sz w:val="24"/>
        </w:rPr>
        <w:t>Plan amendments or modifications are subject to the minimum cooling-off periods and other requirements set forth in this Policy as detailed above.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 xml:space="preserve">Under certain circumstances, a Trading Plan </w:t>
      </w:r>
      <w:r>
        <w:rPr>
          <w:rFonts w:ascii="Times New Roman;Times;serif" w:hAnsi="Times New Roman;Times;serif"/>
          <w:i/>
          <w:sz w:val="24"/>
        </w:rPr>
        <w:t>must</w:t>
      </w:r>
      <w:r>
        <w:rPr>
          <w:rFonts w:ascii="Times New Roman;Times;serif" w:hAnsi="Times New Roman;Times;serif"/>
          <w:sz w:val="20"/>
        </w:rPr>
        <w:t xml:space="preserve"> </w:t>
      </w:r>
      <w:r>
        <w:rPr>
          <w:rFonts w:ascii="Times New Roman;Times;serif" w:hAnsi="Times New Roman;Times;serif"/>
          <w:sz w:val="24"/>
        </w:rPr>
        <w:t>be revoked.  This includes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5.7</w:t>
      </w:r>
      <w:r>
        <w:rPr>
          <w:rFonts w:ascii="Times New Roman;Times;serif" w:hAnsi="Times New Roman;Times;serif"/>
          <w:sz w:val="24"/>
          <w:u w:val="single"/>
        </w:rPr>
        <w:t>Reporting</w:t>
      </w:r>
      <w:r>
        <w:rPr>
          <w:rFonts w:ascii="Times New Roman;Times;serif" w:hAnsi="Times New Roman;Times;serif"/>
          <w:sz w:val="24"/>
        </w:rPr>
        <w:t>. 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Forms 3, 4 and 5 for Section 16 reporting persons, the Company will include a similar footnote. As per the Company’s Insider Trading Policy, all information with respect to trades should be reported to the Company’s General Counsel to prepare any Forms 4 or 5 for prompt filing in accordance with the SEC’s timelines.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5.8</w:t>
      </w:r>
      <w:r>
        <w:rPr>
          <w:rFonts w:ascii="Times New Roman;Times;serif" w:hAnsi="Times New Roman;Times;serif"/>
          <w:sz w:val="24"/>
          <w:u w:val="single"/>
        </w:rPr>
        <w:t>Options</w:t>
      </w:r>
      <w:r>
        <w:rPr>
          <w:rFonts w:ascii="Times New Roman;Times;serif" w:hAnsi="Times New Roman;Times;serif"/>
          <w:sz w:val="24"/>
        </w:rPr>
        <w:t>.  Exercises of options for cash may be executed at any time in accordance with the terms and conditions pursuant to such option grant.  Cashless exercise option exercises conducted by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pStyle w:val="TextBody"/>
        <w:bidi w:val="0"/>
        <w:spacing w:before="0" w:after="0"/>
        <w:ind w:left="720" w:right="0" w:hanging="0"/>
        <w:jc w:val="left"/>
        <w:rPr/>
      </w:pPr>
      <w:r>
        <w:rPr/>
        <w:t>​</w:t>
      </w:r>
    </w:p>
    <w:tbl>
      <w:tblPr>
        <w:tblW w:w="3655" w:type="dxa"/>
        <w:jc w:val="left"/>
        <w:tblInd w:w="0" w:type="dxa"/>
        <w:tblLayout w:type="fixed"/>
        <w:tblCellMar>
          <w:top w:w="0" w:type="dxa"/>
          <w:left w:w="0" w:type="dxa"/>
          <w:bottom w:w="0" w:type="dxa"/>
          <w:right w:w="0" w:type="dxa"/>
        </w:tblCellMar>
      </w:tblPr>
      <w:tblGrid>
        <w:gridCol w:w="200"/>
        <w:gridCol w:w="3455"/>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6.</w:t>
            </w:r>
          </w:p>
        </w:tc>
        <w:tc>
          <w:tcPr>
            <w:tcW w:w="3455"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penalties for VIOLATION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Violation of any of the foregoing rules is grounds for disciplinary action by the Company, including termination of employment.</w:t>
      </w:r>
    </w:p>
    <w:p>
      <w:pPr>
        <w:pStyle w:val="TextBody"/>
        <w:bidi w:val="0"/>
        <w:spacing w:before="0" w:after="0"/>
        <w:ind w:left="0" w:right="0" w:firstLine="720"/>
        <w:jc w:val="left"/>
        <w:rPr/>
      </w:pPr>
      <w:r>
        <w:rPr/>
        <w:t>​</w:t>
      </w:r>
    </w:p>
    <w:tbl>
      <w:tblPr>
        <w:tblW w:w="5260" w:type="dxa"/>
        <w:jc w:val="left"/>
        <w:tblInd w:w="0" w:type="dxa"/>
        <w:tblLayout w:type="fixed"/>
        <w:tblCellMar>
          <w:top w:w="0" w:type="dxa"/>
          <w:left w:w="0" w:type="dxa"/>
          <w:bottom w:w="0" w:type="dxa"/>
          <w:right w:w="0" w:type="dxa"/>
        </w:tblCellMar>
      </w:tblPr>
      <w:tblGrid>
        <w:gridCol w:w="200"/>
        <w:gridCol w:w="5060"/>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7.</w:t>
            </w:r>
          </w:p>
        </w:tc>
        <w:tc>
          <w:tcPr>
            <w:tcW w:w="5060"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company assistance and EDUCATION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Education</w:t>
      </w:r>
      <w:r>
        <w:rPr>
          <w:rFonts w:ascii="Times New Roman;Times;serif" w:hAnsi="Times New Roman;Times;serif"/>
          <w:sz w:val="24"/>
        </w:rPr>
        <w:t>. The Company shall take reasonable steps designed to ensure that all Directors and employees of the Company are educated about, and periodically reminded of, the federal securities law restrictions and Company policies regarding insider trading. Directors and employees shall be required to certify their understanding of, and intent to comply with, the Company’s insider trading policy.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7.2</w:t>
      </w:r>
      <w:r>
        <w:rPr>
          <w:rFonts w:ascii="Times New Roman;Times;serif" w:hAnsi="Times New Roman;Times;serif"/>
          <w:sz w:val="24"/>
          <w:u w:val="single"/>
        </w:rPr>
        <w:t>Assistance.</w:t>
      </w:r>
      <w:r>
        <w:rPr>
          <w:rFonts w:ascii="Times New Roman;Times;serif" w:hAnsi="Times New Roman;Times;serif"/>
          <w:sz w:val="20"/>
        </w:rPr>
        <w:t xml:space="preserve"> </w:t>
      </w:r>
      <w:r>
        <w:rPr>
          <w:rFonts w:ascii="Times New Roman;Times;serif" w:hAnsi="Times New Roman;Times;serif"/>
          <w:sz w:val="24"/>
        </w:rPr>
        <w:t>The Company shall provide reasonable assistance to all Directors and executive officers, as requested by such Directors and executive officers, in connection with the filing of Forms 3, 4 and 5 under Section 16 of the Securities Exchange Act. However,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ultimate responsibility, and liability, for timely filing remains with the Directors and executive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7.3</w:t>
      </w:r>
      <w:r>
        <w:rPr>
          <w:rFonts w:ascii="Times New Roman;Times;serif" w:hAnsi="Times New Roman;Times;serif"/>
          <w:sz w:val="24"/>
          <w:u w:val="single"/>
        </w:rPr>
        <w:t>Limitation on Liability</w:t>
      </w:r>
      <w:r>
        <w:rPr>
          <w:rFonts w:ascii="Times New Roman;Times;serif" w:hAnsi="Times New Roman;Times;serif"/>
          <w:sz w:val="24"/>
        </w:rPr>
        <w:t>. None of the Company, the Chief Financial Officer, the General Counsel or the Company’s other employees will have any liability for any delay in reviewing, or refusal of a request for pre-clearance submitted pursuant to Section 3.3 or a trading plan submitted pursuant to Section 4. Notwithstanding any pre-clearance of a transaction pursuant to Section 3.3 or review of a trading plan pursuant to Section 4, none of the Company, the Chief Financial Officer, the General Counsel or the Company’s other employees assumes any liability for the legality or consequences of such transaction or trading plan to the person engaging in or adopting such transaction or trading plan.</w:t>
      </w:r>
    </w:p>
    <w:p>
      <w:pPr>
        <w:pStyle w:val="TextBody"/>
        <w:bidi w:val="0"/>
        <w:spacing w:before="0" w:after="0"/>
        <w:ind w:left="0" w:right="0" w:hanging="0"/>
        <w:jc w:val="left"/>
        <w:rPr/>
      </w:pPr>
      <w:r>
        <w:rPr/>
        <w:t>​</w:t>
      </w:r>
    </w:p>
    <w:tbl>
      <w:tblPr>
        <w:tblW w:w="2935" w:type="dxa"/>
        <w:jc w:val="left"/>
        <w:tblInd w:w="0" w:type="dxa"/>
        <w:tblLayout w:type="fixed"/>
        <w:tblCellMar>
          <w:top w:w="0" w:type="dxa"/>
          <w:left w:w="0" w:type="dxa"/>
          <w:bottom w:w="0" w:type="dxa"/>
          <w:right w:w="0" w:type="dxa"/>
        </w:tblCellMar>
      </w:tblPr>
      <w:tblGrid>
        <w:gridCol w:w="200"/>
        <w:gridCol w:w="2735"/>
      </w:tblGrid>
      <w:tr>
        <w:trPr/>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8.</w:t>
            </w:r>
          </w:p>
        </w:tc>
        <w:tc>
          <w:tcPr>
            <w:tcW w:w="2735" w:type="dxa"/>
            <w:tcBorders/>
            <w:vAlign w:val="center"/>
          </w:tcPr>
          <w:p>
            <w:pPr>
              <w:pStyle w:val="TableContents"/>
              <w:bidi w:val="0"/>
              <w:spacing w:before="0" w:after="0"/>
              <w:jc w:val="left"/>
              <w:rPr>
                <w:rFonts w:ascii="Times New Roman;Times;serif" w:hAnsi="Times New Roman;Times;serif"/>
                <w:b/>
                <w:caps/>
                <w:sz w:val="24"/>
              </w:rPr>
            </w:pPr>
            <w:r>
              <w:rPr>
                <w:rFonts w:ascii="Times New Roman;Times;serif" w:hAnsi="Times New Roman;Times;serif"/>
                <w:b/>
                <w:caps/>
                <w:sz w:val="24"/>
              </w:rPr>
              <w:t>Public Disclosures</w:t>
            </w:r>
          </w:p>
        </w:tc>
      </w:tr>
    </w:tbl>
    <w:p>
      <w:pPr>
        <w:pStyle w:val="TextBody"/>
        <w:bidi w:val="0"/>
        <w:spacing w:before="0" w:after="0"/>
        <w:ind w:left="144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Company will make public disclosures as required by applicable law. It may also make public announcements or respond to inquiries from the media regarding Trading Plans or transactions made under Trading Plans in accordance with the Company’s policies regarding the protection or authorized external disclosure of Company information, including the Company's Guidelines for Corporate Disclosure or similar policy.</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June 16, 2010</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September 27, 2011</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10, 2013</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5, 2017</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March 13, 2019</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4, 2019</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Revised: December 13, 2023</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856" w:name="atni-20241231xex21.htm"/>
      <w:bookmarkStart w:id="2857" w:name="ksatni20241231xex21"/>
      <w:bookmarkEnd w:id="2856"/>
      <w:bookmarkEnd w:id="2857"/>
      <w:r>
        <w:rPr>
          <w:rFonts w:ascii="Times New Roman;Times;serif" w:hAnsi="Times New Roman;Times;serif"/>
          <w:b/>
          <w:sz w:val="20"/>
        </w:rPr>
        <w:t>Exhibit 21</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ATN INTERNATIONAL, INC.</w:t>
      </w:r>
    </w:p>
    <w:tbl>
      <w:tblPr>
        <w:tblW w:w="10205" w:type="dxa"/>
        <w:jc w:val="center"/>
        <w:tblInd w:w="0" w:type="dxa"/>
        <w:tblLayout w:type="fixed"/>
        <w:tblCellMar>
          <w:top w:w="0" w:type="dxa"/>
          <w:left w:w="0" w:type="dxa"/>
          <w:bottom w:w="0" w:type="dxa"/>
          <w:right w:w="0" w:type="dxa"/>
        </w:tblCellMar>
      </w:tblPr>
      <w:tblGrid>
        <w:gridCol w:w="2887"/>
        <w:gridCol w:w="2291"/>
        <w:gridCol w:w="5027"/>
      </w:tblGrid>
      <w:tr>
        <w:trPr/>
        <w:tc>
          <w:tcPr>
            <w:tcW w:w="2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833245" cy="29210"/>
                      <wp:effectExtent l="0" t="0" r="0" b="0"/>
                      <wp:wrapNone/>
                      <wp:docPr id="647" name="Frame645"/>
                      <a:graphic xmlns:a="http://schemas.openxmlformats.org/drawingml/2006/main">
                        <a:graphicData uri="http://schemas.microsoft.com/office/word/2010/wordprocessingShape">
                          <wps:wsp>
                            <wps:cNvSpPr txBox="1"/>
                            <wps:spPr>
                              <a:xfrm>
                                <a:off x="0" y="0"/>
                                <a:ext cx="1833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1" w:type="dxa"/>
            <w:tcBorders/>
            <w:vAlign w:val="center"/>
          </w:tcPr>
          <w:p>
            <w:pPr>
              <w:pStyle w:val="TableContents"/>
              <w:bidi w:val="0"/>
              <w:spacing w:before="0" w:after="283"/>
              <w:ind w:left="0" w:right="0" w:hanging="0"/>
              <w:jc w:val="left"/>
              <w:rPr>
                <w:sz w:val="4"/>
                <w:szCs w:val="4"/>
              </w:rPr>
            </w:pPr>
            <w:r>
              <w:rPr>
                <w:sz w:val="4"/>
                <w:szCs w:val="4"/>
              </w:rPr>
            </w:r>
          </w:p>
        </w:tc>
        <w:tc>
          <w:tcPr>
            <w:tcW w:w="5027" w:type="dxa"/>
            <w:tcBorders/>
            <w:vAlign w:val="center"/>
          </w:tcPr>
          <w:p>
            <w:pPr>
              <w:pStyle w:val="TableContents"/>
              <w:bidi w:val="0"/>
              <w:spacing w:before="0" w:after="283"/>
              <w:ind w:left="0" w:right="0" w:hanging="0"/>
              <w:jc w:val="left"/>
              <w:rPr>
                <w:sz w:val="4"/>
                <w:szCs w:val="4"/>
              </w:rPr>
            </w:pPr>
            <w:r>
              <w:rPr>
                <w:sz w:val="4"/>
                <w:szCs w:val="4"/>
              </w:rPr>
            </w:r>
          </w:p>
        </w:tc>
      </w:tr>
      <w:tr>
        <w:trPr/>
        <w:tc>
          <w:tcPr>
            <w:tcW w:w="2887" w:type="dxa"/>
            <w:tcBorders/>
            <w:vAlign w:val="center"/>
          </w:tcPr>
          <w:p>
            <w:pPr>
              <w:pStyle w:val="TableContents"/>
              <w:bidi w:val="0"/>
              <w:spacing w:before="0" w:after="283"/>
              <w:ind w:left="0" w:right="0" w:hanging="0"/>
              <w:jc w:val="left"/>
              <w:rPr>
                <w:sz w:val="4"/>
                <w:szCs w:val="4"/>
              </w:rPr>
            </w:pPr>
            <w:r>
              <w:rPr>
                <w:sz w:val="4"/>
                <w:szCs w:val="4"/>
              </w:rPr>
            </w:r>
          </w:p>
        </w:tc>
        <w:tc>
          <w:tcPr>
            <w:tcW w:w="229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Jurisdiction of Incorporation</w:t>
            </w:r>
          </w:p>
        </w:tc>
        <w:tc>
          <w:tcPr>
            <w:tcW w:w="5027"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Other name(s) under which entity does business</w:t>
            </w:r>
          </w:p>
        </w:tc>
      </w:tr>
      <w:tr>
        <w:trPr/>
        <w:tc>
          <w:tcPr>
            <w:tcW w:w="288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Alloy, Inc. (1)</w:t>
            </w:r>
          </w:p>
        </w:tc>
        <w:tc>
          <w:tcPr>
            <w:tcW w:w="229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502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Commnet, Commnet Broadband Choice Wireless, Ethos, Sacred Wind,</w:t>
            </w:r>
          </w:p>
        </w:tc>
      </w:tr>
      <w:tr>
        <w:trPr/>
        <w:tc>
          <w:tcPr>
            <w:tcW w:w="288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ALSK Holdings, LLC. (5)</w:t>
            </w:r>
          </w:p>
        </w:tc>
        <w:tc>
          <w:tcPr>
            <w:tcW w:w="229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502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Alaska Communications</w:t>
            </w:r>
          </w:p>
        </w:tc>
      </w:tr>
      <w:tr>
        <w:trPr/>
        <w:tc>
          <w:tcPr>
            <w:tcW w:w="2887"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Atlantic Tele-Network, LLC (6)</w:t>
            </w:r>
          </w:p>
        </w:tc>
        <w:tc>
          <w:tcPr>
            <w:tcW w:w="2291"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5027"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ATN International, WeSolve</w:t>
            </w:r>
          </w:p>
        </w:tc>
      </w:tr>
      <w:tr>
        <w:trPr/>
        <w:tc>
          <w:tcPr>
            <w:tcW w:w="288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ATN Overseas Holdings, Ltd.</w:t>
            </w:r>
          </w:p>
        </w:tc>
        <w:tc>
          <w:tcPr>
            <w:tcW w:w="229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Bermuda</w:t>
            </w:r>
          </w:p>
        </w:tc>
        <w:tc>
          <w:tcPr>
            <w:tcW w:w="502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ATN Overseas Holdings, Ltd.</w:t>
            </w:r>
          </w:p>
        </w:tc>
      </w:tr>
      <w:tr>
        <w:trPr/>
        <w:tc>
          <w:tcPr>
            <w:tcW w:w="288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ATN VI, Inc.(4)</w:t>
            </w:r>
          </w:p>
        </w:tc>
        <w:tc>
          <w:tcPr>
            <w:tcW w:w="229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502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Viya</w:t>
            </w:r>
          </w:p>
        </w:tc>
      </w:tr>
      <w:tr>
        <w:trPr/>
        <w:tc>
          <w:tcPr>
            <w:tcW w:w="288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(Guyana) Inc. (2)</w:t>
            </w:r>
          </w:p>
        </w:tc>
        <w:tc>
          <w:tcPr>
            <w:tcW w:w="229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Guyana</w:t>
            </w:r>
          </w:p>
        </w:tc>
        <w:tc>
          <w:tcPr>
            <w:tcW w:w="502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ATOC, GTT+, GTT Fibre, MMG, One Communications</w:t>
            </w:r>
          </w:p>
        </w:tc>
      </w:tr>
      <w:tr>
        <w:trPr/>
        <w:tc>
          <w:tcPr>
            <w:tcW w:w="288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Ltd. (3)</w:t>
            </w:r>
          </w:p>
        </w:tc>
        <w:tc>
          <w:tcPr>
            <w:tcW w:w="229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Bermuda</w:t>
            </w:r>
          </w:p>
        </w:tc>
        <w:tc>
          <w:tcPr>
            <w:tcW w:w="5027"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One Communications, Logic</w:t>
            </w:r>
          </w:p>
        </w:tc>
      </w:tr>
    </w:tbl>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nineteen consolidated wholly owned subsidiaries also providing wholesale wireless voice and wholesale and retail data services under the brand names listed above in the United States.</w:t>
            </w:r>
          </w:p>
        </w:tc>
      </w:tr>
    </w:tbl>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Formerly known as GTT, Inc. or Guyana Telephone and Telegraph Company Limited. Includes nine consolidated wholly owned subsidiaries also providing wireline, wireless and carrier services under the “”One Communications” and "MMG" brand names in Guyana and three wholly subsidiaries providing carrier services under the “ATOC” brand name in the British Virgin Islands.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ten consolidated wholly owned subsidiaries also providing wireline, wireless, carrier and video services under the “One Communications” brand name in Bermuda and one wholly owned subsidiary providing wireline, carrier and video services under the “Logic” brand name in the Cayman Islands. </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thirteen consolidated wholly owned subsidiaries also providing wireline, wireless, carrier and video services under the “Viya” brand name in the U.S. Virgin Islands.</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thirty-five consolidated wholly owned subsidiaries also providing wireline services under the “Alaska Communications” brand name in Alaska.</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consolidated wholly-owned subsidiaries also providing call center and other back office support functions to our operating companies and certain other third party customers, including one in Barbados, one in the British Virgin Islands, one in the Cayman Islands, one in Delaware, one in Guyana, one in Trinidad, and one in the United Kingdom.</w:t>
            </w:r>
          </w:p>
        </w:tc>
      </w:tr>
    </w:tbl>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858" w:name="atni-20241231xex23d1.htm"/>
      <w:bookmarkStart w:id="2859" w:name="ksatni20241231xex23d1"/>
      <w:bookmarkEnd w:id="2858"/>
      <w:bookmarkEnd w:id="2859"/>
      <w:r>
        <w:rPr>
          <w:rFonts w:ascii="Times New Roman;Times;serif" w:hAnsi="Times New Roman;Times;serif"/>
          <w:b/>
          <w:sz w:val="20"/>
        </w:rPr>
        <w:t>EXHIBIT 23.1</w:t>
      </w:r>
      <w:r>
        <w:br w:type="page"/>
      </w:r>
    </w:p>
    <w:p>
      <w:pPr>
        <w:pStyle w:val="TextBody"/>
        <w:bidi w:val="0"/>
        <w:spacing w:lineRule="auto" w:line="285" w:before="280" w:after="0"/>
        <w:ind w:left="0" w:right="0" w:hanging="0"/>
        <w:jc w:val="center"/>
        <w:rPr>
          <w:rFonts w:ascii="Georgia" w:hAnsi="Georgia"/>
          <w:b/>
          <w:sz w:val="20"/>
        </w:rPr>
      </w:pPr>
      <w:r>
        <w:rPr>
          <w:rFonts w:ascii="Georgia" w:hAnsi="Georgia"/>
          <w:b/>
          <w:sz w:val="20"/>
        </w:rPr>
        <w:t>CONSENT OF INDEPENDENT REGISTERED PUBLIC ACCOUNTING FIRM</w:t>
      </w:r>
    </w:p>
    <w:p>
      <w:pPr>
        <w:pStyle w:val="TextBody"/>
        <w:bidi w:val="0"/>
        <w:spacing w:lineRule="auto" w:line="285" w:before="280" w:after="0"/>
        <w:ind w:left="0" w:right="0" w:hanging="0"/>
        <w:jc w:val="left"/>
        <w:rPr>
          <w:rFonts w:ascii="Georgia" w:hAnsi="Georgia"/>
          <w:sz w:val="20"/>
        </w:rPr>
      </w:pPr>
      <w:r>
        <w:rPr>
          <w:rFonts w:ascii="Georgia" w:hAnsi="Georgia"/>
          <w:sz w:val="20"/>
        </w:rPr>
        <w:t>We hereby consent to the incorporation by reference in the Registration Statements on Form S-3 (No. 333-266723) and Form S-8 (Nos. 333-150940, 333-174935, and 333-273644) of ATN International, Inc. of our report dated March 17, 2025 relating to the financial statements, financial statement schedule and the effectiveness of internal control over financial reporting, which appears in this Form 10-K.</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Georgia" w:hAnsi="Georgia"/>
          <w:sz w:val="20"/>
        </w:rPr>
      </w:pPr>
      <w:r>
        <w:rPr>
          <w:rFonts w:ascii="Georgia" w:hAnsi="Georgia"/>
          <w:sz w:val="20"/>
        </w:rPr>
        <w:t>/s/ PricewaterhouseCoopers LLP</w:t>
      </w:r>
    </w:p>
    <w:p>
      <w:pPr>
        <w:pStyle w:val="TextBody"/>
        <w:bidi w:val="0"/>
        <w:spacing w:lineRule="auto" w:line="285" w:before="0" w:after="0"/>
        <w:ind w:left="0" w:right="0" w:hanging="0"/>
        <w:jc w:val="left"/>
        <w:rPr>
          <w:rFonts w:ascii="Georgia" w:hAnsi="Georgia"/>
          <w:sz w:val="20"/>
        </w:rPr>
      </w:pPr>
      <w:r>
        <w:rPr>
          <w:rFonts w:ascii="Georgia" w:hAnsi="Georgia"/>
          <w:sz w:val="20"/>
        </w:rPr>
        <w:t>Boston, Massachusetts</w:t>
      </w:r>
    </w:p>
    <w:p>
      <w:pPr>
        <w:pStyle w:val="TextBody"/>
        <w:bidi w:val="0"/>
        <w:spacing w:lineRule="auto" w:line="285" w:before="0" w:after="0"/>
        <w:ind w:left="0" w:right="0" w:hanging="0"/>
        <w:jc w:val="left"/>
        <w:rPr>
          <w:rFonts w:ascii="Georgia" w:hAnsi="Georgia"/>
          <w:sz w:val="20"/>
        </w:rPr>
      </w:pPr>
      <w:r>
        <w:rPr>
          <w:rFonts w:ascii="Georgia" w:hAnsi="Georgia"/>
          <w:sz w:val="20"/>
        </w:rPr>
        <w:t>March 17, 2025</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860" w:name="atni-20241231xex31d1.htm"/>
      <w:bookmarkStart w:id="2861" w:name="ksatni20241231xex31d1"/>
      <w:bookmarkEnd w:id="2860"/>
      <w:bookmarkEnd w:id="2861"/>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RULE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Brad W. Martin, certify that:</w:t>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ATN International,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784" w:type="dxa"/>
        <w:jc w:val="center"/>
        <w:tblInd w:w="0" w:type="dxa"/>
        <w:tblLayout w:type="fixed"/>
        <w:tblCellMar>
          <w:top w:w="0" w:type="dxa"/>
          <w:left w:w="0" w:type="dxa"/>
          <w:bottom w:w="0" w:type="dxa"/>
          <w:right w:w="0" w:type="dxa"/>
        </w:tblCellMar>
      </w:tblPr>
      <w:tblGrid>
        <w:gridCol w:w="1996"/>
        <w:gridCol w:w="326"/>
        <w:gridCol w:w="406"/>
        <w:gridCol w:w="205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267460" cy="175260"/>
                      <wp:effectExtent l="0" t="0" r="0" b="0"/>
                      <wp:wrapNone/>
                      <wp:docPr id="648" name="Frame64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9" name="Frame6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17, 2025</w:t>
            </w:r>
          </w:p>
        </w:tc>
        <w:tc>
          <w:tcPr>
            <w:tcW w:w="32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BRAD</w:t>
            </w:r>
            <w:r>
              <w:rPr>
                <w:rFonts w:ascii="Times New Roman;Times;serif" w:hAnsi="Times New Roman;Times;serif"/>
                <w:smallCaps/>
                <w:sz w:val="20"/>
              </w:rPr>
              <w:t xml:space="preserve">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862" w:name="atni-20241231xex31d2.htm"/>
      <w:bookmarkStart w:id="2863" w:name="ksatni20241231xex31d2"/>
      <w:bookmarkEnd w:id="2862"/>
      <w:bookmarkEnd w:id="2863"/>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RULE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Carlos R. Doglioli, certify that:</w:t>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ATN International,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889" w:type="dxa"/>
        <w:jc w:val="center"/>
        <w:tblInd w:w="0" w:type="dxa"/>
        <w:tblLayout w:type="fixed"/>
        <w:tblCellMar>
          <w:top w:w="0" w:type="dxa"/>
          <w:left w:w="0" w:type="dxa"/>
          <w:bottom w:w="0" w:type="dxa"/>
          <w:right w:w="0" w:type="dxa"/>
        </w:tblCellMar>
      </w:tblPr>
      <w:tblGrid>
        <w:gridCol w:w="1996"/>
        <w:gridCol w:w="326"/>
        <w:gridCol w:w="406"/>
        <w:gridCol w:w="2161"/>
      </w:tblGrid>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eb</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72235" cy="175260"/>
                      <wp:effectExtent l="0" t="0" r="0" b="0"/>
                      <wp:wrapNone/>
                      <wp:docPr id="650" name="Frame64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17, 2025</w:t>
            </w:r>
          </w:p>
        </w:tc>
        <w:tc>
          <w:tcPr>
            <w:tcW w:w="32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864" w:name="atni-20241231xex32d1.htm"/>
      <w:bookmarkStart w:id="2865" w:name="ksatni20241231xex32d1"/>
      <w:bookmarkEnd w:id="2864"/>
      <w:bookmarkEnd w:id="2865"/>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ATN International, Inc. (the “Company”) for the period ended December 31, 2024 as filed with the Securities and Exchange Commission on the date hereof (the “Report”), I, Brad W. Martin, Chief Executive Officer of the Company, certify, pursuant to 18 U.S.C. § 1350, as adopted pursuant to § 906 of the Sarbanes-Oxley Act of 2002, that:</w:t>
      </w:r>
    </w:p>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4378" w:type="dxa"/>
        <w:jc w:val="center"/>
        <w:tblInd w:w="0" w:type="dxa"/>
        <w:tblLayout w:type="fixed"/>
        <w:tblCellMar>
          <w:top w:w="0" w:type="dxa"/>
          <w:left w:w="0" w:type="dxa"/>
          <w:bottom w:w="0" w:type="dxa"/>
          <w:right w:w="0" w:type="dxa"/>
        </w:tblCellMar>
      </w:tblPr>
      <w:tblGrid>
        <w:gridCol w:w="1996"/>
        <w:gridCol w:w="326"/>
        <w:gridCol w:w="2056"/>
      </w:tblGrid>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w:t>
            </w:r>
          </w:p>
        </w:tc>
        <w:tc>
          <w:tcPr>
            <w:tcW w:w="32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17, 2025</w:t>
            </w:r>
          </w:p>
        </w:tc>
        <w:tc>
          <w:tcPr>
            <w:tcW w:w="326" w:type="dxa"/>
            <w:tcBorders/>
            <w:vAlign w:val="center"/>
          </w:tcPr>
          <w:p>
            <w:pPr>
              <w:pStyle w:val="TableContents"/>
              <w:bidi w:val="0"/>
              <w:spacing w:lineRule="auto" w:line="285" w:before="0" w:after="0"/>
              <w:ind w:left="0" w:right="0" w:hanging="0"/>
              <w:jc w:val="left"/>
              <w:rPr/>
            </w:pPr>
            <w:r>
              <w:rPr/>
              <w:t>    </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BRAD</w:t>
            </w:r>
            <w:r>
              <w:rPr>
                <w:rFonts w:ascii="Times New Roman;Times;serif" w:hAnsi="Times New Roman;Times;serif"/>
                <w:smallCaps/>
                <w:sz w:val="20"/>
              </w:rPr>
              <w:t xml:space="preserve">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Brad W. Martin</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866" w:name="atni-20241231xex32d2.htm"/>
      <w:bookmarkStart w:id="2867" w:name="ksatni20241231xex32d2"/>
      <w:bookmarkEnd w:id="2866"/>
      <w:bookmarkEnd w:id="2867"/>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ATN International, Inc. (the “Company”) for the period ended December 31, 2024 as filed with the Securities and Exchange Commission on the date hereof (the “Report”), I, Carlos R. Doglioli, Chief Financial Officer of the Company, certify, pursuant to 18 U.S.C. § 1350, as adopted pursuant to § 906 of the Sarbanes-Oxley Act of 2002, that:</w:t>
      </w:r>
    </w:p>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4483" w:type="dxa"/>
        <w:jc w:val="center"/>
        <w:tblInd w:w="0" w:type="dxa"/>
        <w:tblLayout w:type="fixed"/>
        <w:tblCellMar>
          <w:top w:w="0" w:type="dxa"/>
          <w:left w:w="0" w:type="dxa"/>
          <w:bottom w:w="0" w:type="dxa"/>
          <w:right w:w="0" w:type="dxa"/>
        </w:tblCellMar>
      </w:tblPr>
      <w:tblGrid>
        <w:gridCol w:w="1996"/>
        <w:gridCol w:w="326"/>
        <w:gridCol w:w="2161"/>
      </w:tblGrid>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eb</w:t>
            </w:r>
          </w:p>
        </w:tc>
        <w:tc>
          <w:tcPr>
            <w:tcW w:w="32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17, 2025</w:t>
            </w:r>
          </w:p>
        </w:tc>
        <w:tc>
          <w:tcPr>
            <w:tcW w:w="326" w:type="dxa"/>
            <w:tcBorders/>
            <w:vAlign w:val="center"/>
          </w:tcPr>
          <w:p>
            <w:pPr>
              <w:pStyle w:val="TableContents"/>
              <w:bidi w:val="0"/>
              <w:spacing w:lineRule="auto" w:line="285" w:before="0" w:after="0"/>
              <w:ind w:left="0" w:right="0" w:hanging="0"/>
              <w:jc w:val="left"/>
              <w:rPr/>
            </w:pPr>
            <w:r>
              <w:rPr/>
              <w:t>    </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96"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Georg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879585/000110465921000095/tm2039713d3_ex2-1.htm" TargetMode="External"/><Relationship Id="rId5" Type="http://schemas.openxmlformats.org/officeDocument/2006/relationships/hyperlink" Target="http://www.sec.gov/Archives/edgar/data/879585/000087958501500004/s8subc.txt" TargetMode="External"/><Relationship Id="rId6" Type="http://schemas.openxmlformats.org/officeDocument/2006/relationships/hyperlink" Target="http://www.sec.gov/Archives/edgar/data/879585/000110465906054787/a06-15866_1ex3d2.htm" TargetMode="External"/><Relationship Id="rId7" Type="http://schemas.openxmlformats.org/officeDocument/2006/relationships/hyperlink" Target="http://www.sec.gov/Archives/edgar/data/879585/000110465916129397/a16-13965_1ex3d1.htm" TargetMode="External"/><Relationship Id="rId8" Type="http://schemas.openxmlformats.org/officeDocument/2006/relationships/hyperlink" Target="https://www.sec.gov/Archives/edgar/data/879585/000110465923032255/tm239573d1_ex3-1.htm" TargetMode="External"/><Relationship Id="rId9" Type="http://schemas.openxmlformats.org/officeDocument/2006/relationships/hyperlink" Target="https://www.sec.gov/Archives/edgar/data/879585/000155837020001867/ex-4d1.htm" TargetMode="External"/><Relationship Id="rId10" Type="http://schemas.openxmlformats.org/officeDocument/2006/relationships/hyperlink" Target="http://www.sec.gov/Archives/edgar/data/879585/000104746911004365/a2203783zdef14a.htm" TargetMode="External"/><Relationship Id="rId11" Type="http://schemas.openxmlformats.org/officeDocument/2006/relationships/hyperlink" Target="http://www.sec.gov/Archives/edgar/data/879585/000110465908035014/a08-14925_1ex10d2.htm" TargetMode="External"/><Relationship Id="rId12" Type="http://schemas.openxmlformats.org/officeDocument/2006/relationships/hyperlink" Target="http://www.sec.gov/Archives/edgar/data/879585/000110465908035014/a08-14925_1ex10d3.htm" TargetMode="External"/><Relationship Id="rId13" Type="http://schemas.openxmlformats.org/officeDocument/2006/relationships/hyperlink" Target="http://www.sec.gov/Archives/edgar/data/879585/000110465908035014/a08-14925_1ex10d4.htm" TargetMode="External"/><Relationship Id="rId14" Type="http://schemas.openxmlformats.org/officeDocument/2006/relationships/hyperlink" Target="http://www.sec.gov/Archives/edgar/data/879585/000110465908035014/a08-14925_1ex10d5.htm" TargetMode="External"/><Relationship Id="rId15" Type="http://schemas.openxmlformats.org/officeDocument/2006/relationships/hyperlink" Target="http://www.sec.gov/Archives/edgar/data/879585/000110465909000624/a09-1148_1ex10d1.htm" TargetMode="External"/><Relationship Id="rId16" Type="http://schemas.openxmlformats.org/officeDocument/2006/relationships/hyperlink" Target="http://www.sec.gov/Archives/edgar/data/879585/000155837018004510/atni-20180331ex102a94824.htm" TargetMode="External"/><Relationship Id="rId17" Type="http://schemas.openxmlformats.org/officeDocument/2006/relationships/hyperlink" Target="https://www.sec.gov/Archives/edgar/data/879585/000110465921036209/tm219695d1_ex10-2.htm" TargetMode="External"/><Relationship Id="rId18" Type="http://schemas.openxmlformats.org/officeDocument/2006/relationships/hyperlink" Target="https://www.sec.gov/Archives/edgar/data/879585/000110465921036209/tm219695d1_ex10-1.htm" TargetMode="External"/><Relationship Id="rId19" Type="http://schemas.openxmlformats.org/officeDocument/2006/relationships/hyperlink" Target="http://www.sec.gov/Archives/edgar/data/879585/000110465919016051/a19-6809_1ex10d2.htm" TargetMode="External"/><Relationship Id="rId20" Type="http://schemas.openxmlformats.org/officeDocument/2006/relationships/hyperlink" Target="https://www.sec.gov/Archives/edgar/data/879585/000155837023003851/atni-20221231xex10d11.htm" TargetMode="External"/><Relationship Id="rId21" Type="http://schemas.openxmlformats.org/officeDocument/2006/relationships/hyperlink" Target="https://www.sec.gov/Archives/edgar/data/879585/000155837023003851/atni-20221231xex10d12.htm" TargetMode="External"/><Relationship Id="rId22" Type="http://schemas.openxmlformats.org/officeDocument/2006/relationships/hyperlink" Target="http://www.sec.gov/Archives/edgar/data/879585/000110465914088453/a14-26566_1ex10d1.htm" TargetMode="External"/><Relationship Id="rId23" Type="http://schemas.openxmlformats.org/officeDocument/2006/relationships/hyperlink" Target="http://www.sec.gov/Archives/edgar/data/879585/000110465916090003/a16-1978_1ex10d1.htm" TargetMode="External"/><Relationship Id="rId24" Type="http://schemas.openxmlformats.org/officeDocument/2006/relationships/hyperlink" Target="http://www.sec.gov/Archives/edgar/data/879585/000110465919021647/a19-8299_1ex10d1.htm" TargetMode="External"/><Relationship Id="rId25" Type="http://schemas.openxmlformats.org/officeDocument/2006/relationships/hyperlink" Target="https://www.sec.gov/Archives/edgar/data/879585/000155837022017082/atni-20220930xex10d1.htm" TargetMode="External"/><Relationship Id="rId26" Type="http://schemas.openxmlformats.org/officeDocument/2006/relationships/hyperlink" Target="https://www.sec.gov/Archives/edgar/data/879585/000110465922131384/tm2233773d1_ex10-3.htm" TargetMode="External"/><Relationship Id="rId27" Type="http://schemas.openxmlformats.org/officeDocument/2006/relationships/hyperlink" Target="https://www.sec.gov/Archives/edgar/data/879585/000110465920041840/tm2014199d1_ex10-1.htm" TargetMode="External"/><Relationship Id="rId28" Type="http://schemas.openxmlformats.org/officeDocument/2006/relationships/hyperlink" Target="https://www.sec.gov/Archives/edgar/data/879585/000110465920041840/tm2014199d1_ex10-2.htm" TargetMode="External"/><Relationship Id="rId29" Type="http://schemas.openxmlformats.org/officeDocument/2006/relationships/hyperlink" Target="https://www.sec.gov/Archives/edgar/data/0000879585/000110465922131384/tm2233773d1_ex10-1.htm" TargetMode="External"/><Relationship Id="rId30" Type="http://schemas.openxmlformats.org/officeDocument/2006/relationships/hyperlink" Target="http://www.sec.gov/Archives/edgar/data/879585/000110465906035157/a06-11928_1ex10d1.htm" TargetMode="External"/><Relationship Id="rId31" Type="http://schemas.openxmlformats.org/officeDocument/2006/relationships/hyperlink" Target="http://www.sec.gov/Archives/edgar/data/879585/000104746913002987/a2213629zex-10_20.htm" TargetMode="External"/><Relationship Id="rId32" Type="http://schemas.openxmlformats.org/officeDocument/2006/relationships/hyperlink" Target="http://www.sec.gov/Archives/edgar/data/879585/000155837016007795/atni-20160630ex10280f996.htm" TargetMode="External"/><Relationship Id="rId33" Type="http://schemas.openxmlformats.org/officeDocument/2006/relationships/hyperlink" Target="http://www.sec.gov/Archives/edgar/data/879585/000155837018001408/atni-20171231ex10256097c.htm" TargetMode="External"/><Relationship Id="rId34" Type="http://schemas.openxmlformats.org/officeDocument/2006/relationships/hyperlink" Target="http://www.sec.gov/Archives/edgar/data/879585/000155837019001338/atni-20181231ex101969ca0.htm" TargetMode="External"/><Relationship Id="rId35" Type="http://schemas.openxmlformats.org/officeDocument/2006/relationships/hyperlink" Target="https://www.sec.gov/Archives/edgar/data/879585/000155837020001867/ex-10d18.htm" TargetMode="External"/><Relationship Id="rId36" Type="http://schemas.openxmlformats.org/officeDocument/2006/relationships/hyperlink" Target="https://www.sec.gov/Archives/edgar/data/879585/000155837021002145/atni-20201231ex10218ed16.htm" TargetMode="External"/><Relationship Id="rId37" Type="http://schemas.openxmlformats.org/officeDocument/2006/relationships/hyperlink" Target="http://www.sec.gov/Archives/edgar/data/879585/000155837018004510/atni-20180331ex1017d0269.htm" TargetMode="External"/><Relationship Id="rId38" Type="http://schemas.openxmlformats.org/officeDocument/2006/relationships/hyperlink" Target="http://www.sec.gov/Archives/edgar/data/879585/000155837018006732/atni-20180630ex101a03c6e.htm" TargetMode="External"/><Relationship Id="rId39" Type="http://schemas.openxmlformats.org/officeDocument/2006/relationships/hyperlink" Target="https://www.sec.gov/Archives/edgar/data/879585/000155837022008065/atni-20220331xex10d1.htm" TargetMode="External"/><Relationship Id="rId40" Type="http://schemas.openxmlformats.org/officeDocument/2006/relationships/hyperlink" Target="http://www.sec.gov/Archives/edgar/data/879585/000155837019010584/atni-20190930ex101dd2f08.htm" TargetMode="External"/><Relationship Id="rId41" Type="http://schemas.openxmlformats.org/officeDocument/2006/relationships/hyperlink" Target="https://www.sec.gov/Archives/edgar/data/879585/000155837020012564/atni-20200930xex10d1.htm" TargetMode="External"/><Relationship Id="rId42" Type="http://schemas.openxmlformats.org/officeDocument/2006/relationships/hyperlink" Target="https://www.sec.gov/Archives/edgar/data/879585/000155837021006628/atni-20210331xex10d1.htm" TargetMode="External"/><Relationship Id="rId43" Type="http://schemas.openxmlformats.org/officeDocument/2006/relationships/hyperlink" Target="https://www.sec.gov/Archives/edgar/data/879585/000155837022012620/atni-20220630xex10d2.htm" TargetMode="External"/><Relationship Id="rId44" Type="http://schemas.openxmlformats.org/officeDocument/2006/relationships/hyperlink" Target="https://www.sec.gov/Archives/edgar/data/879585/000155837024003375/atni-20231231xex10d46.htm" TargetMode="External"/><Relationship Id="rId45" Type="http://schemas.openxmlformats.org/officeDocument/2006/relationships/hyperlink" Target="https://www.sec.gov/Archives/edgar/data/879585/000110465921094942/tm2122780d1_ex10-1.htm" TargetMode="External"/><Relationship Id="rId46" Type="http://schemas.openxmlformats.org/officeDocument/2006/relationships/hyperlink" Target="https://www.sec.gov/Archives/edgar/data/879585/000110465921094942/tm2122780d1_ex10-2.htm" TargetMode="External"/><Relationship Id="rId47" Type="http://schemas.openxmlformats.org/officeDocument/2006/relationships/hyperlink" Target="https://www.sec.gov/Archives/edgar/data/879585/000110465922131384/tm2233773d1_ex10-2.htm" TargetMode="External"/><Relationship Id="rId48" Type="http://schemas.openxmlformats.org/officeDocument/2006/relationships/hyperlink" Target="https://www.sec.gov/Archives/edgar/data/879585/000110465924095322/tm2422913d1_ex10-1.htm" TargetMode="External"/><Relationship Id="rId49" Type="http://schemas.openxmlformats.org/officeDocument/2006/relationships/hyperlink" Target="https://www.sec.gov/Archives/edgar/data/879585/000110465923070852/tm2318613d1_ex10-1.htm" TargetMode="External"/><Relationship Id="rId50" Type="http://schemas.openxmlformats.org/officeDocument/2006/relationships/hyperlink" Target="https://www.sec.gov/Archives/edgar/data/879585/000110465923070852/tm2318613d1_ex10-2.htm" TargetMode="External"/><Relationship Id="rId51" Type="http://schemas.openxmlformats.org/officeDocument/2006/relationships/hyperlink" Target="https://www.sec.gov/Archives/edgar/data/879585/000110465923070852/tm2318613d1_ex10-3.htm" TargetMode="External"/><Relationship Id="rId52" Type="http://schemas.openxmlformats.org/officeDocument/2006/relationships/hyperlink" Target="https://www.sec.gov/Archives/edgar/data/879585/000110465923081668/tm2321375d1_ex10-1.htm" TargetMode="External"/><Relationship Id="rId53" Type="http://schemas.openxmlformats.org/officeDocument/2006/relationships/hyperlink" Target="https://www.sec.gov/Archives/edgar/data/879585/000155837023014191/atni-20230630xex10d1.htm" TargetMode="External"/><Relationship Id="rId54" Type="http://schemas.openxmlformats.org/officeDocument/2006/relationships/hyperlink" Target="https://www.sec.gov/Archives/edgar/data/879585/000155837023014191/atni-20230630xex10d2.htm" TargetMode="External"/><Relationship Id="rId55" Type="http://schemas.openxmlformats.org/officeDocument/2006/relationships/hyperlink" Target="https://www.sec.gov/Archives/edgar/data/879585/000110465923119120/tm2330874d1_ex10-1.htm" TargetMode="External"/><Relationship Id="rId56" Type="http://schemas.openxmlformats.org/officeDocument/2006/relationships/hyperlink" Target="https://www.sec.gov/Archives/edgar/data/879585/000155837024003375/atni-20231231xex10d45.htm" TargetMode="External"/><Relationship Id="rId57" Type="http://schemas.openxmlformats.org/officeDocument/2006/relationships/hyperlink" Target="https://www.sec.gov/Archives/edgar/data/879585/000155837024011708/atni-20240630xex10d1.htm" TargetMode="External"/><Relationship Id="rId58" Type="http://schemas.openxmlformats.org/officeDocument/2006/relationships/hyperlink" Target="https://www.sec.gov/Archives/edgar/data/879585/000155837024011708/atni-20240630xex10d1.htm" TargetMode="External"/><Relationship Id="rId59" Type="http://schemas.openxmlformats.org/officeDocument/2006/relationships/hyperlink" Target="https://www.sec.gov/Archives/edgar/data/879585/000155837024003375/atni-20231231xex97d1.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74927</Words>
  <Characters>418341</Characters>
  <CharactersWithSpaces>495870</CharactersWithSpaces>
  <Paragraphs>15000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