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651573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73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65157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735" cy="698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137795</wp:posOffset>
            </wp:positionV>
            <wp:extent cx="16357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5760" cy="6985"/>
                    </a:xfrm>
                    <a:prstGeom prst="rect">
                      <a:avLst/>
                    </a:prstGeom>
                    <a:noFill/>
                  </pic:spPr>
                </pic:pic>
              </a:graphicData>
            </a:graphic>
          </wp:anchor>
        </w:drawing>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52" w:lineRule="exact"/>
        <w:rPr>
          <w:sz w:val="24"/>
          <w:szCs w:val="24"/>
          <w:color w:val="auto"/>
        </w:rPr>
      </w:pPr>
    </w:p>
    <w:p>
      <w:pPr>
        <w:ind w:left="660" w:hanging="397"/>
        <w:spacing w:after="0"/>
        <w:tabs>
          <w:tab w:leader="none" w:pos="6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2022</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4" w:lineRule="exact"/>
        <w:rPr>
          <w:sz w:val="24"/>
          <w:szCs w:val="24"/>
          <w:color w:val="auto"/>
        </w:rPr>
      </w:pPr>
    </w:p>
    <w:p>
      <w:pPr>
        <w:ind w:left="660" w:hanging="424"/>
        <w:spacing w:after="0"/>
        <w:tabs>
          <w:tab w:leader="none" w:pos="6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wp:posOffset>
            </wp:positionH>
            <wp:positionV relativeFrom="paragraph">
              <wp:posOffset>-94615</wp:posOffset>
            </wp:positionV>
            <wp:extent cx="21590" cy="113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90" cy="113665"/>
                    </a:xfrm>
                    <a:prstGeom prst="rect">
                      <a:avLst/>
                    </a:prstGeom>
                    <a:noFill/>
                  </pic:spPr>
                </pic:pic>
              </a:graphicData>
            </a:graphic>
          </wp:anchor>
        </w:drawing>
      </w:r>
    </w:p>
    <w:p>
      <w:pPr>
        <w:spacing w:after="0" w:line="117" w:lineRule="exact"/>
        <w:rPr>
          <w:sz w:val="24"/>
          <w:szCs w:val="24"/>
          <w:color w:val="auto"/>
        </w:rPr>
      </w:pPr>
    </w:p>
    <w:tbl>
      <w:tblPr>
        <w:tblLayout w:type="fixed"/>
        <w:tblInd w:w="346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40" w:type="dxa"/>
            <w:vAlign w:val="bottom"/>
            <w:tcBorders>
              <w:bottom w:val="single" w:sz="8" w:color="auto"/>
            </w:tcBorders>
          </w:tcPr>
          <w:p>
            <w:pPr>
              <w:spacing w:after="0"/>
              <w:rPr>
                <w:sz w:val="12"/>
                <w:szCs w:val="12"/>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440" w:type="dxa"/>
            <w:vAlign w:val="bottom"/>
            <w:tcBorders>
              <w:bottom w:val="single" w:sz="8" w:color="auto"/>
            </w:tcBorders>
          </w:tcPr>
          <w:p>
            <w:pPr>
              <w:spacing w:after="0"/>
              <w:rPr>
                <w:sz w:val="12"/>
                <w:szCs w:val="12"/>
                <w:color w:val="auto"/>
              </w:rPr>
            </w:pPr>
          </w:p>
        </w:tc>
      </w:tr>
      <w:tr>
        <w:trPr>
          <w:trHeight w:val="300"/>
        </w:trPr>
        <w:tc>
          <w:tcPr>
            <w:tcW w:w="296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Commission File Number 001-12593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138430</wp:posOffset>
            </wp:positionV>
            <wp:extent cx="16357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5760" cy="698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ATN INTERNATIONAL,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0220"/>
          </w:cols>
          <w:pgMar w:left="820" w:top="573" w:right="859" w:bottom="1440" w:gutter="0" w:footer="0" w:header="0"/>
        </w:sectPr>
      </w:pPr>
    </w:p>
    <w:p>
      <w:pPr>
        <w:spacing w:after="0" w:line="12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0"/>
          <w:szCs w:val="10"/>
          <w:b w:val="1"/>
          <w:bCs w:val="1"/>
          <w:color w:val="auto"/>
        </w:rPr>
        <w:t>Delaware</w:t>
      </w:r>
    </w:p>
    <w:p>
      <w:pPr>
        <w:spacing w:after="0" w:line="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0"/>
          <w:szCs w:val="10"/>
          <w:color w:val="auto"/>
        </w:rPr>
        <w:t>(State or other jurisdiction of</w:t>
      </w:r>
    </w:p>
    <w:p>
      <w:pPr>
        <w:ind w:left="2000"/>
        <w:spacing w:after="0"/>
        <w:rPr>
          <w:sz w:val="20"/>
          <w:szCs w:val="20"/>
          <w:color w:val="auto"/>
        </w:rPr>
      </w:pPr>
      <w:r>
        <w:rPr>
          <w:rFonts w:ascii="Times New Roman" w:cs="Times New Roman" w:eastAsia="Times New Roman" w:hAnsi="Times New Roman"/>
          <w:sz w:val="10"/>
          <w:szCs w:val="10"/>
          <w:color w:val="auto"/>
        </w:rPr>
        <w:t>incorporation or organization)</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0"/>
          <w:szCs w:val="10"/>
          <w:b w:val="1"/>
          <w:bCs w:val="1"/>
          <w:color w:val="auto"/>
        </w:rPr>
        <w:t>47-0728886</w:t>
      </w:r>
    </w:p>
    <w:p>
      <w:pPr>
        <w:spacing w:after="0" w:line="8"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0"/>
          <w:szCs w:val="10"/>
          <w:color w:val="auto"/>
        </w:rPr>
        <w:t>(I.R.S. Employer</w:t>
      </w:r>
    </w:p>
    <w:p>
      <w:pPr>
        <w:jc w:val="center"/>
        <w:ind w:right="2140"/>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5" w:lineRule="exact"/>
        <w:rPr>
          <w:sz w:val="24"/>
          <w:szCs w:val="24"/>
          <w:color w:val="auto"/>
        </w:rPr>
      </w:pPr>
    </w:p>
    <w:p>
      <w:pPr>
        <w:sectPr>
          <w:pgSz w:w="11900" w:h="16838" w:orient="portrait"/>
          <w:cols w:equalWidth="0" w:num="2">
            <w:col w:w="6580" w:space="720"/>
            <w:col w:w="2920"/>
          </w:cols>
          <w:pgMar w:left="820" w:top="573" w:right="85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0"/>
          <w:szCs w:val="10"/>
          <w:b w:val="1"/>
          <w:bCs w:val="1"/>
          <w:color w:val="auto"/>
        </w:rPr>
        <w:t>500 Cummings Center, Suite 2450</w:t>
      </w:r>
    </w:p>
    <w:p>
      <w:pPr>
        <w:sectPr>
          <w:pgSz w:w="11900" w:h="16838" w:orient="portrait"/>
          <w:cols w:equalWidth="0" w:num="1">
            <w:col w:w="10220"/>
          </w:cols>
          <w:pgMar w:left="820" w:top="573" w:right="859" w:bottom="1440" w:gutter="0" w:footer="0" w:header="0"/>
          <w:type w:val="continuous"/>
        </w:sectPr>
      </w:pPr>
    </w:p>
    <w:p>
      <w:pPr>
        <w:jc w:val="center"/>
        <w:ind w:right="1480"/>
        <w:spacing w:after="0" w:line="210" w:lineRule="auto"/>
        <w:rPr>
          <w:sz w:val="20"/>
          <w:szCs w:val="20"/>
          <w:color w:val="auto"/>
        </w:rPr>
      </w:pPr>
      <w:r>
        <w:rPr>
          <w:rFonts w:ascii="Times New Roman" w:cs="Times New Roman" w:eastAsia="Times New Roman" w:hAnsi="Times New Roman"/>
          <w:sz w:val="10"/>
          <w:szCs w:val="10"/>
          <w:b w:val="1"/>
          <w:bCs w:val="1"/>
          <w:color w:val="auto"/>
        </w:rPr>
        <w:t>Beverly, Massachusetts</w:t>
      </w:r>
    </w:p>
    <w:p>
      <w:pPr>
        <w:jc w:val="center"/>
        <w:ind w:right="148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00"/>
        <w:spacing w:after="0" w:line="210" w:lineRule="auto"/>
        <w:rPr>
          <w:sz w:val="20"/>
          <w:szCs w:val="20"/>
          <w:color w:val="auto"/>
        </w:rPr>
      </w:pPr>
      <w:r>
        <w:rPr>
          <w:rFonts w:ascii="Times New Roman" w:cs="Times New Roman" w:eastAsia="Times New Roman" w:hAnsi="Times New Roman"/>
          <w:sz w:val="10"/>
          <w:szCs w:val="10"/>
          <w:b w:val="1"/>
          <w:bCs w:val="1"/>
          <w:color w:val="auto"/>
        </w:rPr>
        <w:t>01915</w:t>
      </w:r>
    </w:p>
    <w:p>
      <w:pPr>
        <w:jc w:val="center"/>
        <w:ind w:right="2300"/>
        <w:spacing w:after="0"/>
        <w:rPr>
          <w:sz w:val="20"/>
          <w:szCs w:val="20"/>
          <w:color w:val="auto"/>
        </w:rPr>
      </w:pPr>
      <w:r>
        <w:rPr>
          <w:rFonts w:ascii="Times New Roman" w:cs="Times New Roman" w:eastAsia="Times New Roman" w:hAnsi="Times New Roman"/>
          <w:sz w:val="10"/>
          <w:szCs w:val="10"/>
          <w:color w:val="auto"/>
        </w:rPr>
        <w:t>(Zip Code)</w:t>
      </w:r>
    </w:p>
    <w:p>
      <w:pPr>
        <w:spacing w:after="0" w:line="31" w:lineRule="exact"/>
        <w:rPr>
          <w:sz w:val="24"/>
          <w:szCs w:val="24"/>
          <w:color w:val="auto"/>
        </w:rPr>
      </w:pPr>
    </w:p>
    <w:p>
      <w:pPr>
        <w:sectPr>
          <w:pgSz w:w="11900" w:h="16838" w:orient="portrait"/>
          <w:cols w:equalWidth="0" w:num="2">
            <w:col w:w="6740" w:space="720"/>
            <w:col w:w="2760"/>
          </w:cols>
          <w:pgMar w:left="820" w:top="573" w:right="8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(978) 619-1300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ectPr>
          <w:pgSz w:w="11900" w:h="16838" w:orient="portrait"/>
          <w:cols w:equalWidth="0" w:num="1">
            <w:col w:w="10220"/>
          </w:cols>
          <w:pgMar w:left="820" w:top="573" w:right="859" w:bottom="1440" w:gutter="0" w:footer="0" w:header="0"/>
          <w:type w:val="continuous"/>
        </w:sectPr>
      </w:pPr>
    </w:p>
    <w:p>
      <w:pPr>
        <w:spacing w:after="0" w:line="58"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7" w:lineRule="exact"/>
        <w:rPr>
          <w:sz w:val="24"/>
          <w:szCs w:val="24"/>
          <w:color w:val="auto"/>
        </w:rPr>
      </w:pPr>
    </w:p>
    <w:tbl>
      <w:tblPr>
        <w:tblLayout w:type="fixed"/>
        <w:tblInd w:w="1500" w:type="dxa"/>
        <w:tblCellMar>
          <w:top w:w="0" w:type="dxa"/>
          <w:left w:w="0" w:type="dxa"/>
          <w:bottom w:w="0" w:type="dxa"/>
          <w:right w:w="0" w:type="dxa"/>
        </w:tblCellMar>
      </w:tblPr>
      <w:tr>
        <w:trPr>
          <w:trHeight w:val="137"/>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r>
      <w:tr>
        <w:trPr>
          <w:trHeight w:val="71"/>
        </w:trPr>
        <w:tc>
          <w:tcPr>
            <w:tcW w:w="22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r>
      <w:tr>
        <w:trPr>
          <w:trHeight w:val="189"/>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rPr>
              <w:t>Common Stock, par value $.01 per share</w:t>
            </w:r>
          </w:p>
        </w:tc>
        <w:tc>
          <w:tcPr>
            <w:tcW w:w="25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color w:val="auto"/>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The Nasdaq Stock Market LLC</w:t>
            </w:r>
          </w:p>
        </w:tc>
      </w:tr>
    </w:tbl>
    <w:p>
      <w:pPr>
        <w:spacing w:after="0" w:line="49" w:lineRule="exact"/>
        <w:rPr>
          <w:sz w:val="24"/>
          <w:szCs w:val="24"/>
          <w:color w:val="auto"/>
        </w:rPr>
      </w:pPr>
    </w:p>
    <w:p>
      <w:pPr>
        <w:ind w:right="40" w:firstLine="269"/>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0" w:firstLine="26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ind w:right="60" w:firstLine="269"/>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20" w:top="573" w:right="859" w:bottom="1440" w:gutter="0" w:footer="0" w:header="0"/>
          <w:type w:val="continuous"/>
        </w:sectPr>
      </w:pPr>
    </w:p>
    <w:p>
      <w:pPr>
        <w:spacing w:after="0" w:line="66" w:lineRule="exact"/>
        <w:rPr>
          <w:sz w:val="24"/>
          <w:szCs w:val="24"/>
          <w:color w:val="auto"/>
        </w:rPr>
      </w:pPr>
    </w:p>
    <w:p>
      <w:pPr>
        <w:ind w:left="1820"/>
        <w:spacing w:after="0" w:line="175"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62" w:lineRule="exact"/>
        <w:rPr>
          <w:sz w:val="24"/>
          <w:szCs w:val="24"/>
          <w:color w:val="auto"/>
        </w:rPr>
      </w:pPr>
    </w:p>
    <w:p>
      <w:pPr>
        <w:sectPr>
          <w:pgSz w:w="11900" w:h="16838" w:orient="portrait"/>
          <w:cols w:equalWidth="0" w:num="2">
            <w:col w:w="6480" w:space="720"/>
            <w:col w:w="3020"/>
          </w:cols>
          <w:pgMar w:left="820" w:top="573" w:right="859" w:bottom="1440" w:gutter="0" w:footer="0" w:header="0"/>
          <w:type w:val="continuous"/>
        </w:sectPr>
      </w:pPr>
    </w:p>
    <w:p>
      <w:pPr>
        <w:ind w:left="1860"/>
        <w:spacing w:after="0" w:line="175"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73" w:lineRule="exact"/>
        <w:rPr>
          <w:sz w:val="24"/>
          <w:szCs w:val="24"/>
          <w:color w:val="auto"/>
        </w:rPr>
      </w:pPr>
    </w:p>
    <w:p>
      <w:pPr>
        <w:sectPr>
          <w:pgSz w:w="11900" w:h="16838" w:orient="portrait"/>
          <w:cols w:equalWidth="0" w:num="2">
            <w:col w:w="6180" w:space="720"/>
            <w:col w:w="3320"/>
          </w:cols>
          <w:pgMar w:left="820" w:top="573" w:right="859" w:bottom="1440" w:gutter="0" w:footer="0" w:header="0"/>
          <w:type w:val="continuous"/>
        </w:sectPr>
      </w:pPr>
    </w:p>
    <w:p>
      <w:pPr>
        <w:ind w:left="6900"/>
        <w:spacing w:after="0" w:line="175"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220"/>
          </w:cols>
          <w:pgMar w:left="820" w:top="573" w:right="859" w:bottom="1440" w:gutter="0" w:footer="0" w:header="0"/>
          <w:type w:val="continuous"/>
        </w:sectPr>
      </w:pPr>
    </w:p>
    <w:p>
      <w:pPr>
        <w:spacing w:after="0" w:line="185" w:lineRule="exact"/>
        <w:rPr>
          <w:sz w:val="24"/>
          <w:szCs w:val="24"/>
          <w:color w:val="auto"/>
        </w:rPr>
      </w:pPr>
    </w:p>
    <w:p>
      <w:pPr>
        <w:ind w:firstLine="269"/>
        <w:spacing w:after="0" w:line="17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left="260"/>
        <w:spacing w:after="0" w:line="175" w:lineRule="exact"/>
        <w:tabs>
          <w:tab w:leader="none" w:pos="68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15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color w:val="auto"/>
        </w:rPr>
        <w:t>As of November 9, 2022, the registrant had outstanding 15,763,341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772160</wp:posOffset>
            </wp:positionV>
            <wp:extent cx="651573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73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6515735"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573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wp:posOffset>
            </wp:positionV>
            <wp:extent cx="65157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735" cy="6985"/>
                    </a:xfrm>
                    <a:prstGeom prst="rect">
                      <a:avLst/>
                    </a:prstGeom>
                    <a:noFill/>
                  </pic:spPr>
                </pic:pic>
              </a:graphicData>
            </a:graphic>
          </wp:anchor>
        </w:drawing>
      </w:r>
    </w:p>
    <w:p>
      <w:pPr>
        <w:sectPr>
          <w:pgSz w:w="11900" w:h="16838" w:orient="portrait"/>
          <w:cols w:equalWidth="0" w:num="1">
            <w:col w:w="10220"/>
          </w:cols>
          <w:pgMar w:left="820" w:top="573" w:right="85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 10-Q</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Quarter Ended September 30, 2022</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3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CAUTIONARY STATEMENT REGARDING FORWARD 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338"/>
        </w:trPr>
        <w:tc>
          <w:tcPr>
            <w:tcW w:w="52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5"/>
                <w:szCs w:val="15"/>
                <w:color w:val="0000EE"/>
              </w:rPr>
              <w:t>PART I—FINANCIAL INFORMATION</w:t>
            </w:r>
          </w:p>
        </w:tc>
        <w:tc>
          <w:tcPr>
            <w:tcW w:w="308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620" w:type="dxa"/>
            <w:vAlign w:val="bottom"/>
            <w:gridSpan w:val="4"/>
          </w:tcPr>
          <w:p>
            <w:pPr>
              <w:spacing w:after="0"/>
              <w:rPr>
                <w:sz w:val="20"/>
                <w:szCs w:val="20"/>
                <w:color w:val="auto"/>
              </w:rPr>
            </w:pPr>
            <w:r>
              <w:rPr>
                <w:rFonts w:ascii="Times New Roman" w:cs="Times New Roman" w:eastAsia="Times New Roman" w:hAnsi="Times New Roman"/>
                <w:sz w:val="15"/>
                <w:szCs w:val="15"/>
                <w:color w:val="0000EE"/>
              </w:rPr>
              <w:t>Item 1</w:t>
            </w: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Unaudited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
        </w:trPr>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5"/>
                <w:szCs w:val="15"/>
                <w:color w:val="0000EE"/>
                <w:w w:val="99"/>
              </w:rPr>
              <w:t>Condensed Consolidated Balance Sheets at September 30, 2022 and December 31, 2021</w:t>
            </w:r>
          </w:p>
        </w:tc>
        <w:tc>
          <w:tcPr>
            <w:tcW w:w="242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Condensed Consolidated Statements of Operations for the Three and Nine Months Ended September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Condensed Consolidated Statements of Comprehensive Income (Loss) for the Three and Nine Months Ended September 30,</w:t>
            </w:r>
          </w:p>
        </w:tc>
        <w:tc>
          <w:tcPr>
            <w:tcW w:w="62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20" w:type="dxa"/>
            <w:vAlign w:val="bottom"/>
            <w:tcBorders>
              <w:top w:val="single" w:sz="8" w:color="0000EE"/>
            </w:tcBorders>
            <w:gridSpan w:val="19"/>
          </w:tcPr>
          <w:p>
            <w:pPr>
              <w:spacing w:after="0" w:line="159" w:lineRule="exact"/>
              <w:rPr>
                <w:sz w:val="20"/>
                <w:szCs w:val="20"/>
                <w:color w:val="auto"/>
              </w:rPr>
            </w:pPr>
            <w:r>
              <w:rPr>
                <w:rFonts w:ascii="Times New Roman" w:cs="Times New Roman" w:eastAsia="Times New Roman" w:hAnsi="Times New Roman"/>
                <w:sz w:val="15"/>
                <w:szCs w:val="15"/>
                <w:color w:val="0000EE"/>
              </w:rPr>
              <w:t>2022 and 2021</w:t>
            </w:r>
          </w:p>
        </w:tc>
        <w:tc>
          <w:tcPr>
            <w:tcW w:w="2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6</w:t>
            </w:r>
          </w:p>
        </w:tc>
      </w:tr>
      <w:tr>
        <w:trPr>
          <w:trHeight w:val="20"/>
        </w:trPr>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Condensed Consolidated Statements of Equity for the Three and Nine Months Ended September 30,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5"/>
                <w:szCs w:val="15"/>
                <w:color w:val="0000EE"/>
                <w:w w:val="99"/>
              </w:rPr>
              <w:t>Condensed Consolidated Statements of Cash Flows for Nine Months Ended September 30, 2022 and 2021</w:t>
            </w:r>
          </w:p>
        </w:tc>
        <w:tc>
          <w:tcPr>
            <w:tcW w:w="540" w:type="dxa"/>
            <w:vAlign w:val="bottom"/>
            <w:tcBorders>
              <w:top w:val="single" w:sz="8" w:color="0000EE"/>
            </w:tcBorders>
          </w:tcPr>
          <w:p>
            <w:pPr>
              <w:spacing w:after="0"/>
              <w:rPr>
                <w:sz w:val="24"/>
                <w:szCs w:val="24"/>
                <w:color w:val="auto"/>
              </w:rPr>
            </w:pPr>
          </w:p>
        </w:tc>
        <w:tc>
          <w:tcPr>
            <w:tcW w:w="80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338"/>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Notes to Unaudited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10-42</w:t>
            </w: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Item 2</w:t>
            </w:r>
          </w:p>
        </w:tc>
        <w:tc>
          <w:tcPr>
            <w:tcW w:w="220" w:type="dxa"/>
            <w:vAlign w:val="bottom"/>
            <w:gridSpan w:val="2"/>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760" w:type="dxa"/>
            <w:vAlign w:val="bottom"/>
            <w:tcBorders>
              <w:left w:val="single" w:sz="8" w:color="0000EE"/>
            </w:tcBorders>
            <w:gridSpan w:val="4"/>
            <w:shd w:val="clear" w:color="auto" w:fill="0000EE"/>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Item 3</w:t>
            </w:r>
          </w:p>
        </w:tc>
        <w:tc>
          <w:tcPr>
            <w:tcW w:w="220" w:type="dxa"/>
            <w:vAlign w:val="bottom"/>
            <w:gridSpan w:val="2"/>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100" w:type="dxa"/>
            <w:vAlign w:val="bottom"/>
            <w:tcBorders>
              <w:left w:val="single" w:sz="8" w:color="0000EE"/>
            </w:tcBorders>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Item 4</w:t>
            </w:r>
          </w:p>
        </w:tc>
        <w:tc>
          <w:tcPr>
            <w:tcW w:w="220" w:type="dxa"/>
            <w:vAlign w:val="bottom"/>
            <w:gridSpan w:val="2"/>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
        </w:trPr>
        <w:tc>
          <w:tcPr>
            <w:tcW w:w="3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8320" w:type="dxa"/>
            <w:vAlign w:val="bottom"/>
            <w:gridSpan w:val="24"/>
          </w:tcPr>
          <w:p>
            <w:pPr>
              <w:spacing w:after="0"/>
              <w:rPr>
                <w:sz w:val="20"/>
                <w:szCs w:val="20"/>
                <w:color w:val="auto"/>
              </w:rPr>
            </w:pPr>
            <w:r>
              <w:rPr>
                <w:rFonts w:ascii="Times New Roman" w:cs="Times New Roman" w:eastAsia="Times New Roman" w:hAnsi="Times New Roman"/>
                <w:sz w:val="15"/>
                <w:szCs w:val="15"/>
                <w:color w:val="0000EE"/>
              </w:rPr>
              <w:t>PART II—OTHER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338"/>
        </w:trPr>
        <w:tc>
          <w:tcPr>
            <w:tcW w:w="4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97"/>
              </w:rPr>
              <w:t>Item 1</w:t>
            </w:r>
          </w:p>
        </w:tc>
        <w:tc>
          <w:tcPr>
            <w:tcW w:w="220" w:type="dxa"/>
            <w:vAlign w:val="bottom"/>
            <w:tcBorders>
              <w:top w:val="single" w:sz="8" w:color="0000EE"/>
            </w:tcBorders>
            <w:gridSpan w:val="2"/>
          </w:tcPr>
          <w:p>
            <w:pPr>
              <w:spacing w:after="0"/>
              <w:rPr>
                <w:sz w:val="24"/>
                <w:szCs w:val="24"/>
                <w:color w:val="auto"/>
              </w:rPr>
            </w:pPr>
          </w:p>
        </w:tc>
        <w:tc>
          <w:tcPr>
            <w:tcW w:w="15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rPr>
              <w:t>Legal Proceedings</w:t>
            </w:r>
          </w:p>
        </w:tc>
        <w:tc>
          <w:tcPr>
            <w:tcW w:w="612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500" w:type="dxa"/>
            <w:vAlign w:val="bottom"/>
            <w:gridSpan w:val="3"/>
          </w:tcPr>
          <w:p>
            <w:pPr>
              <w:spacing w:after="0"/>
              <w:rPr>
                <w:sz w:val="20"/>
                <w:szCs w:val="20"/>
                <w:color w:val="auto"/>
              </w:rPr>
            </w:pPr>
            <w:r>
              <w:rPr>
                <w:rFonts w:ascii="Times New Roman" w:cs="Times New Roman" w:eastAsia="Times New Roman" w:hAnsi="Times New Roman"/>
                <w:sz w:val="15"/>
                <w:szCs w:val="15"/>
                <w:color w:val="0000EE"/>
                <w:w w:val="96"/>
              </w:rPr>
              <w:t>Item 1A</w:t>
            </w: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Item 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100" w:type="dxa"/>
            <w:vAlign w:val="bottom"/>
            <w:gridSpan w:val="8"/>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4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Item 6</w:t>
            </w:r>
          </w:p>
        </w:tc>
        <w:tc>
          <w:tcPr>
            <w:tcW w:w="220" w:type="dxa"/>
            <w:vAlign w:val="bottom"/>
            <w:gridSpan w:val="2"/>
          </w:tcPr>
          <w:p>
            <w:pPr>
              <w:spacing w:after="0"/>
              <w:rPr>
                <w:sz w:val="24"/>
                <w:szCs w:val="24"/>
                <w:color w:val="auto"/>
              </w:rPr>
            </w:pPr>
          </w:p>
        </w:tc>
        <w:tc>
          <w:tcPr>
            <w:tcW w:w="7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0" w:type="dxa"/>
            <w:vAlign w:val="bottom"/>
            <w:gridSpan w:val="1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38"/>
        </w:trPr>
        <w:tc>
          <w:tcPr>
            <w:tcW w:w="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w w:val="96"/>
              </w:rPr>
              <w:t>SIGNATURES</w:t>
            </w:r>
          </w:p>
        </w:tc>
        <w:tc>
          <w:tcPr>
            <w:tcW w:w="7400" w:type="dxa"/>
            <w:vAlign w:val="bottom"/>
            <w:gridSpan w:val="18"/>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371"/>
        </w:trPr>
        <w:tc>
          <w:tcPr>
            <w:tcW w:w="832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CERTIFICATIONS</w:t>
            </w:r>
          </w:p>
        </w:tc>
        <w:tc>
          <w:tcPr>
            <w:tcW w:w="620" w:type="dxa"/>
            <w:vAlign w:val="bottom"/>
          </w:tcPr>
          <w:p>
            <w:pPr>
              <w:spacing w:after="0"/>
              <w:rPr>
                <w:sz w:val="24"/>
                <w:szCs w:val="24"/>
                <w:color w:val="auto"/>
              </w:rPr>
            </w:pPr>
          </w:p>
        </w:tc>
      </w:tr>
      <w:tr>
        <w:trPr>
          <w:trHeight w:val="907"/>
        </w:trPr>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gridSpan w:val="12"/>
          </w:tcPr>
          <w:p>
            <w:pPr>
              <w:ind w:left="3800"/>
              <w:spacing w:after="0"/>
              <w:rPr>
                <w:sz w:val="20"/>
                <w:szCs w:val="20"/>
                <w:color w:val="auto"/>
              </w:rPr>
            </w:pPr>
            <w:r>
              <w:rPr>
                <w:rFonts w:ascii="Times New Roman" w:cs="Times New Roman" w:eastAsia="Times New Roman" w:hAnsi="Times New Roman"/>
                <w:sz w:val="15"/>
                <w:szCs w:val="15"/>
                <w:color w:val="auto"/>
              </w:rPr>
              <w:t>2</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62"/>
        </w:trPr>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190" w:lineRule="exact"/>
        <w:rPr>
          <w:sz w:val="20"/>
          <w:szCs w:val="20"/>
          <w:color w:val="auto"/>
        </w:rPr>
      </w:pPr>
    </w:p>
    <w:p>
      <w:pPr>
        <w:jc w:val="both"/>
        <w:ind w:left="40" w:right="39" w:firstLine="538"/>
        <w:spacing w:after="0" w:line="250" w:lineRule="auto"/>
        <w:rPr>
          <w:sz w:val="20"/>
          <w:szCs w:val="20"/>
          <w:color w:val="auto"/>
        </w:rPr>
      </w:pPr>
      <w:r>
        <w:rPr>
          <w:rFonts w:ascii="Times New Roman" w:cs="Times New Roman" w:eastAsia="Times New Roman" w:hAnsi="Times New Roman"/>
          <w:sz w:val="15"/>
          <w:szCs w:val="15"/>
          <w:color w:val="auto"/>
        </w:rPr>
        <w:t>This Quarterly Report on Form 10-Q (or the “Report”) contains forward-looking statements relating to, among other matters, our future financial performance and results of operations, including our expectations regarding the benefits of our acquisition of Alaska Communications; the impact of federal support program revenues; expectations regarding future revenue, operating income, EBITDA and capital expenditures; the competitive environment in our key markets, demand for our services and industry trends; our expectations regarding construction progress under our agreement as part of the FirstNet Transaction and the effect such progress will have on our financial results;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our ability to successfully transition our U.S. Telecom business away from wholesale wireless to other carrier and consumer-based services; (2) our ability to replace and remove all ZTE equipment in our U.S. network, as required by the FCC in a timely and cost-effective manner; (3) the general performance of our operations, including operating margins, revenues, capital expenditures, and the retention of and future growth of our subscriber base and average revenue per user; (4) our ability to realize cost synergies and expansion plans for our newly acquired Alaska Communications business; (5) our ability to satisfy the needs and demands of our major carrier customers; (6) our ability to efficiently and cost-effectively upgrade our networks and IT platforms to address rapid and significant technological changes in the telecommunications industry; (7) government funding and subsidy program availability and regulation of our businesses, which may impact our revenue, expansion plans and operating costs; (8) our reliance on a limited number of key suppliers and vendors for timely supply of equipment and services relating to our network infrastructure; (9) economic, political and other risks and opportunities facing our operations, including those resulting from the pandemic, geopolitical tensions, including the invasion of Ukraine, and from inflation, including increased costs and supply chain disruptions; (10) the loss of or an inability to recruit skilled personnel in our various jurisdictions, including key members of management; (11) our ability to find investment or acquisition or disposition opportunities that fit our strategic goals; (12) the occurrence of weather events and natural catastrophes and our ability to secure the appropriate level of insurance coverage for our assets; (13) increased competition; (14) the adequacy and expansion capabilities of our network capacity and customer service system to support our customer growth; (15) our continued access to capital and credit markets; 16) our ability to successfully recognize the expected benefits of our acquisition of Sacred Wind Enterprises. These and other additional factors that may cause actual future events and results to differ materially from the events and results indicated in the forward-looking statements above are set forth more fully under Item 1A “Risk Factors” in each of our Annual Report on Form 10-K for the year ended December 31, 2021, filed with the SEC on March 16, 2022, our Quarterly Report on Form 10-Q, filed with the SEC on August 8, 2022, and the other reports we file from time to time with the SEC. We undertake no obligation and have no intention to update these forward-looking statements to reflect actual results, changes in assumptions or changes in other factors that may affect such forward-looking statements, except as required by law.</w:t>
      </w:r>
    </w:p>
    <w:p>
      <w:pPr>
        <w:spacing w:after="0" w:line="167" w:lineRule="exact"/>
        <w:rPr>
          <w:sz w:val="20"/>
          <w:szCs w:val="20"/>
          <w:color w:val="auto"/>
        </w:rPr>
      </w:pPr>
    </w:p>
    <w:p>
      <w:pPr>
        <w:ind w:left="40" w:right="299" w:firstLine="538"/>
        <w:spacing w:after="0" w:line="277" w:lineRule="auto"/>
        <w:rPr>
          <w:sz w:val="20"/>
          <w:szCs w:val="20"/>
          <w:color w:val="auto"/>
        </w:rPr>
      </w:pPr>
      <w:r>
        <w:rPr>
          <w:rFonts w:ascii="Times New Roman" w:cs="Times New Roman" w:eastAsia="Times New Roman" w:hAnsi="Times New Roman"/>
          <w:sz w:val="15"/>
          <w:szCs w:val="15"/>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I—FINANCIAL INFORMATION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Item 1.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6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676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ind w:left="3060"/>
              <w:spacing w:after="0" w:line="115" w:lineRule="exact"/>
              <w:rPr>
                <w:sz w:val="20"/>
                <w:szCs w:val="20"/>
                <w:color w:val="auto"/>
              </w:rPr>
            </w:pPr>
            <w:r>
              <w:rPr>
                <w:rFonts w:ascii="Times New Roman" w:cs="Times New Roman" w:eastAsia="Times New Roman" w:hAnsi="Times New Roman"/>
                <w:sz w:val="12"/>
                <w:szCs w:val="12"/>
                <w:b w:val="1"/>
                <w:bCs w:val="1"/>
                <w:color w:val="auto"/>
              </w:rPr>
              <w:t>ASSETS</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7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Current Assets: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Cash and cash equivalents</w:t>
            </w:r>
          </w:p>
        </w:tc>
        <w:tc>
          <w:tcPr>
            <w:tcW w:w="46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76,714</w:t>
            </w:r>
          </w:p>
        </w:tc>
        <w:tc>
          <w:tcPr>
            <w:tcW w:w="20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79,601</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Restricted cash</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1,096</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Short-term investments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Accounts receivable, net of allowances for credit losses of $16.1 million and $13.9 million, respectively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72,682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73,701</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Customer receivable</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4,813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4,145</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Inventory, materials and supplies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12,434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10,177</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Prepayments and other current assets</w:t>
            </w:r>
          </w:p>
        </w:tc>
        <w:tc>
          <w:tcPr>
            <w:tcW w:w="4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64,486</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63,597</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current assets</w:t>
            </w:r>
          </w:p>
        </w:tc>
        <w:tc>
          <w:tcPr>
            <w:tcW w:w="4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232,524</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232,617</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Fixed Assets:</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Property, plant and equipment</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1,840,088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1,748,092</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Less accumulated depreciation</w:t>
            </w:r>
          </w:p>
        </w:tc>
        <w:tc>
          <w:tcPr>
            <w:tcW w:w="4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(890,281)</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(804,883)</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2"/>
                <w:szCs w:val="12"/>
                <w:color w:val="auto"/>
              </w:rPr>
              <w:t>Net fixed assets</w:t>
            </w:r>
          </w:p>
        </w:tc>
        <w:tc>
          <w:tcPr>
            <w:tcW w:w="4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949,807</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943,209</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Telecommunication licenses, net</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112,630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113,766</w:t>
            </w:r>
          </w:p>
        </w:tc>
        <w:tc>
          <w:tcPr>
            <w:tcW w:w="0" w:type="dxa"/>
            <w:vAlign w:val="bottom"/>
          </w:tcPr>
          <w:p>
            <w:pPr>
              <w:spacing w:after="0"/>
              <w:rPr>
                <w:sz w:val="1"/>
                <w:szCs w:val="1"/>
                <w:color w:val="auto"/>
              </w:rPr>
            </w:pPr>
          </w:p>
        </w:tc>
      </w:tr>
      <w:tr>
        <w:trPr>
          <w:trHeight w:val="123"/>
        </w:trPr>
        <w:tc>
          <w:tcPr>
            <w:tcW w:w="67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40,104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40,104</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Intangible assets, net</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34,641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44,294</w:t>
            </w:r>
          </w:p>
        </w:tc>
        <w:tc>
          <w:tcPr>
            <w:tcW w:w="0" w:type="dxa"/>
            <w:vAlign w:val="bottom"/>
          </w:tcPr>
          <w:p>
            <w:pPr>
              <w:spacing w:after="0"/>
              <w:rPr>
                <w:sz w:val="1"/>
                <w:szCs w:val="1"/>
                <w:color w:val="auto"/>
              </w:rPr>
            </w:pPr>
          </w:p>
        </w:tc>
      </w:tr>
      <w:tr>
        <w:trPr>
          <w:trHeight w:val="123"/>
        </w:trPr>
        <w:tc>
          <w:tcPr>
            <w:tcW w:w="67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Operating lease right-of-use assets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109,564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118,843</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Customer receivable - long term</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43,382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39,652</w:t>
            </w:r>
          </w:p>
        </w:tc>
        <w:tc>
          <w:tcPr>
            <w:tcW w:w="0" w:type="dxa"/>
            <w:vAlign w:val="bottom"/>
          </w:tcPr>
          <w:p>
            <w:pPr>
              <w:spacing w:after="0"/>
              <w:rPr>
                <w:sz w:val="1"/>
                <w:szCs w:val="1"/>
                <w:color w:val="auto"/>
              </w:rPr>
            </w:pPr>
          </w:p>
        </w:tc>
      </w:tr>
      <w:tr>
        <w:trPr>
          <w:trHeight w:val="123"/>
        </w:trPr>
        <w:tc>
          <w:tcPr>
            <w:tcW w:w="676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color w:val="auto"/>
              </w:rPr>
              <w:t>Other assets</w:t>
            </w:r>
          </w:p>
        </w:tc>
        <w:tc>
          <w:tcPr>
            <w:tcW w:w="4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72,548</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76,119</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shd w:val="clear" w:color="auto" w:fill="CCEEFF"/>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assets</w:t>
            </w:r>
          </w:p>
        </w:tc>
        <w:tc>
          <w:tcPr>
            <w:tcW w:w="4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1,595,200</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1,608,604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100"/>
              <w:spacing w:after="0" w:line="137" w:lineRule="exact"/>
              <w:rPr>
                <w:sz w:val="20"/>
                <w:szCs w:val="20"/>
                <w:color w:val="auto"/>
              </w:rPr>
            </w:pPr>
            <w:r>
              <w:rPr>
                <w:rFonts w:ascii="Times New Roman" w:cs="Times New Roman" w:eastAsia="Times New Roman" w:hAnsi="Times New Roman"/>
                <w:sz w:val="12"/>
                <w:szCs w:val="12"/>
                <w:b w:val="1"/>
                <w:bCs w:val="1"/>
                <w:color w:val="auto"/>
              </w:rPr>
              <w:t>LIABILITIES, REDEEMABLE NONCONTROLLING INTERESTS AND EQUITY</w:t>
            </w: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7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Current Liabilities: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4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3,786</w:t>
            </w:r>
          </w:p>
        </w:tc>
        <w:tc>
          <w:tcPr>
            <w:tcW w:w="2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4,665</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Current portion of customer receivable credit facility</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5,696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4,620</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Accounts payable and accrued liabilities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143,292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151,463</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Dividends payable</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2,680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2,672</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Accrued taxes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6,309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5,681</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Current portion of lease liabilities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17,399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16,201</w:t>
            </w:r>
          </w:p>
        </w:tc>
        <w:tc>
          <w:tcPr>
            <w:tcW w:w="0" w:type="dxa"/>
            <w:vAlign w:val="bottom"/>
          </w:tcPr>
          <w:p>
            <w:pPr>
              <w:spacing w:after="0"/>
              <w:rPr>
                <w:sz w:val="1"/>
                <w:szCs w:val="1"/>
                <w:color w:val="auto"/>
              </w:rPr>
            </w:pPr>
          </w:p>
        </w:tc>
      </w:tr>
      <w:tr>
        <w:trPr>
          <w:trHeight w:val="123"/>
        </w:trPr>
        <w:tc>
          <w:tcPr>
            <w:tcW w:w="6760" w:type="dxa"/>
            <w:vAlign w:val="bottom"/>
            <w:tcBorders>
              <w:bottom w:val="single" w:sz="8" w:color="CCEEFF"/>
            </w:tcBorders>
          </w:tcPr>
          <w:p>
            <w:pPr>
              <w:ind w:left="180"/>
              <w:spacing w:after="0" w:line="124" w:lineRule="exact"/>
              <w:rPr>
                <w:sz w:val="20"/>
                <w:szCs w:val="20"/>
                <w:color w:val="auto"/>
              </w:rPr>
            </w:pPr>
            <w:r>
              <w:rPr>
                <w:rFonts w:ascii="Times New Roman" w:cs="Times New Roman" w:eastAsia="Times New Roman" w:hAnsi="Times New Roman"/>
                <w:sz w:val="12"/>
                <w:szCs w:val="12"/>
                <w:color w:val="auto"/>
              </w:rPr>
              <w:t>Advance payments and deposits</w:t>
            </w:r>
          </w:p>
        </w:tc>
        <w:tc>
          <w:tcPr>
            <w:tcW w:w="4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33,694</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35,642</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current liabilities</w:t>
            </w:r>
          </w:p>
        </w:tc>
        <w:tc>
          <w:tcPr>
            <w:tcW w:w="4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212,856</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220,944</w:t>
            </w:r>
          </w:p>
        </w:tc>
        <w:tc>
          <w:tcPr>
            <w:tcW w:w="0" w:type="dxa"/>
            <w:vAlign w:val="bottom"/>
          </w:tcPr>
          <w:p>
            <w:pPr>
              <w:spacing w:after="0"/>
              <w:rPr>
                <w:sz w:val="1"/>
                <w:szCs w:val="1"/>
                <w:color w:val="auto"/>
              </w:rPr>
            </w:pPr>
          </w:p>
        </w:tc>
      </w:tr>
      <w:tr>
        <w:trPr>
          <w:trHeight w:val="114"/>
        </w:trPr>
        <w:tc>
          <w:tcPr>
            <w:tcW w:w="67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Deferred income taxes</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auto"/>
              </w:rPr>
              <w:t>15,653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21,460</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Lease liabilities, excluding current portion</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83,489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91,719</w:t>
            </w:r>
          </w:p>
        </w:tc>
        <w:tc>
          <w:tcPr>
            <w:tcW w:w="0" w:type="dxa"/>
            <w:vAlign w:val="bottom"/>
          </w:tcPr>
          <w:p>
            <w:pPr>
              <w:spacing w:after="0"/>
              <w:rPr>
                <w:sz w:val="1"/>
                <w:szCs w:val="1"/>
                <w:color w:val="auto"/>
              </w:rPr>
            </w:pPr>
          </w:p>
        </w:tc>
      </w:tr>
      <w:tr>
        <w:trPr>
          <w:trHeight w:val="123"/>
        </w:trPr>
        <w:tc>
          <w:tcPr>
            <w:tcW w:w="676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Other liabilities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134,713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142,033</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Customer receivable credit facility, net of current portion</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37,841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30,148</w:t>
            </w:r>
          </w:p>
        </w:tc>
        <w:tc>
          <w:tcPr>
            <w:tcW w:w="0" w:type="dxa"/>
            <w:vAlign w:val="bottom"/>
          </w:tcPr>
          <w:p>
            <w:pPr>
              <w:spacing w:after="0"/>
              <w:rPr>
                <w:sz w:val="1"/>
                <w:szCs w:val="1"/>
                <w:color w:val="auto"/>
              </w:rPr>
            </w:pPr>
          </w:p>
        </w:tc>
      </w:tr>
      <w:tr>
        <w:trPr>
          <w:trHeight w:val="123"/>
        </w:trPr>
        <w:tc>
          <w:tcPr>
            <w:tcW w:w="676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2"/>
                <w:szCs w:val="12"/>
                <w:color w:val="auto"/>
              </w:rPr>
              <w:t>Long-term debt, excluding current portion</w:t>
            </w:r>
          </w:p>
        </w:tc>
        <w:tc>
          <w:tcPr>
            <w:tcW w:w="4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351,867</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327,111</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liabilities</w:t>
            </w:r>
          </w:p>
        </w:tc>
        <w:tc>
          <w:tcPr>
            <w:tcW w:w="4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836,419</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833,415</w:t>
            </w:r>
          </w:p>
        </w:tc>
        <w:tc>
          <w:tcPr>
            <w:tcW w:w="0" w:type="dxa"/>
            <w:vAlign w:val="bottom"/>
          </w:tcPr>
          <w:p>
            <w:pPr>
              <w:spacing w:after="0"/>
              <w:rPr>
                <w:sz w:val="1"/>
                <w:szCs w:val="1"/>
                <w:color w:val="auto"/>
              </w:rPr>
            </w:pPr>
          </w:p>
        </w:tc>
      </w:tr>
      <w:tr>
        <w:trPr>
          <w:trHeight w:val="114"/>
        </w:trPr>
        <w:tc>
          <w:tcPr>
            <w:tcW w:w="676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Commitments and contingencies (Note 14)</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Redeemable noncontrolling interests:</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Preferred redeemable noncontrolling interests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53,758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50,296</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Common redeemable noncontrolling interests</w:t>
            </w:r>
          </w:p>
        </w:tc>
        <w:tc>
          <w:tcPr>
            <w:tcW w:w="4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22,640</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22,640</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redeemable noncontrolling interests</w:t>
            </w:r>
          </w:p>
        </w:tc>
        <w:tc>
          <w:tcPr>
            <w:tcW w:w="4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76,398</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72,936</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ATN International, Inc. Stockholders’ Equity:</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Preferred stock, $0.01 par value per share; 10,000,000 shares authorized, none issued and outstanding</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6"/>
        </w:trPr>
        <w:tc>
          <w:tcPr>
            <w:tcW w:w="6760" w:type="dxa"/>
            <w:vAlign w:val="bottom"/>
            <w:shd w:val="clear" w:color="auto" w:fill="CCEEFF"/>
          </w:tcPr>
          <w:p>
            <w:pPr>
              <w:ind w:left="180"/>
              <w:spacing w:after="0" w:line="106" w:lineRule="exact"/>
              <w:rPr>
                <w:sz w:val="20"/>
                <w:szCs w:val="20"/>
                <w:color w:val="auto"/>
              </w:rPr>
            </w:pPr>
            <w:r>
              <w:rPr>
                <w:rFonts w:ascii="Times New Roman" w:cs="Times New Roman" w:eastAsia="Times New Roman" w:hAnsi="Times New Roman"/>
                <w:sz w:val="12"/>
                <w:szCs w:val="12"/>
                <w:color w:val="auto"/>
              </w:rPr>
              <w:t>Common stock, $0.01 par value per share; 50,000,000 shares authorized; 17,584,057 and 17,476,542 shares issued, respectively,</w:t>
            </w: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172</w:t>
            </w:r>
          </w:p>
        </w:tc>
        <w:tc>
          <w:tcPr>
            <w:tcW w:w="0" w:type="dxa"/>
            <w:vAlign w:val="bottom"/>
          </w:tcPr>
          <w:p>
            <w:pPr>
              <w:spacing w:after="0"/>
              <w:rPr>
                <w:sz w:val="1"/>
                <w:szCs w:val="1"/>
                <w:color w:val="auto"/>
              </w:rPr>
            </w:pPr>
          </w:p>
        </w:tc>
      </w:tr>
      <w:tr>
        <w:trPr>
          <w:trHeight w:val="141"/>
        </w:trPr>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15,763,341 and 15,712,941 shares outstanding, respectively</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Treasury stock, at cost; 1,820,716 and 1,763,601 shares, respectively</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(73,828)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(71,714)</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Additional paid-in capital</w:t>
            </w: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196,903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192,132</w:t>
            </w:r>
          </w:p>
        </w:tc>
        <w:tc>
          <w:tcPr>
            <w:tcW w:w="0" w:type="dxa"/>
            <w:vAlign w:val="bottom"/>
          </w:tcPr>
          <w:p>
            <w:pPr>
              <w:spacing w:after="0"/>
              <w:rPr>
                <w:sz w:val="1"/>
                <w:szCs w:val="1"/>
                <w:color w:val="auto"/>
              </w:rPr>
            </w:pPr>
          </w:p>
        </w:tc>
      </w:tr>
      <w:tr>
        <w:trPr>
          <w:trHeight w:val="123"/>
        </w:trPr>
        <w:tc>
          <w:tcPr>
            <w:tcW w:w="676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Retained earnings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457,373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475,887</w:t>
            </w:r>
          </w:p>
        </w:tc>
        <w:tc>
          <w:tcPr>
            <w:tcW w:w="0" w:type="dxa"/>
            <w:vAlign w:val="bottom"/>
          </w:tcPr>
          <w:p>
            <w:pPr>
              <w:spacing w:after="0"/>
              <w:rPr>
                <w:sz w:val="1"/>
                <w:szCs w:val="1"/>
                <w:color w:val="auto"/>
              </w:rPr>
            </w:pPr>
          </w:p>
        </w:tc>
      </w:tr>
      <w:tr>
        <w:trPr>
          <w:trHeight w:val="123"/>
        </w:trPr>
        <w:tc>
          <w:tcPr>
            <w:tcW w:w="676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4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3,840</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4,773</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ATN International, Inc. stockholders’ equity</w:t>
            </w:r>
          </w:p>
        </w:tc>
        <w:tc>
          <w:tcPr>
            <w:tcW w:w="4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584,460</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601,250</w:t>
            </w:r>
          </w:p>
        </w:tc>
        <w:tc>
          <w:tcPr>
            <w:tcW w:w="0" w:type="dxa"/>
            <w:vAlign w:val="bottom"/>
          </w:tcPr>
          <w:p>
            <w:pPr>
              <w:spacing w:after="0"/>
              <w:rPr>
                <w:sz w:val="1"/>
                <w:szCs w:val="1"/>
                <w:color w:val="auto"/>
              </w:rPr>
            </w:pPr>
          </w:p>
        </w:tc>
      </w:tr>
      <w:tr>
        <w:trPr>
          <w:trHeight w:val="114"/>
        </w:trPr>
        <w:tc>
          <w:tcPr>
            <w:tcW w:w="676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Noncontrolling interests</w:t>
            </w:r>
          </w:p>
        </w:tc>
        <w:tc>
          <w:tcPr>
            <w:tcW w:w="40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97,923</w:t>
            </w:r>
          </w:p>
        </w:tc>
        <w:tc>
          <w:tcPr>
            <w:tcW w:w="1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101,003</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tcPr>
          <w:p>
            <w:pPr>
              <w:spacing w:after="0" w:line="115" w:lineRule="exact"/>
              <w:rPr>
                <w:sz w:val="20"/>
                <w:szCs w:val="20"/>
                <w:color w:val="auto"/>
              </w:rPr>
            </w:pPr>
            <w:r>
              <w:rPr>
                <w:rFonts w:ascii="Times New Roman" w:cs="Times New Roman" w:eastAsia="Times New Roman" w:hAnsi="Times New Roman"/>
                <w:sz w:val="12"/>
                <w:szCs w:val="12"/>
                <w:color w:val="auto"/>
              </w:rPr>
              <w:t>Total equity</w:t>
            </w:r>
          </w:p>
        </w:tc>
        <w:tc>
          <w:tcPr>
            <w:tcW w:w="40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682,383</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702,253</w:t>
            </w:r>
          </w:p>
        </w:tc>
        <w:tc>
          <w:tcPr>
            <w:tcW w:w="0" w:type="dxa"/>
            <w:vAlign w:val="bottom"/>
          </w:tcPr>
          <w:p>
            <w:pPr>
              <w:spacing w:after="0"/>
              <w:rPr>
                <w:sz w:val="1"/>
                <w:szCs w:val="1"/>
                <w:color w:val="auto"/>
              </w:rPr>
            </w:pPr>
          </w:p>
        </w:tc>
      </w:tr>
      <w:tr>
        <w:trPr>
          <w:trHeight w:val="114"/>
        </w:trPr>
        <w:tc>
          <w:tcPr>
            <w:tcW w:w="676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Total liabilities, redeemable noncontrolling interests and equity</w:t>
            </w:r>
          </w:p>
        </w:tc>
        <w:tc>
          <w:tcPr>
            <w:tcW w:w="4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1,595,200</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1"/>
              <w:spacing w:after="0" w:line="115" w:lineRule="exact"/>
              <w:rPr>
                <w:sz w:val="20"/>
                <w:szCs w:val="20"/>
                <w:color w:val="auto"/>
              </w:rPr>
            </w:pPr>
            <w:r>
              <w:rPr>
                <w:rFonts w:ascii="Times New Roman" w:cs="Times New Roman" w:eastAsia="Times New Roman" w:hAnsi="Times New Roman"/>
                <w:sz w:val="12"/>
                <w:szCs w:val="12"/>
                <w:color w:val="auto"/>
              </w:rPr>
              <w:t>1,608,604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consolidated financial statements</w:t>
      </w:r>
      <w:r>
        <w:rPr>
          <w:rFonts w:ascii="Times New Roman" w:cs="Times New Roman" w:eastAsia="Times New Roman" w:hAnsi="Times New Roman"/>
          <w:sz w:val="11"/>
          <w:szCs w:val="11"/>
          <w:color w:val="auto"/>
        </w:rPr>
        <w:t>.</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THREE AND NINE MONTHS ENDED SEPTEMBER 30,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 Except Per Share Data)</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0" w:type="dxa"/>
            <w:vAlign w:val="bottom"/>
          </w:tcPr>
          <w:p>
            <w:pPr>
              <w:spacing w:after="0"/>
              <w:rPr>
                <w:sz w:val="1"/>
                <w:szCs w:val="1"/>
                <w:color w:val="auto"/>
              </w:rPr>
            </w:pPr>
          </w:p>
        </w:tc>
      </w:tr>
      <w:tr>
        <w:trPr>
          <w:trHeight w:val="130"/>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4"/>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0" w:type="dxa"/>
            <w:vAlign w:val="bottom"/>
          </w:tcPr>
          <w:p>
            <w:pPr>
              <w:spacing w:after="0"/>
              <w:rPr>
                <w:sz w:val="1"/>
                <w:szCs w:val="1"/>
                <w:color w:val="auto"/>
              </w:rPr>
            </w:pPr>
          </w:p>
        </w:tc>
      </w:tr>
      <w:tr>
        <w:trPr>
          <w:trHeight w:val="103"/>
        </w:trPr>
        <w:tc>
          <w:tcPr>
            <w:tcW w:w="59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ind w:left="100"/>
              <w:spacing w:after="0" w:line="10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41"/>
              <w:spacing w:after="0" w:line="104"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62"/>
              <w:spacing w:after="0" w:line="104" w:lineRule="exact"/>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top w:val="single" w:sz="8" w:color="auto"/>
              <w:bottom w:val="single" w:sz="8" w:color="CCEEFF"/>
            </w:tcBorders>
          </w:tcPr>
          <w:p>
            <w:pPr>
              <w:spacing w:after="0"/>
              <w:rPr>
                <w:sz w:val="8"/>
                <w:szCs w:val="8"/>
                <w:color w:val="auto"/>
              </w:rPr>
            </w:pPr>
          </w:p>
        </w:tc>
        <w:tc>
          <w:tcPr>
            <w:tcW w:w="2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61"/>
              <w:spacing w:after="0" w:line="104" w:lineRule="exact"/>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59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REVENUE:</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9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Communication services</w:t>
            </w:r>
          </w:p>
        </w:tc>
        <w:tc>
          <w:tcPr>
            <w:tcW w:w="200" w:type="dxa"/>
            <w:vAlign w:val="bottom"/>
            <w:gridSpan w:val="2"/>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173,977</w:t>
            </w:r>
          </w:p>
        </w:tc>
        <w:tc>
          <w:tcPr>
            <w:tcW w:w="240" w:type="dxa"/>
            <w:vAlign w:val="bottom"/>
            <w:gridSpan w:val="2"/>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155,298</w:t>
            </w:r>
          </w:p>
        </w:tc>
        <w:tc>
          <w:tcPr>
            <w:tcW w:w="260" w:type="dxa"/>
            <w:vAlign w:val="bottom"/>
            <w:gridSpan w:val="2"/>
          </w:tcPr>
          <w:p>
            <w:pPr>
              <w:jc w:val="right"/>
              <w:ind w:right="2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512,315</w:t>
            </w:r>
          </w:p>
        </w:tc>
        <w:tc>
          <w:tcPr>
            <w:tcW w:w="120" w:type="dxa"/>
            <w:vAlign w:val="bottom"/>
          </w:tcPr>
          <w:p>
            <w:pPr>
              <w:spacing w:after="0"/>
              <w:rPr>
                <w:sz w:val="10"/>
                <w:szCs w:val="10"/>
                <w:color w:val="auto"/>
              </w:rPr>
            </w:pPr>
          </w:p>
        </w:tc>
        <w:tc>
          <w:tcPr>
            <w:tcW w:w="140" w:type="dxa"/>
            <w:vAlign w:val="bottom"/>
            <w:gridSpan w:val="2"/>
          </w:tcPr>
          <w:p>
            <w:pPr>
              <w:jc w:val="right"/>
              <w:ind w:right="56"/>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378,897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Construction</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3,332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6,417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8,615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28,049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tcBorders>
              <w:bottom w:val="single" w:sz="8" w:color="CCEEFF"/>
            </w:tcBorders>
          </w:tcPr>
          <w:p>
            <w:pPr>
              <w:ind w:left="180"/>
              <w:spacing w:after="0" w:line="124" w:lineRule="exact"/>
              <w:rPr>
                <w:sz w:val="20"/>
                <w:szCs w:val="20"/>
                <w:color w:val="auto"/>
              </w:rPr>
            </w:pPr>
            <w:r>
              <w:rPr>
                <w:rFonts w:ascii="Times New Roman" w:cs="Times New Roman" w:eastAsia="Times New Roman" w:hAnsi="Times New Roman"/>
                <w:sz w:val="12"/>
                <w:szCs w:val="12"/>
                <w:color w:val="auto"/>
              </w:rPr>
              <w:t>Other</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4,904</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5,045</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12,800</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8,189</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90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2"/>
                <w:szCs w:val="12"/>
                <w:color w:val="auto"/>
              </w:rPr>
              <w:t>Total revenue</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2"/>
              <w:spacing w:after="0" w:line="115" w:lineRule="exact"/>
              <w:rPr>
                <w:sz w:val="20"/>
                <w:szCs w:val="20"/>
                <w:color w:val="auto"/>
              </w:rPr>
            </w:pPr>
            <w:r>
              <w:rPr>
                <w:rFonts w:ascii="Times New Roman" w:cs="Times New Roman" w:eastAsia="Times New Roman" w:hAnsi="Times New Roman"/>
                <w:sz w:val="12"/>
                <w:szCs w:val="12"/>
                <w:color w:val="auto"/>
              </w:rPr>
              <w:t>182,213</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166,760</w:t>
            </w: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533,730</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415,135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90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b w:val="1"/>
                <w:bCs w:val="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Cost of communication services and other</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78,949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70,732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229,821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168,717</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Cost of construction revenue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3,321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5,855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8,640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27,997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Selling, general and administrative</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58,056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53,360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173,575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131,705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Transaction-related charges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3,416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5,696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4,381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7,823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33,312</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28,875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100,421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68,693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3,236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3,480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9,744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4,324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(Gain) Loss on disposition of long-lived assets</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484</w:t>
            </w:r>
          </w:p>
        </w:tc>
        <w:tc>
          <w:tcPr>
            <w:tcW w:w="1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(256)</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3,876</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605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900" w:type="dxa"/>
            <w:vAlign w:val="bottom"/>
            <w:tcBorders>
              <w:bottom w:val="single" w:sz="8" w:color="CCEEFF"/>
            </w:tcBorders>
          </w:tcPr>
          <w:p>
            <w:pPr>
              <w:ind w:left="180"/>
              <w:spacing w:after="0" w:line="115" w:lineRule="exact"/>
              <w:rPr>
                <w:sz w:val="20"/>
                <w:szCs w:val="20"/>
                <w:color w:val="auto"/>
              </w:rPr>
            </w:pPr>
            <w:r>
              <w:rPr>
                <w:rFonts w:ascii="Times New Roman" w:cs="Times New Roman" w:eastAsia="Times New Roman" w:hAnsi="Times New Roman"/>
                <w:sz w:val="12"/>
                <w:szCs w:val="12"/>
                <w:color w:val="auto"/>
              </w:rPr>
              <w:t>Total operating expenses</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
              <w:spacing w:after="0" w:line="115" w:lineRule="exact"/>
              <w:rPr>
                <w:sz w:val="20"/>
                <w:szCs w:val="20"/>
                <w:color w:val="auto"/>
              </w:rPr>
            </w:pPr>
            <w:r>
              <w:rPr>
                <w:rFonts w:ascii="Times New Roman" w:cs="Times New Roman" w:eastAsia="Times New Roman" w:hAnsi="Times New Roman"/>
                <w:sz w:val="12"/>
                <w:szCs w:val="12"/>
                <w:color w:val="auto"/>
              </w:rPr>
              <w:t>180,774</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167,742</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530,458</w:t>
            </w: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409,864</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900" w:type="dxa"/>
            <w:vAlign w:val="bottom"/>
            <w:shd w:val="clear" w:color="auto" w:fill="CCEEFF"/>
          </w:tcPr>
          <w:p>
            <w:pPr>
              <w:ind w:left="260"/>
              <w:spacing w:after="0" w:line="115" w:lineRule="exact"/>
              <w:rPr>
                <w:sz w:val="20"/>
                <w:szCs w:val="20"/>
                <w:color w:val="auto"/>
              </w:rPr>
            </w:pPr>
            <w:r>
              <w:rPr>
                <w:rFonts w:ascii="Times New Roman" w:cs="Times New Roman" w:eastAsia="Times New Roman" w:hAnsi="Times New Roman"/>
                <w:sz w:val="12"/>
                <w:szCs w:val="12"/>
                <w:color w:val="auto"/>
              </w:rPr>
              <w:t>Income from operations</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jc w:val="right"/>
              <w:ind w:right="2"/>
              <w:spacing w:after="0" w:line="115" w:lineRule="exact"/>
              <w:rPr>
                <w:sz w:val="20"/>
                <w:szCs w:val="20"/>
                <w:color w:val="auto"/>
              </w:rPr>
            </w:pPr>
            <w:r>
              <w:rPr>
                <w:rFonts w:ascii="Times New Roman" w:cs="Times New Roman" w:eastAsia="Times New Roman" w:hAnsi="Times New Roman"/>
                <w:sz w:val="12"/>
                <w:szCs w:val="12"/>
                <w:color w:val="auto"/>
              </w:rPr>
              <w:t>1,439</w:t>
            </w:r>
          </w:p>
        </w:tc>
        <w:tc>
          <w:tcPr>
            <w:tcW w:w="1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(982)</w:t>
            </w:r>
          </w:p>
        </w:tc>
        <w:tc>
          <w:tcPr>
            <w:tcW w:w="1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3,272</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5,271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900" w:type="dxa"/>
            <w:vAlign w:val="bottom"/>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41</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tcPr>
          <w:p>
            <w:pPr>
              <w:ind w:left="180"/>
              <w:spacing w:after="0" w:line="124" w:lineRule="exact"/>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(5,513)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(3,438)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(13,107)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Other income</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1,904</w:t>
            </w: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(385)</w:t>
            </w:r>
          </w:p>
        </w:tc>
        <w:tc>
          <w:tcPr>
            <w:tcW w:w="1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3,379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1,923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900" w:type="dxa"/>
            <w:vAlign w:val="bottom"/>
            <w:tcBorders>
              <w:bottom w:val="single" w:sz="8" w:color="CCEEFF"/>
            </w:tcBorders>
          </w:tcPr>
          <w:p>
            <w:pPr>
              <w:ind w:left="260"/>
              <w:spacing w:after="0" w:line="115" w:lineRule="exact"/>
              <w:rPr>
                <w:sz w:val="20"/>
                <w:szCs w:val="20"/>
                <w:color w:val="auto"/>
              </w:rPr>
            </w:pPr>
            <w:r>
              <w:rPr>
                <w:rFonts w:ascii="Times New Roman" w:cs="Times New Roman" w:eastAsia="Times New Roman" w:hAnsi="Times New Roman"/>
                <w:sz w:val="12"/>
                <w:szCs w:val="12"/>
                <w:color w:val="auto"/>
              </w:rPr>
              <w:t>Other income (expense), net</w:t>
            </w: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(3,571)</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(3,781)</w:t>
            </w:r>
          </w:p>
        </w:tc>
        <w:tc>
          <w:tcPr>
            <w:tcW w:w="1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(9,687)</w:t>
            </w:r>
          </w:p>
        </w:tc>
        <w:tc>
          <w:tcPr>
            <w:tcW w:w="1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(3,717)</w:t>
            </w: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9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(2,132)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(4,763)</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(6,415)</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1,554</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900" w:type="dxa"/>
            <w:vAlign w:val="bottom"/>
            <w:tcBorders>
              <w:bottom w:val="single" w:sz="8" w:color="CCEEFF"/>
            </w:tcBorders>
          </w:tcPr>
          <w:p>
            <w:pPr>
              <w:ind w:left="180"/>
              <w:spacing w:after="0" w:line="124" w:lineRule="exact"/>
              <w:rPr>
                <w:sz w:val="20"/>
                <w:szCs w:val="20"/>
                <w:color w:val="auto"/>
              </w:rPr>
            </w:pPr>
            <w:r>
              <w:rPr>
                <w:rFonts w:ascii="Times New Roman" w:cs="Times New Roman" w:eastAsia="Times New Roman" w:hAnsi="Times New Roman"/>
                <w:sz w:val="12"/>
                <w:szCs w:val="12"/>
                <w:color w:val="auto"/>
              </w:rPr>
              <w:t>Income tax benefit</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(360)</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(288)</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(1,378)</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(1,535)</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590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(1,772)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(4,475)</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(5,037)</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3,089</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900" w:type="dxa"/>
            <w:vAlign w:val="bottom"/>
          </w:tcPr>
          <w:p>
            <w:pPr>
              <w:ind w:left="180"/>
              <w:spacing w:after="0" w:line="106" w:lineRule="exact"/>
              <w:rPr>
                <w:sz w:val="20"/>
                <w:szCs w:val="20"/>
                <w:color w:val="auto"/>
              </w:rPr>
            </w:pPr>
            <w:r>
              <w:rPr>
                <w:rFonts w:ascii="Times New Roman" w:cs="Times New Roman" w:eastAsia="Times New Roman" w:hAnsi="Times New Roman"/>
                <w:sz w:val="12"/>
                <w:szCs w:val="12"/>
                <w:color w:val="auto"/>
              </w:rPr>
              <w:t>Net (income) loss attributable to noncontrolling interests, net of tax expense (benefit) of $(0.8) million, $(1.2) million,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(1,011)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1,856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782</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(986)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5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$(1.3) million, and $(0.8) million, respectively.</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90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 STOCKHOLDERS</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(2,783)</w:t>
            </w: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(2,619)</w:t>
            </w:r>
          </w:p>
        </w:tc>
        <w:tc>
          <w:tcPr>
            <w:tcW w:w="1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(4,255)</w:t>
            </w:r>
          </w:p>
        </w:tc>
        <w:tc>
          <w:tcPr>
            <w:tcW w:w="1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2,103</w:t>
            </w:r>
          </w:p>
        </w:tc>
        <w:tc>
          <w:tcPr>
            <w:tcW w:w="6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93" w:lineRule="exact"/>
              <w:rPr>
                <w:sz w:val="20"/>
                <w:szCs w:val="20"/>
                <w:color w:val="auto"/>
              </w:rPr>
            </w:pPr>
            <w:r>
              <w:rPr>
                <w:rFonts w:ascii="Times New Roman" w:cs="Times New Roman" w:eastAsia="Times New Roman" w:hAnsi="Times New Roman"/>
                <w:sz w:val="10"/>
                <w:szCs w:val="10"/>
                <w:b w:val="1"/>
                <w:bCs w:val="1"/>
                <w:color w:val="auto"/>
              </w:rPr>
              <w:t>NET INCOME (LOSS) PER WEIGHTED AVERAGE SHARE ATTRIBUTABLE TO ATN</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59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INTERNATIONAL, INC. STOCKHOLDERS: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900" w:type="dxa"/>
            <w:vAlign w:val="bottom"/>
            <w:shd w:val="clear" w:color="auto" w:fill="CCEEFF"/>
          </w:tcPr>
          <w:p>
            <w:pPr>
              <w:ind w:left="180"/>
              <w:spacing w:after="0" w:line="124" w:lineRule="exact"/>
              <w:rPr>
                <w:sz w:val="20"/>
                <w:szCs w:val="20"/>
                <w:color w:val="auto"/>
              </w:rPr>
            </w:pPr>
            <w:r>
              <w:rPr>
                <w:rFonts w:ascii="Times New Roman" w:cs="Times New Roman" w:eastAsia="Times New Roman" w:hAnsi="Times New Roman"/>
                <w:sz w:val="12"/>
                <w:szCs w:val="12"/>
                <w:color w:val="auto"/>
              </w:rPr>
              <w:t>Basic</w:t>
            </w:r>
          </w:p>
        </w:tc>
        <w:tc>
          <w:tcPr>
            <w:tcW w:w="200" w:type="dxa"/>
            <w:vAlign w:val="bottom"/>
            <w:gridSpan w:val="2"/>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(0.25)</w:t>
            </w:r>
          </w:p>
        </w:tc>
        <w:tc>
          <w:tcPr>
            <w:tcW w:w="240" w:type="dxa"/>
            <w:vAlign w:val="bottom"/>
            <w:gridSpan w:val="2"/>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(0.22)</w:t>
            </w:r>
          </w:p>
        </w:tc>
        <w:tc>
          <w:tcPr>
            <w:tcW w:w="260" w:type="dxa"/>
            <w:vAlign w:val="bottom"/>
            <w:gridSpan w:val="2"/>
            <w:shd w:val="clear" w:color="auto" w:fill="CCEEFF"/>
          </w:tcPr>
          <w:p>
            <w:pPr>
              <w:jc w:val="right"/>
              <w:ind w:right="2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(0.49)</w:t>
            </w:r>
          </w:p>
        </w:tc>
        <w:tc>
          <w:tcPr>
            <w:tcW w:w="1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56"/>
              <w:spacing w:after="0" w:line="12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0.08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90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jc w:val="right"/>
              <w:ind w:right="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(0.25)</w:t>
            </w:r>
          </w:p>
        </w:tc>
        <w:tc>
          <w:tcPr>
            <w:tcW w:w="1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jc w:val="right"/>
              <w:ind w:right="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(0.22)</w:t>
            </w:r>
          </w:p>
        </w:tc>
        <w:tc>
          <w:tcPr>
            <w:tcW w:w="12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jc w:val="right"/>
              <w:ind w:right="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(0.49)</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0.08</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59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WEIGHTED AVERAGE COMMON SHARES OUTSTANDING:</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5900" w:type="dxa"/>
            <w:vAlign w:val="bottom"/>
            <w:tcBorders>
              <w:bottom w:val="single" w:sz="8" w:color="CCEEFF"/>
            </w:tcBorders>
          </w:tcPr>
          <w:p>
            <w:pPr>
              <w:ind w:left="180"/>
              <w:spacing w:after="0" w:line="124" w:lineRule="exact"/>
              <w:rPr>
                <w:sz w:val="20"/>
                <w:szCs w:val="20"/>
                <w:color w:val="auto"/>
              </w:rPr>
            </w:pPr>
            <w:r>
              <w:rPr>
                <w:rFonts w:ascii="Times New Roman" w:cs="Times New Roman" w:eastAsia="Times New Roman" w:hAnsi="Times New Roman"/>
                <w:sz w:val="12"/>
                <w:szCs w:val="12"/>
                <w:color w:val="auto"/>
              </w:rPr>
              <w:t>Basic</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
              <w:spacing w:after="0" w:line="124" w:lineRule="exact"/>
              <w:rPr>
                <w:sz w:val="20"/>
                <w:szCs w:val="20"/>
                <w:color w:val="auto"/>
              </w:rPr>
            </w:pPr>
            <w:r>
              <w:rPr>
                <w:rFonts w:ascii="Times New Roman" w:cs="Times New Roman" w:eastAsia="Times New Roman" w:hAnsi="Times New Roman"/>
                <w:sz w:val="12"/>
                <w:szCs w:val="12"/>
                <w:color w:val="auto"/>
              </w:rPr>
              <w:t>15,763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15,860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15,746</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15,891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900" w:type="dxa"/>
            <w:vAlign w:val="bottom"/>
            <w:tcBorders>
              <w:bottom w:val="single" w:sz="8" w:color="CCEEFF"/>
            </w:tcBorders>
            <w:shd w:val="clear" w:color="auto" w:fill="CCEEFF"/>
          </w:tcPr>
          <w:p>
            <w:pPr>
              <w:ind w:left="180"/>
              <w:spacing w:after="0" w:line="97" w:lineRule="exact"/>
              <w:rPr>
                <w:sz w:val="20"/>
                <w:szCs w:val="20"/>
                <w:color w:val="auto"/>
              </w:rPr>
            </w:pPr>
            <w:r>
              <w:rPr>
                <w:rFonts w:ascii="Times New Roman" w:cs="Times New Roman" w:eastAsia="Times New Roman" w:hAnsi="Times New Roman"/>
                <w:sz w:val="11"/>
                <w:szCs w:val="11"/>
                <w:color w:val="auto"/>
              </w:rPr>
              <w:t>Diluted</w:t>
            </w: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ind w:right="2"/>
              <w:spacing w:after="0" w:line="97" w:lineRule="exact"/>
              <w:rPr>
                <w:sz w:val="20"/>
                <w:szCs w:val="20"/>
                <w:color w:val="auto"/>
              </w:rPr>
            </w:pPr>
            <w:r>
              <w:rPr>
                <w:rFonts w:ascii="Times New Roman" w:cs="Times New Roman" w:eastAsia="Times New Roman" w:hAnsi="Times New Roman"/>
                <w:sz w:val="11"/>
                <w:szCs w:val="11"/>
                <w:color w:val="auto"/>
              </w:rPr>
              <w:t>15,763</w:t>
            </w: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15,860</w:t>
            </w: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15,746</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rPr>
              <w:t>15,901</w:t>
            </w:r>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DIVIDENDS PER SHARE APPLICABLE TO COMMON STOCK</w:t>
            </w: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9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20" w:type="dxa"/>
            <w:vAlign w:val="bottom"/>
            <w:tcBorders>
              <w:bottom w:val="single" w:sz="8" w:color="auto"/>
            </w:tcBorders>
          </w:tcPr>
          <w:p>
            <w:pPr>
              <w:jc w:val="right"/>
              <w:ind w:right="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2"/>
              <w:spacing w:after="0" w:line="97" w:lineRule="exact"/>
              <w:rPr>
                <w:sz w:val="20"/>
                <w:szCs w:val="20"/>
                <w:color w:val="auto"/>
              </w:rPr>
            </w:pPr>
            <w:r>
              <w:rPr>
                <w:rFonts w:ascii="Times New Roman" w:cs="Times New Roman" w:eastAsia="Times New Roman" w:hAnsi="Times New Roman"/>
                <w:sz w:val="11"/>
                <w:szCs w:val="11"/>
                <w:color w:val="auto"/>
              </w:rPr>
              <w:t>0.17</w:t>
            </w:r>
          </w:p>
        </w:tc>
        <w:tc>
          <w:tcPr>
            <w:tcW w:w="120" w:type="dxa"/>
            <w:vAlign w:val="bottom"/>
            <w:vMerge w:val="continue"/>
          </w:tcPr>
          <w:p>
            <w:pPr>
              <w:spacing w:after="0"/>
              <w:rPr>
                <w:sz w:val="8"/>
                <w:szCs w:val="8"/>
                <w:color w:val="auto"/>
              </w:rPr>
            </w:pPr>
          </w:p>
        </w:tc>
        <w:tc>
          <w:tcPr>
            <w:tcW w:w="120" w:type="dxa"/>
            <w:vAlign w:val="bottom"/>
            <w:tcBorders>
              <w:bottom w:val="single" w:sz="8" w:color="auto"/>
            </w:tcBorders>
          </w:tcPr>
          <w:p>
            <w:pPr>
              <w:jc w:val="right"/>
              <w:ind w:right="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0.17</w:t>
            </w:r>
          </w:p>
        </w:tc>
        <w:tc>
          <w:tcPr>
            <w:tcW w:w="120" w:type="dxa"/>
            <w:vAlign w:val="bottom"/>
            <w:vMerge w:val="continue"/>
          </w:tcPr>
          <w:p>
            <w:pPr>
              <w:spacing w:after="0"/>
              <w:rPr>
                <w:sz w:val="8"/>
                <w:szCs w:val="8"/>
                <w:color w:val="auto"/>
              </w:rPr>
            </w:pPr>
          </w:p>
        </w:tc>
        <w:tc>
          <w:tcPr>
            <w:tcW w:w="140" w:type="dxa"/>
            <w:vAlign w:val="bottom"/>
            <w:tcBorders>
              <w:bottom w:val="single" w:sz="8" w:color="auto"/>
            </w:tcBorders>
          </w:tcPr>
          <w:p>
            <w:pPr>
              <w:jc w:val="right"/>
              <w:ind w:right="26"/>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0.51</w:t>
            </w:r>
          </w:p>
        </w:tc>
        <w:tc>
          <w:tcPr>
            <w:tcW w:w="120" w:type="dxa"/>
            <w:vAlign w:val="bottom"/>
          </w:tcPr>
          <w:p>
            <w:pPr>
              <w:spacing w:after="0"/>
              <w:rPr>
                <w:sz w:val="8"/>
                <w:szCs w:val="8"/>
                <w:color w:val="auto"/>
              </w:rPr>
            </w:pPr>
          </w:p>
        </w:tc>
        <w:tc>
          <w:tcPr>
            <w:tcW w:w="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0.51</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THREE AND NINE MONTHS ENDED SEPTEMBER 30,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45"/>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327"/>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347"/>
              <w:spacing w:after="0"/>
              <w:rPr>
                <w:sz w:val="20"/>
                <w:szCs w:val="20"/>
                <w:color w:val="auto"/>
              </w:rPr>
            </w:pPr>
            <w:r>
              <w:rPr>
                <w:rFonts w:ascii="Times New Roman" w:cs="Times New Roman" w:eastAsia="Times New Roman" w:hAnsi="Times New Roman"/>
                <w:sz w:val="12"/>
                <w:szCs w:val="12"/>
                <w:b w:val="1"/>
                <w:bCs w:val="1"/>
                <w:color w:val="auto"/>
              </w:rPr>
              <w:t>September 30,</w:t>
            </w:r>
          </w:p>
        </w:tc>
      </w:tr>
      <w:tr>
        <w:trPr>
          <w:trHeight w:val="114"/>
        </w:trPr>
        <w:tc>
          <w:tcPr>
            <w:tcW w:w="5180" w:type="dxa"/>
            <w:vAlign w:val="bottom"/>
            <w:tcBorders>
              <w:bottom w:val="single" w:sz="8" w:color="CCEEFF"/>
            </w:tcBorders>
          </w:tcPr>
          <w:p>
            <w:pPr>
              <w:spacing w:after="0"/>
              <w:rPr>
                <w:sz w:val="9"/>
                <w:szCs w:val="9"/>
                <w:color w:val="auto"/>
              </w:rPr>
            </w:pPr>
          </w:p>
        </w:tc>
        <w:tc>
          <w:tcPr>
            <w:tcW w:w="6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9"/>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7"/>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49"/>
              <w:spacing w:after="0" w:line="115" w:lineRule="exact"/>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67"/>
              <w:spacing w:after="0" w:line="115" w:lineRule="exact"/>
              <w:rPr>
                <w:sz w:val="20"/>
                <w:szCs w:val="20"/>
                <w:color w:val="auto"/>
              </w:rPr>
            </w:pPr>
            <w:r>
              <w:rPr>
                <w:rFonts w:ascii="Times New Roman" w:cs="Times New Roman" w:eastAsia="Times New Roman" w:hAnsi="Times New Roman"/>
                <w:sz w:val="12"/>
                <w:szCs w:val="12"/>
                <w:b w:val="1"/>
                <w:bCs w:val="1"/>
                <w:color w:val="auto"/>
              </w:rPr>
              <w:t>2021</w:t>
            </w:r>
          </w:p>
        </w:tc>
      </w:tr>
      <w:tr>
        <w:trPr>
          <w:trHeight w:val="170"/>
        </w:trPr>
        <w:tc>
          <w:tcPr>
            <w:tcW w:w="5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income (loss)</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(1,772)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(4,475)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(5,037)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3,089</w:t>
            </w:r>
          </w:p>
        </w:tc>
      </w:tr>
      <w:tr>
        <w:trPr>
          <w:trHeight w:val="179"/>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(1,014)</w:t>
            </w:r>
          </w:p>
        </w:tc>
      </w:tr>
      <w:tr>
        <w:trPr>
          <w:trHeight w:val="179"/>
        </w:trPr>
        <w:tc>
          <w:tcPr>
            <w:tcW w:w="5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Reclassification of loss on pension settlement, net of $(0.8) million of tax</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Unrealized gain (loss) on derivatives</w:t>
            </w:r>
          </w:p>
        </w:tc>
        <w:tc>
          <w:tcPr>
            <w:tcW w:w="6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70"/>
        </w:trPr>
        <w:tc>
          <w:tcPr>
            <w:tcW w:w="518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(391)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(594)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(933)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(944)</w:t>
            </w:r>
          </w:p>
        </w:tc>
      </w:tr>
      <w:tr>
        <w:trPr>
          <w:trHeight w:val="170"/>
        </w:trPr>
        <w:tc>
          <w:tcPr>
            <w:tcW w:w="5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Comprehensive income (loss)</w:t>
            </w: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(5,069)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(5,970)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2,145</w:t>
            </w:r>
          </w:p>
        </w:tc>
      </w:tr>
      <w:tr>
        <w:trPr>
          <w:trHeight w:val="179"/>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Comprehensive income (loss) attributable to noncontrolling interests</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1,856</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(986)</w:t>
            </w:r>
          </w:p>
        </w:tc>
      </w:tr>
      <w:tr>
        <w:trPr>
          <w:trHeight w:val="170"/>
        </w:trPr>
        <w:tc>
          <w:tcPr>
            <w:tcW w:w="51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Comprehensive income (loss) attributable to ATN International, Inc.</w:t>
            </w:r>
          </w:p>
        </w:tc>
        <w:tc>
          <w:tcPr>
            <w:tcW w:w="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(3,174)</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(3,213)</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(5,188)</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1,159</w:t>
            </w: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consolidated financial statements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EQUITY</w:t>
      </w:r>
    </w:p>
    <w:p>
      <w:pPr>
        <w:spacing w:after="0" w:line="4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2022 AND 2021</w:t>
      </w:r>
    </w:p>
    <w:p>
      <w:pPr>
        <w:spacing w:after="0" w:line="4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8"/>
                <w:szCs w:val="8"/>
                <w:b w:val="1"/>
                <w:bCs w:val="1"/>
                <w:color w:val="auto"/>
              </w:rPr>
              <w:t>Total Redeemable Noncontrolling Interests</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100" w:type="dxa"/>
            <w:vAlign w:val="bottom"/>
          </w:tcPr>
          <w:p>
            <w:pPr>
              <w:spacing w:after="0"/>
              <w:rPr>
                <w:sz w:val="8"/>
                <w:szCs w:val="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Total</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ATNI</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Non-</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Preferred</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Common</w:t>
            </w:r>
          </w:p>
        </w:tc>
        <w:tc>
          <w:tcPr>
            <w:tcW w:w="100" w:type="dxa"/>
            <w:vAlign w:val="bottom"/>
          </w:tcPr>
          <w:p>
            <w:pPr>
              <w:spacing w:after="0"/>
              <w:rPr>
                <w:sz w:val="8"/>
                <w:szCs w:val="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4"/>
              </w:rPr>
              <w:t>Common</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Stock,</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Paid In</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60" w:type="dxa"/>
            <w:vAlign w:val="bottom"/>
          </w:tcPr>
          <w:p>
            <w:pPr>
              <w:spacing w:after="0"/>
              <w:rPr>
                <w:sz w:val="8"/>
                <w:szCs w:val="8"/>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Stockholders’</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Controlling</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Units</w:t>
            </w: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Units</w:t>
            </w: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at cost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Capital</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Income/(Loss)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Interests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June 30, 2022</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52,566</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75,206</w:t>
            </w:r>
          </w:p>
        </w:tc>
        <w:tc>
          <w:tcPr>
            <w:tcW w:w="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(73,828)$</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195,432</w:t>
            </w: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465,112</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4,231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591,119</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95,752</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686,871</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Stock-based compensation</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1,481</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1,481</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186</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1,667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Dividends declared on common stock ($0.17 per common share)</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(2,681)</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(2,681)</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(2,681)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Investments made by minority shareholders in consolidated affiliates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Repurchase of noncontrolling interests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Accrued dividend - redeemable preferred units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1,192</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1,192</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(1,192)</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(1,192)</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(1,192)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Deemed dividend - redeemable common units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1,083</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8"/>
                <w:szCs w:val="8"/>
                <w:color w:val="auto"/>
                <w:w w:val="99"/>
              </w:rPr>
              <w:t>1,083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i w:val="1"/>
                <w:iCs w:val="1"/>
                <w:color w:val="auto"/>
              </w:rPr>
              <w:t>Comprehensive income: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Net income (loss)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(2,783)</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8"/>
                <w:szCs w:val="8"/>
                <w:color w:val="auto"/>
              </w:rPr>
              <w:t>(1,083)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(3,866)</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2,094</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(1,772)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8"/>
                <w:szCs w:val="8"/>
                <w:color w:val="auto"/>
              </w:rPr>
              <w:t>Other comprehensive income</w:t>
            </w: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(391)</w:t>
            </w: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(391)</w:t>
            </w: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comprehensive income (loss)</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1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(1,083)</w:t>
            </w: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(2,783)</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8"/>
                <w:szCs w:val="8"/>
                <w:color w:val="auto"/>
              </w:rPr>
              <w:t>(1,083)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(391)</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(4,257)</w:t>
            </w: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2,094</w:t>
            </w: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(2,163)</w:t>
            </w:r>
          </w:p>
        </w:tc>
        <w:tc>
          <w:tcPr>
            <w:tcW w:w="0" w:type="dxa"/>
            <w:vAlign w:val="bottom"/>
          </w:tcPr>
          <w:p>
            <w:pPr>
              <w:spacing w:after="0"/>
              <w:rPr>
                <w:sz w:val="1"/>
                <w:szCs w:val="1"/>
                <w:color w:val="auto"/>
              </w:rPr>
            </w:pPr>
          </w:p>
        </w:tc>
      </w:tr>
      <w:tr>
        <w:trPr>
          <w:trHeight w:val="13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Balance, September 30, 2022</w:t>
            </w:r>
          </w:p>
        </w:tc>
        <w:tc>
          <w:tcPr>
            <w:tcW w:w="120" w:type="dxa"/>
            <w:vAlign w:val="bottom"/>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53,758</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76,398</w:t>
            </w:r>
          </w:p>
        </w:tc>
        <w:tc>
          <w:tcPr>
            <w:tcW w:w="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(73,828)$</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196,903</w:t>
            </w: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457,373</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3,840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584,460</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97,923</w:t>
            </w: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9"/>
              </w:rPr>
              <w:t>682,383</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right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Balance, June 30, 2021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560" w:type="dxa"/>
            <w:vAlign w:val="bottom"/>
            <w:gridSpan w:val="2"/>
          </w:tcPr>
          <w:p>
            <w:pPr>
              <w:jc w:val="right"/>
              <w:ind w:right="34"/>
              <w:spacing w:after="0"/>
              <w:rPr>
                <w:sz w:val="20"/>
                <w:szCs w:val="20"/>
                <w:color w:val="auto"/>
              </w:rPr>
            </w:pPr>
            <w:r>
              <w:rPr>
                <w:rFonts w:ascii="Times New Roman" w:cs="Times New Roman" w:eastAsia="Times New Roman" w:hAnsi="Times New Roman"/>
                <w:sz w:val="8"/>
                <w:szCs w:val="8"/>
                <w:color w:val="auto"/>
              </w:rPr>
              <w:t>— $</w:t>
            </w: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(63,388)$</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189,006</w:t>
            </w: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516,208</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(72)$</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641,926</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99,260</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9"/>
              </w:rPr>
              <w:t>741,186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48,334 preferred units</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48,334</w:t>
            </w:r>
          </w:p>
        </w:tc>
        <w:tc>
          <w:tcPr>
            <w:tcW w:w="6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top w:val="single" w:sz="8" w:color="auto"/>
            </w:tcBorders>
            <w:shd w:val="clear" w:color="auto" w:fill="CCEEFF"/>
          </w:tcPr>
          <w:p>
            <w:pPr>
              <w:spacing w:after="0"/>
              <w:rPr>
                <w:sz w:val="8"/>
                <w:szCs w:val="8"/>
                <w:color w:val="auto"/>
              </w:rPr>
            </w:pPr>
          </w:p>
        </w:tc>
        <w:tc>
          <w:tcPr>
            <w:tcW w:w="94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48,334</w:t>
            </w: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Issuance of 23,199 common units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22,640</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Purchase of 58,378 shares of common stock</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(2,616)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(2,616)</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(2,616)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Stock-based compensation</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1,435</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1,435</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1,534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Exercise of stock options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Noncontrolling interests in acquired entity</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470</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Dividends declared on common stock ($0.17 per common share)</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(2,694)</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(2,694)</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(335)</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(3,029)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Accrued dividend on redeemable preferred</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846</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Repurchase of noncontrolling interests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(439)</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Deemed dividend - redeemable common units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60" w:type="dxa"/>
            <w:vAlign w:val="bottom"/>
          </w:tcPr>
          <w:p>
            <w:pPr>
              <w:spacing w:after="0"/>
              <w:rPr>
                <w:sz w:val="8"/>
                <w:szCs w:val="8"/>
                <w:color w:val="auto"/>
              </w:rPr>
            </w:pPr>
          </w:p>
        </w:tc>
        <w:tc>
          <w:tcPr>
            <w:tcW w:w="540" w:type="dxa"/>
            <w:vAlign w:val="bottom"/>
          </w:tcPr>
          <w:p>
            <w:pPr>
              <w:jc w:val="center"/>
              <w:ind w:left="119"/>
              <w:spacing w:after="0"/>
              <w:rPr>
                <w:sz w:val="20"/>
                <w:szCs w:val="20"/>
                <w:color w:val="auto"/>
              </w:rPr>
            </w:pPr>
            <w:r>
              <w:rPr>
                <w:rFonts w:ascii="Times New Roman" w:cs="Times New Roman" w:eastAsia="Times New Roman" w:hAnsi="Times New Roman"/>
                <w:sz w:val="8"/>
                <w:szCs w:val="8"/>
                <w:color w:val="auto"/>
                <w:w w:val="99"/>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i w:val="1"/>
                <w:iCs w:val="1"/>
                <w:color w:val="auto"/>
              </w:rPr>
              <w:t>Comprehensive income:</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income (loss)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(2,619)</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(7,702)</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3,227</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(4,475)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Other comprehensive income (loss)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(594)</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(594)</w:t>
            </w: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(594)</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comprehensive income (loss)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100" w:type="dxa"/>
            <w:vAlign w:val="bottom"/>
          </w:tcPr>
          <w:p>
            <w:pPr>
              <w:spacing w:after="0"/>
              <w:rPr>
                <w:sz w:val="8"/>
                <w:szCs w:val="8"/>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(2,619)</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(594)</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(8,296)</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3,227</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(5,069)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September 30, 2021</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49,180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71,820</w:t>
            </w: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(66,004)$</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190,824</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504,966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629,292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102,282</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731,574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consolidated financial statements</w:t>
      </w:r>
      <w:r>
        <w:rPr>
          <w:rFonts w:ascii="Times New Roman" w:cs="Times New Roman" w:eastAsia="Times New Roman" w:hAnsi="Times New Roman"/>
          <w:sz w:val="11"/>
          <w:szCs w:val="11"/>
          <w:b w:val="1"/>
          <w:bCs w:val="1"/>
          <w:color w:val="auto"/>
        </w:rPr>
        <w: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2022 AND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8"/>
                <w:szCs w:val="8"/>
                <w:b w:val="1"/>
                <w:bCs w:val="1"/>
                <w:color w:val="auto"/>
              </w:rPr>
              <w:t>Total Redeemable Noncontrolling Interests</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Total</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Treasury</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Other</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ATNI</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Non-</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Preferred</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Common</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Redeemable</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4"/>
              </w:rPr>
              <w:t>Common</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Stock,</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Paid In</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60" w:type="dxa"/>
            <w:vAlign w:val="bottom"/>
          </w:tcPr>
          <w:p>
            <w:pPr>
              <w:spacing w:after="0"/>
              <w:rPr>
                <w:sz w:val="8"/>
                <w:szCs w:val="8"/>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8"/>
                <w:szCs w:val="8"/>
                <w:b w:val="1"/>
                <w:bCs w:val="1"/>
                <w:color w:val="auto"/>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Stockholders’</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Controlling</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4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Units</w:t>
            </w: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Units</w:t>
            </w: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rPr>
              <w:t>Noncontrolling Interests</w:t>
            </w: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8"/>
                <w:szCs w:val="8"/>
                <w:b w:val="1"/>
                <w:bCs w:val="1"/>
                <w:color w:val="auto"/>
              </w:rPr>
              <w:t>at cost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Capital</w:t>
            </w: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8"/>
                <w:szCs w:val="8"/>
                <w:b w:val="1"/>
                <w:bCs w:val="1"/>
                <w:color w:val="auto"/>
                <w:w w:val="98"/>
              </w:rPr>
              <w:t>Units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Income/(Loss)</w:t>
            </w: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Interests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Equity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December 31, 2021</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50,296</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72,936</w:t>
            </w:r>
          </w:p>
        </w:tc>
        <w:tc>
          <w:tcPr>
            <w:tcW w:w="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(71,714)$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192,132</w:t>
            </w: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475,887</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4,773</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601,250</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101,003</w:t>
            </w: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702,253</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Purchase of 57,115 shares of common stock</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(2,114)</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(2,114)</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(2,114)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Stock-based compensation</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5,225</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5,225</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471</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5,696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Dividends declared on common stock ($0.51 per common share)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(8,035)</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(8,035)</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(1,375)</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(9,410)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Investments made by minority shareholders in consolidated affiliates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Repurchase of noncontrolling interests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(454)</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(454)</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(4,178)</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(4,632)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Accrued dividend - redeemable preferred units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3,462</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3,462</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(3,462)</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(3,462)</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Deemed dividend - redeemable common units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2,762</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60" w:type="dxa"/>
            <w:vAlign w:val="bottom"/>
          </w:tcPr>
          <w:p>
            <w:pPr>
              <w:spacing w:after="0"/>
              <w:rPr>
                <w:sz w:val="8"/>
                <w:szCs w:val="8"/>
                <w:color w:val="auto"/>
              </w:rPr>
            </w:pPr>
          </w:p>
        </w:tc>
        <w:tc>
          <w:tcPr>
            <w:tcW w:w="540" w:type="dxa"/>
            <w:vAlign w:val="bottom"/>
          </w:tcPr>
          <w:p>
            <w:pPr>
              <w:jc w:val="center"/>
              <w:ind w:left="119"/>
              <w:spacing w:after="0"/>
              <w:rPr>
                <w:sz w:val="20"/>
                <w:szCs w:val="20"/>
                <w:color w:val="auto"/>
              </w:rPr>
            </w:pPr>
            <w:r>
              <w:rPr>
                <w:rFonts w:ascii="Times New Roman" w:cs="Times New Roman" w:eastAsia="Times New Roman" w:hAnsi="Times New Roman"/>
                <w:sz w:val="8"/>
                <w:szCs w:val="8"/>
                <w:color w:val="auto"/>
                <w:w w:val="99"/>
              </w:rPr>
              <w:t>2,762</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i w:val="1"/>
                <w:iCs w:val="1"/>
                <w:color w:val="auto"/>
              </w:rPr>
              <w:t>Comprehensive income:</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income (loss)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(4,255)</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(2,762)</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(7,017)</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1,980</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(5,037)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Other comprehensive income (loss)</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(933)</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(933)</w:t>
            </w: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(933)</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comprehensive income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(2,762)</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(4,255)</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(2,762)</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(933)</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(7,950)</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1,980</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(5,970)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September 30, 2022</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53,758</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76,398</w:t>
            </w: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(73,828)$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196,903</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457,373</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3,840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584,460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97,923</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682,383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vMerge w:val="restart"/>
          </w:tcPr>
          <w:p>
            <w:pPr>
              <w:spacing w:after="0"/>
              <w:rPr>
                <w:sz w:val="6"/>
                <w:szCs w:val="6"/>
                <w:color w:val="auto"/>
              </w:rPr>
            </w:pPr>
          </w:p>
        </w:tc>
        <w:tc>
          <w:tcPr>
            <w:tcW w:w="2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December 31, 2020</w:t>
            </w:r>
          </w:p>
        </w:tc>
        <w:tc>
          <w:tcPr>
            <w:tcW w:w="1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 $</w:t>
            </w:r>
          </w:p>
        </w:tc>
        <w:tc>
          <w:tcPr>
            <w:tcW w:w="5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8"/>
                <w:szCs w:val="8"/>
                <w:color w:val="auto"/>
              </w:rPr>
              <w:t>— $</w:t>
            </w: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(59,456)$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187,754</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516,901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645,649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108,687</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754,336</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Issuance of 48,334 preferred units</w:t>
            </w: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48,334</w:t>
            </w: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48,334</w:t>
            </w: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Issuance of 23,199 common units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22,640</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Purchase of 139,784 shares of common stock</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(6,548)</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(6,548)</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(6,548)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Stock-based compensation</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4,874</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4,874</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125</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4,999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Exercise of stock options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Noncontrolling interest in equity acquired</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544</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Dividends declared on common stock ($0.51 per common share)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(8,109)</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(8,109)</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(2,823)</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(10,932)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Accrued dividend on redeemable preferred</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846</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Investments made by minority shareholders in consolidated affiliates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329</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Repurchase of noncontrolling interests</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(2,187)</w:t>
            </w: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(2,187)</w:t>
            </w: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(10,649)</w:t>
            </w: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(12,836)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8"/>
                <w:szCs w:val="8"/>
                <w:color w:val="auto"/>
              </w:rPr>
              <w:t>Deemed dividend - redeemable common units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60" w:type="dxa"/>
            <w:vAlign w:val="bottom"/>
          </w:tcPr>
          <w:p>
            <w:pPr>
              <w:spacing w:after="0"/>
              <w:rPr>
                <w:sz w:val="8"/>
                <w:szCs w:val="8"/>
                <w:color w:val="auto"/>
              </w:rPr>
            </w:pPr>
          </w:p>
        </w:tc>
        <w:tc>
          <w:tcPr>
            <w:tcW w:w="540" w:type="dxa"/>
            <w:vAlign w:val="bottom"/>
          </w:tcPr>
          <w:p>
            <w:pPr>
              <w:jc w:val="center"/>
              <w:ind w:left="119"/>
              <w:spacing w:after="0"/>
              <w:rPr>
                <w:sz w:val="20"/>
                <w:szCs w:val="20"/>
                <w:color w:val="auto"/>
              </w:rPr>
            </w:pPr>
            <w:r>
              <w:rPr>
                <w:rFonts w:ascii="Times New Roman" w:cs="Times New Roman" w:eastAsia="Times New Roman" w:hAnsi="Times New Roman"/>
                <w:sz w:val="8"/>
                <w:szCs w:val="8"/>
                <w:color w:val="auto"/>
                <w:w w:val="99"/>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i w:val="1"/>
                <w:iCs w:val="1"/>
                <w:color w:val="auto"/>
              </w:rPr>
              <w:t>Comprehensive income:</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Net income (loss)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2,103</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(2,980)</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6,069</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3,089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rPr>
              <w:t>Other comprehensive income (loss)</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(944)</w:t>
            </w: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(944)</w:t>
            </w: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(944)</w:t>
            </w:r>
          </w:p>
        </w:tc>
        <w:tc>
          <w:tcPr>
            <w:tcW w:w="0" w:type="dxa"/>
            <w:vAlign w:val="bottom"/>
          </w:tcPr>
          <w:p>
            <w:pPr>
              <w:spacing w:after="0"/>
              <w:rPr>
                <w:sz w:val="1"/>
                <w:szCs w:val="1"/>
                <w:color w:val="auto"/>
              </w:rPr>
            </w:pPr>
          </w:p>
        </w:tc>
      </w:tr>
      <w:tr>
        <w:trPr>
          <w:trHeight w:val="92"/>
        </w:trPr>
        <w:tc>
          <w:tcPr>
            <w:tcW w:w="23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comprehensive income</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80" w:type="dxa"/>
            <w:vAlign w:val="bottom"/>
          </w:tcPr>
          <w:p>
            <w:pPr>
              <w:spacing w:after="0"/>
              <w:rPr>
                <w:sz w:val="8"/>
                <w:szCs w:val="8"/>
                <w:color w:val="auto"/>
              </w:rPr>
            </w:pPr>
          </w:p>
        </w:tc>
        <w:tc>
          <w:tcPr>
            <w:tcW w:w="9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(5,083)</w:t>
            </w:r>
          </w:p>
        </w:tc>
        <w:tc>
          <w:tcPr>
            <w:tcW w:w="40" w:type="dxa"/>
            <w:vAlign w:val="bottom"/>
          </w:tcPr>
          <w:p>
            <w:pPr>
              <w:spacing w:after="0"/>
              <w:rPr>
                <w:sz w:val="8"/>
                <w:szCs w:val="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2,103</w:t>
            </w:r>
          </w:p>
        </w:tc>
        <w:tc>
          <w:tcPr>
            <w:tcW w:w="60" w:type="dxa"/>
            <w:vAlign w:val="bottom"/>
          </w:tcPr>
          <w:p>
            <w:pPr>
              <w:spacing w:after="0"/>
              <w:rPr>
                <w:sz w:val="8"/>
                <w:szCs w:val="8"/>
                <w:color w:val="auto"/>
              </w:rPr>
            </w:pP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8"/>
                <w:szCs w:val="8"/>
                <w:color w:val="auto"/>
              </w:rPr>
              <w:t>(5,083)</w:t>
            </w:r>
          </w:p>
        </w:tc>
        <w:tc>
          <w:tcPr>
            <w:tcW w:w="6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(944)</w:t>
            </w:r>
          </w:p>
        </w:tc>
        <w:tc>
          <w:tcPr>
            <w:tcW w:w="6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(3,924)</w:t>
            </w:r>
          </w:p>
        </w:tc>
        <w:tc>
          <w:tcPr>
            <w:tcW w:w="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6,069</w:t>
            </w:r>
          </w:p>
        </w:tc>
        <w:tc>
          <w:tcPr>
            <w:tcW w:w="80" w:type="dxa"/>
            <w:vAlign w:val="bottom"/>
          </w:tcPr>
          <w:p>
            <w:pPr>
              <w:spacing w:after="0"/>
              <w:rPr>
                <w:sz w:val="8"/>
                <w:szCs w:val="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September 30, 2021</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49,180</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22,640</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71,820</w:t>
            </w:r>
          </w:p>
        </w:tc>
        <w:tc>
          <w:tcPr>
            <w:tcW w:w="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6728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(66,004)$</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190,824</w:t>
            </w: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504,966</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8"/>
                <w:szCs w:val="8"/>
                <w:color w:val="auto"/>
              </w:rPr>
              <w:t>— $</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(666)$</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629,292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102,282</w:t>
            </w:r>
          </w:p>
        </w:tc>
        <w:tc>
          <w:tcPr>
            <w:tcW w:w="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9"/>
              </w:rPr>
              <w:t>731,574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NINE MONTHS ENDED SEPTEMBER 30, 2022 AND 2021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14"/>
        </w:trPr>
        <w:tc>
          <w:tcPr>
            <w:tcW w:w="5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9"/>
                <w:szCs w:val="9"/>
                <w:b w:val="1"/>
                <w:bCs w:val="1"/>
                <w:color w:val="auto"/>
              </w:rPr>
              <w:t>Nine Months Ended September 30,</w:t>
            </w:r>
          </w:p>
        </w:tc>
        <w:tc>
          <w:tcPr>
            <w:tcW w:w="0" w:type="dxa"/>
            <w:vAlign w:val="bottom"/>
          </w:tcPr>
          <w:p>
            <w:pPr>
              <w:spacing w:after="0"/>
              <w:rPr>
                <w:sz w:val="1"/>
                <w:szCs w:val="1"/>
                <w:color w:val="auto"/>
              </w:rPr>
            </w:pPr>
          </w:p>
        </w:tc>
      </w:tr>
      <w:tr>
        <w:trPr>
          <w:trHeight w:val="92"/>
        </w:trPr>
        <w:tc>
          <w:tcPr>
            <w:tcW w:w="5620" w:type="dxa"/>
            <w:vAlign w:val="bottom"/>
            <w:tcBorders>
              <w:bottom w:val="single" w:sz="8" w:color="CCEEFF"/>
            </w:tcBorders>
          </w:tcPr>
          <w:p>
            <w:pPr>
              <w:spacing w:after="0"/>
              <w:rPr>
                <w:sz w:val="8"/>
                <w:szCs w:val="8"/>
                <w:color w:val="auto"/>
              </w:rPr>
            </w:pPr>
          </w:p>
        </w:tc>
        <w:tc>
          <w:tcPr>
            <w:tcW w:w="11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48"/>
              <w:spacing w:after="0" w:line="92" w:lineRule="exact"/>
              <w:rPr>
                <w:sz w:val="20"/>
                <w:szCs w:val="20"/>
                <w:color w:val="auto"/>
              </w:rPr>
            </w:pPr>
            <w:r>
              <w:rPr>
                <w:rFonts w:ascii="Times New Roman" w:cs="Times New Roman" w:eastAsia="Times New Roman" w:hAnsi="Times New Roman"/>
                <w:sz w:val="9"/>
                <w:szCs w:val="9"/>
                <w:b w:val="1"/>
                <w:bCs w:val="1"/>
                <w:color w:val="auto"/>
              </w:rPr>
              <w:t>2022</w:t>
            </w:r>
          </w:p>
        </w:tc>
        <w:tc>
          <w:tcPr>
            <w:tcW w:w="2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348"/>
              <w:spacing w:after="0" w:line="92" w:lineRule="exact"/>
              <w:rPr>
                <w:sz w:val="20"/>
                <w:szCs w:val="20"/>
                <w:color w:val="auto"/>
              </w:rPr>
            </w:pPr>
            <w:r>
              <w:rPr>
                <w:rFonts w:ascii="Times New Roman" w:cs="Times New Roman" w:eastAsia="Times New Roman" w:hAnsi="Times New Roman"/>
                <w:sz w:val="9"/>
                <w:szCs w:val="9"/>
                <w:b w:val="1"/>
                <w:bCs w:val="1"/>
                <w:color w:val="auto"/>
              </w:rPr>
              <w:t>2021</w:t>
            </w:r>
          </w:p>
        </w:tc>
        <w:tc>
          <w:tcPr>
            <w:tcW w:w="0" w:type="dxa"/>
            <w:vAlign w:val="bottom"/>
          </w:tcPr>
          <w:p>
            <w:pPr>
              <w:spacing w:after="0"/>
              <w:rPr>
                <w:sz w:val="1"/>
                <w:szCs w:val="1"/>
                <w:color w:val="auto"/>
              </w:rPr>
            </w:pPr>
          </w:p>
        </w:tc>
      </w:tr>
      <w:tr>
        <w:trPr>
          <w:trHeight w:val="103"/>
        </w:trPr>
        <w:tc>
          <w:tcPr>
            <w:tcW w:w="56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Cash flows from operating activities:</w:t>
            </w:r>
          </w:p>
        </w:tc>
        <w:tc>
          <w:tcPr>
            <w:tcW w:w="1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Net income</w:t>
            </w:r>
          </w:p>
        </w:tc>
        <w:tc>
          <w:tcPr>
            <w:tcW w:w="1380" w:type="dxa"/>
            <w:vAlign w:val="bottom"/>
            <w:gridSpan w:val="2"/>
          </w:tcPr>
          <w:p>
            <w:pPr>
              <w:jc w:val="right"/>
              <w:ind w:right="154"/>
              <w:spacing w:after="0" w:line="112"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(5,037)</w:t>
            </w:r>
          </w:p>
        </w:tc>
        <w:tc>
          <w:tcPr>
            <w:tcW w:w="220" w:type="dxa"/>
            <w:vAlign w:val="bottom"/>
          </w:tcPr>
          <w:p>
            <w:pPr>
              <w:spacing w:after="0"/>
              <w:rPr>
                <w:sz w:val="9"/>
                <w:szCs w:val="9"/>
                <w:color w:val="auto"/>
              </w:rPr>
            </w:pPr>
          </w:p>
        </w:tc>
        <w:tc>
          <w:tcPr>
            <w:tcW w:w="220" w:type="dxa"/>
            <w:vAlign w:val="bottom"/>
            <w:gridSpan w:val="2"/>
          </w:tcPr>
          <w:p>
            <w:pPr>
              <w:jc w:val="right"/>
              <w:ind w:right="175"/>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3,089</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Adjustments to reconcile net income to net cash flows provided by operating activities: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Depreciation</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100,421</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68,693</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Amortization of acquisition intangibles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9,744</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4,324</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Provision for doubtful accounts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4,969</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3,303</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Amortization of debt discount and debt issuance costs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1,512</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767</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Loss on disposition of long-lived assets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3,876</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605</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Stock-based compensation</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5,696</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5,116</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Deferred income taxes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(6,619)</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(5,939)</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Gain on equity investments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(5,617)</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(647)</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Loss on pension settlement</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1,725</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Unrealized gain on foreign currency</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Changes in operating assets and liabilities, excluding the effects of acquisitions and dispositions: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260"/>
              <w:spacing w:after="0" w:line="112" w:lineRule="exact"/>
              <w:rPr>
                <w:sz w:val="20"/>
                <w:szCs w:val="20"/>
                <w:color w:val="auto"/>
              </w:rPr>
            </w:pPr>
            <w:r>
              <w:rPr>
                <w:rFonts w:ascii="Times New Roman" w:cs="Times New Roman" w:eastAsia="Times New Roman" w:hAnsi="Times New Roman"/>
                <w:sz w:val="10"/>
                <w:szCs w:val="10"/>
                <w:color w:val="auto"/>
              </w:rPr>
              <w:t>Accounts receivable</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(1,401)</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152</w:t>
            </w:r>
          </w:p>
        </w:tc>
        <w:tc>
          <w:tcPr>
            <w:tcW w:w="0" w:type="dxa"/>
            <w:vAlign w:val="bottom"/>
          </w:tcPr>
          <w:p>
            <w:pPr>
              <w:spacing w:after="0"/>
              <w:rPr>
                <w:sz w:val="1"/>
                <w:szCs w:val="1"/>
                <w:color w:val="auto"/>
              </w:rPr>
            </w:pPr>
          </w:p>
        </w:tc>
      </w:tr>
      <w:tr>
        <w:trPr>
          <w:trHeight w:val="112"/>
        </w:trPr>
        <w:tc>
          <w:tcPr>
            <w:tcW w:w="5620" w:type="dxa"/>
            <w:vAlign w:val="bottom"/>
          </w:tcPr>
          <w:p>
            <w:pPr>
              <w:ind w:left="260"/>
              <w:spacing w:after="0" w:line="112" w:lineRule="exact"/>
              <w:rPr>
                <w:sz w:val="20"/>
                <w:szCs w:val="20"/>
                <w:color w:val="auto"/>
              </w:rPr>
            </w:pPr>
            <w:r>
              <w:rPr>
                <w:rFonts w:ascii="Times New Roman" w:cs="Times New Roman" w:eastAsia="Times New Roman" w:hAnsi="Times New Roman"/>
                <w:sz w:val="10"/>
                <w:szCs w:val="10"/>
                <w:color w:val="auto"/>
              </w:rPr>
              <w:t>Customer receivable</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(4,399)</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(25,684)</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260"/>
              <w:spacing w:after="0" w:line="112" w:lineRule="exact"/>
              <w:rPr>
                <w:sz w:val="20"/>
                <w:szCs w:val="20"/>
                <w:color w:val="auto"/>
              </w:rPr>
            </w:pPr>
            <w:r>
              <w:rPr>
                <w:rFonts w:ascii="Times New Roman" w:cs="Times New Roman" w:eastAsia="Times New Roman" w:hAnsi="Times New Roman"/>
                <w:sz w:val="10"/>
                <w:szCs w:val="10"/>
                <w:color w:val="auto"/>
              </w:rPr>
              <w:t>Prepaid income taxes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6,206</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12"/>
        </w:trPr>
        <w:tc>
          <w:tcPr>
            <w:tcW w:w="5620" w:type="dxa"/>
            <w:vAlign w:val="bottom"/>
          </w:tcPr>
          <w:p>
            <w:pPr>
              <w:ind w:left="260"/>
              <w:spacing w:after="0" w:line="112" w:lineRule="exact"/>
              <w:rPr>
                <w:sz w:val="20"/>
                <w:szCs w:val="20"/>
                <w:color w:val="auto"/>
              </w:rPr>
            </w:pPr>
            <w:r>
              <w:rPr>
                <w:rFonts w:ascii="Times New Roman" w:cs="Times New Roman" w:eastAsia="Times New Roman" w:hAnsi="Times New Roman"/>
                <w:sz w:val="10"/>
                <w:szCs w:val="10"/>
                <w:color w:val="auto"/>
              </w:rPr>
              <w:t>Accrued taxes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2,163</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(2,172)</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260"/>
              <w:spacing w:after="0" w:line="112" w:lineRule="exact"/>
              <w:rPr>
                <w:sz w:val="20"/>
                <w:szCs w:val="20"/>
                <w:color w:val="auto"/>
              </w:rPr>
            </w:pPr>
            <w:r>
              <w:rPr>
                <w:rFonts w:ascii="Times New Roman" w:cs="Times New Roman" w:eastAsia="Times New Roman" w:hAnsi="Times New Roman"/>
                <w:sz w:val="10"/>
                <w:szCs w:val="10"/>
                <w:color w:val="auto"/>
              </w:rPr>
              <w:t>Materials and supplies, prepayments, and other current assets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(16,358)</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(4,689)</w:t>
            </w:r>
          </w:p>
        </w:tc>
        <w:tc>
          <w:tcPr>
            <w:tcW w:w="0" w:type="dxa"/>
            <w:vAlign w:val="bottom"/>
          </w:tcPr>
          <w:p>
            <w:pPr>
              <w:spacing w:after="0"/>
              <w:rPr>
                <w:sz w:val="1"/>
                <w:szCs w:val="1"/>
                <w:color w:val="auto"/>
              </w:rPr>
            </w:pPr>
          </w:p>
        </w:tc>
      </w:tr>
      <w:tr>
        <w:trPr>
          <w:trHeight w:val="112"/>
        </w:trPr>
        <w:tc>
          <w:tcPr>
            <w:tcW w:w="5620" w:type="dxa"/>
            <w:vAlign w:val="bottom"/>
          </w:tcPr>
          <w:p>
            <w:pPr>
              <w:ind w:left="260"/>
              <w:spacing w:after="0" w:line="112" w:lineRule="exact"/>
              <w:rPr>
                <w:sz w:val="20"/>
                <w:szCs w:val="20"/>
                <w:color w:val="auto"/>
              </w:rPr>
            </w:pPr>
            <w:r>
              <w:rPr>
                <w:rFonts w:ascii="Times New Roman" w:cs="Times New Roman" w:eastAsia="Times New Roman" w:hAnsi="Times New Roman"/>
                <w:sz w:val="10"/>
                <w:szCs w:val="10"/>
                <w:color w:val="auto"/>
              </w:rPr>
              <w:t>Accounts payable and accrued liabilities, advance payments and deposits and other current liabilities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(4,724)</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341</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260"/>
              <w:spacing w:after="0" w:line="112" w:lineRule="exact"/>
              <w:rPr>
                <w:sz w:val="20"/>
                <w:szCs w:val="20"/>
                <w:color w:val="auto"/>
              </w:rPr>
            </w:pPr>
            <w:r>
              <w:rPr>
                <w:rFonts w:ascii="Times New Roman" w:cs="Times New Roman" w:eastAsia="Times New Roman" w:hAnsi="Times New Roman"/>
                <w:sz w:val="10"/>
                <w:szCs w:val="10"/>
                <w:color w:val="auto"/>
              </w:rPr>
              <w:t>Other assets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(4,016)</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429</w:t>
            </w:r>
          </w:p>
        </w:tc>
        <w:tc>
          <w:tcPr>
            <w:tcW w:w="0" w:type="dxa"/>
            <w:vAlign w:val="bottom"/>
          </w:tcPr>
          <w:p>
            <w:pPr>
              <w:spacing w:after="0"/>
              <w:rPr>
                <w:sz w:val="1"/>
                <w:szCs w:val="1"/>
                <w:color w:val="auto"/>
              </w:rPr>
            </w:pPr>
          </w:p>
        </w:tc>
      </w:tr>
      <w:tr>
        <w:trPr>
          <w:trHeight w:val="112"/>
        </w:trPr>
        <w:tc>
          <w:tcPr>
            <w:tcW w:w="5620" w:type="dxa"/>
            <w:vAlign w:val="bottom"/>
            <w:tcBorders>
              <w:bottom w:val="single" w:sz="8" w:color="CCEEFF"/>
            </w:tcBorders>
          </w:tcPr>
          <w:p>
            <w:pPr>
              <w:ind w:left="260"/>
              <w:spacing w:after="0" w:line="112" w:lineRule="exact"/>
              <w:rPr>
                <w:sz w:val="20"/>
                <w:szCs w:val="20"/>
                <w:color w:val="auto"/>
              </w:rPr>
            </w:pPr>
            <w:r>
              <w:rPr>
                <w:rFonts w:ascii="Times New Roman" w:cs="Times New Roman" w:eastAsia="Times New Roman" w:hAnsi="Times New Roman"/>
                <w:sz w:val="10"/>
                <w:szCs w:val="10"/>
                <w:color w:val="auto"/>
              </w:rPr>
              <w:t>Other liabilities</w:t>
            </w:r>
          </w:p>
        </w:tc>
        <w:tc>
          <w:tcPr>
            <w:tcW w:w="1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(9,166)</w:t>
            </w:r>
          </w:p>
        </w:tc>
        <w:tc>
          <w:tcPr>
            <w:tcW w:w="2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43</w:t>
            </w:r>
          </w:p>
        </w:tc>
        <w:tc>
          <w:tcPr>
            <w:tcW w:w="0" w:type="dxa"/>
            <w:vAlign w:val="bottom"/>
          </w:tcPr>
          <w:p>
            <w:pPr>
              <w:spacing w:after="0"/>
              <w:rPr>
                <w:sz w:val="1"/>
                <w:szCs w:val="1"/>
                <w:color w:val="auto"/>
              </w:rPr>
            </w:pPr>
          </w:p>
        </w:tc>
      </w:tr>
      <w:tr>
        <w:trPr>
          <w:trHeight w:val="103"/>
        </w:trPr>
        <w:tc>
          <w:tcPr>
            <w:tcW w:w="5620" w:type="dxa"/>
            <w:vAlign w:val="bottom"/>
            <w:shd w:val="clear" w:color="auto" w:fill="CCEEFF"/>
          </w:tcPr>
          <w:p>
            <w:pPr>
              <w:ind w:left="260"/>
              <w:spacing w:after="0" w:line="104"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11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78,975</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47,716</w:t>
            </w:r>
          </w:p>
        </w:tc>
        <w:tc>
          <w:tcPr>
            <w:tcW w:w="0" w:type="dxa"/>
            <w:vAlign w:val="bottom"/>
          </w:tcPr>
          <w:p>
            <w:pPr>
              <w:spacing w:after="0"/>
              <w:rPr>
                <w:sz w:val="1"/>
                <w:szCs w:val="1"/>
                <w:color w:val="auto"/>
              </w:rPr>
            </w:pPr>
          </w:p>
        </w:tc>
      </w:tr>
      <w:tr>
        <w:trPr>
          <w:trHeight w:val="103"/>
        </w:trPr>
        <w:tc>
          <w:tcPr>
            <w:tcW w:w="56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Capital expenditures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(109,944)</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(62,222)</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Reimbursable capital expenditures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(4,015)</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(8,700)</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Purchases of strategic investments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(2,750)</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(6,399)</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Receipt of capital government grants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2,668</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7,094</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Sale of businesses, net of transferred cash of $0 and $0.9 million, respectively</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1,835</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18,597</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Acquisition of business net of $11.9 million of cash acquired</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2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(340,152)</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Spectrum deposit refund</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1,136</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Proceeds from strategic investments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15,745</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Proceeds from sale of assets</w:t>
            </w:r>
          </w:p>
        </w:tc>
        <w:tc>
          <w:tcPr>
            <w:tcW w:w="116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683</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3"/>
        </w:trPr>
        <w:tc>
          <w:tcPr>
            <w:tcW w:w="5620" w:type="dxa"/>
            <w:vAlign w:val="bottom"/>
            <w:tcBorders>
              <w:bottom w:val="single" w:sz="8" w:color="CCEEFF"/>
            </w:tcBorders>
          </w:tcPr>
          <w:p>
            <w:pPr>
              <w:ind w:left="180"/>
              <w:spacing w:after="0" w:line="104"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11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(94,642)</w:t>
            </w:r>
          </w:p>
        </w:tc>
        <w:tc>
          <w:tcPr>
            <w:tcW w:w="2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104" w:lineRule="exact"/>
              <w:rPr>
                <w:sz w:val="20"/>
                <w:szCs w:val="20"/>
                <w:color w:val="auto"/>
              </w:rPr>
            </w:pPr>
            <w:r>
              <w:rPr>
                <w:rFonts w:ascii="Times New Roman" w:cs="Times New Roman" w:eastAsia="Times New Roman" w:hAnsi="Times New Roman"/>
                <w:sz w:val="10"/>
                <w:szCs w:val="10"/>
                <w:color w:val="auto"/>
              </w:rPr>
              <w:t>(391,782)</w:t>
            </w:r>
          </w:p>
        </w:tc>
        <w:tc>
          <w:tcPr>
            <w:tcW w:w="0" w:type="dxa"/>
            <w:vAlign w:val="bottom"/>
          </w:tcPr>
          <w:p>
            <w:pPr>
              <w:spacing w:after="0"/>
              <w:rPr>
                <w:sz w:val="1"/>
                <w:szCs w:val="1"/>
                <w:color w:val="auto"/>
              </w:rPr>
            </w:pPr>
          </w:p>
        </w:tc>
      </w:tr>
      <w:tr>
        <w:trPr>
          <w:trHeight w:val="103"/>
        </w:trPr>
        <w:tc>
          <w:tcPr>
            <w:tcW w:w="56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11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Dividends paid on common stock</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(8,028)</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(8,118)</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Distributions to noncontrolling interests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(1,375)</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(4,823)</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Payment of debt issuance costs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2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(6,568)</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Finance lease payment</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(820)</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Term loan - repayments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(953)</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(2,821)</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Term loan - borrowings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711</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210,000</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Revolving credit facility – borrowings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68,000</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85,000</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Revolving credit facility – repayments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(45,000)</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(10,000)</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Proceeds from mezzanine equity</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tcPr>
          <w:p>
            <w:pPr>
              <w:jc w:val="right"/>
              <w:ind w:right="2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71,533</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Proceeds from customer receivable credit facility</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12,225</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27,540</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Repayment of customer receivable credit facility</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(3,543)</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(1,005)</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Purchases of common stock – stock- based compensation</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(1,169)</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(1,713)</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Purchases of common stock – share repurchase plan</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(942)</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(4,836)</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Proceeds from exercise of stock options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260"/>
              <w:spacing w:after="0" w:line="112"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383</w:t>
            </w:r>
          </w:p>
        </w:tc>
        <w:tc>
          <w:tcPr>
            <w:tcW w:w="0" w:type="dxa"/>
            <w:vAlign w:val="bottom"/>
          </w:tcPr>
          <w:p>
            <w:pPr>
              <w:spacing w:after="0"/>
              <w:rPr>
                <w:sz w:val="1"/>
                <w:szCs w:val="1"/>
                <w:color w:val="auto"/>
              </w:rPr>
            </w:pPr>
          </w:p>
        </w:tc>
      </w:tr>
      <w:tr>
        <w:trPr>
          <w:trHeight w:val="112"/>
        </w:trPr>
        <w:tc>
          <w:tcPr>
            <w:tcW w:w="5620" w:type="dxa"/>
            <w:vAlign w:val="bottom"/>
          </w:tcPr>
          <w:p>
            <w:pPr>
              <w:ind w:left="180"/>
              <w:spacing w:after="0" w:line="112" w:lineRule="exact"/>
              <w:rPr>
                <w:sz w:val="20"/>
                <w:szCs w:val="20"/>
                <w:color w:val="auto"/>
              </w:rPr>
            </w:pPr>
            <w:r>
              <w:rPr>
                <w:rFonts w:ascii="Times New Roman" w:cs="Times New Roman" w:eastAsia="Times New Roman" w:hAnsi="Times New Roman"/>
                <w:sz w:val="10"/>
                <w:szCs w:val="10"/>
                <w:color w:val="auto"/>
              </w:rPr>
              <w:t>Investments made by minority shareholders in consolidated affiliates</w:t>
            </w: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22</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ind w:left="180"/>
              <w:spacing w:after="0" w:line="112" w:lineRule="exact"/>
              <w:rPr>
                <w:sz w:val="20"/>
                <w:szCs w:val="20"/>
                <w:color w:val="auto"/>
              </w:rPr>
            </w:pPr>
            <w:r>
              <w:rPr>
                <w:rFonts w:ascii="Times New Roman" w:cs="Times New Roman" w:eastAsia="Times New Roman" w:hAnsi="Times New Roman"/>
                <w:sz w:val="10"/>
                <w:szCs w:val="10"/>
                <w:color w:val="auto"/>
              </w:rPr>
              <w:t>Repurchases of noncontrolling interests</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(4,631)</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(13,139)</w:t>
            </w:r>
          </w:p>
        </w:tc>
        <w:tc>
          <w:tcPr>
            <w:tcW w:w="0" w:type="dxa"/>
            <w:vAlign w:val="bottom"/>
          </w:tcPr>
          <w:p>
            <w:pPr>
              <w:spacing w:after="0"/>
              <w:rPr>
                <w:sz w:val="1"/>
                <w:szCs w:val="1"/>
                <w:color w:val="auto"/>
              </w:rPr>
            </w:pPr>
          </w:p>
        </w:tc>
      </w:tr>
      <w:tr>
        <w:trPr>
          <w:trHeight w:val="112"/>
        </w:trPr>
        <w:tc>
          <w:tcPr>
            <w:tcW w:w="5620" w:type="dxa"/>
            <w:vAlign w:val="bottom"/>
            <w:tcBorders>
              <w:bottom w:val="single" w:sz="8" w:color="CCEEFF"/>
            </w:tcBorders>
          </w:tcPr>
          <w:p>
            <w:pPr>
              <w:ind w:left="180"/>
              <w:spacing w:after="0" w:line="112" w:lineRule="exact"/>
              <w:rPr>
                <w:sz w:val="20"/>
                <w:szCs w:val="20"/>
                <w:color w:val="auto"/>
              </w:rPr>
            </w:pPr>
            <w:r>
              <w:rPr>
                <w:rFonts w:ascii="Times New Roman" w:cs="Times New Roman" w:eastAsia="Times New Roman" w:hAnsi="Times New Roman"/>
                <w:sz w:val="10"/>
                <w:szCs w:val="10"/>
                <w:color w:val="auto"/>
              </w:rPr>
              <w:t>Contingent consideration paid for business acquisition</w:t>
            </w:r>
          </w:p>
        </w:tc>
        <w:tc>
          <w:tcPr>
            <w:tcW w:w="1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(1,718)</w:t>
            </w:r>
          </w:p>
        </w:tc>
        <w:tc>
          <w:tcPr>
            <w:tcW w:w="2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3"/>
        </w:trPr>
        <w:tc>
          <w:tcPr>
            <w:tcW w:w="5620" w:type="dxa"/>
            <w:vAlign w:val="bottom"/>
            <w:shd w:val="clear" w:color="auto" w:fill="CCEEFF"/>
          </w:tcPr>
          <w:p>
            <w:pPr>
              <w:ind w:left="180"/>
              <w:spacing w:after="0" w:line="104"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11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12,779</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341,433</w:t>
            </w:r>
          </w:p>
        </w:tc>
        <w:tc>
          <w:tcPr>
            <w:tcW w:w="0" w:type="dxa"/>
            <w:vAlign w:val="bottom"/>
          </w:tcPr>
          <w:p>
            <w:pPr>
              <w:spacing w:after="0"/>
              <w:rPr>
                <w:sz w:val="1"/>
                <w:szCs w:val="1"/>
                <w:color w:val="auto"/>
              </w:rPr>
            </w:pPr>
          </w:p>
        </w:tc>
      </w:tr>
      <w:tr>
        <w:trPr>
          <w:trHeight w:val="103"/>
        </w:trPr>
        <w:tc>
          <w:tcPr>
            <w:tcW w:w="562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Effect of foreign currency exchange rates on cash and cash equivalents</w:t>
            </w: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562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color w:val="auto"/>
              </w:rPr>
              <w:t>Net change in cash, cash equivalents, and restricted cash</w:t>
            </w:r>
          </w:p>
        </w:tc>
        <w:tc>
          <w:tcPr>
            <w:tcW w:w="11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(2,888)</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0"/>
                <w:szCs w:val="10"/>
                <w:color w:val="auto"/>
              </w:rPr>
              <w:t>(2,633)</w:t>
            </w:r>
          </w:p>
        </w:tc>
        <w:tc>
          <w:tcPr>
            <w:tcW w:w="0" w:type="dxa"/>
            <w:vAlign w:val="bottom"/>
          </w:tcPr>
          <w:p>
            <w:pPr>
              <w:spacing w:after="0"/>
              <w:rPr>
                <w:sz w:val="1"/>
                <w:szCs w:val="1"/>
                <w:color w:val="auto"/>
              </w:rPr>
            </w:pPr>
          </w:p>
        </w:tc>
      </w:tr>
      <w:tr>
        <w:trPr>
          <w:trHeight w:val="112"/>
        </w:trPr>
        <w:tc>
          <w:tcPr>
            <w:tcW w:w="5620" w:type="dxa"/>
            <w:vAlign w:val="bottom"/>
            <w:tcBorders>
              <w:bottom w:val="single" w:sz="8" w:color="CCEEFF"/>
            </w:tcBorders>
          </w:tcPr>
          <w:p>
            <w:pPr>
              <w:spacing w:after="0" w:line="112" w:lineRule="exact"/>
              <w:rPr>
                <w:sz w:val="20"/>
                <w:szCs w:val="20"/>
                <w:color w:val="auto"/>
              </w:rPr>
            </w:pPr>
            <w:r>
              <w:rPr>
                <w:rFonts w:ascii="Times New Roman" w:cs="Times New Roman" w:eastAsia="Times New Roman" w:hAnsi="Times New Roman"/>
                <w:sz w:val="10"/>
                <w:szCs w:val="10"/>
                <w:color w:val="auto"/>
              </w:rPr>
              <w:t>Total cash, cash equivalents, and restricted cash, beginning of period</w:t>
            </w:r>
          </w:p>
        </w:tc>
        <w:tc>
          <w:tcPr>
            <w:tcW w:w="1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80,697</w:t>
            </w:r>
          </w:p>
        </w:tc>
        <w:tc>
          <w:tcPr>
            <w:tcW w:w="22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0"/>
                <w:szCs w:val="10"/>
                <w:color w:val="auto"/>
              </w:rPr>
              <w:t>104,997</w:t>
            </w:r>
          </w:p>
        </w:tc>
        <w:tc>
          <w:tcPr>
            <w:tcW w:w="0" w:type="dxa"/>
            <w:vAlign w:val="bottom"/>
          </w:tcPr>
          <w:p>
            <w:pPr>
              <w:spacing w:after="0"/>
              <w:rPr>
                <w:sz w:val="1"/>
                <w:szCs w:val="1"/>
                <w:color w:val="auto"/>
              </w:rPr>
            </w:pPr>
          </w:p>
        </w:tc>
      </w:tr>
      <w:tr>
        <w:trPr>
          <w:trHeight w:val="103"/>
        </w:trPr>
        <w:tc>
          <w:tcPr>
            <w:tcW w:w="5620" w:type="dxa"/>
            <w:vAlign w:val="bottom"/>
            <w:tcBorders>
              <w:bottom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Total cash, cash equivalents, and restricted cash, end of period</w:t>
            </w:r>
          </w:p>
        </w:tc>
        <w:tc>
          <w:tcPr>
            <w:tcW w:w="1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77,809</w:t>
            </w:r>
          </w:p>
        </w:tc>
        <w:tc>
          <w:tcPr>
            <w:tcW w:w="2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102,364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Purchases of property, plant and equipment included in accounts payable and accrued expenses</w:t>
            </w:r>
          </w:p>
        </w:tc>
        <w:tc>
          <w:tcPr>
            <w:tcW w:w="1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62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21,491</w:t>
            </w:r>
          </w:p>
        </w:tc>
        <w:tc>
          <w:tcPr>
            <w:tcW w:w="220" w:type="dxa"/>
            <w:vAlign w:val="bottom"/>
          </w:tcPr>
          <w:p>
            <w:pPr>
              <w:spacing w:after="0"/>
              <w:rPr>
                <w:sz w:val="7"/>
                <w:szCs w:val="7"/>
                <w:color w:val="auto"/>
              </w:rPr>
            </w:pPr>
          </w:p>
        </w:tc>
        <w:tc>
          <w:tcPr>
            <w:tcW w:w="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
                <w:szCs w:val="1"/>
                <w:color w:val="auto"/>
                <w:w w:val="4294967286"/>
              </w:rPr>
              <w:t>$</w:t>
            </w:r>
          </w:p>
        </w:tc>
        <w:tc>
          <w:tcPr>
            <w:tcW w:w="7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17,973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accompanying condensed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ATN INTERNATIONAL,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 ORGANIZATION AND BUSINESS OPERATIONS</w:t>
      </w:r>
    </w:p>
    <w:p>
      <w:pPr>
        <w:spacing w:after="0" w:line="190" w:lineRule="exact"/>
        <w:rPr>
          <w:sz w:val="20"/>
          <w:szCs w:val="20"/>
          <w:color w:val="auto"/>
        </w:rPr>
      </w:pPr>
    </w:p>
    <w:p>
      <w:pPr>
        <w:ind w:left="40" w:right="139" w:firstLine="538"/>
        <w:spacing w:after="0" w:line="256" w:lineRule="auto"/>
        <w:rPr>
          <w:sz w:val="20"/>
          <w:szCs w:val="20"/>
          <w:color w:val="auto"/>
        </w:rPr>
      </w:pPr>
      <w:r>
        <w:rPr>
          <w:rFonts w:ascii="Times New Roman" w:cs="Times New Roman" w:eastAsia="Times New Roman" w:hAnsi="Times New Roman"/>
          <w:sz w:val="15"/>
          <w:szCs w:val="15"/>
          <w:color w:val="auto"/>
        </w:rPr>
        <w:t>The Company is a provider of digital infrastructure and communications services in the United States and internationally, including the Caribbean region, with a focus on rural and remote markets with a growing demand for infrastructure investments. The Company’s operating subsidiaries today primarily provide: (i) advanced wireless and wireline connectivity to residential, business and government customers, including a range of high-speed Internet and data services, fixed and mobile wireless solutions, and video and voice services; and (ii) carrier and enterprise communications services, such as terrestrial and submarine fiber optic transport, and communications tower facilities.</w:t>
      </w:r>
    </w:p>
    <w:p>
      <w:pPr>
        <w:spacing w:after="0" w:line="155" w:lineRule="exact"/>
        <w:rPr>
          <w:sz w:val="20"/>
          <w:szCs w:val="20"/>
          <w:color w:val="auto"/>
        </w:rPr>
      </w:pPr>
    </w:p>
    <w:p>
      <w:pPr>
        <w:ind w:left="40" w:right="59" w:firstLine="538"/>
        <w:spacing w:after="0" w:line="252" w:lineRule="auto"/>
        <w:rPr>
          <w:sz w:val="20"/>
          <w:szCs w:val="20"/>
          <w:color w:val="auto"/>
        </w:rPr>
      </w:pPr>
      <w:r>
        <w:rPr>
          <w:rFonts w:ascii="Times New Roman" w:cs="Times New Roman" w:eastAsia="Times New Roman" w:hAnsi="Times New Roman"/>
          <w:sz w:val="15"/>
          <w:szCs w:val="15"/>
          <w:color w:val="auto"/>
        </w:rPr>
        <w:t>At the holding company level, the Company oversees the allocation of capital within and among its subsidiaries, affiliates, new investments, and stockholders. The Company also has developed significant operational expertise and resources that it uses to augment the capabilities of its individual operating subsidiaries in its local markets. Over the past 10 years, the Company has built a platform of resources and expertise to support its operating subsidiaries and to improve their quality of service with greater economies of scale and expertise than would typically be available at the operating subsidiary level. The Company also provides management, technical, financial, regulatory, and marketing services to its operating subsidiaries and typically receives a management fee calculated as a percentage of their revenues, which is eliminated in consolidation. The Company also actively evaluates potential acquisitions, investment opportunities and other strategic transactions, both domestic and international, and generally looks for those that it believes fit the Company’s profile of telecommunications businesses and have the potential to complement its “glass and steel” and “fiber first” approach in markets while generating steady excess cash flows over extended periods of time. The Company uses the cash generated from its operations to re-invest in organic growth in its existing businesses, to make strategic investments in additional businesses, and to return cash to its investors through dividends or stock repurchases.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the Company offered the following types of services to its customers:</w:t>
      </w:r>
    </w:p>
    <w:p>
      <w:pPr>
        <w:spacing w:after="0" w:line="182" w:lineRule="exact"/>
        <w:rPr>
          <w:sz w:val="20"/>
          <w:szCs w:val="20"/>
          <w:color w:val="auto"/>
        </w:rPr>
      </w:pPr>
    </w:p>
    <w:p>
      <w:pPr>
        <w:ind w:left="1020" w:right="139" w:hanging="279"/>
        <w:spacing w:after="0" w:line="283" w:lineRule="auto"/>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Mobility Telecommunications Services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Company offers mobile communications services and equipment over its wireless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networks to both its business and consumer subscribers.</w:t>
      </w:r>
    </w:p>
    <w:p>
      <w:pPr>
        <w:spacing w:after="0" w:line="130" w:lineRule="exact"/>
        <w:rPr>
          <w:rFonts w:ascii="Times New Roman" w:cs="Times New Roman" w:eastAsia="Times New Roman" w:hAnsi="Times New Roman"/>
          <w:sz w:val="15"/>
          <w:szCs w:val="15"/>
          <w:color w:val="auto"/>
        </w:rPr>
      </w:pPr>
    </w:p>
    <w:p>
      <w:pPr>
        <w:jc w:val="both"/>
        <w:ind w:left="1020" w:right="139" w:hanging="279"/>
        <w:spacing w:after="0" w:line="260" w:lineRule="auto"/>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Fixed Telecommunications Services</w:t>
      </w:r>
      <w:r>
        <w:rPr>
          <w:rFonts w:ascii="Times New Roman" w:cs="Times New Roman" w:eastAsia="Times New Roman" w:hAnsi="Times New Roman"/>
          <w:sz w:val="15"/>
          <w:szCs w:val="15"/>
          <w:color w:val="auto"/>
        </w:rPr>
        <w:t>. The Company provides fixed data and voice telecommunications services to both its business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consumer subscribers in all of its markets. These services include consumer broadband and high speed data solutions for businesses. For some markets, fixed services also include video services and revenue derived from support under certain government programs.</w:t>
      </w:r>
    </w:p>
    <w:p>
      <w:pPr>
        <w:spacing w:after="0" w:line="148" w:lineRule="exact"/>
        <w:rPr>
          <w:rFonts w:ascii="Times New Roman" w:cs="Times New Roman" w:eastAsia="Times New Roman" w:hAnsi="Times New Roman"/>
          <w:sz w:val="15"/>
          <w:szCs w:val="15"/>
          <w:color w:val="auto"/>
        </w:rPr>
      </w:pPr>
    </w:p>
    <w:p>
      <w:pPr>
        <w:jc w:val="both"/>
        <w:ind w:left="1020" w:right="139" w:hanging="279"/>
        <w:spacing w:after="0" w:line="266" w:lineRule="auto"/>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Carrier Telecommunication Services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Company delivers services such as wholesale roaming, the leasing of critical network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infrastructure such as tower and transport facilities, site maintenance and international long-distance services to other telecommunications providers.</w:t>
      </w:r>
    </w:p>
    <w:p>
      <w:pPr>
        <w:spacing w:after="0" w:line="143" w:lineRule="exact"/>
        <w:rPr>
          <w:rFonts w:ascii="Times New Roman" w:cs="Times New Roman" w:eastAsia="Times New Roman" w:hAnsi="Times New Roman"/>
          <w:sz w:val="15"/>
          <w:szCs w:val="15"/>
          <w:color w:val="auto"/>
        </w:rPr>
      </w:pPr>
    </w:p>
    <w:p>
      <w:pPr>
        <w:ind w:left="1020" w:right="99" w:hanging="279"/>
        <w:spacing w:after="0" w:line="283" w:lineRule="auto"/>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Managed Services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Company provides information technology services such as network, application, infrastructure and hosting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services to both its business and consumer customers to complement its fixed services in its existing markets.</w:t>
      </w:r>
    </w:p>
    <w:p>
      <w:pPr>
        <w:spacing w:after="0" w:line="135" w:lineRule="exact"/>
        <w:rPr>
          <w:sz w:val="20"/>
          <w:szCs w:val="20"/>
          <w:color w:val="auto"/>
        </w:rPr>
      </w:pPr>
    </w:p>
    <w:p>
      <w:pPr>
        <w:ind w:left="40" w:right="299" w:firstLine="538"/>
        <w:spacing w:after="0" w:line="277" w:lineRule="auto"/>
        <w:rPr>
          <w:sz w:val="20"/>
          <w:szCs w:val="20"/>
          <w:color w:val="auto"/>
        </w:rPr>
      </w:pPr>
      <w:r>
        <w:rPr>
          <w:rFonts w:ascii="Times New Roman" w:cs="Times New Roman" w:eastAsia="Times New Roman" w:hAnsi="Times New Roman"/>
          <w:sz w:val="15"/>
          <w:szCs w:val="15"/>
          <w:color w:val="auto"/>
        </w:rPr>
        <w:t>Through September 30, 2022, the Company has identified three operating segments to manage and review its operations and to facilitate investor presentations of its results. These three operating segments are as follows:</w:t>
      </w:r>
    </w:p>
    <w:p>
      <w:pPr>
        <w:spacing w:after="0" w:line="136" w:lineRule="exact"/>
        <w:rPr>
          <w:sz w:val="20"/>
          <w:szCs w:val="20"/>
          <w:color w:val="auto"/>
        </w:rPr>
      </w:pPr>
    </w:p>
    <w:p>
      <w:pPr>
        <w:ind w:left="1020" w:right="419" w:hanging="267"/>
        <w:spacing w:after="0" w:line="283"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International Telecom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the Company’s international markets, it offers fixed services, mobility services, carrier services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managed services to customers in Bermuda, the Cayman Islands, Guyana and the US Virgin Islands.</w:t>
      </w:r>
    </w:p>
    <w:p>
      <w:pPr>
        <w:spacing w:after="0" w:line="130" w:lineRule="exact"/>
        <w:rPr>
          <w:rFonts w:ascii="Times New Roman" w:cs="Times New Roman" w:eastAsia="Times New Roman" w:hAnsi="Times New Roman"/>
          <w:sz w:val="15"/>
          <w:szCs w:val="15"/>
          <w:color w:val="auto"/>
        </w:rPr>
      </w:pPr>
    </w:p>
    <w:p>
      <w:pPr>
        <w:ind w:left="1020" w:right="559" w:hanging="267"/>
        <w:spacing w:after="0" w:line="283"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US Telecom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the United States, the Company offers fixed services, carrier services, and managed services to business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consumer customers in Alaska and the western United States. In the western</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United States, the Company also provides mobility services to enterprise and consumer customers.</w:t>
      </w:r>
    </w:p>
    <w:p>
      <w:pPr>
        <w:spacing w:after="0" w:line="182" w:lineRule="exact"/>
        <w:rPr>
          <w:sz w:val="20"/>
          <w:szCs w:val="20"/>
          <w:color w:val="auto"/>
        </w:rPr>
      </w:pPr>
    </w:p>
    <w:p>
      <w:pPr>
        <w:ind w:left="1020" w:right="359" w:hanging="267"/>
        <w:spacing w:after="0" w:line="283" w:lineRule="auto"/>
        <w:tabs>
          <w:tab w:leader="none" w:pos="1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Renewable Energy. </w:t>
      </w:r>
      <w:r>
        <w:rPr>
          <w:rFonts w:ascii="Times New Roman" w:cs="Times New Roman" w:eastAsia="Times New Roman" w:hAnsi="Times New Roman"/>
          <w:sz w:val="15"/>
          <w:szCs w:val="15"/>
          <w:color w:val="auto"/>
        </w:rPr>
        <w:t>In India, the Company provided distributed generation solar power to commercial and industrial customers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through January 27, 2021. See </w:t>
      </w:r>
      <w:r>
        <w:rPr>
          <w:rFonts w:ascii="Times New Roman" w:cs="Times New Roman" w:eastAsia="Times New Roman" w:hAnsi="Times New Roman"/>
          <w:sz w:val="15"/>
          <w:szCs w:val="15"/>
          <w:i w:val="1"/>
          <w:iCs w:val="1"/>
          <w:color w:val="auto"/>
        </w:rPr>
        <w:t>Disposition of International Solar Business</w:t>
      </w:r>
      <w:r>
        <w:rPr>
          <w:rFonts w:ascii="Times New Roman" w:cs="Times New Roman" w:eastAsia="Times New Roman" w:hAnsi="Times New Roman"/>
          <w:sz w:val="15"/>
          <w:szCs w:val="15"/>
          <w:color w:val="auto"/>
        </w:rPr>
        <w:t xml:space="preserve"> for further details.</w:t>
      </w:r>
    </w:p>
    <w:p>
      <w:pPr>
        <w:spacing w:after="0" w:line="135" w:lineRule="exact"/>
        <w:rPr>
          <w:sz w:val="20"/>
          <w:szCs w:val="20"/>
          <w:color w:val="auto"/>
        </w:rPr>
      </w:pPr>
    </w:p>
    <w:p>
      <w:pPr>
        <w:ind w:left="40" w:right="539" w:firstLine="538"/>
        <w:spacing w:after="0" w:line="277" w:lineRule="auto"/>
        <w:rPr>
          <w:sz w:val="20"/>
          <w:szCs w:val="20"/>
          <w:color w:val="auto"/>
        </w:rPr>
      </w:pPr>
      <w:r>
        <w:rPr>
          <w:rFonts w:ascii="Times New Roman" w:cs="Times New Roman" w:eastAsia="Times New Roman" w:hAnsi="Times New Roman"/>
          <w:sz w:val="15"/>
          <w:szCs w:val="15"/>
          <w:color w:val="auto"/>
        </w:rPr>
        <w:t>The following chart summarizes the operating activities of the Company’s principal subsidiaries, the segments in which it reports its revenue and the markets it served during the three months ended September 30, 2022:</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22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color w:val="auto"/>
              </w:rPr>
              <w:t>Segment</w:t>
            </w:r>
          </w:p>
        </w:tc>
        <w:tc>
          <w:tcPr>
            <w:tcW w:w="120" w:type="dxa"/>
            <w:vAlign w:val="bottom"/>
            <w:tcBorders>
              <w:bottom w:val="single" w:sz="8" w:color="CCEEFF"/>
            </w:tcBorders>
          </w:tcPr>
          <w:p>
            <w:pPr>
              <w:spacing w:after="0"/>
              <w:rPr>
                <w:sz w:val="12"/>
                <w:szCs w:val="12"/>
                <w:color w:val="auto"/>
              </w:rPr>
            </w:pPr>
          </w:p>
        </w:tc>
        <w:tc>
          <w:tcPr>
            <w:tcW w:w="23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2"/>
                <w:szCs w:val="12"/>
                <w:color w:val="auto"/>
              </w:rPr>
              <w:t>Services</w:t>
            </w:r>
          </w:p>
        </w:tc>
        <w:tc>
          <w:tcPr>
            <w:tcW w:w="140" w:type="dxa"/>
            <w:vAlign w:val="bottom"/>
            <w:tcBorders>
              <w:bottom w:val="single" w:sz="8" w:color="CCEEFF"/>
            </w:tcBorders>
          </w:tcPr>
          <w:p>
            <w:pPr>
              <w:spacing w:after="0"/>
              <w:rPr>
                <w:sz w:val="12"/>
                <w:szCs w:val="12"/>
                <w:color w:val="auto"/>
              </w:rPr>
            </w:pPr>
          </w:p>
        </w:tc>
        <w:tc>
          <w:tcPr>
            <w:tcW w:w="24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2"/>
                <w:szCs w:val="12"/>
                <w:color w:val="auto"/>
              </w:rPr>
              <w:t>Markets</w:t>
            </w:r>
          </w:p>
        </w:tc>
        <w:tc>
          <w:tcPr>
            <w:tcW w:w="14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rPr>
              <w:t>Tradenames</w:t>
            </w:r>
          </w:p>
        </w:tc>
      </w:tr>
      <w:tr>
        <w:trPr>
          <w:trHeight w:val="170"/>
        </w:trPr>
        <w:tc>
          <w:tcPr>
            <w:tcW w:w="22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International Telecom</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Mobility Services</w:t>
            </w:r>
          </w:p>
        </w:tc>
        <w:tc>
          <w:tcPr>
            <w:tcW w:w="1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Bermuda, Guyana, US Virgin Islands</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One, GTT, Viya</w:t>
            </w:r>
          </w:p>
        </w:tc>
      </w:tr>
      <w:tr>
        <w:trPr>
          <w:trHeight w:val="165"/>
        </w:trPr>
        <w:tc>
          <w:tcPr>
            <w:tcW w:w="2220" w:type="dxa"/>
            <w:vAlign w:val="bottom"/>
          </w:tcPr>
          <w:p>
            <w:pPr>
              <w:spacing w:after="0"/>
              <w:rPr>
                <w:sz w:val="14"/>
                <w:szCs w:val="14"/>
                <w:color w:val="auto"/>
              </w:rPr>
            </w:pPr>
          </w:p>
        </w:tc>
        <w:tc>
          <w:tcPr>
            <w:tcW w:w="248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Fixed Services</w:t>
            </w:r>
          </w:p>
        </w:tc>
        <w:tc>
          <w:tcPr>
            <w:tcW w:w="260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Bermuda, Cayman Islands, Guyana, US</w:t>
            </w:r>
          </w:p>
        </w:tc>
        <w:tc>
          <w:tcPr>
            <w:tcW w:w="164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One, Logic, GTT, Viya</w:t>
            </w:r>
          </w:p>
        </w:tc>
      </w:tr>
      <w:tr>
        <w:trPr>
          <w:trHeight w:val="193"/>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Virgin Islands</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22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Carrier Services</w:t>
            </w:r>
          </w:p>
        </w:tc>
        <w:tc>
          <w:tcPr>
            <w:tcW w:w="2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Bermuda, Guyana, US Virgin Islands</w:t>
            </w: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One, GTT, Viya</w:t>
            </w:r>
          </w:p>
        </w:tc>
      </w:tr>
      <w:tr>
        <w:trPr>
          <w:trHeight w:val="165"/>
        </w:trPr>
        <w:tc>
          <w:tcPr>
            <w:tcW w:w="2220" w:type="dxa"/>
            <w:vAlign w:val="bottom"/>
          </w:tcPr>
          <w:p>
            <w:pPr>
              <w:spacing w:after="0"/>
              <w:rPr>
                <w:sz w:val="14"/>
                <w:szCs w:val="14"/>
                <w:color w:val="auto"/>
              </w:rPr>
            </w:pPr>
          </w:p>
        </w:tc>
        <w:tc>
          <w:tcPr>
            <w:tcW w:w="248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Managed Services</w:t>
            </w:r>
          </w:p>
        </w:tc>
        <w:tc>
          <w:tcPr>
            <w:tcW w:w="260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Bermuda, Cayman Islands, US Virgin</w:t>
            </w:r>
          </w:p>
        </w:tc>
        <w:tc>
          <w:tcPr>
            <w:tcW w:w="164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Fireminds, One, Logic,</w:t>
            </w:r>
          </w:p>
        </w:tc>
      </w:tr>
      <w:tr>
        <w:trPr>
          <w:trHeight w:val="193"/>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Islands, Guyana</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GTT, Viya</w:t>
            </w:r>
          </w:p>
        </w:tc>
      </w:tr>
      <w:tr>
        <w:trPr>
          <w:trHeight w:val="157"/>
        </w:trPr>
        <w:tc>
          <w:tcPr>
            <w:tcW w:w="222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US Telecom</w:t>
            </w:r>
          </w:p>
        </w:tc>
        <w:tc>
          <w:tcPr>
            <w:tcW w:w="12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Mobility Services</w:t>
            </w:r>
          </w:p>
        </w:tc>
        <w:tc>
          <w:tcPr>
            <w:tcW w:w="140" w:type="dxa"/>
            <w:vAlign w:val="bottom"/>
            <w:tcBorders>
              <w:top w:val="single" w:sz="8" w:color="CCEEFF"/>
            </w:tcBorders>
            <w:shd w:val="clear" w:color="auto" w:fill="CCEEFF"/>
          </w:tcPr>
          <w:p>
            <w:pPr>
              <w:spacing w:after="0"/>
              <w:rPr>
                <w:sz w:val="13"/>
                <w:szCs w:val="13"/>
                <w:color w:val="auto"/>
              </w:rPr>
            </w:pPr>
          </w:p>
        </w:tc>
        <w:tc>
          <w:tcPr>
            <w:tcW w:w="24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United States (rural markets)</w:t>
            </w:r>
          </w:p>
        </w:tc>
        <w:tc>
          <w:tcPr>
            <w:tcW w:w="14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Choice, Choice NTUA</w:t>
            </w:r>
          </w:p>
        </w:tc>
      </w:tr>
      <w:tr>
        <w:trPr>
          <w:trHeight w:val="194"/>
        </w:trPr>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Wireless</w:t>
            </w:r>
          </w:p>
        </w:tc>
      </w:tr>
      <w:tr>
        <w:trPr>
          <w:trHeight w:val="165"/>
        </w:trPr>
        <w:tc>
          <w:tcPr>
            <w:tcW w:w="2220" w:type="dxa"/>
            <w:vAlign w:val="bottom"/>
          </w:tcPr>
          <w:p>
            <w:pPr>
              <w:spacing w:after="0"/>
              <w:rPr>
                <w:sz w:val="14"/>
                <w:szCs w:val="14"/>
                <w:color w:val="auto"/>
              </w:rPr>
            </w:pPr>
          </w:p>
        </w:tc>
        <w:tc>
          <w:tcPr>
            <w:tcW w:w="248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Fixed Services</w:t>
            </w:r>
          </w:p>
        </w:tc>
        <w:tc>
          <w:tcPr>
            <w:tcW w:w="260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United States</w:t>
            </w:r>
          </w:p>
        </w:tc>
        <w:tc>
          <w:tcPr>
            <w:tcW w:w="164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Alaska</w:t>
            </w:r>
          </w:p>
        </w:tc>
      </w:tr>
      <w:tr>
        <w:trPr>
          <w:trHeight w:val="179"/>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Communications,</w:t>
            </w:r>
          </w:p>
        </w:tc>
      </w:tr>
      <w:tr>
        <w:trPr>
          <w:trHeight w:val="179"/>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Commnet Broadband,</w:t>
            </w:r>
          </w:p>
        </w:tc>
      </w:tr>
      <w:tr>
        <w:trPr>
          <w:trHeight w:val="193"/>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Choice NTUA Wireless</w:t>
            </w:r>
          </w:p>
        </w:tc>
      </w:tr>
      <w:tr>
        <w:trPr>
          <w:trHeight w:val="165"/>
        </w:trPr>
        <w:tc>
          <w:tcPr>
            <w:tcW w:w="2220" w:type="dxa"/>
            <w:vAlign w:val="bottom"/>
            <w:shd w:val="clear" w:color="auto" w:fill="CCEEFF"/>
          </w:tcPr>
          <w:p>
            <w:pPr>
              <w:spacing w:after="0"/>
              <w:rPr>
                <w:sz w:val="14"/>
                <w:szCs w:val="14"/>
                <w:color w:val="auto"/>
              </w:rPr>
            </w:pPr>
          </w:p>
        </w:tc>
        <w:tc>
          <w:tcPr>
            <w:tcW w:w="248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5"/>
                <w:szCs w:val="15"/>
                <w:color w:val="auto"/>
              </w:rPr>
              <w:t>Carrier Services</w:t>
            </w:r>
          </w:p>
        </w:tc>
        <w:tc>
          <w:tcPr>
            <w:tcW w:w="260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5"/>
                <w:szCs w:val="15"/>
                <w:color w:val="auto"/>
              </w:rPr>
              <w:t>United States</w:t>
            </w:r>
          </w:p>
        </w:tc>
        <w:tc>
          <w:tcPr>
            <w:tcW w:w="1640" w:type="dxa"/>
            <w:vAlign w:val="bottom"/>
            <w:gridSpan w:val="2"/>
            <w:shd w:val="clear" w:color="auto" w:fill="CCEEFF"/>
          </w:tcPr>
          <w:p>
            <w:pPr>
              <w:ind w:left="120"/>
              <w:spacing w:after="0" w:line="165" w:lineRule="exact"/>
              <w:rPr>
                <w:sz w:val="20"/>
                <w:szCs w:val="20"/>
                <w:color w:val="auto"/>
              </w:rPr>
            </w:pPr>
            <w:r>
              <w:rPr>
                <w:rFonts w:ascii="Times New Roman" w:cs="Times New Roman" w:eastAsia="Times New Roman" w:hAnsi="Times New Roman"/>
                <w:sz w:val="15"/>
                <w:szCs w:val="15"/>
                <w:color w:val="auto"/>
              </w:rPr>
              <w:t>Alaska</w:t>
            </w:r>
          </w:p>
        </w:tc>
      </w:tr>
      <w:tr>
        <w:trPr>
          <w:trHeight w:val="179"/>
        </w:trPr>
        <w:tc>
          <w:tcPr>
            <w:tcW w:w="2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Communications,</w:t>
            </w:r>
          </w:p>
        </w:tc>
      </w:tr>
      <w:tr>
        <w:trPr>
          <w:trHeight w:val="194"/>
        </w:trPr>
        <w:tc>
          <w:tcPr>
            <w:tcW w:w="2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Commnet, Essextel</w:t>
            </w:r>
          </w:p>
        </w:tc>
      </w:tr>
      <w:tr>
        <w:trPr>
          <w:trHeight w:val="165"/>
        </w:trPr>
        <w:tc>
          <w:tcPr>
            <w:tcW w:w="2220" w:type="dxa"/>
            <w:vAlign w:val="bottom"/>
          </w:tcPr>
          <w:p>
            <w:pPr>
              <w:spacing w:after="0"/>
              <w:rPr>
                <w:sz w:val="14"/>
                <w:szCs w:val="14"/>
                <w:color w:val="auto"/>
              </w:rPr>
            </w:pPr>
          </w:p>
        </w:tc>
        <w:tc>
          <w:tcPr>
            <w:tcW w:w="248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Managed Services</w:t>
            </w:r>
          </w:p>
        </w:tc>
        <w:tc>
          <w:tcPr>
            <w:tcW w:w="260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United States</w:t>
            </w:r>
          </w:p>
        </w:tc>
        <w:tc>
          <w:tcPr>
            <w:tcW w:w="1640" w:type="dxa"/>
            <w:vAlign w:val="bottom"/>
            <w:gridSpan w:val="2"/>
          </w:tcPr>
          <w:p>
            <w:pPr>
              <w:ind w:left="120"/>
              <w:spacing w:after="0" w:line="165" w:lineRule="exact"/>
              <w:rPr>
                <w:sz w:val="20"/>
                <w:szCs w:val="20"/>
                <w:color w:val="auto"/>
              </w:rPr>
            </w:pPr>
            <w:r>
              <w:rPr>
                <w:rFonts w:ascii="Times New Roman" w:cs="Times New Roman" w:eastAsia="Times New Roman" w:hAnsi="Times New Roman"/>
                <w:sz w:val="15"/>
                <w:szCs w:val="15"/>
                <w:color w:val="auto"/>
              </w:rPr>
              <w:t>Alaska</w:t>
            </w:r>
          </w:p>
        </w:tc>
      </w:tr>
      <w:tr>
        <w:trPr>
          <w:trHeight w:val="179"/>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Communications,</w:t>
            </w:r>
          </w:p>
        </w:tc>
      </w:tr>
      <w:tr>
        <w:trPr>
          <w:trHeight w:val="193"/>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Commnet Broadband</w:t>
            </w:r>
          </w:p>
        </w:tc>
      </w:tr>
      <w:tr>
        <w:trPr>
          <w:trHeight w:val="171"/>
        </w:trPr>
        <w:tc>
          <w:tcPr>
            <w:tcW w:w="222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Renewable Energy (1)</w:t>
            </w:r>
          </w:p>
        </w:tc>
        <w:tc>
          <w:tcPr>
            <w:tcW w:w="1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Solar</w:t>
            </w:r>
          </w:p>
        </w:tc>
        <w:tc>
          <w:tcPr>
            <w:tcW w:w="14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India</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Vibrant Energy</w:t>
            </w:r>
          </w:p>
        </w:tc>
      </w:tr>
    </w:tbl>
    <w:p>
      <w:pPr>
        <w:spacing w:after="0" w:line="163" w:lineRule="exact"/>
        <w:rPr>
          <w:sz w:val="20"/>
          <w:szCs w:val="20"/>
          <w:color w:val="auto"/>
        </w:rPr>
      </w:pPr>
    </w:p>
    <w:p>
      <w:pPr>
        <w:ind w:left="860" w:hanging="264"/>
        <w:spacing w:after="0"/>
        <w:tabs>
          <w:tab w:leader="none" w:pos="8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Disposition of International Solar Business</w:t>
      </w:r>
      <w:r>
        <w:rPr>
          <w:rFonts w:ascii="Times New Roman" w:cs="Times New Roman" w:eastAsia="Times New Roman" w:hAnsi="Times New Roman"/>
          <w:sz w:val="15"/>
          <w:szCs w:val="15"/>
          <w:color w:val="auto"/>
        </w:rPr>
        <w:t xml:space="preserve"> for further details.</w:t>
      </w:r>
    </w:p>
    <w:p>
      <w:pPr>
        <w:spacing w:after="0" w:line="188" w:lineRule="exact"/>
        <w:rPr>
          <w:sz w:val="20"/>
          <w:szCs w:val="20"/>
          <w:color w:val="auto"/>
        </w:rPr>
      </w:pPr>
    </w:p>
    <w:p>
      <w:pPr>
        <w:ind w:left="40" w:right="179" w:firstLine="538"/>
        <w:spacing w:after="0" w:line="277" w:lineRule="auto"/>
        <w:rPr>
          <w:sz w:val="20"/>
          <w:szCs w:val="20"/>
          <w:color w:val="auto"/>
        </w:rPr>
      </w:pPr>
      <w:r>
        <w:rPr>
          <w:rFonts w:ascii="Times New Roman" w:cs="Times New Roman" w:eastAsia="Times New Roman" w:hAnsi="Times New Roman"/>
          <w:sz w:val="15"/>
          <w:szCs w:val="15"/>
          <w:color w:val="auto"/>
        </w:rPr>
        <w:t>For further information about the Company’s financial segments and geographical information about its operating revenues and assets, see Note 13 to the Unaudited Condensed Consolidated Financial Statements included in this Report.</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Global Macroeconomic Conditions</w:t>
      </w:r>
    </w:p>
    <w:p>
      <w:pPr>
        <w:spacing w:after="0" w:line="190"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The Company’s assessment of the impact of COVID-19 on its operations through September 30, 2022, did not indicate that there was a material adverse impact to its consolidated financial statements as of and for the three and nine months ended September 30, 2022. However, the Company may, in future periods, experience difficulty in procuring network or retail equipment, such as handsets for subscribers, as a result of COVID-19 restrictions and related supply chain challenges.</w:t>
      </w:r>
    </w:p>
    <w:p>
      <w:pPr>
        <w:spacing w:after="0" w:line="154" w:lineRule="exact"/>
        <w:rPr>
          <w:sz w:val="20"/>
          <w:szCs w:val="20"/>
          <w:color w:val="auto"/>
        </w:rPr>
      </w:pPr>
    </w:p>
    <w:p>
      <w:pPr>
        <w:jc w:val="both"/>
        <w:ind w:left="40" w:right="59" w:firstLine="538"/>
        <w:spacing w:after="0" w:line="256" w:lineRule="auto"/>
        <w:rPr>
          <w:sz w:val="20"/>
          <w:szCs w:val="20"/>
          <w:color w:val="auto"/>
        </w:rPr>
      </w:pPr>
      <w:r>
        <w:rPr>
          <w:rFonts w:ascii="Times New Roman" w:cs="Times New Roman" w:eastAsia="Times New Roman" w:hAnsi="Times New Roman"/>
          <w:sz w:val="15"/>
          <w:szCs w:val="15"/>
          <w:color w:val="auto"/>
        </w:rPr>
        <w:t>In addition to potential supply chain challenges, several of the Company’s markets have experienced an increase in operating costs, some of which the Company believes, is attributable to macro-economic conditions, including inflation. If these conditions continue or worsen, they could negatively impact the Company by increasing its operating expenses. These conditions may lead to cost increases in multiple areas across the Company’s business, for example, rises in the prices of raw materials and manufactured goods, increased energy rates, as well as increased wage pressures and other expenses related to the Company’s employees. In particular, where the Company has agreed to undertake infrastructure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39"/>
        <w:spacing w:after="0" w:line="263" w:lineRule="auto"/>
        <w:rPr>
          <w:sz w:val="20"/>
          <w:szCs w:val="20"/>
          <w:color w:val="auto"/>
        </w:rPr>
      </w:pPr>
      <w:r>
        <w:rPr>
          <w:rFonts w:ascii="Times New Roman" w:cs="Times New Roman" w:eastAsia="Times New Roman" w:hAnsi="Times New Roman"/>
          <w:sz w:val="15"/>
          <w:szCs w:val="15"/>
          <w:color w:val="auto"/>
        </w:rPr>
        <w:t>build outs on a fixed budget for its carrier customers or by accepting government grants, these conditions may result in build costs that exceed the Company’s original budget. To the extent that the Company is unable to pass on the impact of these conditions through increased prices, revised budget estimates, or offset them in other ways, such conditions may impact our financial condition and cash flows.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2. BASIS OF PRESENTATION</w:t>
      </w:r>
    </w:p>
    <w:p>
      <w:pPr>
        <w:spacing w:after="0" w:line="190" w:lineRule="exact"/>
        <w:rPr>
          <w:sz w:val="20"/>
          <w:szCs w:val="20"/>
          <w:color w:val="auto"/>
        </w:rPr>
      </w:pPr>
    </w:p>
    <w:p>
      <w:pPr>
        <w:ind w:left="40" w:right="99" w:firstLine="538"/>
        <w:spacing w:after="0" w:line="253" w:lineRule="auto"/>
        <w:rPr>
          <w:sz w:val="20"/>
          <w:szCs w:val="20"/>
          <w:color w:val="auto"/>
        </w:rPr>
      </w:pPr>
      <w:r>
        <w:rPr>
          <w:rFonts w:ascii="Times New Roman" w:cs="Times New Roman" w:eastAsia="Times New Roman" w:hAnsi="Times New Roman"/>
          <w:sz w:val="15"/>
          <w:szCs w:val="15"/>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2021, filed with the SEC on March 16, 2022.</w:t>
      </w:r>
    </w:p>
    <w:p>
      <w:pPr>
        <w:spacing w:after="0" w:line="158" w:lineRule="exact"/>
        <w:rPr>
          <w:sz w:val="20"/>
          <w:szCs w:val="20"/>
          <w:color w:val="auto"/>
        </w:rPr>
      </w:pPr>
    </w:p>
    <w:p>
      <w:pPr>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Presentation of Revenue</w:t>
      </w:r>
    </w:p>
    <w:p>
      <w:pPr>
        <w:spacing w:after="0" w:line="190" w:lineRule="exact"/>
        <w:rPr>
          <w:sz w:val="20"/>
          <w:szCs w:val="20"/>
          <w:color w:val="auto"/>
        </w:rPr>
      </w:pPr>
    </w:p>
    <w:p>
      <w:pPr>
        <w:jc w:val="both"/>
        <w:ind w:left="40" w:right="39" w:firstLine="538"/>
        <w:spacing w:after="0" w:line="263" w:lineRule="auto"/>
        <w:rPr>
          <w:sz w:val="20"/>
          <w:szCs w:val="20"/>
          <w:color w:val="auto"/>
        </w:rPr>
      </w:pPr>
      <w:r>
        <w:rPr>
          <w:rFonts w:ascii="Times New Roman" w:cs="Times New Roman" w:eastAsia="Times New Roman" w:hAnsi="Times New Roman"/>
          <w:sz w:val="15"/>
          <w:szCs w:val="15"/>
          <w:color w:val="auto"/>
        </w:rPr>
        <w:t>Effective July 1, 2021, the Company began to categorize Mobility revenue and Fixed revenue as either “consumer” or “business” based upon the characteristics of our subscribers. Effective October 1, 2021, the Company’s statement of operations separately reflects Construction revenue. All periods presented have been adjusted to conform to these presentation updates.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Presentation of Operating Expenses</w:t>
      </w:r>
    </w:p>
    <w:p>
      <w:pPr>
        <w:spacing w:after="0" w:line="190" w:lineRule="exact"/>
        <w:rPr>
          <w:sz w:val="20"/>
          <w:szCs w:val="20"/>
          <w:color w:val="auto"/>
        </w:rPr>
      </w:pPr>
    </w:p>
    <w:p>
      <w:pPr>
        <w:ind w:left="40" w:right="119" w:firstLine="538"/>
        <w:spacing w:after="0" w:line="255" w:lineRule="auto"/>
        <w:rPr>
          <w:sz w:val="20"/>
          <w:szCs w:val="20"/>
          <w:color w:val="auto"/>
        </w:rPr>
      </w:pPr>
      <w:r>
        <w:rPr>
          <w:rFonts w:ascii="Times New Roman" w:cs="Times New Roman" w:eastAsia="Times New Roman" w:hAnsi="Times New Roman"/>
          <w:sz w:val="15"/>
          <w:szCs w:val="15"/>
          <w:color w:val="auto"/>
        </w:rPr>
        <w:t>Effective January 1, 2021, the Company changed its presentation of operating expenses in the Condensed Consolidated Statements of Operations by combining the previously disclosed Termination and Access Fees with Engineering and Operations as the newly represented Costs of Communication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the Company’s results with industry standards. Cost of construction services continues to be broken out separately and all depreciation and amortization continues to be shown separately.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Recent Accounting Pronouncements</w:t>
      </w:r>
    </w:p>
    <w:p>
      <w:pPr>
        <w:spacing w:after="0" w:line="190" w:lineRule="exact"/>
        <w:rPr>
          <w:sz w:val="20"/>
          <w:szCs w:val="20"/>
          <w:color w:val="auto"/>
        </w:rPr>
      </w:pPr>
    </w:p>
    <w:p>
      <w:pPr>
        <w:jc w:val="both"/>
        <w:ind w:left="40" w:right="39" w:firstLine="538"/>
        <w:spacing w:after="0" w:line="256" w:lineRule="auto"/>
        <w:rPr>
          <w:sz w:val="20"/>
          <w:szCs w:val="20"/>
          <w:color w:val="auto"/>
        </w:rPr>
      </w:pPr>
      <w:r>
        <w:rPr>
          <w:rFonts w:ascii="Times New Roman" w:cs="Times New Roman" w:eastAsia="Times New Roman" w:hAnsi="Times New Roman"/>
          <w:sz w:val="15"/>
          <w:szCs w:val="15"/>
          <w:color w:val="auto"/>
        </w:rPr>
        <w:t>In October 2021, the Financial Accounting Standards Board (FASB) issued Accounting Standards Update (ASU) ASU 2021-08, Business Combinations (Topic 805): Accounting for Contract Assets and Contract Liabilities from Contracts with Customers, which requires entities to apply Topic 606 to recognize and measure contract assets and contract liabilities in a business combination. ASU 2021-08 is effective for fiscal years beginning after December 15, 2022, with early adoption permitted. The Company prospectively adopted this accounting standard in 2021. The adoption of ASC 2021-08 will result in the recognition of larger deferred revenue balances in future acquisitions.</w:t>
      </w:r>
    </w:p>
    <w:p>
      <w:pPr>
        <w:spacing w:after="0" w:line="155" w:lineRule="exact"/>
        <w:rPr>
          <w:sz w:val="20"/>
          <w:szCs w:val="20"/>
          <w:color w:val="auto"/>
        </w:rPr>
      </w:pPr>
    </w:p>
    <w:p>
      <w:pPr>
        <w:jc w:val="both"/>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In November 2021, the FASB issued ASU 2021-10, Government Assistance (Topic 832): Disclosures by Business Entities about Government Assistance, which required entities to make specific annual disclosures about transactions with a government. The new standard is effective for fiscal years beginning after December 15, 2021. The adoption of ASU 2021-10 did not have a material impact on the Company’s disclosures. Going forward the Company will evaluate the disclosure requirements based on its participation in government programs.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3. REVENUE RECOGNITION AND RECEIVABLES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Revenue Accounted for in Accordance with Other Guidance</w:t>
      </w:r>
    </w:p>
    <w:p>
      <w:pPr>
        <w:spacing w:after="0" w:line="188" w:lineRule="exact"/>
        <w:rPr>
          <w:sz w:val="20"/>
          <w:szCs w:val="20"/>
          <w:color w:val="auto"/>
        </w:rPr>
      </w:pPr>
    </w:p>
    <w:p>
      <w:pPr>
        <w:ind w:left="40" w:right="119" w:firstLine="538"/>
        <w:spacing w:after="0" w:line="277" w:lineRule="auto"/>
        <w:rPr>
          <w:sz w:val="20"/>
          <w:szCs w:val="20"/>
          <w:color w:val="auto"/>
        </w:rPr>
      </w:pPr>
      <w:r>
        <w:rPr>
          <w:rFonts w:ascii="Times New Roman" w:cs="Times New Roman" w:eastAsia="Times New Roman" w:hAnsi="Times New Roman"/>
          <w:sz w:val="15"/>
          <w:szCs w:val="15"/>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Timing of Revenue Recognition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Revenue accounted for in accordance with ASC 606 consisted of the following for the periods presented below.</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jc w:val="right"/>
              <w:ind w:right="55"/>
              <w:spacing w:after="0" w:line="93"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40" w:type="dxa"/>
            <w:vAlign w:val="bottom"/>
          </w:tcPr>
          <w:p>
            <w:pPr>
              <w:spacing w:after="0"/>
              <w:rPr>
                <w:sz w:val="8"/>
                <w:szCs w:val="8"/>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2021</w:t>
            </w:r>
          </w:p>
        </w:tc>
        <w:tc>
          <w:tcPr>
            <w:tcW w:w="100" w:type="dxa"/>
            <w:vAlign w:val="bottom"/>
          </w:tcPr>
          <w:p>
            <w:pPr>
              <w:spacing w:after="0"/>
              <w:rPr>
                <w:sz w:val="8"/>
                <w:szCs w:val="8"/>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2022</w:t>
            </w:r>
          </w:p>
        </w:tc>
        <w:tc>
          <w:tcPr>
            <w:tcW w:w="120" w:type="dxa"/>
            <w:vAlign w:val="bottom"/>
          </w:tcPr>
          <w:p>
            <w:pPr>
              <w:spacing w:after="0"/>
              <w:rPr>
                <w:sz w:val="8"/>
                <w:szCs w:val="8"/>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 transferred over time</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161,312</w:t>
            </w: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143,866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469,585</w:t>
            </w: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350,386</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Goods and services transferred at a point in time</w:t>
            </w: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28,321</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39,782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revenue accounted for under ASC 606</w:t>
            </w: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171,445</w:t>
            </w:r>
          </w:p>
        </w:tc>
        <w:tc>
          <w:tcPr>
            <w:tcW w:w="1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98"/>
              </w:rPr>
              <w:t>156,376</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497,906</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390,168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Contract Assets and Liabilities</w:t>
      </w:r>
    </w:p>
    <w:p>
      <w:pPr>
        <w:spacing w:after="0" w:line="188" w:lineRule="exact"/>
        <w:rPr>
          <w:sz w:val="20"/>
          <w:szCs w:val="20"/>
          <w:color w:val="auto"/>
        </w:rPr>
      </w:pPr>
    </w:p>
    <w:p>
      <w:pPr>
        <w:ind w:left="40" w:right="219" w:firstLine="538"/>
        <w:spacing w:after="0" w:line="258" w:lineRule="auto"/>
        <w:rPr>
          <w:sz w:val="20"/>
          <w:szCs w:val="20"/>
          <w:color w:val="auto"/>
        </w:rPr>
      </w:pPr>
      <w:r>
        <w:rPr>
          <w:rFonts w:ascii="Times New Roman" w:cs="Times New Roman" w:eastAsia="Times New Roman" w:hAnsi="Times New Roman"/>
          <w:sz w:val="15"/>
          <w:szCs w:val="15"/>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154" w:lineRule="exact"/>
        <w:rPr>
          <w:sz w:val="20"/>
          <w:szCs w:val="20"/>
          <w:color w:val="auto"/>
        </w:rPr>
      </w:pPr>
    </w:p>
    <w:p>
      <w:pPr>
        <w:ind w:left="40" w:right="179" w:firstLine="538"/>
        <w:spacing w:after="0" w:line="255" w:lineRule="auto"/>
        <w:rPr>
          <w:sz w:val="20"/>
          <w:szCs w:val="20"/>
          <w:color w:val="auto"/>
        </w:rPr>
      </w:pPr>
      <w:r>
        <w:rPr>
          <w:rFonts w:ascii="Times New Roman" w:cs="Times New Roman" w:eastAsia="Times New Roman" w:hAnsi="Times New Roman"/>
          <w:sz w:val="15"/>
          <w:szCs w:val="15"/>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includes certain long term fixed business and carrier service customer contracts. Contract liabilities are recorded in advanced payments and deposits and other liabilities on the Company’s balance sheets.</w:t>
      </w:r>
    </w:p>
    <w:p>
      <w:pPr>
        <w:spacing w:after="0" w:line="155" w:lineRule="exact"/>
        <w:rPr>
          <w:sz w:val="20"/>
          <w:szCs w:val="20"/>
          <w:color w:val="auto"/>
        </w:rPr>
      </w:pPr>
    </w:p>
    <w:p>
      <w:pPr>
        <w:ind w:left="40" w:right="119" w:firstLine="538"/>
        <w:spacing w:after="0" w:line="274" w:lineRule="auto"/>
        <w:rPr>
          <w:sz w:val="20"/>
          <w:szCs w:val="20"/>
          <w:color w:val="auto"/>
        </w:rPr>
      </w:pPr>
      <w:r>
        <w:rPr>
          <w:rFonts w:ascii="Times New Roman" w:cs="Times New Roman" w:eastAsia="Times New Roman" w:hAnsi="Times New Roman"/>
          <w:sz w:val="14"/>
          <w:szCs w:val="14"/>
          <w:color w:val="auto"/>
        </w:rPr>
        <w:t>In July 2019, the Company entered into a Network Build and Maintenance Agreement with AT&amp;T Mobility, LLC (“AT&amp;T”) and subsequently entered into amendments in August 2020, May 2021 and August 2022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current portion of receivables under this agreement is recorded in customer receivable and the long-term portion is recorded in customer receivable long-term on the Company’s balance sheet.</w:t>
      </w:r>
    </w:p>
    <w:p>
      <w:pPr>
        <w:spacing w:after="0" w:line="143" w:lineRule="exact"/>
        <w:rPr>
          <w:sz w:val="20"/>
          <w:szCs w:val="20"/>
          <w:color w:val="auto"/>
        </w:rPr>
      </w:pPr>
    </w:p>
    <w:p>
      <w:pPr>
        <w:ind w:left="40" w:right="79" w:firstLine="538"/>
        <w:spacing w:after="0" w:line="258" w:lineRule="auto"/>
        <w:rPr>
          <w:sz w:val="20"/>
          <w:szCs w:val="20"/>
          <w:color w:val="auto"/>
        </w:rPr>
      </w:pPr>
      <w:r>
        <w:rPr>
          <w:rFonts w:ascii="Times New Roman" w:cs="Times New Roman" w:eastAsia="Times New Roman" w:hAnsi="Times New Roman"/>
          <w:sz w:val="15"/>
          <w:szCs w:val="15"/>
          <w:color w:val="auto"/>
        </w:rPr>
        <w:t>The Company has certain Carrier Services roaming agreements that contain stand-ready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Contract assets and liabilities consisted of the following (amounts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0" w:type="dxa"/>
            <w:vAlign w:val="bottom"/>
            <w:vMerge w:val="restart"/>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91"/>
        </w:trPr>
        <w:tc>
          <w:tcPr>
            <w:tcW w:w="3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restart"/>
          </w:tcPr>
          <w:p>
            <w:pPr>
              <w:jc w:val="right"/>
              <w:ind w:right="2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4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3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Contract asset – current</w:t>
            </w:r>
          </w:p>
        </w:tc>
        <w:tc>
          <w:tcPr>
            <w:tcW w:w="1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3,465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4,805</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(1,340)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48"/>
              <w:spacing w:after="0" w:line="171" w:lineRule="exact"/>
              <w:rPr>
                <w:sz w:val="20"/>
                <w:szCs w:val="20"/>
                <w:color w:val="auto"/>
              </w:rPr>
            </w:pPr>
            <w:r>
              <w:rPr>
                <w:rFonts w:ascii="Times New Roman" w:cs="Times New Roman" w:eastAsia="Times New Roman" w:hAnsi="Times New Roman"/>
                <w:sz w:val="15"/>
                <w:szCs w:val="15"/>
                <w:color w:val="auto"/>
              </w:rPr>
              <w:t>(28)</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Contract asset – noncurrent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5"/>
                <w:szCs w:val="15"/>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5"/>
                <w:szCs w:val="15"/>
                <w:color w:val="auto"/>
              </w:rPr>
              <w:t xml:space="preserve">22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 liability – current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(26,519)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(25,332)</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(1,187)</w:t>
            </w:r>
          </w:p>
        </w:tc>
        <w:tc>
          <w:tcPr>
            <w:tcW w:w="100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5"/>
                <w:szCs w:val="15"/>
                <w:color w:val="auto"/>
              </w:rPr>
              <w:t>(5)</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Contract liability – noncurrent</w:t>
            </w:r>
          </w:p>
        </w:tc>
        <w:tc>
          <w:tcPr>
            <w:tcW w:w="1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(74,260)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(81,391)</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7,131</w:t>
            </w:r>
          </w:p>
        </w:tc>
        <w:tc>
          <w:tcPr>
            <w:tcW w:w="80" w:type="dxa"/>
            <w:vAlign w:val="bottom"/>
          </w:tcPr>
          <w:p>
            <w:pPr>
              <w:spacing w:after="0"/>
              <w:rPr>
                <w:sz w:val="15"/>
                <w:szCs w:val="15"/>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5"/>
                <w:szCs w:val="15"/>
                <w:color w:val="auto"/>
              </w:rPr>
              <w:t xml:space="preserve">9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42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contract liability</w:t>
            </w:r>
          </w:p>
        </w:tc>
        <w:tc>
          <w:tcPr>
            <w:tcW w:w="180" w:type="dxa"/>
            <w:vAlign w:val="bottom"/>
            <w:tcBorders>
              <w:top w:val="single" w:sz="8" w:color="auto"/>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(96,219)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(101,018)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4,799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CCEEFF"/>
              <w:bottom w:val="single" w:sz="8" w:color="CCEEFF"/>
            </w:tcBorders>
            <w:shd w:val="clear" w:color="auto" w:fill="CCEEFF"/>
          </w:tcPr>
          <w:p>
            <w:pPr>
              <w:jc w:val="right"/>
              <w:ind w:right="448"/>
              <w:spacing w:after="0" w:line="171" w:lineRule="exact"/>
              <w:rPr>
                <w:sz w:val="20"/>
                <w:szCs w:val="20"/>
                <w:color w:val="auto"/>
              </w:rPr>
            </w:pPr>
            <w:r>
              <w:rPr>
                <w:rFonts w:ascii="Times New Roman" w:cs="Times New Roman" w:eastAsia="Times New Roman" w:hAnsi="Times New Roman"/>
                <w:sz w:val="15"/>
                <w:szCs w:val="15"/>
                <w:color w:val="auto"/>
              </w:rPr>
              <w:t xml:space="preserve">5 </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39" w:firstLine="538"/>
        <w:spacing w:after="0" w:line="255" w:lineRule="auto"/>
        <w:rPr>
          <w:sz w:val="20"/>
          <w:szCs w:val="20"/>
          <w:color w:val="auto"/>
        </w:rPr>
      </w:pPr>
      <w:r>
        <w:rPr>
          <w:rFonts w:ascii="Times New Roman" w:cs="Times New Roman" w:eastAsia="Times New Roman" w:hAnsi="Times New Roman"/>
          <w:sz w:val="15"/>
          <w:szCs w:val="15"/>
          <w:color w:val="auto"/>
        </w:rPr>
        <w:t>The contract asset – current is included in prepayments and other current assets and the contract asset – noncurrent is included in other assets on the Company’s balance sheet. The contract liability – current is included in advance payments and deposits and the contract liability – noncurrent is included in other liabilities on the Company’s balance sheet. The decrease in the Company’s net contract liability was due to the timing of customer prepayments, contract billings, and recognition of deferred revenue. During the nine months ended September 30, 2022, the Company recognized revenue of $27.0 million related to its December 31, 2021 contract liability and amortized $2.5 million of the December 31, 2021 contract asset into revenue.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Contract Acquisition Costs</w:t>
      </w:r>
    </w:p>
    <w:p>
      <w:pPr>
        <w:spacing w:after="0" w:line="188" w:lineRule="exact"/>
        <w:rPr>
          <w:sz w:val="20"/>
          <w:szCs w:val="20"/>
          <w:color w:val="auto"/>
        </w:rPr>
      </w:pPr>
    </w:p>
    <w:p>
      <w:pPr>
        <w:ind w:left="40" w:right="139" w:firstLine="538"/>
        <w:spacing w:after="0" w:line="291" w:lineRule="auto"/>
        <w:rPr>
          <w:sz w:val="20"/>
          <w:szCs w:val="20"/>
          <w:color w:val="auto"/>
        </w:rPr>
      </w:pPr>
      <w:r>
        <w:rPr>
          <w:rFonts w:ascii="Times New Roman" w:cs="Times New Roman" w:eastAsia="Times New Roman" w:hAnsi="Times New Roman"/>
          <w:sz w:val="14"/>
          <w:szCs w:val="14"/>
          <w:color w:val="auto"/>
        </w:rPr>
        <w:t>The September 30, 2022 balance sheet includes contract acquisition costs of $6.9 million in other assets. During the three and nine months ended September 30, 2022, the Company amortized $0.9 million and $2.5 million, respectively, of contract acquisition costs. During the three and nine months ended September 30, 2021, the Company amortized $1.4 million and $2.6 million, respectively, of contract acquisition costs.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Remaining Performance Obligations</w:t>
      </w:r>
    </w:p>
    <w:p>
      <w:pPr>
        <w:spacing w:after="0" w:line="188" w:lineRule="exact"/>
        <w:rPr>
          <w:sz w:val="20"/>
          <w:szCs w:val="20"/>
          <w:color w:val="auto"/>
        </w:rPr>
      </w:pPr>
    </w:p>
    <w:p>
      <w:pPr>
        <w:ind w:left="40" w:right="79" w:firstLine="538"/>
        <w:spacing w:after="0" w:line="256" w:lineRule="auto"/>
        <w:rPr>
          <w:sz w:val="20"/>
          <w:szCs w:val="20"/>
          <w:color w:val="auto"/>
        </w:rPr>
      </w:pPr>
      <w:r>
        <w:rPr>
          <w:rFonts w:ascii="Times New Roman" w:cs="Times New Roman" w:eastAsia="Times New Roman" w:hAnsi="Times New Roman"/>
          <w:sz w:val="15"/>
          <w:szCs w:val="15"/>
          <w:color w:val="auto"/>
        </w:rPr>
        <w:t>Remaining performance obligations represent the transaction price allocated to unsatisfied performance obligations of certain multiyear Mobility contracts, which include a promotional discount, Managed Services contracts, and the Company’s Carrier Services construction and service contracts. The transaction price allocated to unsatisfied performance obligations was $313 million and $369 million at September 30, 2022 and December 31, 2021, respectively. The Company expects to satisfy approximately 51% of the remaining performance obligations and recognize the transaction price within 24 months and the remainder thereafter.</w:t>
      </w:r>
    </w:p>
    <w:p>
      <w:pPr>
        <w:spacing w:after="0" w:line="155" w:lineRule="exact"/>
        <w:rPr>
          <w:sz w:val="20"/>
          <w:szCs w:val="20"/>
          <w:color w:val="auto"/>
        </w:rPr>
      </w:pPr>
    </w:p>
    <w:p>
      <w:pPr>
        <w:ind w:left="40" w:right="139" w:firstLine="538"/>
        <w:spacing w:after="0" w:line="263" w:lineRule="auto"/>
        <w:rPr>
          <w:sz w:val="20"/>
          <w:szCs w:val="20"/>
          <w:color w:val="auto"/>
        </w:rPr>
      </w:pPr>
      <w:r>
        <w:rPr>
          <w:rFonts w:ascii="Times New Roman" w:cs="Times New Roman" w:eastAsia="Times New Roman" w:hAnsi="Times New Roman"/>
          <w:sz w:val="15"/>
          <w:szCs w:val="15"/>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Disaggregation</w:t>
      </w:r>
    </w:p>
    <w:p>
      <w:pPr>
        <w:spacing w:after="0" w:line="188" w:lineRule="exact"/>
        <w:rPr>
          <w:sz w:val="20"/>
          <w:szCs w:val="20"/>
          <w:color w:val="auto"/>
        </w:rPr>
      </w:pPr>
    </w:p>
    <w:p>
      <w:pPr>
        <w:ind w:left="40" w:right="79" w:firstLine="538"/>
        <w:spacing w:after="0" w:line="254" w:lineRule="auto"/>
        <w:rPr>
          <w:sz w:val="20"/>
          <w:szCs w:val="20"/>
          <w:color w:val="auto"/>
        </w:rPr>
      </w:pPr>
      <w:r>
        <w:rPr>
          <w:rFonts w:ascii="Times New Roman" w:cs="Times New Roman" w:eastAsia="Times New Roman" w:hAnsi="Times New Roman"/>
          <w:sz w:val="15"/>
          <w:szCs w:val="15"/>
          <w:color w:val="auto"/>
        </w:rPr>
        <w:t>The Company's revenue is presented on a disaggregated basis in Note 13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Renewable Energy and Managed Services revenue. This disaggregation of revenue depicts how the nature, amount, timing and uncertainty of revenue and cash flows are affected by economic factors.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Receivables</w:t>
      </w:r>
    </w:p>
    <w:p>
      <w:pPr>
        <w:spacing w:after="0" w:line="188" w:lineRule="exact"/>
        <w:rPr>
          <w:sz w:val="20"/>
          <w:szCs w:val="20"/>
          <w:color w:val="auto"/>
        </w:rPr>
      </w:pPr>
    </w:p>
    <w:p>
      <w:pPr>
        <w:jc w:val="both"/>
        <w:ind w:left="40" w:right="359" w:firstLine="538"/>
        <w:spacing w:after="0" w:line="263" w:lineRule="auto"/>
        <w:rPr>
          <w:sz w:val="20"/>
          <w:szCs w:val="20"/>
          <w:color w:val="auto"/>
        </w:rPr>
      </w:pPr>
      <w:r>
        <w:rPr>
          <w:rFonts w:ascii="Times New Roman" w:cs="Times New Roman" w:eastAsia="Times New Roman" w:hAnsi="Times New Roman"/>
          <w:sz w:val="15"/>
          <w:szCs w:val="15"/>
          <w:color w:val="auto"/>
        </w:rPr>
        <w:t>The Company records an estimate of future credit losses in conjunction with the revenue transaction based on the information available including historical experience and management’s expectations of future conditions. Those estimates will be updated as additional information becomes available. The Company’s allowance for uncollectible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accounts receivable is based on management’s assessment of the collectability of assets pooled together with similar risk characteristics.</w:t>
      </w:r>
    </w:p>
    <w:p>
      <w:pPr>
        <w:spacing w:after="0" w:line="186" w:lineRule="exact"/>
        <w:rPr>
          <w:sz w:val="20"/>
          <w:szCs w:val="20"/>
          <w:color w:val="auto"/>
        </w:rPr>
      </w:pPr>
    </w:p>
    <w:p>
      <w:pPr>
        <w:ind w:left="40" w:right="99" w:firstLine="538"/>
        <w:spacing w:after="0" w:line="255" w:lineRule="auto"/>
        <w:rPr>
          <w:sz w:val="20"/>
          <w:szCs w:val="20"/>
          <w:color w:val="auto"/>
        </w:rPr>
      </w:pPr>
      <w:r>
        <w:rPr>
          <w:rFonts w:ascii="Times New Roman" w:cs="Times New Roman" w:eastAsia="Times New Roman" w:hAnsi="Times New Roman"/>
          <w:sz w:val="15"/>
          <w:szCs w:val="15"/>
          <w:color w:val="auto"/>
        </w:rPr>
        <w:t>At September 30, 2022, the Company had gross accounts receivable of $137.0 million, an allowance for credit losses of $16.1 million and a receivable under the FirstNet Agreement totaling $48.2 million of which $4.8 million was current and $43.4 million was long-term. At December 31, 2021, the Company had gross accounts receivable of $131.4 million, an allowance for credit losses of $13.9 million and a receivable under the FirstNet Agreement totaling $43.8 million, of which $4.1 million was current and $39.7 million was long-term. The Company monitors receivables through the use of historical operating data adjusted for the expectation of future performance as appropriate. Activity in the allowance for credit losses is below:</w:t>
      </w:r>
    </w:p>
    <w:p>
      <w:pPr>
        <w:spacing w:after="0" w:line="144"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0" w:type="dxa"/>
            <w:vAlign w:val="bottom"/>
          </w:tcPr>
          <w:p>
            <w:pPr>
              <w:spacing w:after="0"/>
              <w:rPr>
                <w:sz w:val="12"/>
                <w:szCs w:val="12"/>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45"/>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September 30, 2022</w:t>
            </w:r>
          </w:p>
        </w:tc>
        <w:tc>
          <w:tcPr>
            <w:tcW w:w="80" w:type="dxa"/>
            <w:vAlign w:val="bottom"/>
          </w:tcPr>
          <w:p>
            <w:pPr>
              <w:spacing w:after="0"/>
              <w:rPr>
                <w:sz w:val="12"/>
                <w:szCs w:val="12"/>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w w:val="99"/>
              </w:rPr>
              <w:t>September 30, 2021</w:t>
            </w:r>
          </w:p>
        </w:tc>
      </w:tr>
      <w:tr>
        <w:trPr>
          <w:trHeight w:val="114"/>
        </w:trPr>
        <w:tc>
          <w:tcPr>
            <w:tcW w:w="45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r>
      <w:tr>
        <w:trPr>
          <w:trHeight w:val="17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12,121</w:t>
            </w:r>
          </w:p>
        </w:tc>
      </w:tr>
      <w:tr>
        <w:trPr>
          <w:trHeight w:val="179"/>
        </w:trPr>
        <w:tc>
          <w:tcPr>
            <w:tcW w:w="4520" w:type="dxa"/>
            <w:vAlign w:val="bottom"/>
          </w:tcPr>
          <w:p>
            <w:pPr>
              <w:spacing w:after="0"/>
              <w:rPr>
                <w:sz w:val="20"/>
                <w:szCs w:val="20"/>
                <w:color w:val="auto"/>
              </w:rPr>
            </w:pPr>
            <w:r>
              <w:rPr>
                <w:rFonts w:ascii="Times New Roman" w:cs="Times New Roman" w:eastAsia="Times New Roman" w:hAnsi="Times New Roman"/>
                <w:sz w:val="15"/>
                <w:szCs w:val="15"/>
                <w:color w:val="auto"/>
              </w:rPr>
              <w:t>Current period provision for expected losses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4,969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3,303</w:t>
            </w:r>
          </w:p>
        </w:tc>
      </w:tr>
      <w:tr>
        <w:trPr>
          <w:trHeight w:val="17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Write-offs charged against the allowance</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(3,083)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r>
      <w:tr>
        <w:trPr>
          <w:trHeight w:val="179"/>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Recoveries collected</w:t>
            </w: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320</w:t>
            </w:r>
          </w:p>
        </w:tc>
      </w:tr>
      <w:tr>
        <w:trPr>
          <w:trHeight w:val="170"/>
        </w:trPr>
        <w:tc>
          <w:tcPr>
            <w:tcW w:w="45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Balance at end of period</w:t>
            </w: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16,097</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14,322</w:t>
            </w:r>
          </w:p>
        </w:tc>
      </w:tr>
      <w:tr>
        <w:trPr>
          <w:trHeight w:val="20"/>
        </w:trPr>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4. LEASES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Lessee Disclosure</w:t>
      </w:r>
    </w:p>
    <w:p>
      <w:pPr>
        <w:spacing w:after="0" w:line="143" w:lineRule="exact"/>
        <w:rPr>
          <w:sz w:val="20"/>
          <w:szCs w:val="20"/>
          <w:color w:val="auto"/>
        </w:rPr>
      </w:pPr>
    </w:p>
    <w:p>
      <w:pPr>
        <w:ind w:left="40" w:right="199" w:firstLine="538"/>
        <w:spacing w:after="0" w:line="277" w:lineRule="auto"/>
        <w:rPr>
          <w:sz w:val="20"/>
          <w:szCs w:val="20"/>
          <w:color w:val="auto"/>
        </w:rPr>
      </w:pPr>
      <w:r>
        <w:rPr>
          <w:rFonts w:ascii="Times New Roman" w:cs="Times New Roman" w:eastAsia="Times New Roman" w:hAnsi="Times New Roman"/>
          <w:sz w:val="15"/>
          <w:szCs w:val="15"/>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Supplemental lease information</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components of lease expense were as follows (in thousands):</w:t>
      </w:r>
    </w:p>
    <w:p>
      <w:pPr>
        <w:spacing w:after="0" w:line="190" w:lineRule="exact"/>
        <w:rPr>
          <w:sz w:val="20"/>
          <w:szCs w:val="20"/>
          <w:color w:val="auto"/>
        </w:rPr>
      </w:pPr>
    </w:p>
    <w:tbl>
      <w:tblPr>
        <w:tblLayout w:type="fixed"/>
        <w:tblInd w:w="940" w:type="dxa"/>
        <w:tblCellMar>
          <w:top w:w="0" w:type="dxa"/>
          <w:left w:w="0" w:type="dxa"/>
          <w:bottom w:w="0" w:type="dxa"/>
          <w:right w:w="0" w:type="dxa"/>
        </w:tblCellMar>
      </w:tblPr>
      <w:tr>
        <w:trPr>
          <w:trHeight w:val="145"/>
        </w:trPr>
        <w:tc>
          <w:tcPr>
            <w:tcW w:w="3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93"/>
        </w:trPr>
        <w:tc>
          <w:tcPr>
            <w:tcW w:w="3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ind w:right="31"/>
              <w:spacing w:after="0" w:line="93"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right"/>
              <w:ind w:right="10"/>
              <w:spacing w:after="0" w:line="93"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ind w:left="20"/>
              <w:spacing w:after="0" w:line="93"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80" w:type="dxa"/>
            <w:vAlign w:val="bottom"/>
          </w:tcPr>
          <w:p>
            <w:pPr>
              <w:spacing w:after="0"/>
              <w:rPr>
                <w:sz w:val="8"/>
                <w:szCs w:val="8"/>
                <w:color w:val="auto"/>
              </w:rPr>
            </w:pPr>
          </w:p>
        </w:tc>
        <w:tc>
          <w:tcPr>
            <w:tcW w:w="840" w:type="dxa"/>
            <w:vAlign w:val="bottom"/>
          </w:tcPr>
          <w:p>
            <w:pPr>
              <w:jc w:val="right"/>
              <w:ind w:right="30"/>
              <w:spacing w:after="0" w:line="93"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45"/>
        </w:trPr>
        <w:tc>
          <w:tcPr>
            <w:tcW w:w="3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0"/>
        </w:trPr>
        <w:tc>
          <w:tcPr>
            <w:tcW w:w="30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Operating lease cost: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9"/>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lease cost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18,398</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14,395</w:t>
            </w:r>
          </w:p>
        </w:tc>
      </w:tr>
      <w:tr>
        <w:trPr>
          <w:trHeight w:val="179"/>
        </w:trPr>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Short-term lease cost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1,798</w:t>
            </w:r>
          </w:p>
        </w:tc>
      </w:tr>
      <w:tr>
        <w:trPr>
          <w:trHeight w:val="179"/>
        </w:trPr>
        <w:tc>
          <w:tcPr>
            <w:tcW w:w="3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Variable lease cost</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2,713</w:t>
            </w:r>
          </w:p>
        </w:tc>
      </w:tr>
      <w:tr>
        <w:trPr>
          <w:trHeight w:val="170"/>
        </w:trPr>
        <w:tc>
          <w:tcPr>
            <w:tcW w:w="30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operating lease cost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7,785</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7,215</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22,723</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18,906</w:t>
            </w:r>
          </w:p>
        </w:tc>
      </w:tr>
      <w:tr>
        <w:trPr>
          <w:trHeight w:val="20"/>
        </w:trPr>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3"/>
        </w:trPr>
        <w:tc>
          <w:tcPr>
            <w:tcW w:w="3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cost: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9"/>
        </w:trPr>
        <w:tc>
          <w:tcPr>
            <w:tcW w:w="30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Amortization of right-of-use asset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2,321</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1,807</w:t>
            </w:r>
          </w:p>
        </w:tc>
      </w:tr>
      <w:tr>
        <w:trPr>
          <w:trHeight w:val="179"/>
        </w:trPr>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Variable costs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r>
      <w:tr>
        <w:trPr>
          <w:trHeight w:val="179"/>
        </w:trPr>
        <w:tc>
          <w:tcPr>
            <w:tcW w:w="3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Interest costs</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302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finance lease cost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1,044</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812</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3,278</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2,393</w:t>
            </w:r>
          </w:p>
        </w:tc>
      </w:tr>
      <w:tr>
        <w:trPr>
          <w:trHeight w:val="20"/>
        </w:trPr>
        <w:tc>
          <w:tcPr>
            <w:tcW w:w="3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 w:right="259" w:firstLine="538"/>
        <w:spacing w:after="0" w:line="263" w:lineRule="auto"/>
        <w:rPr>
          <w:sz w:val="20"/>
          <w:szCs w:val="20"/>
          <w:color w:val="auto"/>
        </w:rPr>
      </w:pPr>
      <w:r>
        <w:rPr>
          <w:rFonts w:ascii="Times New Roman" w:cs="Times New Roman" w:eastAsia="Times New Roman" w:hAnsi="Times New Roman"/>
          <w:sz w:val="15"/>
          <w:szCs w:val="15"/>
          <w:color w:val="auto"/>
        </w:rPr>
        <w:t>During the nine month periods ended September 30, 2022 and 2021, the Company paid $16.0 million and $12.7 million, respectively, for operating lease liabilities. During the nine months ended September 30, 2022 and 2021, the Company recorded $6.1 million and $9.4 million, respectively, of operating lease liabilities arising from ROU assets.</w:t>
      </w:r>
    </w:p>
    <w:p>
      <w:pPr>
        <w:spacing w:after="0" w:line="150" w:lineRule="exact"/>
        <w:rPr>
          <w:sz w:val="20"/>
          <w:szCs w:val="20"/>
          <w:color w:val="auto"/>
        </w:rPr>
      </w:pPr>
    </w:p>
    <w:p>
      <w:pPr>
        <w:ind w:left="40" w:right="159" w:firstLine="538"/>
        <w:spacing w:after="0" w:line="263" w:lineRule="auto"/>
        <w:rPr>
          <w:sz w:val="20"/>
          <w:szCs w:val="20"/>
          <w:color w:val="auto"/>
        </w:rPr>
      </w:pPr>
      <w:r>
        <w:rPr>
          <w:rFonts w:ascii="Times New Roman" w:cs="Times New Roman" w:eastAsia="Times New Roman" w:hAnsi="Times New Roman"/>
          <w:sz w:val="15"/>
          <w:szCs w:val="15"/>
          <w:color w:val="auto"/>
        </w:rPr>
        <w:t>At September 30, 2022, finance leases with a cost of $26.6 million and accumulated amortization of $12.7 million were included in property, plant and equipment. During the nine months ended September 30, 2022, the Company paid $0.8 million of financing cash flows and $0.3 million of operating cash flows for finance lease liabilities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spacing w:after="0" w:line="263" w:lineRule="auto"/>
        <w:rPr>
          <w:sz w:val="20"/>
          <w:szCs w:val="20"/>
          <w:color w:val="auto"/>
        </w:rPr>
      </w:pPr>
      <w:r>
        <w:rPr>
          <w:rFonts w:ascii="Times New Roman" w:cs="Times New Roman" w:eastAsia="Times New Roman" w:hAnsi="Times New Roman"/>
          <w:sz w:val="15"/>
          <w:szCs w:val="15"/>
          <w:color w:val="auto"/>
        </w:rPr>
        <w:t>and recorded $0.4 million of additional finance lease liabilities. Additionally, during the nine months ended September 30, 2022, the Company disposed of finance leases with a net book value of $2.3 million recording a loss for $1.0 million. At September 30, 2022, finance leases had a lease liability of $5.6 million, of which $1.0 million was current.</w:t>
      </w:r>
    </w:p>
    <w:p>
      <w:pPr>
        <w:spacing w:after="0" w:line="150" w:lineRule="exact"/>
        <w:rPr>
          <w:sz w:val="20"/>
          <w:szCs w:val="20"/>
          <w:color w:val="auto"/>
        </w:rPr>
      </w:pPr>
    </w:p>
    <w:p>
      <w:pPr>
        <w:jc w:val="both"/>
        <w:ind w:left="40" w:right="119" w:firstLine="538"/>
        <w:spacing w:after="0" w:line="314" w:lineRule="auto"/>
        <w:rPr>
          <w:sz w:val="20"/>
          <w:szCs w:val="20"/>
          <w:color w:val="auto"/>
        </w:rPr>
      </w:pPr>
      <w:r>
        <w:rPr>
          <w:rFonts w:ascii="Times New Roman" w:cs="Times New Roman" w:eastAsia="Times New Roman" w:hAnsi="Times New Roman"/>
          <w:sz w:val="14"/>
          <w:szCs w:val="14"/>
          <w:color w:val="auto"/>
        </w:rPr>
        <w:t>During the nine months ended September 30, 2021, the Company recorded $2.3 million of additional finance lease liabilities. At December 31, 2021, finance leases with a cost of $30.8 million and accumulated amortization of $12.1 million were included in property, plant and equipment.</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weighted average remaining lease terms and discount rates as of September 30, 2022 and December 31, 2021 are noted in the table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September 30, 2022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20"/>
        </w:trPr>
        <w:tc>
          <w:tcPr>
            <w:tcW w:w="36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11.0 years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 years</w:t>
            </w:r>
          </w:p>
        </w:tc>
      </w:tr>
      <w:tr>
        <w:trPr>
          <w:trHeight w:val="202"/>
        </w:trPr>
        <w:tc>
          <w:tcPr>
            <w:tcW w:w="360" w:type="dxa"/>
            <w:vAlign w:val="bottom"/>
          </w:tcPr>
          <w:p>
            <w:pPr>
              <w:spacing w:after="0"/>
              <w:rPr>
                <w:sz w:val="17"/>
                <w:szCs w:val="17"/>
                <w:color w:val="auto"/>
              </w:rPr>
            </w:pPr>
          </w:p>
        </w:tc>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Financing leases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9.4 years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 years</w:t>
            </w:r>
          </w:p>
        </w:tc>
      </w:tr>
      <w:tr>
        <w:trPr>
          <w:trHeight w:val="202"/>
        </w:trPr>
        <w:tc>
          <w:tcPr>
            <w:tcW w:w="3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36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1"/>
        </w:trPr>
        <w:tc>
          <w:tcPr>
            <w:tcW w:w="360" w:type="dxa"/>
            <w:vAlign w:val="bottom"/>
          </w:tcPr>
          <w:p>
            <w:pPr>
              <w:spacing w:after="0"/>
              <w:rPr>
                <w:sz w:val="17"/>
                <w:szCs w:val="17"/>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Operating leases</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202"/>
        </w:trPr>
        <w:tc>
          <w:tcPr>
            <w:tcW w:w="360" w:type="dxa"/>
            <w:vAlign w:val="bottom"/>
          </w:tcPr>
          <w:p>
            <w:pPr>
              <w:spacing w:after="0"/>
              <w:rPr>
                <w:sz w:val="17"/>
                <w:szCs w:val="17"/>
                <w:color w:val="auto"/>
              </w:rPr>
            </w:pPr>
          </w:p>
        </w:tc>
        <w:tc>
          <w:tcPr>
            <w:tcW w:w="3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Financing leases</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358"/>
        </w:trPr>
        <w:tc>
          <w:tcPr>
            <w:tcW w:w="58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Maturities of lease liabilities as of September 30, 2022 were as follows (in thousands):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0"/>
        </w:trPr>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Financing Leases</w:t>
            </w:r>
          </w:p>
        </w:tc>
      </w:tr>
      <w:tr>
        <w:trPr>
          <w:trHeight w:val="20"/>
        </w:trPr>
        <w:tc>
          <w:tcPr>
            <w:tcW w:w="36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4"/>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3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2022 (excluding the nine months ended September 30, 2022)</w:t>
            </w:r>
          </w:p>
        </w:tc>
        <w:tc>
          <w:tcPr>
            <w:tcW w:w="5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4"/>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6,299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333</w:t>
            </w:r>
          </w:p>
        </w:tc>
      </w:tr>
      <w:tr>
        <w:trPr>
          <w:trHeight w:val="179"/>
        </w:trPr>
        <w:tc>
          <w:tcPr>
            <w:tcW w:w="3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19,419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w:t>
            </w:r>
          </w:p>
        </w:tc>
      </w:tr>
      <w:tr>
        <w:trPr>
          <w:trHeight w:val="179"/>
        </w:trPr>
        <w:tc>
          <w:tcPr>
            <w:tcW w:w="36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17,492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w:t>
            </w:r>
          </w:p>
        </w:tc>
      </w:tr>
      <w:tr>
        <w:trPr>
          <w:trHeight w:val="179"/>
        </w:trPr>
        <w:tc>
          <w:tcPr>
            <w:tcW w:w="3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14,569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w:t>
            </w:r>
          </w:p>
        </w:tc>
      </w:tr>
      <w:tr>
        <w:trPr>
          <w:trHeight w:val="179"/>
        </w:trPr>
        <w:tc>
          <w:tcPr>
            <w:tcW w:w="36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10,175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w:t>
            </w:r>
          </w:p>
        </w:tc>
      </w:tr>
      <w:tr>
        <w:trPr>
          <w:trHeight w:val="179"/>
        </w:trPr>
        <w:tc>
          <w:tcPr>
            <w:tcW w:w="360" w:type="dxa"/>
            <w:vAlign w:val="bottom"/>
          </w:tcPr>
          <w:p>
            <w:pPr>
              <w:spacing w:after="0"/>
              <w:rPr>
                <w:sz w:val="15"/>
                <w:szCs w:val="15"/>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color w:val="auto"/>
              </w:rPr>
              <w:t>67,749</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3,145</w:t>
            </w:r>
          </w:p>
        </w:tc>
      </w:tr>
      <w:tr>
        <w:trPr>
          <w:trHeight w:val="170"/>
        </w:trPr>
        <w:tc>
          <w:tcPr>
            <w:tcW w:w="360" w:type="dxa"/>
            <w:vAlign w:val="bottom"/>
          </w:tcPr>
          <w:p>
            <w:pPr>
              <w:spacing w:after="0"/>
              <w:rPr>
                <w:sz w:val="14"/>
                <w:szCs w:val="14"/>
                <w:color w:val="auto"/>
              </w:rPr>
            </w:pPr>
          </w:p>
        </w:tc>
        <w:tc>
          <w:tcPr>
            <w:tcW w:w="3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lease payments</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4"/>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135,703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7,612</w:t>
            </w:r>
          </w:p>
        </w:tc>
      </w:tr>
      <w:tr>
        <w:trPr>
          <w:trHeight w:val="179"/>
        </w:trPr>
        <w:tc>
          <w:tcPr>
            <w:tcW w:w="3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5"/>
          </w:tcPr>
          <w:p>
            <w:pPr>
              <w:jc w:val="right"/>
              <w:ind w:right="220"/>
              <w:spacing w:after="0"/>
              <w:rPr>
                <w:sz w:val="20"/>
                <w:szCs w:val="20"/>
                <w:color w:val="auto"/>
              </w:rPr>
            </w:pPr>
            <w:r>
              <w:rPr>
                <w:rFonts w:ascii="Times New Roman" w:cs="Times New Roman" w:eastAsia="Times New Roman" w:hAnsi="Times New Roman"/>
                <w:sz w:val="15"/>
                <w:szCs w:val="15"/>
                <w:color w:val="auto"/>
              </w:rPr>
              <w:t>(40,428)</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(1,999)</w:t>
            </w:r>
          </w:p>
        </w:tc>
      </w:tr>
      <w:tr>
        <w:trPr>
          <w:trHeight w:val="170"/>
        </w:trPr>
        <w:tc>
          <w:tcPr>
            <w:tcW w:w="360" w:type="dxa"/>
            <w:vAlign w:val="bottom"/>
          </w:tcPr>
          <w:p>
            <w:pPr>
              <w:spacing w:after="0"/>
              <w:rPr>
                <w:sz w:val="14"/>
                <w:szCs w:val="14"/>
                <w:color w:val="auto"/>
              </w:rPr>
            </w:pPr>
          </w:p>
        </w:tc>
        <w:tc>
          <w:tcPr>
            <w:tcW w:w="376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5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gridSpan w:val="4"/>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95,275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5,613</w:t>
            </w:r>
          </w:p>
        </w:tc>
      </w:tr>
      <w:tr>
        <w:trPr>
          <w:trHeight w:val="20"/>
        </w:trPr>
        <w:tc>
          <w:tcPr>
            <w:tcW w:w="4700" w:type="dxa"/>
            <w:vAlign w:val="bottom"/>
            <w:gridSpan w:val="4"/>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31"/>
        </w:trPr>
        <w:tc>
          <w:tcPr>
            <w:tcW w:w="58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Maturities of lease liabilities as of December 31, 2021 were as follows (in thousands):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0"/>
        </w:trPr>
        <w:tc>
          <w:tcPr>
            <w:tcW w:w="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4"/>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Financing Leases</w:t>
            </w:r>
          </w:p>
        </w:tc>
      </w:tr>
      <w:tr>
        <w:trPr>
          <w:trHeight w:val="20"/>
        </w:trPr>
        <w:tc>
          <w:tcPr>
            <w:tcW w:w="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0"/>
        </w:trPr>
        <w:tc>
          <w:tcPr>
            <w:tcW w:w="360" w:type="dxa"/>
            <w:vAlign w:val="bottom"/>
          </w:tcPr>
          <w:p>
            <w:pPr>
              <w:spacing w:after="0"/>
              <w:rPr>
                <w:sz w:val="14"/>
                <w:szCs w:val="14"/>
                <w:color w:val="auto"/>
              </w:rPr>
            </w:pPr>
          </w:p>
        </w:tc>
        <w:tc>
          <w:tcPr>
            <w:tcW w:w="37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2022</w:t>
            </w:r>
          </w:p>
        </w:tc>
        <w:tc>
          <w:tcPr>
            <w:tcW w:w="1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3"/>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20,474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gridSpan w:val="2"/>
            <w:shd w:val="clear" w:color="auto" w:fill="CCEEFF"/>
          </w:tcPr>
          <w:p>
            <w:pPr>
              <w:jc w:val="right"/>
              <w:ind w:right="20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1,269</w:t>
            </w:r>
          </w:p>
        </w:tc>
      </w:tr>
      <w:tr>
        <w:trPr>
          <w:trHeight w:val="179"/>
        </w:trPr>
        <w:tc>
          <w:tcPr>
            <w:tcW w:w="3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17,941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1,278</w:t>
            </w:r>
          </w:p>
        </w:tc>
      </w:tr>
      <w:tr>
        <w:trPr>
          <w:trHeight w:val="179"/>
        </w:trPr>
        <w:tc>
          <w:tcPr>
            <w:tcW w:w="36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1,169</w:t>
            </w:r>
          </w:p>
        </w:tc>
      </w:tr>
      <w:tr>
        <w:trPr>
          <w:trHeight w:val="179"/>
        </w:trPr>
        <w:tc>
          <w:tcPr>
            <w:tcW w:w="36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w:t>
            </w:r>
          </w:p>
        </w:tc>
      </w:tr>
      <w:tr>
        <w:trPr>
          <w:trHeight w:val="179"/>
        </w:trPr>
        <w:tc>
          <w:tcPr>
            <w:tcW w:w="36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r>
      <w:tr>
        <w:trPr>
          <w:trHeight w:val="179"/>
        </w:trPr>
        <w:tc>
          <w:tcPr>
            <w:tcW w:w="360" w:type="dxa"/>
            <w:vAlign w:val="bottom"/>
          </w:tcPr>
          <w:p>
            <w:pPr>
              <w:spacing w:after="0"/>
              <w:rPr>
                <w:sz w:val="15"/>
                <w:szCs w:val="15"/>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65,902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3,145</w:t>
            </w:r>
          </w:p>
        </w:tc>
      </w:tr>
      <w:tr>
        <w:trPr>
          <w:trHeight w:val="170"/>
        </w:trPr>
        <w:tc>
          <w:tcPr>
            <w:tcW w:w="360" w:type="dxa"/>
            <w:vAlign w:val="bottom"/>
          </w:tcPr>
          <w:p>
            <w:pPr>
              <w:spacing w:after="0"/>
              <w:rPr>
                <w:sz w:val="14"/>
                <w:szCs w:val="14"/>
                <w:color w:val="auto"/>
              </w:rPr>
            </w:pPr>
          </w:p>
        </w:tc>
        <w:tc>
          <w:tcPr>
            <w:tcW w:w="37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lease payments</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144,201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8,320</w:t>
            </w:r>
          </w:p>
        </w:tc>
      </w:tr>
      <w:tr>
        <w:trPr>
          <w:trHeight w:val="201"/>
        </w:trPr>
        <w:tc>
          <w:tcPr>
            <w:tcW w:w="36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(42,333)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(2,268)</w:t>
            </w:r>
          </w:p>
        </w:tc>
      </w:tr>
      <w:tr>
        <w:trPr>
          <w:trHeight w:val="171"/>
        </w:trPr>
        <w:tc>
          <w:tcPr>
            <w:tcW w:w="360" w:type="dxa"/>
            <w:vAlign w:val="bottom"/>
          </w:tcPr>
          <w:p>
            <w:pPr>
              <w:spacing w:after="0"/>
              <w:rPr>
                <w:sz w:val="14"/>
                <w:szCs w:val="14"/>
                <w:color w:val="auto"/>
              </w:rPr>
            </w:pPr>
          </w:p>
        </w:tc>
        <w:tc>
          <w:tcPr>
            <w:tcW w:w="376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93"/>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101,868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gridSpan w:val="2"/>
            <w:shd w:val="clear" w:color="auto" w:fill="CCEEFF"/>
          </w:tcPr>
          <w:p>
            <w:pPr>
              <w:jc w:val="right"/>
              <w:ind w:right="20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6,052</w:t>
            </w:r>
          </w:p>
        </w:tc>
      </w:tr>
      <w:tr>
        <w:trPr>
          <w:trHeight w:val="20"/>
        </w:trPr>
        <w:tc>
          <w:tcPr>
            <w:tcW w:w="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the Company did not have any material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Lessor Disclosure</w:t>
      </w:r>
    </w:p>
    <w:p>
      <w:pPr>
        <w:spacing w:after="0" w:line="188" w:lineRule="exact"/>
        <w:rPr>
          <w:sz w:val="20"/>
          <w:szCs w:val="20"/>
          <w:color w:val="auto"/>
        </w:rPr>
      </w:pPr>
    </w:p>
    <w:p>
      <w:pPr>
        <w:jc w:val="both"/>
        <w:ind w:left="40" w:right="119" w:firstLine="538"/>
        <w:spacing w:after="0" w:line="263" w:lineRule="auto"/>
        <w:rPr>
          <w:sz w:val="20"/>
          <w:szCs w:val="20"/>
          <w:color w:val="auto"/>
        </w:rPr>
      </w:pPr>
      <w:r>
        <w:rPr>
          <w:rFonts w:ascii="Times New Roman" w:cs="Times New Roman" w:eastAsia="Times New Roman" w:hAnsi="Times New Roman"/>
          <w:sz w:val="15"/>
          <w:szCs w:val="15"/>
          <w:color w:val="auto"/>
        </w:rPr>
        <w:t>The Company is the lessor in agreements to lease the use of its network assets including its cell sites and buildings. For the three and nine months ended September 30, 2022 the Company recorded $1.5 million and $4.4 million, respectively, of lease income from agreements in which the Company is the lessor. Lease income is classified as Carrier Services revenue in the statement of operations.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presents the maturities of future undiscounted lease payments for the periods indicated:</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17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 (excluding the nine months ended September 30, 2022)</w:t>
            </w:r>
          </w:p>
        </w:tc>
        <w:tc>
          <w:tcPr>
            <w:tcW w:w="1560" w:type="dxa"/>
            <w:vAlign w:val="bottom"/>
            <w:gridSpan w:val="2"/>
            <w:shd w:val="clear" w:color="auto" w:fill="CCEEFF"/>
          </w:tcPr>
          <w:p>
            <w:pPr>
              <w:jc w:val="right"/>
              <w:ind w:right="68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r>
      <w:tr>
        <w:trPr>
          <w:trHeight w:val="179"/>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2023</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5,384</w:t>
            </w:r>
          </w:p>
        </w:tc>
      </w:tr>
      <w:tr>
        <w:trPr>
          <w:trHeight w:val="17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w:t>
            </w: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4,951</w:t>
            </w:r>
          </w:p>
        </w:tc>
      </w:tr>
      <w:tr>
        <w:trPr>
          <w:trHeight w:val="179"/>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4,839</w:t>
            </w:r>
          </w:p>
        </w:tc>
      </w:tr>
      <w:tr>
        <w:trPr>
          <w:trHeight w:val="17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4,503</w:t>
            </w:r>
          </w:p>
        </w:tc>
      </w:tr>
      <w:tr>
        <w:trPr>
          <w:trHeight w:val="179"/>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Thereafter</w:t>
            </w:r>
          </w:p>
        </w:tc>
        <w:tc>
          <w:tcPr>
            <w:tcW w:w="7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11,216</w:t>
            </w:r>
          </w:p>
        </w:tc>
      </w:tr>
      <w:tr>
        <w:trPr>
          <w:trHeight w:val="170"/>
        </w:trPr>
        <w:tc>
          <w:tcPr>
            <w:tcW w:w="440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future lease payments</w:t>
            </w:r>
          </w:p>
        </w:tc>
        <w:tc>
          <w:tcPr>
            <w:tcW w:w="7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32,355</w:t>
            </w:r>
          </w:p>
        </w:tc>
      </w:tr>
      <w:tr>
        <w:trPr>
          <w:trHeight w:val="20"/>
        </w:trPr>
        <w:tc>
          <w:tcPr>
            <w:tcW w:w="4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5. USE OF ESTIMATES</w:t>
      </w:r>
    </w:p>
    <w:p>
      <w:pPr>
        <w:spacing w:after="0" w:line="190" w:lineRule="exact"/>
        <w:rPr>
          <w:sz w:val="20"/>
          <w:szCs w:val="20"/>
          <w:color w:val="auto"/>
        </w:rPr>
      </w:pPr>
    </w:p>
    <w:p>
      <w:pPr>
        <w:ind w:left="40" w:right="39" w:firstLine="538"/>
        <w:spacing w:after="0" w:line="25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useful lives of the Company’s fixed and finite-lived intangible assets, allocation of purchase price to assets acquired and liabilities assumed in business combinations, fair value of indefinite-lived intangible assets, goodwill, assessing the impairment of assets, revenue, and income taxes. Actual results could differ significantly from those estimates.</w:t>
      </w:r>
    </w:p>
    <w:p>
      <w:pPr>
        <w:spacing w:after="0" w:line="155" w:lineRule="exact"/>
        <w:rPr>
          <w:sz w:val="20"/>
          <w:szCs w:val="20"/>
          <w:color w:val="auto"/>
        </w:rPr>
      </w:pPr>
    </w:p>
    <w:p>
      <w:pPr>
        <w:ind w:left="40" w:right="179" w:firstLine="538"/>
        <w:spacing w:after="0" w:line="258" w:lineRule="auto"/>
        <w:rPr>
          <w:sz w:val="20"/>
          <w:szCs w:val="20"/>
          <w:color w:val="auto"/>
        </w:rPr>
      </w:pPr>
      <w:r>
        <w:rPr>
          <w:rFonts w:ascii="Times New Roman" w:cs="Times New Roman" w:eastAsia="Times New Roman" w:hAnsi="Times New Roman"/>
          <w:sz w:val="15"/>
          <w:szCs w:val="15"/>
          <w:color w:val="auto"/>
        </w:rPr>
        <w:t>The Company assessed certain accounting matters and estimates in context with the unknown future impacts of COVID-19 and concluded that there was not a material adverse impact to its consolidated financial statements as of and for the three and nine months ended September 30, 2022. However, future assessments of the impacts of COVID-19, such as the possible continued supply chain challenges, could result in adverse impacts to its consolidated financial statements in future reporting periods.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6. ACQUISITIONS AND DISPOSITIONS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US Telecom</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Acquisition of Sacred Wind Enterprises</w:t>
      </w:r>
    </w:p>
    <w:p>
      <w:pPr>
        <w:spacing w:after="0" w:line="188" w:lineRule="exact"/>
        <w:rPr>
          <w:sz w:val="20"/>
          <w:szCs w:val="20"/>
          <w:color w:val="auto"/>
        </w:rPr>
      </w:pPr>
    </w:p>
    <w:p>
      <w:pPr>
        <w:ind w:left="40" w:right="79" w:firstLine="366"/>
        <w:spacing w:after="0" w:line="254" w:lineRule="auto"/>
        <w:rPr>
          <w:sz w:val="20"/>
          <w:szCs w:val="20"/>
          <w:color w:val="auto"/>
        </w:rPr>
      </w:pPr>
      <w:r>
        <w:rPr>
          <w:rFonts w:ascii="Times New Roman" w:cs="Times New Roman" w:eastAsia="Times New Roman" w:hAnsi="Times New Roman"/>
          <w:sz w:val="15"/>
          <w:szCs w:val="15"/>
          <w:color w:val="auto"/>
        </w:rPr>
        <w:t>On November 7, 2022, the Company, via its newly formed wholly owned subsidiary Alloy, Inc. (“Alloy”), acquired all of the issued and outstanding stock of Sacred Wind Enterprises, Inc. (“Sacred Wind”), a rural telecommunications provider in New Mexico (the “Sacred Wind Transaction”). As part of the Sacred Wind Transaction, the Company paid approximately $27 million in cash and, following the contribution of all of its ownership interests in its Commnet business to Alloy, issued approximately 6% of the fully diluted shares in Alloy to the Sacred Wind stockholders. The Company will also assume Sacred Wind’s debt of approximately $32 million, to the Rural Utilities Services. In addition, the Purchase Agreement includes certain earn-outs, based on various performance measures, the values of which are currently being assessed, to be paid to the Sacred Wind stockholders.</w:t>
      </w:r>
    </w:p>
    <w:p>
      <w:pPr>
        <w:spacing w:after="0" w:line="156" w:lineRule="exact"/>
        <w:rPr>
          <w:sz w:val="20"/>
          <w:szCs w:val="20"/>
          <w:color w:val="auto"/>
        </w:rPr>
      </w:pPr>
    </w:p>
    <w:p>
      <w:pPr>
        <w:ind w:left="40" w:right="199" w:firstLine="366"/>
        <w:spacing w:after="0" w:line="277" w:lineRule="auto"/>
        <w:rPr>
          <w:sz w:val="20"/>
          <w:szCs w:val="20"/>
          <w:color w:val="auto"/>
        </w:rPr>
      </w:pPr>
      <w:r>
        <w:rPr>
          <w:rFonts w:ascii="Times New Roman" w:cs="Times New Roman" w:eastAsia="Times New Roman" w:hAnsi="Times New Roman"/>
          <w:sz w:val="15"/>
          <w:szCs w:val="15"/>
          <w:color w:val="auto"/>
        </w:rPr>
        <w:t>The Company believes that the acquisition of Sacred Wind will expand its infrastructure reach and broadband services in the rural Southwest and increase its wholesale carrier, residential and business broadband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Acquisition of Alaska Communications</w:t>
      </w:r>
    </w:p>
    <w:p>
      <w:pPr>
        <w:spacing w:after="0" w:line="188" w:lineRule="exact"/>
        <w:rPr>
          <w:sz w:val="20"/>
          <w:szCs w:val="20"/>
          <w:color w:val="auto"/>
        </w:rPr>
      </w:pPr>
    </w:p>
    <w:p>
      <w:pPr>
        <w:ind w:left="40" w:right="99" w:firstLine="538"/>
        <w:spacing w:after="0" w:line="256" w:lineRule="auto"/>
        <w:rPr>
          <w:sz w:val="20"/>
          <w:szCs w:val="20"/>
          <w:color w:val="auto"/>
        </w:rPr>
      </w:pPr>
      <w:r>
        <w:rPr>
          <w:rFonts w:ascii="Times New Roman" w:cs="Times New Roman" w:eastAsia="Times New Roman" w:hAnsi="Times New Roman"/>
          <w:sz w:val="15"/>
          <w:szCs w:val="15"/>
          <w:color w:val="auto"/>
        </w:rPr>
        <w:t>On July 22, 2021, the Company completed the acquisition of Alaska Communications Systems Group, Inc. (“Alaska Communications”) for consideration of $339.5 million of cash, net of $11.9 million of cash and restricted cash acquired and $1.9 million of accrued consideration representing amounts payable related to stock compensation payable within one year of the close date (the “Alaska Transaction”). The cash consideration was used to purchase $186.8 million of Alaska Communications equity and repay $164.6 million of existing Alaska Communications debt.</w:t>
      </w:r>
    </w:p>
    <w:p>
      <w:pPr>
        <w:spacing w:after="0" w:line="155" w:lineRule="exact"/>
        <w:rPr>
          <w:sz w:val="20"/>
          <w:szCs w:val="20"/>
          <w:color w:val="auto"/>
        </w:rPr>
      </w:pPr>
    </w:p>
    <w:p>
      <w:pPr>
        <w:ind w:left="40" w:right="59" w:firstLine="538"/>
        <w:spacing w:after="0" w:line="279" w:lineRule="auto"/>
        <w:rPr>
          <w:sz w:val="20"/>
          <w:szCs w:val="20"/>
          <w:color w:val="auto"/>
        </w:rPr>
      </w:pPr>
      <w:r>
        <w:rPr>
          <w:rFonts w:ascii="Times New Roman" w:cs="Times New Roman" w:eastAsia="Times New Roman" w:hAnsi="Times New Roman"/>
          <w:sz w:val="14"/>
          <w:szCs w:val="14"/>
          <w:color w:val="auto"/>
        </w:rPr>
        <w:t>The Company funded the acquisition with cash on hand, debt, and a $71.5 million contribution from certain affiliates of Freedom 3 Capital and other investors (the “Freedom 3 Investment”). The Company borrowed, through multiple financing transactions, a net of $283 million consisting of (i) the full $210 million aggregate amount of the Alaska Term Loan (as defined below) in a single borrowing by Alaska Communications; (ii) $10 million of the Alaska Revolving Facility (as defined below) by Alaska Communications; and (iii) $63.0 million under its revolving credit facility under the 2019 CoBank Credit Facility (as defined below). The Company incurred $6.6 million of debt issuance and debt discount costs.</w:t>
      </w:r>
    </w:p>
    <w:p>
      <w:pPr>
        <w:spacing w:after="0" w:line="140" w:lineRule="exact"/>
        <w:rPr>
          <w:sz w:val="20"/>
          <w:szCs w:val="20"/>
          <w:color w:val="auto"/>
        </w:rPr>
      </w:pPr>
    </w:p>
    <w:p>
      <w:pPr>
        <w:ind w:left="40" w:right="59" w:firstLine="538"/>
        <w:spacing w:after="0" w:line="252" w:lineRule="auto"/>
        <w:rPr>
          <w:sz w:val="20"/>
          <w:szCs w:val="20"/>
          <w:color w:val="auto"/>
        </w:rPr>
      </w:pPr>
      <w:r>
        <w:rPr>
          <w:rFonts w:ascii="Times New Roman" w:cs="Times New Roman" w:eastAsia="Times New Roman" w:hAnsi="Times New Roman"/>
          <w:sz w:val="15"/>
          <w:szCs w:val="15"/>
          <w:color w:val="auto"/>
        </w:rPr>
        <w:t>The Company has accounted for the Freedom 3 Investment as redeemable noncontrolling interests in Alaska Communications its consolidated financial statements. As of July 22, 2021, the redeemable noncontrolling interests consisted of $22.6 million of redeemable common units, $48.3 million of redeemable preferred units, and $0.6 million of warrants to purchase common units, in each case, in an affiliate of Alaska Communications. The Company owns the remaining redeemable common units, redeemable preferred units and warrants in such entity. All common units contain a put option allowing the holder to sell the common units to such Alaska Communications affiliate at the then fair market value. The put option begins at the earlier of a future initial public offering of the Alaska Communications operations or July 2028. The redeemable preferred units carry a 9% preferred dividend which compounds quarterly. The preferred units contain a put option allowing the holder to sell the preferred units to an affiliate of Alaska Communications at the unpaid issue price plus unpaid dividends. The put option begins at the earlier of a future initial public offering of the Alaska Communications operations or July 2028. Lastly, the warrants in the Alaska Communications affiliate allow the holders to purchase an additional 3% of the common units at a fixed price.</w:t>
      </w:r>
    </w:p>
    <w:p>
      <w:pPr>
        <w:spacing w:after="0" w:line="160" w:lineRule="exact"/>
        <w:rPr>
          <w:sz w:val="20"/>
          <w:szCs w:val="20"/>
          <w:color w:val="auto"/>
        </w:rPr>
      </w:pPr>
    </w:p>
    <w:p>
      <w:pPr>
        <w:jc w:val="both"/>
        <w:ind w:left="40" w:right="79" w:firstLine="538"/>
        <w:spacing w:after="0" w:line="263" w:lineRule="auto"/>
        <w:rPr>
          <w:sz w:val="20"/>
          <w:szCs w:val="20"/>
          <w:color w:val="auto"/>
        </w:rPr>
      </w:pPr>
      <w:r>
        <w:rPr>
          <w:rFonts w:ascii="Times New Roman" w:cs="Times New Roman" w:eastAsia="Times New Roman" w:hAnsi="Times New Roman"/>
          <w:sz w:val="15"/>
          <w:szCs w:val="15"/>
          <w:color w:val="auto"/>
        </w:rPr>
        <w:t>The fair value of the common units remained at $22.6 million at September 30, 2022, unchanged from the value at July 22, 2021. The value of the preferred units was $53.8 million at September 30, 2022 which consists of the original issue price of $48.3 million and $5.5 million of accrued preferred dividends. The value of the warrants was $0.6 million at September 30, 2022, unchanged from July 22, 2021.</w:t>
      </w:r>
    </w:p>
    <w:p>
      <w:pPr>
        <w:spacing w:after="0" w:line="150" w:lineRule="exact"/>
        <w:rPr>
          <w:sz w:val="20"/>
          <w:szCs w:val="20"/>
          <w:color w:val="auto"/>
        </w:rPr>
      </w:pPr>
    </w:p>
    <w:p>
      <w:pPr>
        <w:jc w:val="both"/>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As a result of the Alaska Transaction, the Company owns 52% of the common equity of Alaska Communications and controls its operations and management.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19" w:firstLine="538"/>
        <w:spacing w:after="0" w:line="277" w:lineRule="auto"/>
        <w:rPr>
          <w:sz w:val="20"/>
          <w:szCs w:val="20"/>
          <w:color w:val="auto"/>
        </w:rPr>
      </w:pPr>
      <w:r>
        <w:rPr>
          <w:rFonts w:ascii="Times New Roman" w:cs="Times New Roman" w:eastAsia="Times New Roman" w:hAnsi="Times New Roman"/>
          <w:sz w:val="15"/>
          <w:szCs w:val="15"/>
          <w:color w:val="auto"/>
        </w:rPr>
        <w:t>The table below represents the allocation of the total consideration transferred to the acquired assets and assumed liabilities based on management’s estimate of their acquisition date fair values (amounts in thousands):</w:t>
      </w:r>
    </w:p>
    <w:p>
      <w:pPr>
        <w:spacing w:after="0" w:line="165" w:lineRule="exact"/>
        <w:rPr>
          <w:sz w:val="20"/>
          <w:szCs w:val="20"/>
          <w:color w:val="auto"/>
        </w:rPr>
      </w:pPr>
    </w:p>
    <w:tbl>
      <w:tblPr>
        <w:tblLayout w:type="fixed"/>
        <w:tblInd w:w="2280" w:type="dxa"/>
        <w:tblCellMar>
          <w:top w:w="0" w:type="dxa"/>
          <w:left w:w="0" w:type="dxa"/>
          <w:bottom w:w="0" w:type="dxa"/>
          <w:right w:w="0" w:type="dxa"/>
        </w:tblCellMar>
      </w:tblPr>
      <w:tr>
        <w:trPr>
          <w:trHeight w:val="17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Consideration Transferred</w:t>
            </w:r>
          </w:p>
        </w:tc>
        <w:tc>
          <w:tcPr>
            <w:tcW w:w="38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353,280</w:t>
            </w:r>
          </w:p>
        </w:tc>
        <w:tc>
          <w:tcPr>
            <w:tcW w:w="0" w:type="dxa"/>
            <w:vAlign w:val="bottom"/>
          </w:tcPr>
          <w:p>
            <w:pPr>
              <w:spacing w:after="0"/>
              <w:rPr>
                <w:sz w:val="1"/>
                <w:szCs w:val="1"/>
                <w:color w:val="auto"/>
              </w:rPr>
            </w:pPr>
          </w:p>
        </w:tc>
      </w:tr>
      <w:tr>
        <w:trPr>
          <w:trHeight w:val="179"/>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value to allocate</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353,750</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Purchase price allocation:</w:t>
            </w: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10,553</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Restricted cash</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Short-term investments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receivable</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30,453</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Inventory, materials and supplies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1,374</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Prepayments and other current assets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8,038</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Fixed assets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408,694</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Telecommunication licenses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Intangible assets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44,333</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60,402</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 assets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(39,188)</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Accrued taxes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(3,766)</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Advance payments and deposits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(15,842)</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Current portion of lease liabilities</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(2,425)</w:t>
            </w:r>
          </w:p>
        </w:tc>
        <w:tc>
          <w:tcPr>
            <w:tcW w:w="0" w:type="dxa"/>
            <w:vAlign w:val="bottom"/>
          </w:tcPr>
          <w:p>
            <w:pPr>
              <w:spacing w:after="0"/>
              <w:rPr>
                <w:sz w:val="1"/>
                <w:szCs w:val="1"/>
                <w:color w:val="auto"/>
              </w:rPr>
            </w:pPr>
          </w:p>
        </w:tc>
      </w:tr>
      <w:tr>
        <w:trPr>
          <w:trHeight w:val="179"/>
        </w:trPr>
        <w:tc>
          <w:tcPr>
            <w:tcW w:w="32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Deferred income taxes</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(17,040)</w:t>
            </w:r>
          </w:p>
        </w:tc>
        <w:tc>
          <w:tcPr>
            <w:tcW w:w="0" w:type="dxa"/>
            <w:vAlign w:val="bottom"/>
          </w:tcPr>
          <w:p>
            <w:pPr>
              <w:spacing w:after="0"/>
              <w:rPr>
                <w:sz w:val="1"/>
                <w:szCs w:val="1"/>
                <w:color w:val="auto"/>
              </w:rPr>
            </w:pPr>
          </w:p>
        </w:tc>
      </w:tr>
      <w:tr>
        <w:trPr>
          <w:trHeight w:val="17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Lease liabilities, excluding current portion</w:t>
            </w: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(44,234)</w:t>
            </w:r>
          </w:p>
        </w:tc>
        <w:tc>
          <w:tcPr>
            <w:tcW w:w="0" w:type="dxa"/>
            <w:vAlign w:val="bottom"/>
          </w:tcPr>
          <w:p>
            <w:pPr>
              <w:spacing w:after="0"/>
              <w:rPr>
                <w:sz w:val="1"/>
                <w:szCs w:val="1"/>
                <w:color w:val="auto"/>
              </w:rPr>
            </w:pPr>
          </w:p>
        </w:tc>
      </w:tr>
      <w:tr>
        <w:trPr>
          <w:trHeight w:val="179"/>
        </w:trPr>
        <w:tc>
          <w:tcPr>
            <w:tcW w:w="3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5"/>
                <w:szCs w:val="15"/>
                <w:color w:val="auto"/>
              </w:rPr>
              <w:t>Other liabilities</w:t>
            </w: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(92,432)</w:t>
            </w:r>
          </w:p>
        </w:tc>
        <w:tc>
          <w:tcPr>
            <w:tcW w:w="0" w:type="dxa"/>
            <w:vAlign w:val="bottom"/>
          </w:tcPr>
          <w:p>
            <w:pPr>
              <w:spacing w:after="0"/>
              <w:rPr>
                <w:sz w:val="1"/>
                <w:szCs w:val="1"/>
                <w:color w:val="auto"/>
              </w:rPr>
            </w:pPr>
          </w:p>
        </w:tc>
      </w:tr>
      <w:tr>
        <w:trPr>
          <w:trHeight w:val="170"/>
        </w:trPr>
        <w:tc>
          <w:tcPr>
            <w:tcW w:w="3240" w:type="dxa"/>
            <w:vAlign w:val="bottom"/>
            <w:tcBorders>
              <w:bottom w:val="single" w:sz="8" w:color="CCEEFF"/>
            </w:tcBorders>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Net assets acquired</w:t>
            </w:r>
          </w:p>
        </w:tc>
        <w:tc>
          <w:tcPr>
            <w:tcW w:w="380" w:type="dxa"/>
            <w:vAlign w:val="bottom"/>
            <w:tcBorders>
              <w:bottom w:val="single" w:sz="8" w:color="auto"/>
            </w:tcBorders>
            <w:shd w:val="clear" w:color="auto" w:fill="CCEEFF"/>
          </w:tcPr>
          <w:p>
            <w:pPr>
              <w:jc w:val="right"/>
              <w:ind w:right="22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353,750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59" w:firstLine="538"/>
        <w:spacing w:after="0" w:line="252" w:lineRule="auto"/>
        <w:rPr>
          <w:sz w:val="20"/>
          <w:szCs w:val="20"/>
          <w:color w:val="auto"/>
        </w:rPr>
      </w:pPr>
      <w:r>
        <w:rPr>
          <w:rFonts w:ascii="Times New Roman" w:cs="Times New Roman" w:eastAsia="Times New Roman" w:hAnsi="Times New Roman"/>
          <w:sz w:val="15"/>
          <w:szCs w:val="15"/>
          <w:color w:val="auto"/>
        </w:rPr>
        <w:t>The acquired fixed assets are comprised of telecommunication equipment located in Alaska and the western United States. The fixed assets were valued using the income and cost approaches. Cash flows were discounted between 4% and 14% based on the risk associated with the cash flows to determine fair value under the income approach. The fixed assets have useful lives ranging from 2 to 30 years. The intangible assets consist of $34.9 million of customer relationships and $9.5 million of trade name. The intangible assets were valued using an income approach based on data specific to Alaska Communications as well as market participant assumptions where appropriate. The estimated fair value of the customer relationships was determined using the multi-period excess earnings method. The estimated fair value of the trade name was determined using the relief from royalty method. The useful lives of the customer relationships and trade name are five and 15 years, respectively. The acquired receivables consist of trade receivables incurred in the ordinary course of business. The Company expects to collect the full amount of the receivables. Other liabilities includes $81.5 million of deferred revenue from long term customer contracts. The Company adopted ASU 2021-08 in 2021, which requires contract liabilities to be accounted for consistently with how they were recognized and measured in the acquiree’s financial statements. As a result, the acquired deferred revenue was recorded at Alaska Communications’ book value as of the Closing Date.</w:t>
      </w:r>
    </w:p>
    <w:p>
      <w:pPr>
        <w:spacing w:after="0" w:line="158" w:lineRule="exact"/>
        <w:rPr>
          <w:sz w:val="20"/>
          <w:szCs w:val="20"/>
          <w:color w:val="auto"/>
        </w:rPr>
      </w:pPr>
    </w:p>
    <w:p>
      <w:pPr>
        <w:jc w:val="both"/>
        <w:ind w:left="40" w:right="119" w:firstLine="538"/>
        <w:spacing w:after="0" w:line="255" w:lineRule="auto"/>
        <w:rPr>
          <w:sz w:val="20"/>
          <w:szCs w:val="20"/>
          <w:color w:val="auto"/>
        </w:rPr>
      </w:pPr>
      <w:r>
        <w:rPr>
          <w:rFonts w:ascii="Times New Roman" w:cs="Times New Roman" w:eastAsia="Times New Roman" w:hAnsi="Times New Roman"/>
          <w:sz w:val="15"/>
          <w:szCs w:val="15"/>
          <w:color w:val="auto"/>
        </w:rPr>
        <w:t>The Company’s statement of operations for the three months ended September 30, 2022 includes $63.5 million of revenue and $3.2 million of losses before taxes attributable to the Alaska Transaction. The Company’s statement of operations for the nine months ended September 30, 2022 includes $184.4 million of revenue and $8.3 million of losses before taxes attributable to the Alaska Transaction. The Company incurred</w:t>
      </w:r>
    </w:p>
    <w:p>
      <w:pPr>
        <w:spacing w:after="0" w:line="2" w:lineRule="exact"/>
        <w:rPr>
          <w:sz w:val="20"/>
          <w:szCs w:val="20"/>
          <w:color w:val="auto"/>
        </w:rPr>
      </w:pPr>
    </w:p>
    <w:p>
      <w:pPr>
        <w:ind w:left="40" w:right="139" w:firstLine="37"/>
        <w:spacing w:after="0" w:line="254" w:lineRule="auto"/>
        <w:rPr>
          <w:sz w:val="20"/>
          <w:szCs w:val="20"/>
          <w:color w:val="auto"/>
        </w:rPr>
      </w:pPr>
      <w:r>
        <w:rPr>
          <w:rFonts w:ascii="Times New Roman" w:cs="Times New Roman" w:eastAsia="Times New Roman" w:hAnsi="Times New Roman"/>
          <w:sz w:val="15"/>
          <w:szCs w:val="15"/>
          <w:color w:val="auto"/>
        </w:rPr>
        <w:t>$11.2 million of transaction related charges pertaining to legal, accounting, consulting services, and employee related costs associated with the transaction, of which $0.8 million were incurred during the nine months ended September 30, 2022. The Company paid $1.7 million of the accrued consideration during the nine months ended September 30, 2022.</w:t>
      </w:r>
    </w:p>
    <w:p>
      <w:pPr>
        <w:spacing w:after="0" w:line="155" w:lineRule="exact"/>
        <w:rPr>
          <w:sz w:val="20"/>
          <w:szCs w:val="20"/>
          <w:color w:val="auto"/>
        </w:rPr>
      </w:pPr>
    </w:p>
    <w:p>
      <w:pPr>
        <w:ind w:left="40" w:right="79" w:firstLine="538"/>
        <w:spacing w:after="0" w:line="258" w:lineRule="auto"/>
        <w:rPr>
          <w:sz w:val="20"/>
          <w:szCs w:val="20"/>
          <w:color w:val="auto"/>
        </w:rPr>
      </w:pPr>
      <w:r>
        <w:rPr>
          <w:rFonts w:ascii="Times New Roman" w:cs="Times New Roman" w:eastAsia="Times New Roman" w:hAnsi="Times New Roman"/>
          <w:sz w:val="15"/>
          <w:szCs w:val="15"/>
          <w:color w:val="auto"/>
        </w:rPr>
        <w:t>The following table reflects unaudited pro forma operating results of the Company for the three and nine months ended September 30, 2021 assuming the transaction occurred on January 1, 2020. The unaudited pro forma amounts adjust Alaska Communications’ results to reflect the depreciation and amortization that would have been recorded assuming the fair value adjustments to fixed assets and intangible assets had been applied from January 1,</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79" w:lineRule="auto"/>
        <w:rPr>
          <w:sz w:val="20"/>
          <w:szCs w:val="20"/>
          <w:color w:val="auto"/>
        </w:rPr>
      </w:pPr>
      <w:r>
        <w:rPr>
          <w:rFonts w:ascii="Times New Roman" w:cs="Times New Roman" w:eastAsia="Times New Roman" w:hAnsi="Times New Roman"/>
          <w:sz w:val="14"/>
          <w:szCs w:val="14"/>
          <w:color w:val="auto"/>
        </w:rPr>
        <w:t>2020. Additionally, all transaction costs associated with the Alaska Transaction were recorded on January 1, 2020 in the unaudited pro forma results. Lastly, the unaudited pro forma results were adjusted to reflect changes to the acquired entities’ financial structure related to the transaction. Specifically, the pre-closing debt of $164.6 million, and associated interest, was removed and $283.0 million of transaction debt, and associated interest, was included in the unaudited pro forma results. In addition, the pro forma results included the allocation of income and accrual of preferred dividends to the redeemable noncontrolling interest. The table includes final purchase accounting adjustments recorded in the fourth quarter of 2021.</w:t>
      </w:r>
    </w:p>
    <w:p>
      <w:pPr>
        <w:spacing w:after="0" w:line="144" w:lineRule="exact"/>
        <w:rPr>
          <w:sz w:val="20"/>
          <w:szCs w:val="20"/>
          <w:color w:val="auto"/>
        </w:rPr>
      </w:pPr>
    </w:p>
    <w:tbl>
      <w:tblPr>
        <w:tblLayout w:type="fixed"/>
        <w:tblInd w:w="1160" w:type="dxa"/>
        <w:tblCellMar>
          <w:top w:w="0" w:type="dxa"/>
          <w:left w:w="0" w:type="dxa"/>
          <w:bottom w:w="0" w:type="dxa"/>
          <w:right w:w="0" w:type="dxa"/>
        </w:tblCellMar>
      </w:tblPr>
      <w:tr>
        <w:trPr>
          <w:trHeight w:val="145"/>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14"/>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gridSpan w:val="3"/>
          </w:tcPr>
          <w:p>
            <w:pPr>
              <w:jc w:val="right"/>
              <w:ind w:right="348"/>
              <w:spacing w:after="0" w:line="115" w:lineRule="exact"/>
              <w:rPr>
                <w:sz w:val="20"/>
                <w:szCs w:val="20"/>
                <w:color w:val="auto"/>
              </w:rPr>
            </w:pPr>
            <w:r>
              <w:rPr>
                <w:rFonts w:ascii="Times New Roman" w:cs="Times New Roman" w:eastAsia="Times New Roman" w:hAnsi="Times New Roman"/>
                <w:sz w:val="12"/>
                <w:szCs w:val="12"/>
                <w:b w:val="1"/>
                <w:bCs w:val="1"/>
                <w:color w:val="auto"/>
              </w:rPr>
              <w:t>September 30, 2021</w:t>
            </w:r>
          </w:p>
        </w:tc>
        <w:tc>
          <w:tcPr>
            <w:tcW w:w="4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3"/>
          </w:tcPr>
          <w:p>
            <w:pPr>
              <w:jc w:val="right"/>
              <w:ind w:right="428"/>
              <w:spacing w:after="0" w:line="115" w:lineRule="exact"/>
              <w:rPr>
                <w:sz w:val="20"/>
                <w:szCs w:val="20"/>
                <w:color w:val="auto"/>
              </w:rPr>
            </w:pPr>
            <w:r>
              <w:rPr>
                <w:rFonts w:ascii="Times New Roman" w:cs="Times New Roman" w:eastAsia="Times New Roman" w:hAnsi="Times New Roman"/>
                <w:sz w:val="12"/>
                <w:szCs w:val="12"/>
                <w:b w:val="1"/>
                <w:bCs w:val="1"/>
                <w:color w:val="auto"/>
              </w:rPr>
              <w:t>September 30, 2021</w:t>
            </w:r>
          </w:p>
        </w:tc>
      </w:tr>
      <w:tr>
        <w:trPr>
          <w:trHeight w:val="150"/>
        </w:trPr>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240" w:type="dxa"/>
            <w:vAlign w:val="bottom"/>
          </w:tcPr>
          <w:p>
            <w:pPr>
              <w:spacing w:after="0"/>
              <w:rPr>
                <w:sz w:val="13"/>
                <w:szCs w:val="13"/>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2"/>
                <w:szCs w:val="12"/>
                <w:b w:val="1"/>
                <w:bCs w:val="1"/>
                <w:color w:val="auto"/>
              </w:rPr>
              <w:t>Pro Forma</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As Reported</w:t>
            </w:r>
          </w:p>
        </w:tc>
        <w:tc>
          <w:tcPr>
            <w:tcW w:w="300" w:type="dxa"/>
            <w:vAlign w:val="bottom"/>
          </w:tcPr>
          <w:p>
            <w:pPr>
              <w:spacing w:after="0"/>
              <w:rPr>
                <w:sz w:val="13"/>
                <w:szCs w:val="13"/>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rPr>
              <w:t>Pro Forma</w:t>
            </w:r>
          </w:p>
        </w:tc>
      </w:tr>
      <w:tr>
        <w:trPr>
          <w:trHeight w:val="144"/>
        </w:trPr>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7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5"/>
                <w:szCs w:val="15"/>
                <w:color w:val="auto"/>
              </w:rPr>
              <w:t>166,760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180,214</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5"/>
                <w:szCs w:val="15"/>
                <w:color w:val="auto"/>
              </w:rPr>
              <w:t>415,135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550,900</w:t>
            </w:r>
          </w:p>
        </w:tc>
      </w:tr>
      <w:tr>
        <w:trPr>
          <w:trHeight w:val="165"/>
        </w:trPr>
        <w:tc>
          <w:tcPr>
            <w:tcW w:w="232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Income (loss) attributable to ATN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3"/>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International, Inc. Stockholders</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(2,619)</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5"/>
                <w:szCs w:val="15"/>
                <w:color w:val="auto"/>
              </w:rPr>
              <w:t>2,103</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5,089</w:t>
            </w:r>
          </w:p>
        </w:tc>
      </w:tr>
      <w:tr>
        <w:trPr>
          <w:trHeight w:val="180"/>
        </w:trPr>
        <w:tc>
          <w:tcPr>
            <w:tcW w:w="2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9"/>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Earnings (loss) Per Share</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0"/>
        </w:trPr>
        <w:tc>
          <w:tcPr>
            <w:tcW w:w="2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Basic</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5"/>
                <w:szCs w:val="15"/>
                <w:color w:val="auto"/>
              </w:rPr>
              <w:t>(0.22)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5"/>
                <w:szCs w:val="15"/>
                <w:color w:val="auto"/>
              </w:rPr>
              <w:t>0.08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r>
      <w:tr>
        <w:trPr>
          <w:trHeight w:val="193"/>
        </w:trPr>
        <w:tc>
          <w:tcPr>
            <w:tcW w:w="2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Diluted</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5"/>
                <w:szCs w:val="15"/>
                <w:color w:val="auto"/>
              </w:rPr>
              <w:t>(0.22)</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5"/>
                <w:szCs w:val="15"/>
                <w:color w:val="auto"/>
              </w:rPr>
              <w:t>0.08</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w:t>
            </w:r>
          </w:p>
        </w:tc>
      </w:tr>
    </w:tbl>
    <w:p>
      <w:pPr>
        <w:spacing w:after="0" w:line="151" w:lineRule="exact"/>
        <w:rPr>
          <w:sz w:val="20"/>
          <w:szCs w:val="20"/>
          <w:color w:val="auto"/>
        </w:rPr>
      </w:pPr>
    </w:p>
    <w:p>
      <w:pPr>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The unaudited pro forma adjustments increased net income attributable to ATN International, Inc. Stockholders by $7.4 million and $3.0 million for the three and nine months ended September 30, 2021, respectively. The increase was due to an increase from the net income of the Alaska Communications operations excluding transaction costs.</w:t>
      </w:r>
    </w:p>
    <w:p>
      <w:pPr>
        <w:spacing w:after="0" w:line="150" w:lineRule="exact"/>
        <w:rPr>
          <w:sz w:val="20"/>
          <w:szCs w:val="20"/>
          <w:color w:val="auto"/>
        </w:rPr>
      </w:pPr>
    </w:p>
    <w:p>
      <w:pPr>
        <w:ind w:left="40" w:right="139" w:firstLine="538"/>
        <w:spacing w:after="0" w:line="263" w:lineRule="auto"/>
        <w:rPr>
          <w:sz w:val="20"/>
          <w:szCs w:val="20"/>
          <w:color w:val="auto"/>
        </w:rPr>
      </w:pPr>
      <w:r>
        <w:rPr>
          <w:rFonts w:ascii="Times New Roman" w:cs="Times New Roman" w:eastAsia="Times New Roman" w:hAnsi="Times New Roman"/>
          <w:sz w:val="15"/>
          <w:szCs w:val="15"/>
          <w:color w:val="auto"/>
        </w:rPr>
        <w:t>The unaudited pro forma data is presented for illustrative purposes only and is not necessarily indicative of the operating results that would have occurred if the acquisitions had been consummated on these dates or of future operating results of the combined company following this transaction.</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Renewable Energy</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Disposition of International Solar Business</w:t>
      </w:r>
    </w:p>
    <w:p>
      <w:pPr>
        <w:spacing w:after="0" w:line="188" w:lineRule="exact"/>
        <w:rPr>
          <w:sz w:val="20"/>
          <w:szCs w:val="20"/>
          <w:color w:val="auto"/>
        </w:rPr>
      </w:pPr>
    </w:p>
    <w:p>
      <w:pPr>
        <w:ind w:left="40" w:right="119" w:firstLine="511"/>
        <w:spacing w:after="0" w:line="255" w:lineRule="auto"/>
        <w:rPr>
          <w:sz w:val="20"/>
          <w:szCs w:val="20"/>
          <w:color w:val="auto"/>
        </w:rPr>
      </w:pPr>
      <w:r>
        <w:rPr>
          <w:rFonts w:ascii="Times New Roman" w:cs="Times New Roman" w:eastAsia="Times New Roman" w:hAnsi="Times New Roman"/>
          <w:sz w:val="15"/>
          <w:szCs w:val="15"/>
          <w:color w:val="auto"/>
        </w:rPr>
        <w:t>In January 2021, the Company completed the sale of 67% of the outstanding equity in its business that owns and operates distributed generation solar power projects operated under the Vibrant name in India (the “Vibrant Transaction”). The post-sale results of the Company’s ownership interest in Vibrant are recorded through the equity method of accounting within the Corporate and Other operating segment. As such, the Company’s consolidated financial statements do not include revenue and operating expenses from Vibrant, but instead, “other income (expense)” within the Corporate and Other operating segment includes the Company’s share of Vibrant’s profits or losses. The Company will continue to present the historical results of its Renewable Energy segment for comparative purposes.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40" w:type="dxa"/>
        <w:tblCellMar>
          <w:top w:w="0" w:type="dxa"/>
          <w:left w:w="0" w:type="dxa"/>
          <w:bottom w:w="0" w:type="dxa"/>
          <w:right w:w="0" w:type="dxa"/>
        </w:tblCellMar>
      </w:tblPr>
      <w:tr>
        <w:trPr>
          <w:trHeight w:val="193"/>
        </w:trPr>
        <w:tc>
          <w:tcPr>
            <w:tcW w:w="5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table below identifies the assets and liabilities transferred (in thousands):</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4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40" w:type="dxa"/>
            <w:vAlign w:val="bottom"/>
            <w:vMerge w:val="continue"/>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Consideration Received</w:t>
            </w:r>
          </w:p>
        </w:tc>
        <w:tc>
          <w:tcPr>
            <w:tcW w:w="3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 and liabilities disposed</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tcPr>
          <w:p>
            <w:pPr>
              <w:spacing w:after="0"/>
              <w:rPr>
                <w:sz w:val="15"/>
                <w:szCs w:val="15"/>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32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Net assets disposed</w:t>
            </w:r>
          </w:p>
        </w:tc>
        <w:tc>
          <w:tcPr>
            <w:tcW w:w="360" w:type="dxa"/>
            <w:vAlign w:val="bottom"/>
            <w:tcBorders>
              <w:bottom w:val="single" w:sz="8" w:color="auto"/>
            </w:tcBorders>
            <w:shd w:val="clear" w:color="auto" w:fill="CCEEFF"/>
          </w:tcPr>
          <w:p>
            <w:pPr>
              <w:jc w:val="right"/>
              <w:ind w:right="20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50,470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740" w:type="dxa"/>
            <w:vAlign w:val="bottom"/>
            <w:vMerge w:val="continue"/>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Consideration less net assets disposed</w:t>
            </w: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740" w:type="dxa"/>
            <w:vAlign w:val="bottom"/>
            <w:vMerge w:val="continue"/>
          </w:tcPr>
          <w:p>
            <w:pPr>
              <w:spacing w:after="0"/>
              <w:rPr>
                <w:sz w:val="14"/>
                <w:szCs w:val="14"/>
                <w:color w:val="auto"/>
              </w:rPr>
            </w:pPr>
          </w:p>
        </w:tc>
        <w:tc>
          <w:tcPr>
            <w:tcW w:w="32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w w:val="99"/>
              </w:rPr>
              <w:t>Foreign currency losses reclassified from accumulated</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40" w:type="dxa"/>
            <w:vAlign w:val="bottom"/>
          </w:tcPr>
          <w:p>
            <w:pPr>
              <w:spacing w:after="0"/>
              <w:rPr>
                <w:sz w:val="16"/>
                <w:szCs w:val="16"/>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4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vMerge w:val="continue"/>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on sale</w:t>
            </w:r>
          </w:p>
        </w:tc>
        <w:tc>
          <w:tcPr>
            <w:tcW w:w="3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74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Transaction costs</w:t>
            </w:r>
          </w:p>
        </w:tc>
        <w:tc>
          <w:tcPr>
            <w:tcW w:w="36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(1,283)</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8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5"/>
                <w:szCs w:val="15"/>
                <w:b w:val="1"/>
                <w:bCs w:val="1"/>
                <w:color w:val="auto"/>
              </w:rPr>
              <w:t>Loss on sale including transaction costs</w:t>
            </w:r>
          </w:p>
        </w:tc>
        <w:tc>
          <w:tcPr>
            <w:tcW w:w="360" w:type="dxa"/>
            <w:vAlign w:val="bottom"/>
            <w:tcBorders>
              <w:top w:val="single" w:sz="8" w:color="auto"/>
              <w:bottom w:val="single" w:sz="8" w:color="auto"/>
            </w:tcBorders>
            <w:shd w:val="clear" w:color="auto" w:fill="CCEEFF"/>
          </w:tcPr>
          <w:p>
            <w:pPr>
              <w:jc w:val="right"/>
              <w:ind w:right="20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5"/>
                <w:szCs w:val="15"/>
                <w:color w:val="auto"/>
              </w:rPr>
              <w:t>(22,793)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 reported a loss on sale of $21.5 million during the year ended December 31, 2020 due to the Vibrant Transaction. The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Company recorded transaction costs of $1.3 million on the Vibrant Transaction, of which $0.7 million was recorded during the year ended December</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31, 2020 and $0.6 million was recorded during the year ended December 31, 2021. The consideration received includes $19.5 million of cash and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$3.9 million of receivables related to the amounts held in escrow and earn out consideration. The Company has recorded $11.8 million pursuant to an</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equity method investment with respect to its remaining 33% ownership interest in Vibrant. The Company completed its assessment of earn out and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escrow amounts in the third quarter of 2022. During the year ended December 31, 2021, the Company recorded additional losses of $1.6 million</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related to the ongoing working capital, escrow, and contingent consideration assessment. During the nine months ended September 30, 2022, the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Company recorded an additional loss of $0.7 million related to its continuing assessment of those items and received $1.8 million of amounts</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previously held in escrow.</w:t>
      </w:r>
    </w:p>
    <w:p>
      <w:pPr>
        <w:spacing w:after="0" w:line="172" w:lineRule="exact"/>
        <w:rPr>
          <w:sz w:val="20"/>
          <w:szCs w:val="20"/>
          <w:color w:val="auto"/>
        </w:rPr>
      </w:pPr>
    </w:p>
    <w:p>
      <w:pPr>
        <w:ind w:left="40" w:right="399" w:firstLine="538"/>
        <w:spacing w:after="0" w:line="263" w:lineRule="auto"/>
        <w:rPr>
          <w:sz w:val="20"/>
          <w:szCs w:val="20"/>
          <w:color w:val="auto"/>
        </w:rPr>
      </w:pPr>
      <w:r>
        <w:rPr>
          <w:rFonts w:ascii="Times New Roman" w:cs="Times New Roman" w:eastAsia="Times New Roman" w:hAnsi="Times New Roman"/>
          <w:sz w:val="15"/>
          <w:szCs w:val="15"/>
          <w:color w:val="auto"/>
        </w:rPr>
        <w:t>The Vibrant Transaction does not qualify as discontinued operations because the disposition was not a strategic shift which will have a major effect on the Company’s operations, and as a result, the historical results and financial position of the operations are presented within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7. FAIR VALUE MEASUREMENTS AND INVESTMENTS</w:t>
      </w:r>
    </w:p>
    <w:p>
      <w:pPr>
        <w:spacing w:after="0" w:line="190" w:lineRule="exact"/>
        <w:rPr>
          <w:sz w:val="20"/>
          <w:szCs w:val="20"/>
          <w:color w:val="auto"/>
        </w:rPr>
      </w:pPr>
    </w:p>
    <w:p>
      <w:pPr>
        <w:jc w:val="both"/>
        <w:ind w:left="40" w:right="99" w:firstLine="538"/>
        <w:spacing w:after="0" w:line="263" w:lineRule="auto"/>
        <w:rPr>
          <w:sz w:val="20"/>
          <w:szCs w:val="20"/>
          <w:color w:val="auto"/>
        </w:rPr>
      </w:pPr>
      <w:r>
        <w:rPr>
          <w:rFonts w:ascii="Times New Roman" w:cs="Times New Roman" w:eastAsia="Times New Roman" w:hAnsi="Times New Roman"/>
          <w:sz w:val="15"/>
          <w:szCs w:val="15"/>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50" w:lineRule="exact"/>
        <w:rPr>
          <w:sz w:val="20"/>
          <w:szCs w:val="20"/>
          <w:color w:val="auto"/>
        </w:rPr>
      </w:pPr>
    </w:p>
    <w:p>
      <w:pPr>
        <w:jc w:val="both"/>
        <w:ind w:left="40" w:right="199" w:firstLine="538"/>
        <w:spacing w:after="0" w:line="263" w:lineRule="auto"/>
        <w:rPr>
          <w:sz w:val="20"/>
          <w:szCs w:val="20"/>
          <w:color w:val="auto"/>
        </w:rPr>
      </w:pPr>
      <w:r>
        <w:rPr>
          <w:rFonts w:ascii="Times New Roman" w:cs="Times New Roman" w:eastAsia="Times New Roman" w:hAnsi="Times New Roman"/>
          <w:sz w:val="15"/>
          <w:szCs w:val="15"/>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61" w:lineRule="exact"/>
        <w:rPr>
          <w:sz w:val="20"/>
          <w:szCs w:val="20"/>
          <w:color w:val="auto"/>
        </w:rPr>
      </w:pPr>
    </w:p>
    <w:p>
      <w:pPr>
        <w:ind w:left="1760" w:right="1639" w:hanging="649"/>
        <w:spacing w:after="0" w:line="256" w:lineRule="auto"/>
        <w:tabs>
          <w:tab w:leader="none" w:pos="1740" w:val="left"/>
        </w:tabs>
        <w:rPr>
          <w:sz w:val="20"/>
          <w:szCs w:val="20"/>
          <w:color w:val="auto"/>
        </w:rPr>
      </w:pPr>
      <w:r>
        <w:rPr>
          <w:rFonts w:ascii="Times New Roman" w:cs="Times New Roman" w:eastAsia="Times New Roman" w:hAnsi="Times New Roman"/>
          <w:sz w:val="15"/>
          <w:szCs w:val="15"/>
          <w:color w:val="auto"/>
        </w:rPr>
        <w:t>Level 1</w:t>
        <w:tab/>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335" w:lineRule="exact"/>
        <w:rPr>
          <w:sz w:val="20"/>
          <w:szCs w:val="20"/>
          <w:color w:val="auto"/>
        </w:rPr>
      </w:pPr>
    </w:p>
    <w:p>
      <w:pPr>
        <w:ind w:left="1760" w:right="1679" w:hanging="649"/>
        <w:spacing w:after="0" w:line="253" w:lineRule="auto"/>
        <w:tabs>
          <w:tab w:leader="none" w:pos="1740" w:val="left"/>
        </w:tabs>
        <w:rPr>
          <w:sz w:val="20"/>
          <w:szCs w:val="20"/>
          <w:color w:val="auto"/>
        </w:rPr>
      </w:pPr>
      <w:r>
        <w:rPr>
          <w:rFonts w:ascii="Times New Roman" w:cs="Times New Roman" w:eastAsia="Times New Roman" w:hAnsi="Times New Roman"/>
          <w:sz w:val="15"/>
          <w:szCs w:val="15"/>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338" w:lineRule="exact"/>
        <w:rPr>
          <w:sz w:val="20"/>
          <w:szCs w:val="20"/>
          <w:color w:val="auto"/>
        </w:rPr>
      </w:pPr>
    </w:p>
    <w:p>
      <w:pPr>
        <w:ind w:left="1760" w:right="1739" w:hanging="649"/>
        <w:spacing w:after="0" w:line="255" w:lineRule="auto"/>
        <w:tabs>
          <w:tab w:leader="none" w:pos="1740" w:val="left"/>
        </w:tabs>
        <w:rPr>
          <w:sz w:val="20"/>
          <w:szCs w:val="20"/>
          <w:color w:val="auto"/>
        </w:rPr>
      </w:pPr>
      <w:r>
        <w:rPr>
          <w:rFonts w:ascii="Times New Roman" w:cs="Times New Roman" w:eastAsia="Times New Roman" w:hAnsi="Times New Roman"/>
          <w:sz w:val="15"/>
          <w:szCs w:val="15"/>
          <w:color w:val="auto"/>
        </w:rPr>
        <w:t>Level 3</w:t>
        <w:tab/>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99" w:firstLine="538"/>
        <w:spacing w:after="0" w:line="277" w:lineRule="auto"/>
        <w:rPr>
          <w:sz w:val="20"/>
          <w:szCs w:val="20"/>
          <w:color w:val="auto"/>
        </w:rPr>
      </w:pPr>
      <w:r>
        <w:rPr>
          <w:rFonts w:ascii="Times New Roman" w:cs="Times New Roman" w:eastAsia="Times New Roman" w:hAnsi="Times New Roman"/>
          <w:sz w:val="15"/>
          <w:szCs w:val="15"/>
          <w:color w:val="auto"/>
        </w:rPr>
        <w:t>Assets and liabilities of the Company measured at fair value on a recurring basis as of September 30, 2022 and December 31, 2021 are summarized as follows (in thousands):</w:t>
      </w:r>
    </w:p>
    <w:p>
      <w:pPr>
        <w:sectPr>
          <w:pgSz w:w="11900" w:h="16838" w:orient="portrait"/>
          <w:cols w:equalWidth="0" w:num="1">
            <w:col w:w="9019"/>
          </w:cols>
          <w:pgMar w:left="1440" w:top="4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Money market funds</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Short term investments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Other investments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Alaska Communications redeemable common units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Warrants on Alaska Communications redeemable common units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Total assets and liabilities measured at fair value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p>
      <w:pPr>
        <w:spacing w:after="0" w:line="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Money market funds</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Short term investments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Other investments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Alaska Communications redeemable common units</w:t>
      </w:r>
    </w:p>
    <w:p>
      <w:pPr>
        <w:spacing w:after="0" w:line="7" w:lineRule="exact"/>
        <w:rPr>
          <w:sz w:val="20"/>
          <w:szCs w:val="20"/>
          <w:color w:val="auto"/>
        </w:rPr>
      </w:pPr>
    </w:p>
    <w:p>
      <w:pPr>
        <w:ind w:left="220"/>
        <w:spacing w:after="0" w:line="252" w:lineRule="auto"/>
        <w:rPr>
          <w:sz w:val="20"/>
          <w:szCs w:val="20"/>
          <w:color w:val="auto"/>
        </w:rPr>
      </w:pPr>
      <w:r>
        <w:rPr>
          <w:rFonts w:ascii="Times New Roman" w:cs="Times New Roman" w:eastAsia="Times New Roman" w:hAnsi="Times New Roman"/>
          <w:sz w:val="15"/>
          <w:szCs w:val="15"/>
          <w:color w:val="auto"/>
        </w:rPr>
        <w:t>Warrants on Alaska Communications redeemable common units Interest rate swap</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Total assets and liabilities measured at fair value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2"/>
          <w:szCs w:val="12"/>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28308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30830" cy="698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Quoted Prices in</w:t>
            </w:r>
          </w:p>
        </w:tc>
        <w:tc>
          <w:tcPr>
            <w:tcW w:w="180" w:type="dxa"/>
            <w:vAlign w:val="bottom"/>
          </w:tcPr>
          <w:p>
            <w:pPr>
              <w:spacing w:after="0"/>
              <w:rPr>
                <w:sz w:val="12"/>
                <w:szCs w:val="12"/>
                <w:color w:val="auto"/>
              </w:rPr>
            </w:pPr>
          </w:p>
        </w:tc>
        <w:tc>
          <w:tcPr>
            <w:tcW w:w="2340" w:type="dxa"/>
            <w:vAlign w:val="bottom"/>
            <w:gridSpan w:val="5"/>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8"/>
              </w:rPr>
              <w:t>Significant Other</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w w:val="98"/>
              </w:rPr>
              <w:t>Observable</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rPr>
              <w:t>Unobservable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0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180" w:type="dxa"/>
            <w:vAlign w:val="bottom"/>
          </w:tcPr>
          <w:p>
            <w:pPr>
              <w:spacing w:after="0"/>
              <w:rPr>
                <w:sz w:val="10"/>
                <w:szCs w:val="10"/>
                <w:color w:val="auto"/>
              </w:rPr>
            </w:pPr>
          </w:p>
        </w:tc>
        <w:tc>
          <w:tcPr>
            <w:tcW w:w="620" w:type="dxa"/>
            <w:vAlign w:val="bottom"/>
            <w:vMerge w:val="restart"/>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2,716</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tcBorders>
              <w:top w:val="single" w:sz="8" w:color="auto"/>
            </w:tcBorders>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2,716</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1,862</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(22,640)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(22,640)</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(559)</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0" w:type="dxa"/>
            <w:vAlign w:val="bottom"/>
          </w:tcPr>
          <w:p>
            <w:pPr>
              <w:spacing w:after="0"/>
              <w:rPr>
                <w:sz w:val="1"/>
                <w:szCs w:val="1"/>
                <w:color w:val="auto"/>
              </w:rPr>
            </w:pPr>
          </w:p>
        </w:tc>
      </w:tr>
      <w:tr>
        <w:trPr>
          <w:trHeight w:val="171"/>
        </w:trPr>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3,016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(21,337)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(18,321)</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Quoted Prices in</w:t>
            </w:r>
          </w:p>
        </w:tc>
        <w:tc>
          <w:tcPr>
            <w:tcW w:w="180" w:type="dxa"/>
            <w:vAlign w:val="bottom"/>
          </w:tcPr>
          <w:p>
            <w:pPr>
              <w:spacing w:after="0"/>
              <w:rPr>
                <w:sz w:val="8"/>
                <w:szCs w:val="8"/>
                <w:color w:val="auto"/>
              </w:rPr>
            </w:pPr>
          </w:p>
        </w:tc>
        <w:tc>
          <w:tcPr>
            <w:tcW w:w="2340" w:type="dxa"/>
            <w:vAlign w:val="bottom"/>
            <w:gridSpan w:val="5"/>
          </w:tcPr>
          <w:p>
            <w:pPr>
              <w:jc w:val="center"/>
              <w:ind w:right="500"/>
              <w:spacing w:after="0" w:line="93" w:lineRule="exact"/>
              <w:rPr>
                <w:sz w:val="20"/>
                <w:szCs w:val="20"/>
                <w:color w:val="auto"/>
              </w:rPr>
            </w:pPr>
            <w:r>
              <w:rPr>
                <w:rFonts w:ascii="Times New Roman" w:cs="Times New Roman" w:eastAsia="Times New Roman" w:hAnsi="Times New Roman"/>
                <w:sz w:val="10"/>
                <w:szCs w:val="10"/>
                <w:b w:val="1"/>
                <w:bCs w:val="1"/>
                <w:color w:val="auto"/>
              </w:rPr>
              <w:t>Significant Other</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w w:val="98"/>
              </w:rPr>
              <w:t>Observable</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rPr>
              <w:t>Unobservable</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0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2"/>
                <w:szCs w:val="12"/>
                <w:b w:val="1"/>
                <w:bCs w:val="1"/>
                <w:color w:val="auto"/>
              </w:rPr>
              <w:t>Active Markets</w:t>
            </w:r>
          </w:p>
        </w:tc>
        <w:tc>
          <w:tcPr>
            <w:tcW w:w="180" w:type="dxa"/>
            <w:vAlign w:val="bottom"/>
          </w:tcPr>
          <w:p>
            <w:pPr>
              <w:spacing w:after="0"/>
              <w:rPr>
                <w:sz w:val="10"/>
                <w:szCs w:val="10"/>
                <w:color w:val="auto"/>
              </w:rPr>
            </w:pPr>
          </w:p>
        </w:tc>
        <w:tc>
          <w:tcPr>
            <w:tcW w:w="108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2"/>
                <w:szCs w:val="12"/>
                <w:b w:val="1"/>
                <w:bCs w:val="1"/>
                <w:color w:val="auto"/>
              </w:rPr>
              <w:t>Inputs</w:t>
            </w: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180" w:type="dxa"/>
            <w:vAlign w:val="bottom"/>
          </w:tcPr>
          <w:p>
            <w:pPr>
              <w:spacing w:after="0"/>
              <w:rPr>
                <w:sz w:val="10"/>
                <w:szCs w:val="10"/>
                <w:color w:val="auto"/>
              </w:rPr>
            </w:pPr>
          </w:p>
        </w:tc>
        <w:tc>
          <w:tcPr>
            <w:tcW w:w="620" w:type="dxa"/>
            <w:vAlign w:val="bottom"/>
            <w:vMerge w:val="restart"/>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3,301</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160" w:type="dxa"/>
            <w:vAlign w:val="bottom"/>
            <w:tcBorders>
              <w:top w:val="single" w:sz="8" w:color="auto"/>
            </w:tcBorders>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2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3,301</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1,925</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(22,640)</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(22,640)</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(559)</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(894)</w:t>
            </w:r>
          </w:p>
        </w:tc>
        <w:tc>
          <w:tcPr>
            <w:tcW w:w="16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c>
          <w:tcPr>
            <w:tcW w:w="0" w:type="dxa"/>
            <w:vAlign w:val="bottom"/>
          </w:tcPr>
          <w:p>
            <w:pPr>
              <w:spacing w:after="0"/>
              <w:rPr>
                <w:sz w:val="1"/>
                <w:szCs w:val="1"/>
                <w:color w:val="auto"/>
              </w:rPr>
            </w:pPr>
          </w:p>
        </w:tc>
      </w:tr>
      <w:tr>
        <w:trPr>
          <w:trHeight w:val="171"/>
        </w:trPr>
        <w:tc>
          <w:tcPr>
            <w:tcW w:w="8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3,601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(894)</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(21,274)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5"/>
              <w:spacing w:after="0" w:line="172"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line="172" w:lineRule="exact"/>
              <w:rPr>
                <w:sz w:val="20"/>
                <w:szCs w:val="20"/>
                <w:color w:val="auto"/>
              </w:rPr>
            </w:pPr>
            <w:r>
              <w:rPr>
                <w:rFonts w:ascii="Times New Roman" w:cs="Times New Roman" w:eastAsia="Times New Roman" w:hAnsi="Times New Roman"/>
                <w:sz w:val="15"/>
                <w:szCs w:val="15"/>
                <w:color w:val="auto"/>
              </w:rPr>
              <w:t>(18,567)</w:t>
            </w: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-1834515</wp:posOffset>
            </wp:positionV>
            <wp:extent cx="5669280" cy="113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9280" cy="11366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-1607185</wp:posOffset>
            </wp:positionV>
            <wp:extent cx="5669280" cy="113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9280" cy="11366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-2069465</wp:posOffset>
            </wp:positionV>
            <wp:extent cx="5669280" cy="120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9280" cy="12065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-596900</wp:posOffset>
            </wp:positionV>
            <wp:extent cx="5669280" cy="113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9280" cy="11366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-368935</wp:posOffset>
            </wp:positionV>
            <wp:extent cx="5669280" cy="1136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9280" cy="11366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-141605</wp:posOffset>
            </wp:positionV>
            <wp:extent cx="5669280"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9280" cy="12827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-831850</wp:posOffset>
            </wp:positionV>
            <wp:extent cx="5669280" cy="120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9280" cy="12065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4060" w:space="440"/>
            <w:col w:w="4519"/>
          </w:cols>
          <w:pgMar w:left="1440" w:top="450" w:right="1440" w:bottom="1440" w:gutter="0" w:footer="0" w:header="0"/>
          <w:type w:val="continuous"/>
        </w:sectPr>
      </w:pPr>
    </w:p>
    <w:p>
      <w:pPr>
        <w:ind w:left="40" w:right="79" w:firstLine="538"/>
        <w:spacing w:after="0" w:line="277" w:lineRule="auto"/>
        <w:rPr>
          <w:sz w:val="20"/>
          <w:szCs w:val="20"/>
          <w:color w:val="auto"/>
        </w:rPr>
      </w:pPr>
      <w:r>
        <w:rPr>
          <w:rFonts w:ascii="Times New Roman" w:cs="Times New Roman" w:eastAsia="Times New Roman" w:hAnsi="Times New Roman"/>
          <w:sz w:val="15"/>
          <w:szCs w:val="15"/>
          <w:color w:val="auto"/>
        </w:rPr>
        <w:t>During the nine months ended September 30, 2022, the fair value of the remaining Level 3 investments decreased $0.1 million due to a cash distribution.</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Money Market Funds</w:t>
      </w:r>
    </w:p>
    <w:p>
      <w:pPr>
        <w:spacing w:after="0" w:line="188" w:lineRule="exact"/>
        <w:rPr>
          <w:sz w:val="20"/>
          <w:szCs w:val="20"/>
          <w:color w:val="auto"/>
        </w:rPr>
      </w:pPr>
    </w:p>
    <w:p>
      <w:pPr>
        <w:ind w:left="40" w:right="79" w:firstLine="538"/>
        <w:spacing w:after="0" w:line="263" w:lineRule="auto"/>
        <w:rPr>
          <w:sz w:val="20"/>
          <w:szCs w:val="20"/>
          <w:color w:val="auto"/>
        </w:rPr>
      </w:pPr>
      <w:r>
        <w:rPr>
          <w:rFonts w:ascii="Times New Roman" w:cs="Times New Roman" w:eastAsia="Times New Roman" w:hAnsi="Times New Roman"/>
          <w:sz w:val="15"/>
          <w:szCs w:val="15"/>
          <w:color w:val="auto"/>
        </w:rPr>
        <w:t>As of September 30, 2022 and December 31, 2021,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Other Investments</w:t>
      </w:r>
    </w:p>
    <w:p>
      <w:pPr>
        <w:spacing w:after="0" w:line="188" w:lineRule="exact"/>
        <w:rPr>
          <w:sz w:val="20"/>
          <w:szCs w:val="20"/>
          <w:color w:val="auto"/>
        </w:rPr>
      </w:pPr>
    </w:p>
    <w:p>
      <w:pPr>
        <w:ind w:left="40" w:right="99" w:firstLine="538"/>
        <w:spacing w:after="0" w:line="256" w:lineRule="auto"/>
        <w:rPr>
          <w:sz w:val="20"/>
          <w:szCs w:val="20"/>
          <w:color w:val="auto"/>
        </w:rPr>
      </w:pPr>
      <w:r>
        <w:rPr>
          <w:rFonts w:ascii="Times New Roman" w:cs="Times New Roman" w:eastAsia="Times New Roman" w:hAnsi="Times New Roman"/>
          <w:sz w:val="15"/>
          <w:szCs w:val="15"/>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In the first quarter of 2021, the Company began to account for its former India solar operations under the equity method of accounting.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200" w:lineRule="exact"/>
        <w:rPr>
          <w:sz w:val="20"/>
          <w:szCs w:val="20"/>
          <w:color w:val="auto"/>
        </w:rPr>
      </w:pP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Investments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without a</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readily</w:t>
            </w:r>
          </w:p>
        </w:tc>
        <w:tc>
          <w:tcPr>
            <w:tcW w:w="10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88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auto"/>
                <w:w w:val="99"/>
              </w:rPr>
              <w:t>determinable</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w w:val="97"/>
              </w:rPr>
              <w:t>fair value</w:t>
            </w:r>
          </w:p>
        </w:tc>
        <w:tc>
          <w:tcPr>
            <w:tcW w:w="100" w:type="dxa"/>
            <w:vAlign w:val="bottom"/>
          </w:tcPr>
          <w:p>
            <w:pPr>
              <w:spacing w:after="0"/>
              <w:rPr>
                <w:sz w:val="11"/>
                <w:szCs w:val="11"/>
                <w:color w:val="auto"/>
              </w:rPr>
            </w:pPr>
          </w:p>
        </w:tc>
        <w:tc>
          <w:tcPr>
            <w:tcW w:w="820" w:type="dxa"/>
            <w:vAlign w:val="bottom"/>
            <w:gridSpan w:val="2"/>
          </w:tcPr>
          <w:p>
            <w:pPr>
              <w:jc w:val="right"/>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investments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2"/>
                <w:szCs w:val="12"/>
                <w:b w:val="1"/>
                <w:bCs w:val="1"/>
                <w:color w:val="auto"/>
                <w:w w:val="98"/>
              </w:rPr>
              <w:t>investments</w:t>
            </w: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5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Balance,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17,820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1,925</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28,699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48,444</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Sale of Investments(1)</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(13,212)</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(13,212)</w:t>
            </w:r>
          </w:p>
        </w:tc>
        <w:tc>
          <w:tcPr>
            <w:tcW w:w="0" w:type="dxa"/>
            <w:vAlign w:val="bottom"/>
          </w:tcPr>
          <w:p>
            <w:pPr>
              <w:spacing w:after="0"/>
              <w:rPr>
                <w:sz w:val="1"/>
                <w:szCs w:val="1"/>
                <w:color w:val="auto"/>
              </w:rPr>
            </w:pPr>
          </w:p>
        </w:tc>
      </w:tr>
      <w:tr>
        <w:trPr>
          <w:trHeight w:val="17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Income (Loss) recognized</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(2,163)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Contributions / (distributions)</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2,361</w:t>
            </w:r>
          </w:p>
        </w:tc>
        <w:tc>
          <w:tcPr>
            <w:tcW w:w="0" w:type="dxa"/>
            <w:vAlign w:val="bottom"/>
          </w:tcPr>
          <w:p>
            <w:pPr>
              <w:spacing w:after="0"/>
              <w:rPr>
                <w:sz w:val="1"/>
                <w:szCs w:val="1"/>
                <w:color w:val="auto"/>
              </w:rPr>
            </w:pPr>
          </w:p>
        </w:tc>
      </w:tr>
      <w:tr>
        <w:trPr>
          <w:trHeight w:val="17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Foreign currency loss</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(1,815)</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w:t>
            </w:r>
          </w:p>
        </w:tc>
        <w:tc>
          <w:tcPr>
            <w:tcW w:w="0" w:type="dxa"/>
            <w:vAlign w:val="bottom"/>
          </w:tcPr>
          <w:p>
            <w:pPr>
              <w:spacing w:after="0"/>
              <w:rPr>
                <w:sz w:val="1"/>
                <w:szCs w:val="1"/>
                <w:color w:val="auto"/>
              </w:rPr>
            </w:pPr>
          </w:p>
        </w:tc>
      </w:tr>
      <w:tr>
        <w:trPr>
          <w:trHeight w:val="179"/>
        </w:trPr>
        <w:tc>
          <w:tcPr>
            <w:tcW w:w="35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Gain recognized</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4,770</w:t>
            </w:r>
          </w:p>
        </w:tc>
        <w:tc>
          <w:tcPr>
            <w:tcW w:w="0" w:type="dxa"/>
            <w:vAlign w:val="bottom"/>
          </w:tcPr>
          <w:p>
            <w:pPr>
              <w:spacing w:after="0"/>
              <w:rPr>
                <w:sz w:val="1"/>
                <w:szCs w:val="1"/>
                <w:color w:val="auto"/>
              </w:rPr>
            </w:pPr>
          </w:p>
        </w:tc>
      </w:tr>
      <w:tr>
        <w:trPr>
          <w:trHeight w:val="170"/>
        </w:trPr>
        <w:tc>
          <w:tcPr>
            <w:tcW w:w="354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Balance, September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22,590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1,862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14,259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38,711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533"/>
        <w:spacing w:after="0" w:line="277" w:lineRule="auto"/>
        <w:tabs>
          <w:tab w:leader="none" w:pos="82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three months ended September 30, 2022, the Company sold an investment previously accounted for using the equity method for $15.7 million of cash. The investment had a book value of $13.2 and the Company recognized a gain of $2.5 million on the transaction.</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These investments are included with other assets on the consolidated balance sheets.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Redeemable Common Units and Warrants</w:t>
      </w:r>
    </w:p>
    <w:p>
      <w:pPr>
        <w:spacing w:after="0" w:line="188" w:lineRule="exact"/>
        <w:rPr>
          <w:sz w:val="20"/>
          <w:szCs w:val="20"/>
          <w:color w:val="auto"/>
        </w:rPr>
      </w:pPr>
    </w:p>
    <w:p>
      <w:pPr>
        <w:ind w:left="40" w:right="279" w:firstLine="538"/>
        <w:spacing w:after="0" w:line="256" w:lineRule="auto"/>
        <w:rPr>
          <w:sz w:val="20"/>
          <w:szCs w:val="20"/>
          <w:color w:val="auto"/>
        </w:rPr>
      </w:pPr>
      <w:r>
        <w:rPr>
          <w:rFonts w:ascii="Times New Roman" w:cs="Times New Roman" w:eastAsia="Times New Roman" w:hAnsi="Times New Roman"/>
          <w:sz w:val="15"/>
          <w:szCs w:val="15"/>
          <w:color w:val="auto"/>
        </w:rPr>
        <w:t>The Company issued redeemable common units, and warrants to purchase additional common units, in a subsidiary of the Company in connection with its acquisition of Alaska Communications (Refer to Note 6).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Company calculates the fair value of the instruments using a market approach with Level 3 inputs.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Other Fair Value Disclosures</w:t>
      </w:r>
    </w:p>
    <w:p>
      <w:pPr>
        <w:spacing w:after="0" w:line="188" w:lineRule="exact"/>
        <w:rPr>
          <w:sz w:val="20"/>
          <w:szCs w:val="20"/>
          <w:color w:val="auto"/>
        </w:rPr>
      </w:pPr>
    </w:p>
    <w:p>
      <w:pPr>
        <w:jc w:val="both"/>
        <w:ind w:left="40" w:right="139" w:firstLine="538"/>
        <w:spacing w:after="0" w:line="263" w:lineRule="auto"/>
        <w:rPr>
          <w:sz w:val="20"/>
          <w:szCs w:val="20"/>
          <w:color w:val="auto"/>
        </w:rPr>
      </w:pPr>
      <w:r>
        <w:rPr>
          <w:rFonts w:ascii="Times New Roman" w:cs="Times New Roman" w:eastAsia="Times New Roman" w:hAnsi="Times New Roman"/>
          <w:sz w:val="15"/>
          <w:szCs w:val="15"/>
          <w:color w:val="auto"/>
        </w:rPr>
        <w:t>The carrying amounts of cash and cash equivalents, accounts receivable, and accounts payable and accrued expenses approximate their fair values because of the relatively short-term maturities of these financial instruments. The fair value of the interest rate swap is measured using Level 2 inputs.</w:t>
      </w:r>
    </w:p>
    <w:p>
      <w:pPr>
        <w:spacing w:after="0" w:line="150" w:lineRule="exact"/>
        <w:rPr>
          <w:sz w:val="20"/>
          <w:szCs w:val="20"/>
          <w:color w:val="auto"/>
        </w:rPr>
      </w:pPr>
    </w:p>
    <w:p>
      <w:pPr>
        <w:jc w:val="both"/>
        <w:ind w:left="40" w:right="259" w:firstLine="538"/>
        <w:spacing w:after="0" w:line="263" w:lineRule="auto"/>
        <w:rPr>
          <w:sz w:val="20"/>
          <w:szCs w:val="20"/>
          <w:color w:val="auto"/>
        </w:rPr>
      </w:pPr>
      <w:r>
        <w:rPr>
          <w:rFonts w:ascii="Times New Roman" w:cs="Times New Roman" w:eastAsia="Times New Roman" w:hAnsi="Times New Roman"/>
          <w:sz w:val="15"/>
          <w:szCs w:val="15"/>
          <w:color w:val="auto"/>
        </w:rPr>
        <w:t>The fair value of long-term debt is estimated using Level 2 inputs. At September 30, 2022, the fair value of long-term debt, including the current portion, was $405.3 million and its book value was $399.2 million. At December 31, 2021, the fair value of long-term debt, including the current portion, was $373.7 million and its book value was $366.5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8. LONG-TERM DEBT</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CoBank Credit Facility</w:t>
      </w:r>
    </w:p>
    <w:p>
      <w:pPr>
        <w:spacing w:after="0" w:line="190" w:lineRule="exact"/>
        <w:rPr>
          <w:sz w:val="20"/>
          <w:szCs w:val="20"/>
          <w:color w:val="auto"/>
        </w:rPr>
      </w:pPr>
    </w:p>
    <w:p>
      <w:pPr>
        <w:ind w:left="40" w:right="139" w:firstLine="538"/>
        <w:spacing w:after="0" w:line="256" w:lineRule="auto"/>
        <w:rPr>
          <w:sz w:val="20"/>
          <w:szCs w:val="20"/>
          <w:color w:val="auto"/>
        </w:rPr>
      </w:pPr>
      <w:r>
        <w:rPr>
          <w:rFonts w:ascii="Times New Roman" w:cs="Times New Roman" w:eastAsia="Times New Roman" w:hAnsi="Times New Roman"/>
          <w:sz w:val="15"/>
          <w:szCs w:val="15"/>
          <w:color w:val="auto"/>
        </w:rPr>
        <w:t>On April 10, 2019, the Company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September 30, 2022. The 2019 CoBank Credit Facility matures on April 10, 2024.</w:t>
      </w:r>
    </w:p>
    <w:p>
      <w:pPr>
        <w:spacing w:after="0" w:line="155" w:lineRule="exact"/>
        <w:rPr>
          <w:sz w:val="20"/>
          <w:szCs w:val="20"/>
          <w:color w:val="auto"/>
        </w:rPr>
      </w:pPr>
    </w:p>
    <w:p>
      <w:pPr>
        <w:ind w:left="40" w:right="79" w:firstLine="538"/>
        <w:spacing w:after="0" w:line="252" w:lineRule="auto"/>
        <w:rPr>
          <w:sz w:val="20"/>
          <w:szCs w:val="20"/>
          <w:color w:val="auto"/>
        </w:rPr>
      </w:pPr>
      <w:r>
        <w:rPr>
          <w:rFonts w:ascii="Times New Roman" w:cs="Times New Roman" w:eastAsia="Times New Roman" w:hAnsi="Times New Roman"/>
          <w:sz w:val="15"/>
          <w:szCs w:val="15"/>
          <w:color w:val="auto"/>
        </w:rPr>
        <w:t>Amounts borrowed under the 2019 CoBank Credit Facility bear interest at a rate equal to, at the Company’s option, either (i) the London Interbank Offered Rate (“LIBOR”) plus an applicable margin ranging between 1.25% to 2.25% or (ii) a base rate plus an applicable margin ranging from 0.25% to 1.25%. Swingline loans bear interest at the base rate plus the applicable margin for base rate loans. The base rate is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the Company must also pay a commitment fee ranging from 0.150% to 0.375% of the average daily unused portion of the 2019 CoBank Credit Facility over each calendar quarter. On November 7, 2022, the Company amended the 2019 CoBank Credit Facility to allow for the incurrence of certain indebtedness related to payment guarantees in connection with its Remove and Replace project.</w:t>
      </w:r>
    </w:p>
    <w:p>
      <w:pPr>
        <w:spacing w:after="0" w:line="160" w:lineRule="exact"/>
        <w:rPr>
          <w:sz w:val="20"/>
          <w:szCs w:val="20"/>
          <w:color w:val="auto"/>
        </w:rPr>
      </w:pPr>
    </w:p>
    <w:p>
      <w:pPr>
        <w:ind w:left="40" w:right="59" w:firstLine="572"/>
        <w:spacing w:after="0" w:line="254" w:lineRule="auto"/>
        <w:rPr>
          <w:sz w:val="20"/>
          <w:szCs w:val="20"/>
          <w:color w:val="auto"/>
        </w:rPr>
      </w:pPr>
      <w:r>
        <w:rPr>
          <w:rFonts w:ascii="Times New Roman" w:cs="Times New Roman" w:eastAsia="Times New Roman" w:hAnsi="Times New Roman"/>
          <w:sz w:val="15"/>
          <w:szCs w:val="15"/>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The Company’s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w:t>
      </w:r>
    </w:p>
    <w:p>
      <w:pPr>
        <w:spacing w:after="0" w:line="156" w:lineRule="exact"/>
        <w:rPr>
          <w:sz w:val="20"/>
          <w:szCs w:val="20"/>
          <w:color w:val="auto"/>
        </w:rPr>
      </w:pPr>
    </w:p>
    <w:p>
      <w:pPr>
        <w:jc w:val="both"/>
        <w:ind w:left="40" w:right="139" w:firstLine="538"/>
        <w:spacing w:after="0" w:line="263" w:lineRule="auto"/>
        <w:rPr>
          <w:sz w:val="20"/>
          <w:szCs w:val="20"/>
          <w:color w:val="auto"/>
        </w:rPr>
      </w:pPr>
      <w:r>
        <w:rPr>
          <w:rFonts w:ascii="Times New Roman" w:cs="Times New Roman" w:eastAsia="Times New Roman" w:hAnsi="Times New Roman"/>
          <w:sz w:val="15"/>
          <w:szCs w:val="15"/>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the Company was in compliance with all of the financial covenants of the 2019 CoBank Credit Facility, had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$71.0 million outstanding in borrowings and, net of the $26.0 million of outstanding performance letters of credit, had $103.0 million of availability</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under the 2019 CoBank Credit Facility. As of September 30, 2022, there are no outstanding interest rate hedge agreements associated with the 2019</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CoBank Credit Facility.</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Alaska Credit Facility</w:t>
      </w:r>
    </w:p>
    <w:p>
      <w:pPr>
        <w:spacing w:after="0" w:line="224" w:lineRule="exact"/>
        <w:rPr>
          <w:sz w:val="20"/>
          <w:szCs w:val="20"/>
          <w:color w:val="auto"/>
        </w:rPr>
      </w:pPr>
    </w:p>
    <w:p>
      <w:pPr>
        <w:ind w:left="40" w:right="139" w:firstLine="538"/>
        <w:spacing w:after="0" w:line="258" w:lineRule="auto"/>
        <w:rPr>
          <w:sz w:val="20"/>
          <w:szCs w:val="20"/>
          <w:color w:val="auto"/>
        </w:rPr>
      </w:pPr>
      <w:r>
        <w:rPr>
          <w:rFonts w:ascii="Times New Roman" w:cs="Times New Roman" w:eastAsia="Times New Roman" w:hAnsi="Times New Roman"/>
          <w:sz w:val="15"/>
          <w:szCs w:val="15"/>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 As of September 30, 2022, $210.0 million was outstanding under the Alaska Term Loan and $15.5 million was outstanding under the Alaska Revolving Facility. Both facilities mature on July 22, 2026.</w:t>
      </w:r>
    </w:p>
    <w:p>
      <w:pPr>
        <w:spacing w:after="0" w:line="188" w:lineRule="exact"/>
        <w:rPr>
          <w:sz w:val="20"/>
          <w:szCs w:val="20"/>
          <w:color w:val="auto"/>
        </w:rPr>
      </w:pPr>
    </w:p>
    <w:p>
      <w:pPr>
        <w:ind w:left="40" w:right="119" w:firstLine="538"/>
        <w:spacing w:after="0" w:line="277" w:lineRule="auto"/>
        <w:rPr>
          <w:sz w:val="20"/>
          <w:szCs w:val="20"/>
          <w:color w:val="auto"/>
        </w:rPr>
      </w:pPr>
      <w:r>
        <w:rPr>
          <w:rFonts w:ascii="Times New Roman" w:cs="Times New Roman" w:eastAsia="Times New Roman" w:hAnsi="Times New Roman"/>
          <w:sz w:val="15"/>
          <w:szCs w:val="15"/>
          <w:color w:val="auto"/>
        </w:rPr>
        <w:t>The Company capitalized $6.6 million of fees associated with the Alaska Credit Facility which are being amortized over the life of the debt and $4.9 million were unamortized as of September 30, 2022.</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39" w:firstLine="538"/>
        <w:spacing w:after="0" w:line="277" w:lineRule="auto"/>
        <w:rPr>
          <w:sz w:val="20"/>
          <w:szCs w:val="20"/>
          <w:color w:val="auto"/>
        </w:rPr>
      </w:pPr>
      <w:r>
        <w:rPr>
          <w:rFonts w:ascii="Times New Roman" w:cs="Times New Roman" w:eastAsia="Times New Roman" w:hAnsi="Times New Roman"/>
          <w:sz w:val="15"/>
          <w:szCs w:val="15"/>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key terms and conditions of the Alaska Credit Facility include the following:</w:t>
      </w:r>
    </w:p>
    <w:p>
      <w:pPr>
        <w:spacing w:after="0" w:line="186" w:lineRule="exact"/>
        <w:rPr>
          <w:sz w:val="20"/>
          <w:szCs w:val="20"/>
          <w:color w:val="auto"/>
        </w:rPr>
      </w:pPr>
    </w:p>
    <w:p>
      <w:pPr>
        <w:ind w:left="1140" w:hanging="275"/>
        <w:spacing w:after="0"/>
        <w:tabs>
          <w:tab w:leader="none" w:pos="11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outstanding bear an interest rate of LIBOR, or a LIBOR replacement rate as applicable, plus a margin ranging from</w:t>
      </w:r>
    </w:p>
    <w:p>
      <w:pPr>
        <w:spacing w:after="0" w:line="20" w:lineRule="exact"/>
        <w:rPr>
          <w:rFonts w:ascii="Times New Roman" w:cs="Times New Roman" w:eastAsia="Times New Roman" w:hAnsi="Times New Roman"/>
          <w:sz w:val="15"/>
          <w:szCs w:val="15"/>
          <w:color w:val="auto"/>
        </w:rPr>
      </w:pPr>
    </w:p>
    <w:p>
      <w:pPr>
        <w:ind w:left="1140" w:right="199"/>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3.00% to 4.00% based on Alaska Communications’ Consolidated Total Net Leverage Ratio (as defined in the Credit Agreement) or an alternate base rate may be selected at a margin that is 1% lower than the counterpart LIBOR margin;</w:t>
      </w:r>
    </w:p>
    <w:p>
      <w:pPr>
        <w:spacing w:after="0" w:line="153" w:lineRule="exact"/>
        <w:rPr>
          <w:rFonts w:ascii="Times New Roman" w:cs="Times New Roman" w:eastAsia="Times New Roman" w:hAnsi="Times New Roman"/>
          <w:sz w:val="15"/>
          <w:szCs w:val="15"/>
          <w:color w:val="auto"/>
        </w:rPr>
      </w:pPr>
    </w:p>
    <w:p>
      <w:pPr>
        <w:ind w:left="1140" w:right="119" w:hanging="275"/>
        <w:spacing w:after="0" w:line="263" w:lineRule="auto"/>
        <w:tabs>
          <w:tab w:leader="none" w:pos="11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repayments are due quarterly commencing in the fourth quarter of 2023 in quarterly amounts as follows: from the fourth quarter of 2023 through the third quarter of 2024, $1.3 million; and from the fourth quarter of 2024 through the third quarter of 2026, $2.6 million. The remaining unpaid balance is due on the final maturity date;</w:t>
      </w:r>
    </w:p>
    <w:p>
      <w:pPr>
        <w:spacing w:after="0" w:line="149" w:lineRule="exact"/>
        <w:rPr>
          <w:rFonts w:ascii="Times New Roman" w:cs="Times New Roman" w:eastAsia="Times New Roman" w:hAnsi="Times New Roman"/>
          <w:sz w:val="15"/>
          <w:szCs w:val="15"/>
          <w:color w:val="auto"/>
        </w:rPr>
      </w:pPr>
    </w:p>
    <w:p>
      <w:pPr>
        <w:ind w:left="1140" w:right="139" w:hanging="275"/>
        <w:spacing w:after="0" w:line="277" w:lineRule="auto"/>
        <w:tabs>
          <w:tab w:leader="none" w:pos="1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Alaska Communications is required to maintain financial ratios as defined in the Alaska Credit Facility, including (a) a maximum Consolidated Net Total Leverage Ratio of 4.00 to 1, stepping down to 3.75 to 1 beginning with the second quarter of 2024; and</w:t>
      </w: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(b) a minimum Consolidated Fixed Charge Coverage Ratio of not less than 1.25 to 1; and</w:t>
      </w:r>
    </w:p>
    <w:p>
      <w:pPr>
        <w:spacing w:after="0" w:line="172" w:lineRule="exact"/>
        <w:rPr>
          <w:rFonts w:ascii="Times New Roman" w:cs="Times New Roman" w:eastAsia="Times New Roman" w:hAnsi="Times New Roman"/>
          <w:sz w:val="14"/>
          <w:szCs w:val="14"/>
          <w:color w:val="auto"/>
        </w:rPr>
      </w:pPr>
    </w:p>
    <w:p>
      <w:pPr>
        <w:ind w:left="1140" w:right="139" w:hanging="275"/>
        <w:spacing w:after="0" w:line="277" w:lineRule="auto"/>
        <w:tabs>
          <w:tab w:leader="none" w:pos="11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Alaska Credit Facility is non-recourse to the Company and is secured by substantially all of the personal property and certain material real property owned by Alaska Communications.</w:t>
      </w:r>
    </w:p>
    <w:p>
      <w:pPr>
        <w:spacing w:after="0" w:line="140" w:lineRule="exact"/>
        <w:rPr>
          <w:sz w:val="20"/>
          <w:szCs w:val="20"/>
          <w:color w:val="auto"/>
        </w:rPr>
      </w:pPr>
    </w:p>
    <w:p>
      <w:pPr>
        <w:ind w:left="40" w:right="219" w:firstLine="538"/>
        <w:spacing w:after="0" w:line="277" w:lineRule="auto"/>
        <w:rPr>
          <w:sz w:val="20"/>
          <w:szCs w:val="20"/>
          <w:color w:val="auto"/>
        </w:rPr>
      </w:pPr>
      <w:r>
        <w:rPr>
          <w:rFonts w:ascii="Times New Roman" w:cs="Times New Roman" w:eastAsia="Times New Roman" w:hAnsi="Times New Roman"/>
          <w:sz w:val="15"/>
          <w:szCs w:val="15"/>
          <w:color w:val="auto"/>
        </w:rPr>
        <w:t>Alaska Communication’s interest rate swap, which had been designated as a cash flow hedge with an interest rate of 1.6735%, expired on June 30, 2022. As of September 30, 2022, there are no outstanding interest rate hedge agreements associated with the Alaska Credit Facility.</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Alaska Term Facility</w:t>
      </w:r>
    </w:p>
    <w:p>
      <w:pPr>
        <w:spacing w:after="0" w:line="190" w:lineRule="exact"/>
        <w:rPr>
          <w:sz w:val="20"/>
          <w:szCs w:val="20"/>
          <w:color w:val="auto"/>
        </w:rPr>
      </w:pPr>
    </w:p>
    <w:p>
      <w:pPr>
        <w:ind w:left="40" w:right="199" w:firstLine="538"/>
        <w:spacing w:after="0" w:line="277" w:lineRule="auto"/>
        <w:rPr>
          <w:sz w:val="20"/>
          <w:szCs w:val="20"/>
          <w:color w:val="auto"/>
        </w:rPr>
      </w:pPr>
      <w:r>
        <w:rPr>
          <w:rFonts w:ascii="Times New Roman" w:cs="Times New Roman" w:eastAsia="Times New Roman" w:hAnsi="Times New Roman"/>
          <w:sz w:val="15"/>
          <w:szCs w:val="15"/>
          <w:color w:val="auto"/>
        </w:rPr>
        <w:t>On June 15, 2022, Alaska Communications Systems Holdings, the parent company of Alaska Communications, entered a secured lending arrangement with Bristol Bay Industrial, LLC. (the “Alaska Term Facility”).</w:t>
      </w:r>
    </w:p>
    <w:p>
      <w:pPr>
        <w:spacing w:after="0" w:line="140" w:lineRule="exact"/>
        <w:rPr>
          <w:sz w:val="20"/>
          <w:szCs w:val="20"/>
          <w:color w:val="auto"/>
        </w:rPr>
      </w:pPr>
    </w:p>
    <w:p>
      <w:pPr>
        <w:ind w:left="40" w:right="219" w:firstLine="538"/>
        <w:spacing w:after="0" w:line="258" w:lineRule="auto"/>
        <w:rPr>
          <w:sz w:val="20"/>
          <w:szCs w:val="20"/>
          <w:color w:val="auto"/>
        </w:rPr>
      </w:pPr>
      <w:r>
        <w:rPr>
          <w:rFonts w:ascii="Times New Roman" w:cs="Times New Roman" w:eastAsia="Times New Roman" w:hAnsi="Times New Roman"/>
          <w:sz w:val="15"/>
          <w:szCs w:val="15"/>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September 30, 2022. Scheduled quarterly payments of principal commence on March 31, 2023. The Alaska Term Facility matures on June 30, 2024.</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Alaska Term Facility contains events of default customary for facilities of this type.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the Company had $0.7 million outstanding and $6.8 million available under the Alaska Term Facility.</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FirstNet Receivables Credit Facility</w:t>
      </w:r>
    </w:p>
    <w:p>
      <w:pPr>
        <w:spacing w:after="0" w:line="190" w:lineRule="exact"/>
        <w:rPr>
          <w:sz w:val="20"/>
          <w:szCs w:val="20"/>
          <w:color w:val="auto"/>
        </w:rPr>
      </w:pPr>
    </w:p>
    <w:p>
      <w:pPr>
        <w:ind w:left="40" w:right="119" w:firstLine="538"/>
        <w:spacing w:after="0" w:line="277" w:lineRule="auto"/>
        <w:rPr>
          <w:sz w:val="20"/>
          <w:szCs w:val="20"/>
          <w:color w:val="auto"/>
        </w:rPr>
      </w:pPr>
      <w:r>
        <w:rPr>
          <w:rFonts w:ascii="Times New Roman" w:cs="Times New Roman" w:eastAsia="Times New Roman" w:hAnsi="Times New Roman"/>
          <w:sz w:val="15"/>
          <w:szCs w:val="15"/>
          <w:color w:val="auto"/>
        </w:rPr>
        <w:t>On March 26, 2020, Commnet Finance, a wholly owned subsidiary of Commnet Wireless, entered into a receivables credit facility with the Company, Commnet Wireless, and CoBank, ACB (the “Receivables Credit Facility”).</w:t>
      </w:r>
    </w:p>
    <w:p>
      <w:pPr>
        <w:spacing w:after="0" w:line="140" w:lineRule="exact"/>
        <w:rPr>
          <w:sz w:val="20"/>
          <w:szCs w:val="20"/>
          <w:color w:val="auto"/>
        </w:rPr>
      </w:pPr>
    </w:p>
    <w:p>
      <w:pPr>
        <w:ind w:left="40" w:right="359" w:firstLine="538"/>
        <w:spacing w:after="0" w:line="258" w:lineRule="auto"/>
        <w:rPr>
          <w:sz w:val="20"/>
          <w:szCs w:val="20"/>
          <w:color w:val="auto"/>
        </w:rPr>
      </w:pPr>
      <w:r>
        <w:rPr>
          <w:rFonts w:ascii="Times New Roman" w:cs="Times New Roman" w:eastAsia="Times New Roman" w:hAnsi="Times New Roman"/>
          <w:sz w:val="15"/>
          <w:szCs w:val="15"/>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On December 29, 2021, CoBank amended the Receivables Credit Facility and extended the delayed draw period to December 31, 2022.</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maturity date for each loan will be set by CoBank and will match the weighted average maturity of the certain receivables financed.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Interest on the loans accrues at a fixed annual interest rate to be quoted by CoBank.</w:t>
      </w:r>
    </w:p>
    <w:p>
      <w:pPr>
        <w:spacing w:after="0" w:line="186" w:lineRule="exact"/>
        <w:rPr>
          <w:sz w:val="20"/>
          <w:szCs w:val="20"/>
          <w:color w:val="auto"/>
        </w:rPr>
      </w:pPr>
    </w:p>
    <w:p>
      <w:pPr>
        <w:ind w:left="40" w:right="639" w:firstLine="538"/>
        <w:spacing w:after="0" w:line="277" w:lineRule="auto"/>
        <w:rPr>
          <w:sz w:val="20"/>
          <w:szCs w:val="20"/>
          <w:color w:val="auto"/>
        </w:rPr>
      </w:pPr>
      <w:r>
        <w:rPr>
          <w:rFonts w:ascii="Times New Roman" w:cs="Times New Roman" w:eastAsia="Times New Roman" w:hAnsi="Times New Roman"/>
          <w:sz w:val="15"/>
          <w:szCs w:val="15"/>
          <w:color w:val="auto"/>
        </w:rPr>
        <w:t>The Receivables Credit Facility contains customary events of termination, representations and warranties, affirmative and negative covenants and events of default customary for facilities of this type.</w:t>
      </w:r>
    </w:p>
    <w:p>
      <w:pPr>
        <w:spacing w:after="0" w:line="173" w:lineRule="exact"/>
        <w:rPr>
          <w:sz w:val="20"/>
          <w:szCs w:val="20"/>
          <w:color w:val="auto"/>
        </w:rPr>
      </w:pPr>
    </w:p>
    <w:p>
      <w:pPr>
        <w:jc w:val="both"/>
        <w:ind w:left="40" w:right="79" w:firstLine="538"/>
        <w:spacing w:after="0" w:line="263" w:lineRule="auto"/>
        <w:rPr>
          <w:sz w:val="20"/>
          <w:szCs w:val="20"/>
          <w:color w:val="auto"/>
        </w:rPr>
      </w:pPr>
      <w:r>
        <w:rPr>
          <w:rFonts w:ascii="Times New Roman" w:cs="Times New Roman" w:eastAsia="Times New Roman" w:hAnsi="Times New Roman"/>
          <w:sz w:val="15"/>
          <w:szCs w:val="15"/>
          <w:color w:val="auto"/>
        </w:rPr>
        <w:t>As of September 30, 2022, the Company had $44.3 million outstanding, of which $5.7 million was current, and $25.4 million of availability under the Receivables Credit Facility. The Company capitalized $0.9 million of fees associated with the Receivables Credit Facility which are being amortized over the life of the debt and $0.8 million were unamortized as of September 30, 2022.</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Viya Debt</w:t>
      </w:r>
    </w:p>
    <w:p>
      <w:pPr>
        <w:spacing w:after="0" w:line="190" w:lineRule="exact"/>
        <w:rPr>
          <w:sz w:val="20"/>
          <w:szCs w:val="20"/>
          <w:color w:val="auto"/>
        </w:rPr>
      </w:pPr>
    </w:p>
    <w:p>
      <w:pPr>
        <w:ind w:left="40" w:right="139" w:firstLine="538"/>
        <w:spacing w:after="0" w:line="272" w:lineRule="auto"/>
        <w:rPr>
          <w:sz w:val="20"/>
          <w:szCs w:val="20"/>
          <w:color w:val="auto"/>
        </w:rPr>
      </w:pPr>
      <w:r>
        <w:rPr>
          <w:rFonts w:ascii="Times New Roman" w:cs="Times New Roman" w:eastAsia="Times New Roman" w:hAnsi="Times New Roman"/>
          <w:sz w:val="14"/>
          <w:szCs w:val="14"/>
          <w:color w:val="auto"/>
        </w:rPr>
        <w:t>The Company,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w:t>
      </w:r>
    </w:p>
    <w:p>
      <w:pPr>
        <w:spacing w:after="0" w:line="1"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5"/>
          <w:szCs w:val="15"/>
          <w:color w:val="auto"/>
        </w:rPr>
        <w:t>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155" w:lineRule="exact"/>
        <w:rPr>
          <w:sz w:val="20"/>
          <w:szCs w:val="20"/>
          <w:color w:val="auto"/>
        </w:rPr>
      </w:pPr>
    </w:p>
    <w:p>
      <w:pPr>
        <w:ind w:left="40" w:right="399" w:firstLine="538"/>
        <w:spacing w:after="0" w:line="277" w:lineRule="auto"/>
        <w:rPr>
          <w:sz w:val="20"/>
          <w:szCs w:val="20"/>
          <w:color w:val="auto"/>
        </w:rPr>
      </w:pPr>
      <w:r>
        <w:rPr>
          <w:rFonts w:ascii="Times New Roman" w:cs="Times New Roman" w:eastAsia="Times New Roman" w:hAnsi="Times New Roman"/>
          <w:sz w:val="15"/>
          <w:szCs w:val="15"/>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$60.0 million of the Viya Debt remained outstanding and $0.4 million of the rate lock fee was unamortized.</w:t>
      </w:r>
    </w:p>
    <w:p>
      <w:pPr>
        <w:spacing w:after="0" w:line="186" w:lineRule="exact"/>
        <w:rPr>
          <w:sz w:val="20"/>
          <w:szCs w:val="20"/>
          <w:color w:val="auto"/>
        </w:rPr>
      </w:pPr>
    </w:p>
    <w:p>
      <w:pPr>
        <w:ind w:left="40" w:right="159" w:firstLine="538"/>
        <w:spacing w:after="0" w:line="277" w:lineRule="auto"/>
        <w:rPr>
          <w:sz w:val="20"/>
          <w:szCs w:val="20"/>
          <w:color w:val="auto"/>
        </w:rPr>
      </w:pPr>
      <w:r>
        <w:rPr>
          <w:rFonts w:ascii="Times New Roman" w:cs="Times New Roman" w:eastAsia="Times New Roman" w:hAnsi="Times New Roman"/>
          <w:sz w:val="15"/>
          <w:szCs w:val="15"/>
          <w:color w:val="auto"/>
        </w:rPr>
        <w:t>On May 5, 2022, RTFC agreed to amend the Net Leverage Ratio to 7.0 to 1.0 through the maturity date of July 1, 2026. This covenant will be tested on December 31, 2022.</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One Communications Debt</w:t>
      </w:r>
    </w:p>
    <w:p>
      <w:pPr>
        <w:spacing w:after="0" w:line="190" w:lineRule="exact"/>
        <w:rPr>
          <w:sz w:val="20"/>
          <w:szCs w:val="20"/>
          <w:color w:val="auto"/>
        </w:rPr>
      </w:pPr>
    </w:p>
    <w:p>
      <w:pPr>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The Company has an outstanding loan from HSBC Bank Bermuda Limited (the “One Communications Debt”) which is scheduled to mature on November 30, 2022 and bears interest at the one-month LIBOR plus a margin ranging between 2.5% to 2.75% per annum paid quarterly.</w:t>
      </w:r>
    </w:p>
    <w:p>
      <w:pPr>
        <w:spacing w:after="0" w:line="140" w:lineRule="exact"/>
        <w:rPr>
          <w:sz w:val="20"/>
          <w:szCs w:val="20"/>
          <w:color w:val="auto"/>
        </w:rPr>
      </w:pPr>
    </w:p>
    <w:p>
      <w:pPr>
        <w:ind w:left="40" w:right="339" w:firstLine="538"/>
        <w:spacing w:after="0" w:line="258" w:lineRule="auto"/>
        <w:rPr>
          <w:sz w:val="20"/>
          <w:szCs w:val="20"/>
          <w:color w:val="auto"/>
        </w:rPr>
      </w:pPr>
      <w:r>
        <w:rPr>
          <w:rFonts w:ascii="Times New Roman" w:cs="Times New Roman" w:eastAsia="Times New Roman" w:hAnsi="Times New Roman"/>
          <w:sz w:val="15"/>
          <w:szCs w:val="15"/>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$3.8 million of the One Communications Debt was outstanding.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9. GOVERNMENT SUPPORT AND SPECTRUM MATTERS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Universal Service Fund and Connect America Fund Phase II Programs</w:t>
      </w:r>
    </w:p>
    <w:p>
      <w:pPr>
        <w:spacing w:after="0" w:line="190" w:lineRule="exact"/>
        <w:rPr>
          <w:sz w:val="20"/>
          <w:szCs w:val="20"/>
          <w:color w:val="auto"/>
        </w:rPr>
      </w:pPr>
    </w:p>
    <w:p>
      <w:pPr>
        <w:jc w:val="both"/>
        <w:ind w:left="40" w:right="39" w:firstLine="538"/>
        <w:spacing w:after="0" w:line="256" w:lineRule="auto"/>
        <w:rPr>
          <w:sz w:val="20"/>
          <w:szCs w:val="20"/>
          <w:color w:val="auto"/>
        </w:rPr>
      </w:pPr>
      <w:r>
        <w:rPr>
          <w:rFonts w:ascii="Times New Roman" w:cs="Times New Roman" w:eastAsia="Times New Roman" w:hAnsi="Times New Roman"/>
          <w:sz w:val="15"/>
          <w:szCs w:val="15"/>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55"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150" w:lineRule="exact"/>
        <w:rPr>
          <w:sz w:val="20"/>
          <w:szCs w:val="20"/>
          <w:color w:val="auto"/>
        </w:rPr>
      </w:pPr>
    </w:p>
    <w:p>
      <w:pPr>
        <w:jc w:val="both"/>
        <w:ind w:left="40" w:right="39" w:firstLine="538"/>
        <w:spacing w:after="0" w:line="263" w:lineRule="auto"/>
        <w:rPr>
          <w:sz w:val="20"/>
          <w:szCs w:val="20"/>
          <w:color w:val="auto"/>
        </w:rPr>
      </w:pPr>
      <w:r>
        <w:rPr>
          <w:rFonts w:ascii="Times New Roman" w:cs="Times New Roman" w:eastAsia="Times New Roman" w:hAnsi="Times New Roman"/>
          <w:sz w:val="15"/>
          <w:szCs w:val="15"/>
          <w:color w:val="auto"/>
        </w:rPr>
        <w:t>Both the USF and CAFII programs are subject to certain operational and reporting compliance requirements. The Company believes it is in compliance with these requirements as of September 30, 2022. Revenue recognized from the USF and CAFII programs is recognized as revenue from government grants. Revenue from other programs is recognized in accordance with ASC 606.</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RDOF (“Rural Digital Opportunities Fund”)</w:t>
      </w:r>
    </w:p>
    <w:p>
      <w:pPr>
        <w:spacing w:after="0" w:line="190" w:lineRule="exact"/>
        <w:rPr>
          <w:sz w:val="20"/>
          <w:szCs w:val="20"/>
          <w:color w:val="auto"/>
        </w:rPr>
      </w:pPr>
    </w:p>
    <w:p>
      <w:pPr>
        <w:jc w:val="both"/>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The Company expects to receive approximately $20.1 million over 10 years to provide broadband and voice coverage to over 10,000 households in the United States (not including Alaska) under the 2020 Rural Digital Opportunity Fund Phase I Auction (“RDOF”).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 recorded the amounts below as communication services revenue for the reported periods: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Nine months ended</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September 30, 2022</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September 30, 2022</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w w:val="97"/>
              </w:rPr>
              <w:t>US Telecom</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200" w:type="dxa"/>
            <w:vAlign w:val="bottom"/>
          </w:tcPr>
          <w:p>
            <w:pPr>
              <w:spacing w:after="0"/>
              <w:rPr>
                <w:sz w:val="24"/>
                <w:szCs w:val="24"/>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US Telecom</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160" w:type="dxa"/>
            <w:vAlign w:val="bottom"/>
          </w:tcPr>
          <w:p>
            <w:pPr>
              <w:spacing w:after="0"/>
              <w:rPr>
                <w:sz w:val="24"/>
                <w:szCs w:val="24"/>
                <w:color w:val="auto"/>
              </w:rPr>
            </w:pPr>
          </w:p>
        </w:tc>
        <w:tc>
          <w:tcPr>
            <w:tcW w:w="580" w:type="dxa"/>
            <w:vAlign w:val="bottom"/>
            <w:vMerge w:val="restart"/>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1"/>
        </w:trPr>
        <w:tc>
          <w:tcPr>
            <w:tcW w:w="3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w w:val="96"/>
              </w:rPr>
              <w:t>Telecom</w:t>
            </w: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restart"/>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w w:val="96"/>
              </w:rPr>
              <w:t>Telecom</w:t>
            </w: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3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High cost support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9,501</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CAF II</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20,466</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RDOF</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0" w:type="dxa"/>
            <w:vAlign w:val="bottom"/>
          </w:tcPr>
          <w:p>
            <w:pPr>
              <w:spacing w:after="0"/>
              <w:rPr>
                <w:sz w:val="1"/>
                <w:szCs w:val="1"/>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Other Programs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20,023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20,060</w:t>
            </w:r>
          </w:p>
        </w:tc>
        <w:tc>
          <w:tcPr>
            <w:tcW w:w="0" w:type="dxa"/>
            <w:vAlign w:val="bottom"/>
          </w:tcPr>
          <w:p>
            <w:pPr>
              <w:spacing w:after="0"/>
              <w:rPr>
                <w:sz w:val="1"/>
                <w:szCs w:val="1"/>
                <w:color w:val="auto"/>
              </w:rPr>
            </w:pPr>
          </w:p>
        </w:tc>
      </w:tr>
      <w:tr>
        <w:trPr>
          <w:trHeight w:val="170"/>
        </w:trPr>
        <w:tc>
          <w:tcPr>
            <w:tcW w:w="340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17,086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943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18,029</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44,959</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6,502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51,461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Nine months ended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September 30, 2021</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September 30, 2021</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2"/>
                <w:szCs w:val="12"/>
                <w:b w:val="1"/>
                <w:bCs w:val="1"/>
                <w:color w:val="auto"/>
                <w:w w:val="97"/>
              </w:rPr>
              <w:t>US Telecom</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200" w:type="dxa"/>
            <w:vAlign w:val="bottom"/>
          </w:tcPr>
          <w:p>
            <w:pPr>
              <w:spacing w:after="0"/>
              <w:rPr>
                <w:sz w:val="24"/>
                <w:szCs w:val="24"/>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US Telecom</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160" w:type="dxa"/>
            <w:vAlign w:val="bottom"/>
          </w:tcPr>
          <w:p>
            <w:pPr>
              <w:spacing w:after="0"/>
              <w:rPr>
                <w:sz w:val="24"/>
                <w:szCs w:val="24"/>
                <w:color w:val="auto"/>
              </w:rPr>
            </w:pPr>
          </w:p>
        </w:tc>
        <w:tc>
          <w:tcPr>
            <w:tcW w:w="580" w:type="dxa"/>
            <w:vAlign w:val="bottom"/>
            <w:vMerge w:val="restart"/>
          </w:tcPr>
          <w:p>
            <w:pPr>
              <w:jc w:val="right"/>
              <w:ind w:right="16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1"/>
        </w:trPr>
        <w:tc>
          <w:tcPr>
            <w:tcW w:w="3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High cost support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12,608</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CAF II</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9,508</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Programs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8,368</w:t>
            </w:r>
          </w:p>
        </w:tc>
        <w:tc>
          <w:tcPr>
            <w:tcW w:w="0" w:type="dxa"/>
            <w:vAlign w:val="bottom"/>
          </w:tcPr>
          <w:p>
            <w:pPr>
              <w:spacing w:after="0"/>
              <w:rPr>
                <w:sz w:val="1"/>
                <w:szCs w:val="1"/>
                <w:color w:val="auto"/>
              </w:rPr>
            </w:pPr>
          </w:p>
        </w:tc>
      </w:tr>
      <w:tr>
        <w:trPr>
          <w:trHeight w:val="170"/>
        </w:trPr>
        <w:tc>
          <w:tcPr>
            <w:tcW w:w="34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Total</w:t>
            </w:r>
          </w:p>
        </w:tc>
        <w:tc>
          <w:tcPr>
            <w:tcW w:w="1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10,999</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2,761</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13,760</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19,338</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11,146</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30,484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179" w:firstLine="538"/>
        <w:spacing w:after="0" w:line="256" w:lineRule="auto"/>
        <w:rPr>
          <w:sz w:val="20"/>
          <w:szCs w:val="20"/>
          <w:color w:val="auto"/>
        </w:rPr>
      </w:pPr>
      <w:r>
        <w:rPr>
          <w:rFonts w:ascii="Times New Roman" w:cs="Times New Roman" w:eastAsia="Times New Roman" w:hAnsi="Times New Roman"/>
          <w:sz w:val="15"/>
          <w:szCs w:val="15"/>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to $5.5 million for the annual period through June 2023. Thereafter, Viya is not expected to receive support under the High Cost Program.</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Construction Grants</w:t>
      </w:r>
    </w:p>
    <w:p>
      <w:pPr>
        <w:spacing w:after="0" w:line="190" w:lineRule="exact"/>
        <w:rPr>
          <w:sz w:val="20"/>
          <w:szCs w:val="20"/>
          <w:color w:val="auto"/>
        </w:rPr>
      </w:pPr>
    </w:p>
    <w:p>
      <w:pPr>
        <w:jc w:val="both"/>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The Company has also been awarded construction grants to build network connectivity for eligible communities. The funding of these grants, used to reimburse the Company for its construction costs, is distributed upon completion of a project. Completion deadlines begin in June 2023 and once these projects are constructed, the Company is obligated to provide service to the participants. The Company expects to meet all requirements associated with these grants. A rollforward of the Company’s grant awards is below (in thousands).</w:t>
      </w:r>
    </w:p>
    <w:p>
      <w:pPr>
        <w:spacing w:after="0" w:line="237" w:lineRule="exact"/>
        <w:rPr>
          <w:sz w:val="20"/>
          <w:szCs w:val="20"/>
          <w:color w:val="auto"/>
        </w:rPr>
      </w:pPr>
    </w:p>
    <w:tbl>
      <w:tblPr>
        <w:tblLayout w:type="fixed"/>
        <w:tblInd w:w="22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70"/>
        </w:trPr>
        <w:tc>
          <w:tcPr>
            <w:tcW w:w="20" w:type="dxa"/>
            <w:vAlign w:val="bottom"/>
          </w:tcPr>
          <w:p>
            <w:pPr>
              <w:spacing w:after="0"/>
              <w:rPr>
                <w:sz w:val="14"/>
                <w:szCs w:val="14"/>
                <w:color w:val="auto"/>
              </w:rPr>
            </w:pPr>
          </w:p>
        </w:tc>
        <w:tc>
          <w:tcPr>
            <w:tcW w:w="35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Grants awarded, December 31, 2021</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11,067</w:t>
            </w:r>
          </w:p>
        </w:tc>
      </w:tr>
      <w:tr>
        <w:trPr>
          <w:trHeight w:val="201"/>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New grants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23,269</w:t>
            </w: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Cancelled grants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(4,254)</w:t>
            </w:r>
          </w:p>
        </w:tc>
      </w:tr>
      <w:tr>
        <w:trPr>
          <w:trHeight w:val="170"/>
        </w:trPr>
        <w:tc>
          <w:tcPr>
            <w:tcW w:w="20" w:type="dxa"/>
            <w:vAlign w:val="bottom"/>
          </w:tcPr>
          <w:p>
            <w:pPr>
              <w:spacing w:after="0"/>
              <w:rPr>
                <w:sz w:val="14"/>
                <w:szCs w:val="14"/>
                <w:color w:val="auto"/>
              </w:rPr>
            </w:pPr>
          </w:p>
        </w:tc>
        <w:tc>
          <w:tcPr>
            <w:tcW w:w="35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Grants awarded, September 30, 2022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30,082</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40" w:right="39" w:firstLine="538"/>
        <w:spacing w:after="0" w:line="263" w:lineRule="auto"/>
        <w:rPr>
          <w:sz w:val="20"/>
          <w:szCs w:val="20"/>
          <w:color w:val="auto"/>
        </w:rPr>
      </w:pPr>
      <w:r>
        <w:rPr>
          <w:rFonts w:ascii="Times New Roman" w:cs="Times New Roman" w:eastAsia="Times New Roman" w:hAnsi="Times New Roman"/>
          <w:sz w:val="15"/>
          <w:szCs w:val="15"/>
          <w:color w:val="auto"/>
        </w:rPr>
        <w:t>In addition, the Company partners with tribal governments to obtain grants under the Tribal Broadband Connectivity Program ("TBCP"). The TBCP is a program administered by the National Telecommunications and Information Administration to deploy broadband connectivity on tribal lands. The Company was identified as a sub</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9"/>
        <w:spacing w:after="0" w:line="277" w:lineRule="auto"/>
        <w:rPr>
          <w:sz w:val="20"/>
          <w:szCs w:val="20"/>
          <w:color w:val="auto"/>
        </w:rPr>
      </w:pPr>
      <w:r>
        <w:rPr>
          <w:rFonts w:ascii="Times New Roman" w:cs="Times New Roman" w:eastAsia="Times New Roman" w:hAnsi="Times New Roman"/>
          <w:sz w:val="15"/>
          <w:szCs w:val="15"/>
          <w:color w:val="auto"/>
        </w:rPr>
        <w:t>recipient of TBCP grants totaling $77.5 million as of September 30, 2022. Additionally, in October 2022, the Company was identified as a sub-recipient for an additional TBCP grant of $52.3 million.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Replace and Remove Program</w:t>
      </w:r>
    </w:p>
    <w:p>
      <w:pPr>
        <w:spacing w:after="0" w:line="190" w:lineRule="exact"/>
        <w:rPr>
          <w:sz w:val="20"/>
          <w:szCs w:val="20"/>
          <w:color w:val="auto"/>
        </w:rPr>
      </w:pPr>
    </w:p>
    <w:p>
      <w:pPr>
        <w:ind w:left="40" w:right="99" w:firstLine="538"/>
        <w:spacing w:after="0" w:line="252" w:lineRule="auto"/>
        <w:rPr>
          <w:sz w:val="20"/>
          <w:szCs w:val="20"/>
          <w:color w:val="auto"/>
        </w:rPr>
      </w:pPr>
      <w:r>
        <w:rPr>
          <w:rFonts w:ascii="Times New Roman" w:cs="Times New Roman" w:eastAsia="Times New Roman" w:hAnsi="Times New Roman"/>
          <w:sz w:val="15"/>
          <w:szCs w:val="15"/>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its first request for reimbursement for services performed under the program no later than July 14, 2023 and that it complete the project no later than one year from submitting its initial reimbursement request. The Company is currently assessing the program and anticipates that it will be able to meet the deadlines and requirements of the program. At September 30, 2022, the Company established a receivable for $2.1 million of costs for which it expects to be reimbursed under the program.</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CARES Act</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December 31, 2020, the Company had received $16.3 million of funding under the Coronavirus Aid, Relief, and Economic Security</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Act (“CARES Act”) to construct network infrastructure within the Company’s US Telecom segment. During the year ended December 31, 2021, the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Company received an additional $2.4 million of funding for the same purpose. The construction was completed as of December 31, 2021 and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$18.4 million of the funding was recorded as a reduction to property, plant and equipment with a subsequent reduction to depreciation expense. The</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remaining $0.3 million was recorded as a reduction to operating expense in the year ended December 31, 2021.</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CBRS Auction</w:t>
      </w:r>
    </w:p>
    <w:p>
      <w:pPr>
        <w:spacing w:after="0" w:line="190" w:lineRule="exact"/>
        <w:rPr>
          <w:sz w:val="20"/>
          <w:szCs w:val="20"/>
          <w:color w:val="auto"/>
        </w:rPr>
      </w:pPr>
    </w:p>
    <w:p>
      <w:pPr>
        <w:ind w:left="40" w:right="159" w:firstLine="538"/>
        <w:spacing w:after="0" w:line="254" w:lineRule="auto"/>
        <w:rPr>
          <w:sz w:val="20"/>
          <w:szCs w:val="20"/>
          <w:color w:val="auto"/>
        </w:rPr>
      </w:pPr>
      <w:r>
        <w:rPr>
          <w:rFonts w:ascii="Times New Roman" w:cs="Times New Roman" w:eastAsia="Times New Roman" w:hAnsi="Times New Roman"/>
          <w:sz w:val="15"/>
          <w:szCs w:val="15"/>
          <w:color w:val="auto"/>
        </w:rPr>
        <w:t>During the third quarter of 2020, the Company participated in the FCC’s Citizens Broadband Radio Service (CBRS) auction for Priority Access Licenses (PALs) in the 3.5 GHz spectrum band. These PALs are licensed on a county-by-county basis and are awarded for a 10-year renewable term. The Company was a winning bidder for PALs located strategically throughout the United States at a total cost of approximately $20.4 million. In the third quarter of 2022, the Company surrendered a portion of the PALs that it won in the auction in exchange for repayment of the approximately $1.1 million paid for such licenses, and entered into a Consent Decree with the FCC with respect to such surrender and receipt of the remaining licenses. In connection with the awarded licenses, the Company will have to achieve certain CBRS spectrum build out obligations. The Company currently expects to comply with all applicable requirements related to these licenses.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10. RETIREMENT PLANS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Multi-employer Defined Benefit Plan</w:t>
      </w:r>
    </w:p>
    <w:p>
      <w:pPr>
        <w:spacing w:after="0" w:line="188" w:lineRule="exact"/>
        <w:rPr>
          <w:sz w:val="20"/>
          <w:szCs w:val="20"/>
          <w:color w:val="auto"/>
        </w:rPr>
      </w:pPr>
    </w:p>
    <w:p>
      <w:pPr>
        <w:ind w:left="40" w:right="239" w:firstLine="538"/>
        <w:spacing w:after="0" w:line="258" w:lineRule="auto"/>
        <w:rPr>
          <w:sz w:val="20"/>
          <w:szCs w:val="20"/>
          <w:color w:val="auto"/>
        </w:rPr>
      </w:pPr>
      <w:r>
        <w:rPr>
          <w:rFonts w:ascii="Times New Roman" w:cs="Times New Roman" w:eastAsia="Times New Roman" w:hAnsi="Times New Roman"/>
          <w:sz w:val="15"/>
          <w:szCs w:val="15"/>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 are not determined for, or allocated separately to, the individual employer. This plan was not in endangered or critical status during the plan year.</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Defined Benefit Plan</w:t>
      </w:r>
    </w:p>
    <w:p>
      <w:pPr>
        <w:spacing w:after="0" w:line="188" w:lineRule="exact"/>
        <w:rPr>
          <w:sz w:val="20"/>
          <w:szCs w:val="20"/>
          <w:color w:val="auto"/>
        </w:rPr>
      </w:pPr>
    </w:p>
    <w:p>
      <w:pPr>
        <w:ind w:left="40" w:right="259" w:firstLine="538"/>
        <w:spacing w:after="0" w:line="256" w:lineRule="auto"/>
        <w:rPr>
          <w:sz w:val="20"/>
          <w:szCs w:val="20"/>
          <w:color w:val="auto"/>
        </w:rPr>
      </w:pPr>
      <w:r>
        <w:rPr>
          <w:rFonts w:ascii="Times New Roman" w:cs="Times New Roman" w:eastAsia="Times New Roman" w:hAnsi="Times New Roman"/>
          <w:sz w:val="15"/>
          <w:szCs w:val="15"/>
          <w:color w:val="auto"/>
        </w:rPr>
        <w:t>The Company has noncontributory defined benefit pension and noncontributory defined medical, dental, vision, and life benefit plans for eligible employees in its International Telecom segment who meet certain eligibility criteria. As part of the Alaska Transaction, the Company acquired a defined benefit pension plan and a post-retirement medical plan covering certain employees. The pension plan had a projected benefit obligation of $15.4 million and plan assets of $12.1 million on July 22, 2021. The post-retirement medical plan is unfunded and had a projected benefit obligation of $0.4 million on July 22, 2021.</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 recorded the net periodic benefit cost identified below (in thousands):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2"/>
                <w:szCs w:val="12"/>
                <w:b w:val="1"/>
                <w:bCs w:val="1"/>
                <w:color w:val="auto"/>
              </w:rPr>
              <w:t>September 30, 2022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2"/>
                <w:szCs w:val="12"/>
                <w:b w:val="1"/>
                <w:bCs w:val="1"/>
                <w:color w:val="auto"/>
              </w:rPr>
              <w:t>September 30, 2021</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2"/>
                <w:szCs w:val="12"/>
                <w:b w:val="1"/>
                <w:bCs w:val="1"/>
                <w:color w:val="auto"/>
              </w:rPr>
              <w:t>September 30, 2022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2"/>
                <w:szCs w:val="12"/>
                <w:b w:val="1"/>
                <w:bCs w:val="1"/>
                <w:color w:val="auto"/>
              </w:rPr>
              <w:t>September 30, 2021</w:t>
            </w:r>
          </w:p>
        </w:tc>
        <w:tc>
          <w:tcPr>
            <w:tcW w:w="0" w:type="dxa"/>
            <w:vAlign w:val="bottom"/>
          </w:tcPr>
          <w:p>
            <w:pPr>
              <w:spacing w:after="0"/>
              <w:rPr>
                <w:sz w:val="1"/>
                <w:szCs w:val="1"/>
                <w:color w:val="auto"/>
              </w:rPr>
            </w:pPr>
          </w:p>
        </w:tc>
      </w:tr>
      <w:tr>
        <w:trPr>
          <w:trHeight w:val="93"/>
        </w:trPr>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jc w:val="right"/>
              <w:spacing w:after="0" w:line="93" w:lineRule="exact"/>
              <w:rPr>
                <w:sz w:val="20"/>
                <w:szCs w:val="20"/>
                <w:color w:val="auto"/>
              </w:rPr>
            </w:pPr>
            <w:r>
              <w:rPr>
                <w:rFonts w:ascii="Times New Roman" w:cs="Times New Roman" w:eastAsia="Times New Roman" w:hAnsi="Times New Roman"/>
                <w:sz w:val="10"/>
                <w:szCs w:val="10"/>
                <w:b w:val="1"/>
                <w:bCs w:val="1"/>
                <w:color w:val="auto"/>
              </w:rPr>
              <w:t>Pension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12"/>
              <w:spacing w:after="0" w:line="93"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160" w:type="dxa"/>
            <w:vAlign w:val="bottom"/>
          </w:tcPr>
          <w:p>
            <w:pPr>
              <w:spacing w:after="0"/>
              <w:rPr>
                <w:sz w:val="8"/>
                <w:szCs w:val="8"/>
                <w:color w:val="auto"/>
              </w:rPr>
            </w:pPr>
          </w:p>
        </w:tc>
        <w:tc>
          <w:tcPr>
            <w:tcW w:w="520" w:type="dxa"/>
            <w:vAlign w:val="bottom"/>
            <w:gridSpan w:val="2"/>
          </w:tcPr>
          <w:p>
            <w:pPr>
              <w:jc w:val="right"/>
              <w:ind w:right="8"/>
              <w:spacing w:after="0" w:line="93" w:lineRule="exact"/>
              <w:rPr>
                <w:sz w:val="20"/>
                <w:szCs w:val="20"/>
                <w:color w:val="auto"/>
              </w:rPr>
            </w:pPr>
            <w:r>
              <w:rPr>
                <w:rFonts w:ascii="Times New Roman" w:cs="Times New Roman" w:eastAsia="Times New Roman" w:hAnsi="Times New Roman"/>
                <w:sz w:val="10"/>
                <w:szCs w:val="10"/>
                <w:b w:val="1"/>
                <w:bCs w:val="1"/>
                <w:color w:val="auto"/>
              </w:rPr>
              <w:t>Pension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11"/>
              <w:spacing w:after="0" w:line="93"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140" w:type="dxa"/>
            <w:vAlign w:val="bottom"/>
          </w:tcPr>
          <w:p>
            <w:pPr>
              <w:spacing w:after="0"/>
              <w:rPr>
                <w:sz w:val="8"/>
                <w:szCs w:val="8"/>
                <w:color w:val="auto"/>
              </w:rPr>
            </w:pPr>
          </w:p>
        </w:tc>
        <w:tc>
          <w:tcPr>
            <w:tcW w:w="580" w:type="dxa"/>
            <w:vAlign w:val="bottom"/>
          </w:tcPr>
          <w:p>
            <w:pPr>
              <w:jc w:val="right"/>
              <w:ind w:right="92"/>
              <w:spacing w:after="0" w:line="93" w:lineRule="exact"/>
              <w:rPr>
                <w:sz w:val="20"/>
                <w:szCs w:val="20"/>
                <w:color w:val="auto"/>
              </w:rPr>
            </w:pPr>
            <w:r>
              <w:rPr>
                <w:rFonts w:ascii="Times New Roman" w:cs="Times New Roman" w:eastAsia="Times New Roman" w:hAnsi="Times New Roman"/>
                <w:sz w:val="10"/>
                <w:szCs w:val="10"/>
                <w:b w:val="1"/>
                <w:bCs w:val="1"/>
                <w:color w:val="auto"/>
              </w:rPr>
              <w:t>Pension</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jc w:val="right"/>
              <w:ind w:right="32"/>
              <w:spacing w:after="0" w:line="93"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92"/>
              <w:spacing w:after="0" w:line="93" w:lineRule="exact"/>
              <w:rPr>
                <w:sz w:val="20"/>
                <w:szCs w:val="20"/>
                <w:color w:val="auto"/>
              </w:rPr>
            </w:pPr>
            <w:r>
              <w:rPr>
                <w:rFonts w:ascii="Times New Roman" w:cs="Times New Roman" w:eastAsia="Times New Roman" w:hAnsi="Times New Roman"/>
                <w:sz w:val="10"/>
                <w:szCs w:val="10"/>
                <w:b w:val="1"/>
                <w:bCs w:val="1"/>
                <w:color w:val="auto"/>
              </w:rPr>
              <w:t>Pension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right"/>
              <w:ind w:right="51"/>
              <w:spacing w:after="0" w:line="93" w:lineRule="exact"/>
              <w:rPr>
                <w:sz w:val="20"/>
                <w:szCs w:val="20"/>
                <w:color w:val="auto"/>
              </w:rPr>
            </w:pPr>
            <w:r>
              <w:rPr>
                <w:rFonts w:ascii="Times New Roman" w:cs="Times New Roman" w:eastAsia="Times New Roman" w:hAnsi="Times New Roman"/>
                <w:sz w:val="10"/>
                <w:szCs w:val="10"/>
                <w:b w:val="1"/>
                <w:bCs w:val="1"/>
                <w:color w:val="auto"/>
              </w:rPr>
              <w:t>Postretirement</w:t>
            </w:r>
          </w:p>
        </w:tc>
        <w:tc>
          <w:tcPr>
            <w:tcW w:w="0" w:type="dxa"/>
            <w:vAlign w:val="bottom"/>
          </w:tcPr>
          <w:p>
            <w:pPr>
              <w:spacing w:after="0"/>
              <w:rPr>
                <w:sz w:val="1"/>
                <w:szCs w:val="1"/>
                <w:color w:val="auto"/>
              </w:rPr>
            </w:pPr>
          </w:p>
        </w:tc>
      </w:tr>
      <w:tr>
        <w:trPr>
          <w:trHeight w:val="145"/>
        </w:trPr>
        <w:tc>
          <w:tcPr>
            <w:tcW w:w="18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w w:val="99"/>
              </w:rPr>
              <w:t>benefits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Service cost</w:t>
            </w:r>
          </w:p>
        </w:tc>
        <w:tc>
          <w:tcPr>
            <w:tcW w:w="18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Non-operating expense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8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cost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5"/>
                <w:szCs w:val="15"/>
                <w:color w:val="auto"/>
              </w:rPr>
              <w:t>Expected return on plan</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assets</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(2,775)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Settlements</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18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auto"/>
              </w:rPr>
              <w:t>Net periodic pension expense</w:t>
            </w:r>
          </w:p>
        </w:tc>
        <w:tc>
          <w:tcPr>
            <w:tcW w:w="18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280" w:type="dxa"/>
            <w:vAlign w:val="bottom"/>
            <w:gridSpan w:val="2"/>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0" w:type="dxa"/>
            <w:vAlign w:val="bottom"/>
          </w:tcPr>
          <w:p>
            <w:pPr>
              <w:spacing w:after="0"/>
              <w:rPr>
                <w:sz w:val="1"/>
                <w:szCs w:val="1"/>
                <w:color w:val="auto"/>
              </w:rPr>
            </w:pPr>
          </w:p>
        </w:tc>
      </w:tr>
      <w:tr>
        <w:trPr>
          <w:trHeight w:val="18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(benefit)</w:t>
            </w:r>
          </w:p>
        </w:tc>
        <w:tc>
          <w:tcPr>
            <w:tcW w:w="18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40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The Company was not required to make contributions to its pension plans during the nine months ended September 30, 2022 and 2021. However, the Company periodically evaluates whether to make discretionary contributions. The Company funds its postretirement benefit plans as claims are made and did not make contributions to its pension plans during the nine months ended September 30, 2022 and 2021.</w:t>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11. INCOME TAXES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Company’s effective tax rate for the three months ended September 30, 2022 and 2021 was 16.9% and 6.0%, respectively.</w:t>
      </w:r>
    </w:p>
    <w:p>
      <w:pPr>
        <w:spacing w:after="0" w:line="186" w:lineRule="exact"/>
        <w:rPr>
          <w:sz w:val="20"/>
          <w:szCs w:val="20"/>
          <w:color w:val="auto"/>
        </w:rPr>
      </w:pPr>
    </w:p>
    <w:p>
      <w:pPr>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The Company recorded an income tax benefit of $0.4 million in relation to a pretax loss of $2.1 million for the three months ended September 30, 2022. The effective tax rate for the three months ended September 30, 2022 was primarily impacted by the following items (i) the mix of income generated among the jurisdictions in which the Company operates and (ii) discrete items including $0.9 million of expense for interest on unrecognized tax positions.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firstLine="538"/>
        <w:spacing w:after="0" w:line="263" w:lineRule="auto"/>
        <w:rPr>
          <w:sz w:val="20"/>
          <w:szCs w:val="20"/>
          <w:color w:val="auto"/>
        </w:rPr>
      </w:pPr>
      <w:r>
        <w:rPr>
          <w:rFonts w:ascii="Times New Roman" w:cs="Times New Roman" w:eastAsia="Times New Roman" w:hAnsi="Times New Roman"/>
          <w:sz w:val="15"/>
          <w:szCs w:val="15"/>
          <w:color w:val="auto"/>
        </w:rPr>
        <w:t>The effective tax rate for the three months ended September 30, 2021 was primarily impacted by the following items: (i) the mix of income generated among the jurisdictions in which the Company operates, (ii) certain transactional charges incurred in connection with the Company’s recent acquisition that had no tax benefit, and (iii) a discrete expense of $0.5 million for interest on unrecognized tax positions.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Company’s effective tax rate for the nine months ended September 30, 2022 and 2021 was 21.5% and (98.8%), respectively.</w:t>
      </w:r>
    </w:p>
    <w:p>
      <w:pPr>
        <w:spacing w:after="0" w:line="186" w:lineRule="exact"/>
        <w:rPr>
          <w:sz w:val="20"/>
          <w:szCs w:val="20"/>
          <w:color w:val="auto"/>
        </w:rPr>
      </w:pPr>
    </w:p>
    <w:p>
      <w:pPr>
        <w:ind w:left="40" w:right="79" w:firstLine="538"/>
        <w:spacing w:after="0" w:line="254" w:lineRule="auto"/>
        <w:rPr>
          <w:sz w:val="20"/>
          <w:szCs w:val="20"/>
          <w:color w:val="auto"/>
        </w:rPr>
      </w:pPr>
      <w:r>
        <w:rPr>
          <w:rFonts w:ascii="Times New Roman" w:cs="Times New Roman" w:eastAsia="Times New Roman" w:hAnsi="Times New Roman"/>
          <w:sz w:val="15"/>
          <w:szCs w:val="15"/>
          <w:color w:val="auto"/>
        </w:rPr>
        <w:t>The Company recorded an income tax benefit of $1.4 million in relation to a pretax loss of $6.4 million for the nine months ended September 30, 2022. The effective tax rate for the nine months ended September 30, 2022 was primarily impacted by the following items (i) the mix of income generated among the jurisdictions in which the Company operates, (ii) a $2.1 million net expense recognized discretely to record a valuation allowance on certain deferred tax assets that are not expected to be realizable based on the weight of positive and negative evidence and</w:t>
      </w:r>
    </w:p>
    <w:p>
      <w:pPr>
        <w:spacing w:after="0" w:line="1" w:lineRule="exact"/>
        <w:rPr>
          <w:sz w:val="20"/>
          <w:szCs w:val="20"/>
          <w:color w:val="auto"/>
        </w:rPr>
      </w:pPr>
    </w:p>
    <w:p>
      <w:pPr>
        <w:ind w:left="40" w:right="179" w:hanging="4"/>
        <w:spacing w:after="0" w:line="258" w:lineRule="auto"/>
        <w:tabs>
          <w:tab w:leader="none" w:pos="30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discrete items including a $3.3 million benefit from the reversal of an unrecognized tax position due to a statute of limitations expiration, and a $1.7 million expense for interest on unrecognized tax positions.</w:t>
      </w:r>
    </w:p>
    <w:p>
      <w:pPr>
        <w:spacing w:after="0" w:line="153" w:lineRule="exact"/>
        <w:rPr>
          <w:sz w:val="20"/>
          <w:szCs w:val="20"/>
          <w:color w:val="auto"/>
        </w:rPr>
      </w:pPr>
    </w:p>
    <w:p>
      <w:pPr>
        <w:ind w:left="40" w:right="79" w:firstLine="538"/>
        <w:spacing w:after="0" w:line="258" w:lineRule="auto"/>
        <w:rPr>
          <w:sz w:val="20"/>
          <w:szCs w:val="20"/>
          <w:color w:val="auto"/>
        </w:rPr>
      </w:pPr>
      <w:r>
        <w:rPr>
          <w:rFonts w:ascii="Times New Roman" w:cs="Times New Roman" w:eastAsia="Times New Roman" w:hAnsi="Times New Roman"/>
          <w:sz w:val="15"/>
          <w:szCs w:val="15"/>
          <w:color w:val="auto"/>
        </w:rPr>
        <w:t>The effective tax rate for the nine months ended September 30, 2021 was primarily impacted by the following items: (i) the mix of income generated among the jurisdictions in which the Company operates, (ii) certain transactional charges incurred in connection with its recent acquisition that had no tax benefit, and (iii) discrete items including a $3.4 million benefit from the reversal of an unrecognized tax position due to statute expiration and a $1.5 million expense for interest on unrecognized tax positions.</w:t>
      </w:r>
    </w:p>
    <w:p>
      <w:pPr>
        <w:spacing w:after="0" w:line="154" w:lineRule="exact"/>
        <w:rPr>
          <w:sz w:val="20"/>
          <w:szCs w:val="20"/>
          <w:color w:val="auto"/>
        </w:rPr>
      </w:pPr>
    </w:p>
    <w:p>
      <w:pPr>
        <w:ind w:left="40" w:right="79" w:firstLine="538"/>
        <w:spacing w:after="0" w:line="253" w:lineRule="auto"/>
        <w:rPr>
          <w:sz w:val="20"/>
          <w:szCs w:val="20"/>
          <w:color w:val="auto"/>
        </w:rPr>
      </w:pPr>
      <w:r>
        <w:rPr>
          <w:rFonts w:ascii="Times New Roman" w:cs="Times New Roman" w:eastAsia="Times New Roman" w:hAnsi="Times New Roman"/>
          <w:sz w:val="15"/>
          <w:szCs w:val="15"/>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12. EARNINGS PER SHARE AND REDEEMABLE NONCONTROLLING INTERESTS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Earnings Per Share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reconciles the numerator and denominator in the computations of basic and diluted earnings per share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00" w:type="dxa"/>
            <w:vAlign w:val="bottom"/>
          </w:tcPr>
          <w:p>
            <w:pPr>
              <w:spacing w:after="0" w:line="165" w:lineRule="exact"/>
              <w:rPr>
                <w:sz w:val="20"/>
                <w:szCs w:val="20"/>
                <w:color w:val="auto"/>
              </w:rPr>
            </w:pPr>
            <w:r>
              <w:rPr>
                <w:rFonts w:ascii="Times New Roman" w:cs="Times New Roman" w:eastAsia="Times New Roman" w:hAnsi="Times New Roman"/>
                <w:sz w:val="15"/>
                <w:szCs w:val="15"/>
                <w:color w:val="auto"/>
              </w:rPr>
              <w:t>Net income (loss) attributable to ATN International,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(4,255)</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Preferred dividends</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Net income (loss) attributable to ATN International, Inc. common</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(3,975)</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(3,465)</w:t>
            </w: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(7,717)</w:t>
            </w: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1,257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w:t>
            </w:r>
          </w:p>
        </w:tc>
        <w:tc>
          <w:tcPr>
            <w:tcW w:w="2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40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shares outstanding- Basic</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15,746</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15,891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5"/>
                <w:szCs w:val="15"/>
                <w:color w:val="auto"/>
              </w:rPr>
              <w:t>Effective of dilutive securities: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options, restricted stock units and performance stock units</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Weighted-average shares outstanding- Diluted</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15,763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15,860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15,746</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15,901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right="119" w:firstLine="538"/>
        <w:spacing w:after="0" w:line="277" w:lineRule="auto"/>
        <w:rPr>
          <w:sz w:val="20"/>
          <w:szCs w:val="20"/>
          <w:color w:val="auto"/>
        </w:rPr>
      </w:pPr>
      <w:r>
        <w:rPr>
          <w:rFonts w:ascii="Times New Roman" w:cs="Times New Roman" w:eastAsia="Times New Roman" w:hAnsi="Times New Roman"/>
          <w:sz w:val="15"/>
          <w:szCs w:val="15"/>
          <w:color w:val="auto"/>
        </w:rPr>
        <w:t>For each of the three and nine months ended September 30, 2021, the calculations of basic and diluted weighted average shares of common stock outstanding do not include 5,000 shares relating to stock options as the effects of those options were anti-dilutive.</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Redeemable Noncontrolling Interests</w:t>
      </w:r>
    </w:p>
    <w:p>
      <w:pPr>
        <w:spacing w:after="0" w:line="190" w:lineRule="exact"/>
        <w:rPr>
          <w:sz w:val="20"/>
          <w:szCs w:val="20"/>
          <w:color w:val="auto"/>
        </w:rPr>
      </w:pPr>
    </w:p>
    <w:p>
      <w:pPr>
        <w:ind w:left="40" w:right="59" w:firstLine="538"/>
        <w:spacing w:after="0" w:line="252" w:lineRule="auto"/>
        <w:rPr>
          <w:sz w:val="20"/>
          <w:szCs w:val="20"/>
          <w:color w:val="auto"/>
        </w:rPr>
      </w:pPr>
      <w:r>
        <w:rPr>
          <w:rFonts w:ascii="Times New Roman" w:cs="Times New Roman" w:eastAsia="Times New Roman" w:hAnsi="Times New Roman"/>
          <w:sz w:val="15"/>
          <w:szCs w:val="15"/>
          <w:color w:val="auto"/>
        </w:rPr>
        <w:t>In connection with the Alaska Transaction, the Company has accounted for the Freedom 3 Investment as redeemable noncontrolling interests in its consolidated financial statements. The redeemable noncontrolling interests consist of $22.6 million of redeemable common units and $48.3 million of redeemable preferred units. The common units contain a put option allowing the holder to sell the common units to a subsidiary of the Company at the then fair market value. The put option is solely the obligation of Alaska Communications and is nonrecourse to the Company. The put option begins at the earlier of a future initial public offering of the Alaska Communications operations or July 2028. The fair value of the common units remained at $22.6 million at September 30, 2022, unchanged from the value at July 22, 2021. The redeemable preferred equity carries a 9% preferred dividend which compounds quarterly. The preferred units contain a put option allowing the holder to sell the preferred units to a subsidiary of the Company at the unpaid issue price plus unpaid dividends. The put option is solely the obligation of Alaska Communications and is nonrecourse to the Company. The put option begins at the earlier of a future initial public offering of the Alaska Communications operations or July 2028. The unpaid preferred dividend was $5.5 million at September 30, 2022.</w:t>
      </w:r>
    </w:p>
    <w:p>
      <w:pPr>
        <w:spacing w:after="0" w:line="160" w:lineRule="exact"/>
        <w:rPr>
          <w:sz w:val="20"/>
          <w:szCs w:val="20"/>
          <w:color w:val="auto"/>
        </w:rPr>
      </w:pPr>
    </w:p>
    <w:p>
      <w:pPr>
        <w:ind w:left="40" w:right="259" w:firstLine="538"/>
        <w:spacing w:after="0" w:line="263" w:lineRule="auto"/>
        <w:rPr>
          <w:sz w:val="20"/>
          <w:szCs w:val="20"/>
          <w:color w:val="auto"/>
        </w:rPr>
      </w:pPr>
      <w:r>
        <w:rPr>
          <w:rFonts w:ascii="Times New Roman" w:cs="Times New Roman" w:eastAsia="Times New Roman" w:hAnsi="Times New Roman"/>
          <w:sz w:val="15"/>
          <w:szCs w:val="15"/>
          <w:color w:val="auto"/>
        </w:rPr>
        <w:t>For the three and nine months ended September 30, 2022, the Company allocated losses of $1.1 million and $2.8 million, respectively, to the redeemable common units representing their proportionate share of operating losses. Additionally, the fair value of the redeemable common units increased by $2.8 million during the nine months ended September 30,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right="79" w:firstLine="538"/>
        <w:spacing w:after="0" w:line="277" w:lineRule="auto"/>
        <w:rPr>
          <w:sz w:val="20"/>
          <w:szCs w:val="20"/>
          <w:color w:val="auto"/>
        </w:rPr>
      </w:pPr>
      <w:r>
        <w:rPr>
          <w:rFonts w:ascii="Times New Roman" w:cs="Times New Roman" w:eastAsia="Times New Roman" w:hAnsi="Times New Roman"/>
          <w:sz w:val="15"/>
          <w:szCs w:val="15"/>
          <w:color w:val="auto"/>
        </w:rPr>
        <w:t>The following table provides a roll forward of the activity related to the Company’s redeemable noncontrolling interests for the nine months ended September 30, 2022:</w:t>
      </w:r>
    </w:p>
    <w:p>
      <w:pPr>
        <w:spacing w:after="0" w:line="147" w:lineRule="exact"/>
        <w:rPr>
          <w:sz w:val="20"/>
          <w:szCs w:val="20"/>
          <w:color w:val="auto"/>
        </w:rPr>
      </w:pPr>
    </w:p>
    <w:tbl>
      <w:tblPr>
        <w:tblLayout w:type="fixed"/>
        <w:tblInd w:w="940" w:type="dxa"/>
        <w:tblCellMar>
          <w:top w:w="0" w:type="dxa"/>
          <w:left w:w="0" w:type="dxa"/>
          <w:bottom w:w="0" w:type="dxa"/>
          <w:right w:w="0" w:type="dxa"/>
        </w:tblCellMar>
      </w:tblPr>
      <w:tr>
        <w:trPr>
          <w:trHeight w:val="179"/>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Redeemable</w:t>
            </w:r>
          </w:p>
        </w:tc>
        <w:tc>
          <w:tcPr>
            <w:tcW w:w="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w w:val="96"/>
              </w:rPr>
              <w:t>Redeemable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Total Redeemable</w:t>
            </w:r>
          </w:p>
        </w:tc>
      </w:tr>
      <w:tr>
        <w:trPr>
          <w:trHeight w:val="179"/>
        </w:trPr>
        <w:tc>
          <w:tcPr>
            <w:tcW w:w="3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5"/>
                <w:szCs w:val="15"/>
                <w:color w:val="auto"/>
              </w:rPr>
            </w:pP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Noncontrolling</w:t>
            </w:r>
          </w:p>
        </w:tc>
      </w:tr>
      <w:tr>
        <w:trPr>
          <w:trHeight w:val="197"/>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Units</w:t>
            </w:r>
          </w:p>
        </w:tc>
        <w:tc>
          <w:tcPr>
            <w:tcW w:w="8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100" w:type="dxa"/>
            <w:vAlign w:val="bottom"/>
          </w:tcPr>
          <w:p>
            <w:pPr>
              <w:spacing w:after="0"/>
              <w:rPr>
                <w:sz w:val="17"/>
                <w:szCs w:val="17"/>
                <w:color w:val="auto"/>
              </w:rPr>
            </w:pPr>
          </w:p>
        </w:tc>
        <w:tc>
          <w:tcPr>
            <w:tcW w:w="1100" w:type="dxa"/>
            <w:vAlign w:val="bottom"/>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rPr>
              <w:t>Interests</w:t>
            </w:r>
          </w:p>
        </w:tc>
      </w:tr>
      <w:tr>
        <w:trPr>
          <w:trHeight w:val="171"/>
        </w:trPr>
        <w:tc>
          <w:tcPr>
            <w:tcW w:w="37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Balance, December 31,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50,296</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22,640</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72,936</w:t>
            </w:r>
          </w:p>
        </w:tc>
      </w:tr>
      <w:tr>
        <w:trPr>
          <w:trHeight w:val="179"/>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Accrued preferred dividend</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w:t>
            </w:r>
          </w:p>
        </w:tc>
      </w:tr>
      <w:tr>
        <w:trPr>
          <w:trHeight w:val="17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Allocated net loss</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(2,762)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w:t>
            </w:r>
          </w:p>
        </w:tc>
      </w:tr>
      <w:tr>
        <w:trPr>
          <w:trHeight w:val="179"/>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2,762</w:t>
            </w:r>
          </w:p>
        </w:tc>
      </w:tr>
      <w:tr>
        <w:trPr>
          <w:trHeight w:val="170"/>
        </w:trPr>
        <w:tc>
          <w:tcPr>
            <w:tcW w:w="3760" w:type="dxa"/>
            <w:vAlign w:val="bottom"/>
            <w:tcBorders>
              <w:top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Balance, September 30,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53,758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22,640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76,398</w:t>
            </w:r>
          </w:p>
        </w:tc>
      </w:tr>
      <w:tr>
        <w:trPr>
          <w:trHeight w:val="20"/>
        </w:trPr>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13. SEGMENT REPORTING</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Company has the following three reportable and operating segments: i) International Telecom, ii) US Telecom, and iii) Renewable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Energy.</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tables provide information for each operating segment (in thousands):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70"/>
        </w:trPr>
        <w:tc>
          <w:tcPr>
            <w:tcW w:w="30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4,004</w:t>
            </w:r>
          </w:p>
        </w:tc>
        <w:tc>
          <w:tcPr>
            <w:tcW w:w="20" w:type="dxa"/>
            <w:vAlign w:val="bottom"/>
          </w:tcPr>
          <w:p>
            <w:pPr>
              <w:spacing w:after="0"/>
              <w:rPr>
                <w:sz w:val="15"/>
                <w:szCs w:val="15"/>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22,776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24,834</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26,482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2,356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28,838</w:t>
            </w:r>
          </w:p>
        </w:tc>
        <w:tc>
          <w:tcPr>
            <w:tcW w:w="20" w:type="dxa"/>
            <w:vAlign w:val="bottom"/>
          </w:tcPr>
          <w:p>
            <w:pPr>
              <w:spacing w:after="0"/>
              <w:rPr>
                <w:sz w:val="14"/>
                <w:szCs w:val="14"/>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18,578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32,509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51,087</w:t>
            </w:r>
          </w:p>
        </w:tc>
        <w:tc>
          <w:tcPr>
            <w:tcW w:w="20" w:type="dxa"/>
            <w:vAlign w:val="bottom"/>
          </w:tcPr>
          <w:p>
            <w:pPr>
              <w:spacing w:after="0"/>
              <w:rPr>
                <w:sz w:val="14"/>
                <w:szCs w:val="14"/>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39,989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59,132</w:t>
            </w:r>
          </w:p>
        </w:tc>
        <w:tc>
          <w:tcPr>
            <w:tcW w:w="20" w:type="dxa"/>
            <w:vAlign w:val="bottom"/>
          </w:tcPr>
          <w:p>
            <w:pPr>
              <w:spacing w:after="0"/>
              <w:rPr>
                <w:sz w:val="15"/>
                <w:szCs w:val="15"/>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58,567</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51,652</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110,219</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3,220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31,360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34,580</w:t>
            </w: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88,609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85,368</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173,977</w:t>
            </w:r>
          </w:p>
        </w:tc>
        <w:tc>
          <w:tcPr>
            <w:tcW w:w="20" w:type="dxa"/>
            <w:vAlign w:val="bottom"/>
          </w:tcPr>
          <w:p>
            <w:pPr>
              <w:spacing w:after="0"/>
              <w:rPr>
                <w:sz w:val="14"/>
                <w:szCs w:val="14"/>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3,332</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3,332</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4,904</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1,398</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3,506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4,904</w:t>
            </w:r>
          </w:p>
        </w:tc>
        <w:tc>
          <w:tcPr>
            <w:tcW w:w="20" w:type="dxa"/>
            <w:vAlign w:val="bottom"/>
          </w:tcPr>
          <w:p>
            <w:pPr>
              <w:spacing w:after="0"/>
              <w:rPr>
                <w:sz w:val="14"/>
                <w:szCs w:val="14"/>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90,007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92,206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182,213</w:t>
            </w:r>
          </w:p>
        </w:tc>
        <w:tc>
          <w:tcPr>
            <w:tcW w:w="20" w:type="dxa"/>
            <w:vAlign w:val="bottom"/>
          </w:tcPr>
          <w:p>
            <w:pPr>
              <w:spacing w:after="0"/>
              <w:rPr>
                <w:sz w:val="18"/>
                <w:szCs w:val="18"/>
                <w:color w:val="auto"/>
              </w:rPr>
            </w:pPr>
          </w:p>
        </w:tc>
      </w:tr>
      <w:tr>
        <w:trPr>
          <w:trHeight w:val="153"/>
        </w:trPr>
        <w:tc>
          <w:tcPr>
            <w:tcW w:w="30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Depreciation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14,126</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18,341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845</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33,312</w:t>
            </w:r>
          </w:p>
        </w:tc>
        <w:tc>
          <w:tcPr>
            <w:tcW w:w="20" w:type="dxa"/>
            <w:vAlign w:val="bottom"/>
          </w:tcPr>
          <w:p>
            <w:pPr>
              <w:spacing w:after="0"/>
              <w:rPr>
                <w:sz w:val="13"/>
                <w:szCs w:val="13"/>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stock-based compensation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1,669</w:t>
            </w:r>
          </w:p>
        </w:tc>
        <w:tc>
          <w:tcPr>
            <w:tcW w:w="20" w:type="dxa"/>
            <w:vAlign w:val="bottom"/>
          </w:tcPr>
          <w:p>
            <w:pPr>
              <w:spacing w:after="0"/>
              <w:rPr>
                <w:sz w:val="15"/>
                <w:szCs w:val="15"/>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13,360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(711)</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(11,926)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20" w:type="dxa"/>
            <w:vAlign w:val="bottom"/>
          </w:tcPr>
          <w:p>
            <w:pPr>
              <w:spacing w:after="0"/>
              <w:rPr>
                <w:sz w:val="16"/>
                <w:szCs w:val="16"/>
                <w:color w:val="auto"/>
              </w:rPr>
            </w:pPr>
          </w:p>
        </w:tc>
      </w:tr>
      <w:tr>
        <w:trPr>
          <w:trHeight w:val="88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70"/>
        </w:trPr>
        <w:tc>
          <w:tcPr>
            <w:tcW w:w="30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20" w:type="dxa"/>
            <w:vAlign w:val="bottom"/>
          </w:tcPr>
          <w:p>
            <w:pPr>
              <w:spacing w:after="0"/>
              <w:rPr>
                <w:sz w:val="15"/>
                <w:szCs w:val="15"/>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24,332</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23,845</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2,140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25,985</w:t>
            </w:r>
          </w:p>
        </w:tc>
        <w:tc>
          <w:tcPr>
            <w:tcW w:w="20" w:type="dxa"/>
            <w:vAlign w:val="bottom"/>
          </w:tcPr>
          <w:p>
            <w:pPr>
              <w:spacing w:after="0"/>
              <w:rPr>
                <w:sz w:val="14"/>
                <w:szCs w:val="14"/>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16,549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21,681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38,230</w:t>
            </w:r>
          </w:p>
        </w:tc>
        <w:tc>
          <w:tcPr>
            <w:tcW w:w="20" w:type="dxa"/>
            <w:vAlign w:val="bottom"/>
          </w:tcPr>
          <w:p>
            <w:pPr>
              <w:spacing w:after="0"/>
              <w:rPr>
                <w:sz w:val="14"/>
                <w:szCs w:val="14"/>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56,354</w:t>
            </w:r>
          </w:p>
        </w:tc>
        <w:tc>
          <w:tcPr>
            <w:tcW w:w="20" w:type="dxa"/>
            <w:vAlign w:val="bottom"/>
          </w:tcPr>
          <w:p>
            <w:pPr>
              <w:spacing w:after="0"/>
              <w:rPr>
                <w:sz w:val="15"/>
                <w:szCs w:val="15"/>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57,419</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37,165</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94,584</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2,557</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31,939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34,496</w:t>
            </w: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84,054</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71,244</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155,298</w:t>
            </w:r>
          </w:p>
        </w:tc>
        <w:tc>
          <w:tcPr>
            <w:tcW w:w="20" w:type="dxa"/>
            <w:vAlign w:val="bottom"/>
          </w:tcPr>
          <w:p>
            <w:pPr>
              <w:spacing w:after="0"/>
              <w:rPr>
                <w:sz w:val="14"/>
                <w:szCs w:val="14"/>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6,417</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6,417</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5,045</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1,252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3,793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5,045</w:t>
            </w:r>
          </w:p>
        </w:tc>
        <w:tc>
          <w:tcPr>
            <w:tcW w:w="20" w:type="dxa"/>
            <w:vAlign w:val="bottom"/>
          </w:tcPr>
          <w:p>
            <w:pPr>
              <w:spacing w:after="0"/>
              <w:rPr>
                <w:sz w:val="14"/>
                <w:szCs w:val="14"/>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85,306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81,454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166,760</w:t>
            </w:r>
          </w:p>
        </w:tc>
        <w:tc>
          <w:tcPr>
            <w:tcW w:w="20" w:type="dxa"/>
            <w:vAlign w:val="bottom"/>
          </w:tcPr>
          <w:p>
            <w:pPr>
              <w:spacing w:after="0"/>
              <w:rPr>
                <w:sz w:val="18"/>
                <w:szCs w:val="18"/>
                <w:color w:val="auto"/>
              </w:rPr>
            </w:pPr>
          </w:p>
        </w:tc>
      </w:tr>
      <w:tr>
        <w:trPr>
          <w:trHeight w:val="153"/>
        </w:trPr>
        <w:tc>
          <w:tcPr>
            <w:tcW w:w="30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Depreciation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13,308</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14,327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1,240</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28,875</w:t>
            </w:r>
          </w:p>
        </w:tc>
        <w:tc>
          <w:tcPr>
            <w:tcW w:w="20" w:type="dxa"/>
            <w:vAlign w:val="bottom"/>
          </w:tcPr>
          <w:p>
            <w:pPr>
              <w:spacing w:after="0"/>
              <w:rPr>
                <w:sz w:val="13"/>
                <w:szCs w:val="13"/>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stock-based compensation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1,605</w:t>
            </w:r>
          </w:p>
        </w:tc>
        <w:tc>
          <w:tcPr>
            <w:tcW w:w="20" w:type="dxa"/>
            <w:vAlign w:val="bottom"/>
          </w:tcPr>
          <w:p>
            <w:pPr>
              <w:spacing w:after="0"/>
              <w:rPr>
                <w:sz w:val="15"/>
                <w:szCs w:val="15"/>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(9,830)</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(4,310)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20" w:type="dxa"/>
            <w:vAlign w:val="bottom"/>
          </w:tcPr>
          <w:p>
            <w:pPr>
              <w:spacing w:after="0"/>
              <w:rPr>
                <w:sz w:val="16"/>
                <w:szCs w:val="16"/>
                <w:color w:val="auto"/>
              </w:rPr>
            </w:pPr>
          </w:p>
        </w:tc>
      </w:tr>
      <w:tr>
        <w:trPr>
          <w:trHeight w:val="88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59"/>
        </w:trPr>
        <w:tc>
          <w:tcPr>
            <w:tcW w:w="30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11,970</w:t>
            </w:r>
          </w:p>
        </w:tc>
        <w:tc>
          <w:tcPr>
            <w:tcW w:w="20" w:type="dxa"/>
            <w:vAlign w:val="bottom"/>
          </w:tcPr>
          <w:p>
            <w:pPr>
              <w:spacing w:after="0"/>
              <w:rPr>
                <w:sz w:val="15"/>
                <w:szCs w:val="15"/>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69,088</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75,022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6,036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81,058</w:t>
            </w:r>
          </w:p>
        </w:tc>
        <w:tc>
          <w:tcPr>
            <w:tcW w:w="20" w:type="dxa"/>
            <w:vAlign w:val="bottom"/>
          </w:tcPr>
          <w:p>
            <w:pPr>
              <w:spacing w:after="0"/>
              <w:rPr>
                <w:sz w:val="14"/>
                <w:szCs w:val="14"/>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52,827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91,521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144,348</w:t>
            </w:r>
          </w:p>
        </w:tc>
        <w:tc>
          <w:tcPr>
            <w:tcW w:w="20" w:type="dxa"/>
            <w:vAlign w:val="bottom"/>
          </w:tcPr>
          <w:p>
            <w:pPr>
              <w:spacing w:after="0"/>
              <w:rPr>
                <w:sz w:val="14"/>
                <w:szCs w:val="14"/>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122,435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57,279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179,714</w:t>
            </w:r>
          </w:p>
        </w:tc>
        <w:tc>
          <w:tcPr>
            <w:tcW w:w="20" w:type="dxa"/>
            <w:vAlign w:val="bottom"/>
          </w:tcPr>
          <w:p>
            <w:pPr>
              <w:spacing w:after="0"/>
              <w:rPr>
                <w:sz w:val="15"/>
                <w:szCs w:val="15"/>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175,262</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148,800</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324,062</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10,042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96,102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106,144</w:t>
            </w: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261,377</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250,938</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512,315</w:t>
            </w:r>
          </w:p>
        </w:tc>
        <w:tc>
          <w:tcPr>
            <w:tcW w:w="20" w:type="dxa"/>
            <w:vAlign w:val="bottom"/>
          </w:tcPr>
          <w:p>
            <w:pPr>
              <w:spacing w:after="0"/>
              <w:rPr>
                <w:sz w:val="14"/>
                <w:szCs w:val="14"/>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8,615</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8,615</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3,820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8,980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12,800</w:t>
            </w:r>
          </w:p>
        </w:tc>
        <w:tc>
          <w:tcPr>
            <w:tcW w:w="20" w:type="dxa"/>
            <w:vAlign w:val="bottom"/>
          </w:tcPr>
          <w:p>
            <w:pPr>
              <w:spacing w:after="0"/>
              <w:rPr>
                <w:sz w:val="14"/>
                <w:szCs w:val="14"/>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265,197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268,533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533,730</w:t>
            </w:r>
          </w:p>
        </w:tc>
        <w:tc>
          <w:tcPr>
            <w:tcW w:w="20" w:type="dxa"/>
            <w:vAlign w:val="bottom"/>
          </w:tcPr>
          <w:p>
            <w:pPr>
              <w:spacing w:after="0"/>
              <w:rPr>
                <w:sz w:val="18"/>
                <w:szCs w:val="18"/>
                <w:color w:val="auto"/>
              </w:rPr>
            </w:pPr>
          </w:p>
        </w:tc>
      </w:tr>
      <w:tr>
        <w:trPr>
          <w:trHeight w:val="153"/>
        </w:trPr>
        <w:tc>
          <w:tcPr>
            <w:tcW w:w="306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5"/>
                <w:szCs w:val="15"/>
                <w:color w:val="auto"/>
              </w:rPr>
              <w:t>Depreciation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43,109</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54,546</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2,766</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5"/>
                <w:szCs w:val="15"/>
                <w:color w:val="auto"/>
              </w:rPr>
              <w:t>100,421</w:t>
            </w:r>
          </w:p>
        </w:tc>
        <w:tc>
          <w:tcPr>
            <w:tcW w:w="20" w:type="dxa"/>
            <w:vAlign w:val="bottom"/>
          </w:tcPr>
          <w:p>
            <w:pPr>
              <w:spacing w:after="0"/>
              <w:rPr>
                <w:sz w:val="13"/>
                <w:szCs w:val="13"/>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9,744</w:t>
            </w: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Non-cash stock-based compensation</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5,696</w:t>
            </w:r>
          </w:p>
        </w:tc>
        <w:tc>
          <w:tcPr>
            <w:tcW w:w="20" w:type="dxa"/>
            <w:vAlign w:val="bottom"/>
          </w:tcPr>
          <w:p>
            <w:pPr>
              <w:spacing w:after="0"/>
              <w:rPr>
                <w:sz w:val="15"/>
                <w:szCs w:val="15"/>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(4,199)</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(755)</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(28,663)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20" w:type="dxa"/>
            <w:vAlign w:val="bottom"/>
          </w:tcPr>
          <w:p>
            <w:pPr>
              <w:spacing w:after="0"/>
              <w:rPr>
                <w:sz w:val="16"/>
                <w:szCs w:val="16"/>
                <w:color w:val="auto"/>
              </w:rPr>
            </w:pPr>
          </w:p>
        </w:tc>
      </w:tr>
      <w:tr>
        <w:trPr>
          <w:trHeight w:val="88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59"/>
        </w:trPr>
        <w:tc>
          <w:tcPr>
            <w:tcW w:w="30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5,066</w:t>
            </w:r>
          </w:p>
        </w:tc>
        <w:tc>
          <w:tcPr>
            <w:tcW w:w="0" w:type="dxa"/>
            <w:vAlign w:val="bottom"/>
          </w:tcPr>
          <w:p>
            <w:pPr>
              <w:spacing w:after="0"/>
              <w:rPr>
                <w:sz w:val="1"/>
                <w:szCs w:val="1"/>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70,761</w:t>
            </w:r>
          </w:p>
        </w:tc>
        <w:tc>
          <w:tcPr>
            <w:tcW w:w="0" w:type="dxa"/>
            <w:vAlign w:val="bottom"/>
          </w:tcPr>
          <w:p>
            <w:pPr>
              <w:spacing w:after="0"/>
              <w:rPr>
                <w:sz w:val="1"/>
                <w:szCs w:val="1"/>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68,420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7,407</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75,827</w:t>
            </w:r>
          </w:p>
        </w:tc>
        <w:tc>
          <w:tcPr>
            <w:tcW w:w="0" w:type="dxa"/>
            <w:vAlign w:val="bottom"/>
          </w:tcPr>
          <w:p>
            <w:pPr>
              <w:spacing w:after="0"/>
              <w:rPr>
                <w:sz w:val="1"/>
                <w:szCs w:val="1"/>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50,037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26,409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76,446</w:t>
            </w: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125,255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23,004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148,259</w:t>
            </w: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175,292</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49,413</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224,705</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6,963</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70,713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77,676</w:t>
            </w: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0" w:type="dxa"/>
            <w:vAlign w:val="bottom"/>
          </w:tcPr>
          <w:p>
            <w:pPr>
              <w:spacing w:after="0"/>
              <w:rPr>
                <w:sz w:val="1"/>
                <w:szCs w:val="1"/>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251,364</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127,533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378,897</w:t>
            </w: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28,049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28,049</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Renewable Energy</w:t>
            </w:r>
          </w:p>
        </w:tc>
        <w:tc>
          <w:tcPr>
            <w:tcW w:w="1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3,978</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7,771</w:t>
            </w: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3,978</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3,793</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418</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8,189</w:t>
            </w: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255,342</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159,375</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418</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415,135</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40,080</w:t>
            </w:r>
          </w:p>
        </w:tc>
        <w:tc>
          <w:tcPr>
            <w:tcW w:w="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24,598</w:t>
            </w:r>
          </w:p>
        </w:tc>
        <w:tc>
          <w:tcPr>
            <w:tcW w:w="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188</w:t>
            </w:r>
          </w:p>
        </w:tc>
        <w:tc>
          <w:tcPr>
            <w:tcW w:w="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3,827</w:t>
            </w:r>
          </w:p>
        </w:tc>
        <w:tc>
          <w:tcPr>
            <w:tcW w:w="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5"/>
                <w:szCs w:val="15"/>
                <w:color w:val="auto"/>
              </w:rPr>
              <w:t>68,693</w:t>
            </w: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3,062</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4,324</w:t>
            </w:r>
          </w:p>
        </w:tc>
        <w:tc>
          <w:tcPr>
            <w:tcW w:w="0" w:type="dxa"/>
            <w:vAlign w:val="bottom"/>
          </w:tcPr>
          <w:p>
            <w:pPr>
              <w:spacing w:after="0"/>
              <w:rPr>
                <w:sz w:val="1"/>
                <w:szCs w:val="1"/>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Non-cash stock-based compensation</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5,116</w:t>
            </w: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40,999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(10,920)</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(1,488)</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(23,319)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420" w:right="2999" w:hanging="4093"/>
        <w:spacing w:after="0" w:line="776" w:lineRule="auto"/>
        <w:tabs>
          <w:tab w:leader="none" w:pos="587"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and Other items refer to corporate overhead costs and consolidating adjustments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40640</wp:posOffset>
            </wp:positionV>
            <wp:extent cx="567626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firstLine="538"/>
        <w:spacing w:after="0" w:line="277" w:lineRule="auto"/>
        <w:rPr>
          <w:sz w:val="20"/>
          <w:szCs w:val="20"/>
          <w:color w:val="auto"/>
        </w:rPr>
      </w:pPr>
      <w:r>
        <w:rPr>
          <w:rFonts w:ascii="Times New Roman" w:cs="Times New Roman" w:eastAsia="Times New Roman" w:hAnsi="Times New Roman"/>
          <w:sz w:val="15"/>
          <w:szCs w:val="15"/>
          <w:color w:val="auto"/>
        </w:rPr>
        <w:t>Selected balance sheet data for each of the Company’s segments as of September 30, 2022 and December 31, 2021 consists of the following (in thousands):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4"/>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Renewable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7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4"/>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Other (1)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70"/>
        </w:trPr>
        <w:tc>
          <w:tcPr>
            <w:tcW w:w="2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Cash, cash equivalents, and short-term</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investments</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38,340</w:t>
            </w:r>
          </w:p>
        </w:tc>
        <w:tc>
          <w:tcPr>
            <w:tcW w:w="2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32,937</w:t>
            </w: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77,014</w:t>
            </w:r>
          </w:p>
        </w:tc>
        <w:tc>
          <w:tcPr>
            <w:tcW w:w="0" w:type="dxa"/>
            <w:vAlign w:val="bottom"/>
          </w:tcPr>
          <w:p>
            <w:pPr>
              <w:spacing w:after="0"/>
              <w:rPr>
                <w:sz w:val="1"/>
                <w:szCs w:val="1"/>
                <w:color w:val="auto"/>
              </w:rPr>
            </w:pPr>
          </w:p>
        </w:tc>
      </w:tr>
      <w:tr>
        <w:trPr>
          <w:trHeight w:val="201"/>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110,610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114,960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232,524</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assets, net</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459,554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482,348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949,807</w:t>
            </w:r>
          </w:p>
        </w:tc>
        <w:tc>
          <w:tcPr>
            <w:tcW w:w="0" w:type="dxa"/>
            <w:vAlign w:val="bottom"/>
          </w:tcPr>
          <w:p>
            <w:pPr>
              <w:spacing w:after="0"/>
              <w:rPr>
                <w:sz w:val="1"/>
                <w:szCs w:val="1"/>
                <w:color w:val="auto"/>
              </w:rPr>
            </w:pPr>
          </w:p>
        </w:tc>
      </w:tr>
      <w:tr>
        <w:trPr>
          <w:trHeight w:val="201"/>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35,269</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40,104</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641,307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871,181</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14,735</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67,977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1,595,200</w:t>
            </w:r>
          </w:p>
        </w:tc>
        <w:tc>
          <w:tcPr>
            <w:tcW w:w="0" w:type="dxa"/>
            <w:vAlign w:val="bottom"/>
          </w:tcPr>
          <w:p>
            <w:pPr>
              <w:spacing w:after="0"/>
              <w:rPr>
                <w:sz w:val="1"/>
                <w:szCs w:val="1"/>
                <w:color w:val="auto"/>
              </w:rPr>
            </w:pPr>
          </w:p>
        </w:tc>
      </w:tr>
      <w:tr>
        <w:trPr>
          <w:trHeight w:val="201"/>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84,848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99,663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27,989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212,856</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debt</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264,802</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71,000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399,188</w:t>
            </w: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5"/>
                <w:szCs w:val="15"/>
                <w:color w:val="auto"/>
              </w:rPr>
              <w:t>Cash, cash equivalents, and short-term</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investments</w:t>
            </w:r>
          </w:p>
        </w:tc>
        <w:tc>
          <w:tcPr>
            <w:tcW w:w="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43,128</w:t>
            </w:r>
          </w:p>
        </w:tc>
        <w:tc>
          <w:tcPr>
            <w:tcW w:w="2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28,486</w:t>
            </w:r>
          </w:p>
        </w:tc>
        <w:tc>
          <w:tcPr>
            <w:tcW w:w="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79,901</w:t>
            </w:r>
          </w:p>
        </w:tc>
        <w:tc>
          <w:tcPr>
            <w:tcW w:w="0" w:type="dxa"/>
            <w:vAlign w:val="bottom"/>
          </w:tcPr>
          <w:p>
            <w:pPr>
              <w:spacing w:after="0"/>
              <w:rPr>
                <w:sz w:val="1"/>
                <w:szCs w:val="1"/>
                <w:color w:val="auto"/>
              </w:rPr>
            </w:pPr>
          </w:p>
        </w:tc>
      </w:tr>
      <w:tr>
        <w:trPr>
          <w:trHeight w:val="179"/>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108,677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111,741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3,585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232,617</w:t>
            </w:r>
          </w:p>
        </w:tc>
        <w:tc>
          <w:tcPr>
            <w:tcW w:w="0" w:type="dxa"/>
            <w:vAlign w:val="bottom"/>
          </w:tcPr>
          <w:p>
            <w:pPr>
              <w:spacing w:after="0"/>
              <w:rPr>
                <w:sz w:val="1"/>
                <w:szCs w:val="1"/>
                <w:color w:val="auto"/>
              </w:rPr>
            </w:pPr>
          </w:p>
        </w:tc>
      </w:tr>
      <w:tr>
        <w:trPr>
          <w:trHeight w:val="17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assets, net</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452,856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480,250</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943,209</w:t>
            </w:r>
          </w:p>
        </w:tc>
        <w:tc>
          <w:tcPr>
            <w:tcW w:w="0" w:type="dxa"/>
            <w:vAlign w:val="bottom"/>
          </w:tcPr>
          <w:p>
            <w:pPr>
              <w:spacing w:after="0"/>
              <w:rPr>
                <w:sz w:val="1"/>
                <w:szCs w:val="1"/>
                <w:color w:val="auto"/>
              </w:rPr>
            </w:pPr>
          </w:p>
        </w:tc>
      </w:tr>
      <w:tr>
        <w:trPr>
          <w:trHeight w:val="179"/>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35,269</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40,104</w:t>
            </w:r>
          </w:p>
        </w:tc>
        <w:tc>
          <w:tcPr>
            <w:tcW w:w="0" w:type="dxa"/>
            <w:vAlign w:val="bottom"/>
          </w:tcPr>
          <w:p>
            <w:pPr>
              <w:spacing w:after="0"/>
              <w:rPr>
                <w:sz w:val="1"/>
                <w:szCs w:val="1"/>
                <w:color w:val="auto"/>
              </w:rPr>
            </w:pPr>
          </w:p>
        </w:tc>
      </w:tr>
      <w:tr>
        <w:trPr>
          <w:trHeight w:val="17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630,515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877,041</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17,481</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83,567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1,608,604</w:t>
            </w:r>
          </w:p>
        </w:tc>
        <w:tc>
          <w:tcPr>
            <w:tcW w:w="0" w:type="dxa"/>
            <w:vAlign w:val="bottom"/>
          </w:tcPr>
          <w:p>
            <w:pPr>
              <w:spacing w:after="0"/>
              <w:rPr>
                <w:sz w:val="1"/>
                <w:szCs w:val="1"/>
                <w:color w:val="auto"/>
              </w:rPr>
            </w:pPr>
          </w:p>
        </w:tc>
      </w:tr>
      <w:tr>
        <w:trPr>
          <w:trHeight w:val="179"/>
        </w:trPr>
        <w:tc>
          <w:tcPr>
            <w:tcW w:w="27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91,090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108,950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20,548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220,944</w:t>
            </w:r>
          </w:p>
        </w:tc>
        <w:tc>
          <w:tcPr>
            <w:tcW w:w="0" w:type="dxa"/>
            <w:vAlign w:val="bottom"/>
          </w:tcPr>
          <w:p>
            <w:pPr>
              <w:spacing w:after="0"/>
              <w:rPr>
                <w:sz w:val="1"/>
                <w:szCs w:val="1"/>
                <w:color w:val="auto"/>
              </w:rPr>
            </w:pPr>
          </w:p>
        </w:tc>
      </w:tr>
      <w:tr>
        <w:trPr>
          <w:trHeight w:val="179"/>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debt</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64,243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240,802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61,499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366,544</w:t>
            </w:r>
          </w:p>
        </w:tc>
        <w:tc>
          <w:tcPr>
            <w:tcW w:w="0" w:type="dxa"/>
            <w:vAlign w:val="bottom"/>
          </w:tcPr>
          <w:p>
            <w:pPr>
              <w:spacing w:after="0"/>
              <w:rPr>
                <w:sz w:val="1"/>
                <w:szCs w:val="1"/>
                <w:color w:val="auto"/>
              </w:rPr>
            </w:pPr>
          </w:p>
        </w:tc>
      </w:tr>
      <w:tr>
        <w:trPr>
          <w:trHeight w:val="332"/>
        </w:trPr>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2"/>
                <w:szCs w:val="12"/>
                <w:b w:val="1"/>
                <w:bCs w:val="1"/>
                <w:color w:val="auto"/>
              </w:rPr>
              <w:t>Capital Expenditures</w:t>
            </w: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center"/>
              <w:ind w:left="47"/>
              <w:spacing w:after="0"/>
              <w:rPr>
                <w:sz w:val="20"/>
                <w:szCs w:val="20"/>
                <w:color w:val="auto"/>
              </w:rPr>
            </w:pPr>
            <w:r>
              <w:rPr>
                <w:rFonts w:ascii="Times New Roman" w:cs="Times New Roman" w:eastAsia="Times New Roman" w:hAnsi="Times New Roman"/>
                <w:sz w:val="12"/>
                <w:szCs w:val="12"/>
                <w:b w:val="1"/>
                <w:bCs w:val="1"/>
                <w:color w:val="auto"/>
                <w:w w:val="96"/>
              </w:rPr>
              <w:t>International</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0"/>
              </w:rPr>
              <w:t>US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4"/>
          </w:tcPr>
          <w:p>
            <w:pPr>
              <w:jc w:val="right"/>
              <w:ind w:right="327"/>
              <w:spacing w:after="0"/>
              <w:rPr>
                <w:sz w:val="20"/>
                <w:szCs w:val="20"/>
                <w:color w:val="auto"/>
              </w:rPr>
            </w:pPr>
            <w:r>
              <w:rPr>
                <w:rFonts w:ascii="Times New Roman" w:cs="Times New Roman" w:eastAsia="Times New Roman" w:hAnsi="Times New Roman"/>
                <w:sz w:val="12"/>
                <w:szCs w:val="12"/>
                <w:b w:val="1"/>
                <w:bCs w:val="1"/>
                <w:color w:val="auto"/>
              </w:rPr>
              <w:t>Corporate and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restart"/>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w w:val="97"/>
              </w:rPr>
              <w:t>Consolidated</w:t>
            </w:r>
          </w:p>
        </w:tc>
        <w:tc>
          <w:tcPr>
            <w:tcW w:w="0" w:type="dxa"/>
            <w:vAlign w:val="bottom"/>
          </w:tcPr>
          <w:p>
            <w:pPr>
              <w:spacing w:after="0"/>
              <w:rPr>
                <w:sz w:val="1"/>
                <w:szCs w:val="1"/>
                <w:color w:val="auto"/>
              </w:rPr>
            </w:pPr>
          </w:p>
        </w:tc>
      </w:tr>
      <w:tr>
        <w:trPr>
          <w:trHeight w:val="145"/>
        </w:trPr>
        <w:tc>
          <w:tcPr>
            <w:tcW w:w="27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left="47"/>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467"/>
              <w:spacing w:after="0"/>
              <w:rPr>
                <w:sz w:val="20"/>
                <w:szCs w:val="20"/>
                <w:color w:val="auto"/>
              </w:rPr>
            </w:pPr>
            <w:r>
              <w:rPr>
                <w:rFonts w:ascii="Times New Roman" w:cs="Times New Roman" w:eastAsia="Times New Roman" w:hAnsi="Times New Roman"/>
                <w:sz w:val="12"/>
                <w:szCs w:val="12"/>
                <w:b w:val="1"/>
                <w:bCs w:val="1"/>
                <w:color w:val="auto"/>
              </w:rPr>
              <w:t>Other (1)</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2022</w:t>
            </w:r>
          </w:p>
        </w:tc>
        <w:tc>
          <w:tcPr>
            <w:tcW w:w="34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4"/>
            <w:shd w:val="clear" w:color="auto" w:fill="CCEEFF"/>
          </w:tcPr>
          <w:p>
            <w:pPr>
              <w:jc w:val="right"/>
              <w:ind w:right="40"/>
              <w:spacing w:after="0" w:line="171" w:lineRule="exact"/>
              <w:rPr>
                <w:sz w:val="20"/>
                <w:szCs w:val="20"/>
                <w:color w:val="auto"/>
              </w:rPr>
            </w:pPr>
            <w:r>
              <w:rPr>
                <w:rFonts w:ascii="Times New Roman" w:cs="Times New Roman" w:eastAsia="Times New Roman" w:hAnsi="Times New Roman"/>
                <w:sz w:val="15"/>
                <w:szCs w:val="15"/>
                <w:color w:val="auto"/>
              </w:rPr>
              <w:t>53,270</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3"/>
            <w:shd w:val="clear" w:color="auto" w:fill="CCEEFF"/>
          </w:tcPr>
          <w:p>
            <w:pPr>
              <w:ind w:left="160"/>
              <w:spacing w:after="0" w:line="171" w:lineRule="exact"/>
              <w:rPr>
                <w:sz w:val="20"/>
                <w:szCs w:val="20"/>
                <w:color w:val="auto"/>
              </w:rPr>
            </w:pPr>
            <w:r>
              <w:rPr>
                <w:rFonts w:ascii="Times New Roman" w:cs="Times New Roman" w:eastAsia="Times New Roman" w:hAnsi="Times New Roman"/>
                <w:sz w:val="15"/>
                <w:szCs w:val="15"/>
                <w:color w:val="auto"/>
              </w:rPr>
              <w:t>60,056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07"/>
              <w:spacing w:after="0" w:line="171" w:lineRule="exact"/>
              <w:rPr>
                <w:sz w:val="20"/>
                <w:szCs w:val="20"/>
                <w:color w:val="auto"/>
              </w:rPr>
            </w:pPr>
            <w:r>
              <w:rPr>
                <w:rFonts w:ascii="Times New Roman" w:cs="Times New Roman" w:eastAsia="Times New Roman" w:hAnsi="Times New Roman"/>
                <w:sz w:val="15"/>
                <w:szCs w:val="15"/>
                <w:color w:val="auto"/>
              </w:rPr>
              <w:t>633</w:t>
            </w:r>
          </w:p>
        </w:tc>
        <w:tc>
          <w:tcPr>
            <w:tcW w:w="180" w:type="dxa"/>
            <w:vAlign w:val="bottom"/>
            <w:gridSpan w:val="2"/>
            <w:shd w:val="clear" w:color="auto" w:fill="CCEEFF"/>
          </w:tcPr>
          <w:p>
            <w:pPr>
              <w:jc w:val="right"/>
              <w:ind w:right="100"/>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113,959</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32,485</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36,157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2,280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00" w:hanging="273"/>
        <w:spacing w:after="0"/>
        <w:tabs>
          <w:tab w:leader="none" w:pos="600" w:val="left"/>
        </w:tabs>
        <w:numPr>
          <w:ilvl w:val="1"/>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 and other items refer to corporate overhead costs and consolidating adjustments</w:t>
      </w:r>
    </w:p>
    <w:p>
      <w:pPr>
        <w:spacing w:after="0" w:line="181" w:lineRule="exact"/>
        <w:rPr>
          <w:rFonts w:ascii="Times New Roman" w:cs="Times New Roman" w:eastAsia="Times New Roman" w:hAnsi="Times New Roman"/>
          <w:sz w:val="15"/>
          <w:szCs w:val="15"/>
          <w:color w:val="auto"/>
        </w:rPr>
      </w:pPr>
    </w:p>
    <w:p>
      <w:pPr>
        <w:ind w:left="260" w:hanging="224"/>
        <w:spacing w:after="0"/>
        <w:tabs>
          <w:tab w:leader="none" w:pos="260" w:val="left"/>
        </w:tabs>
        <w:numPr>
          <w:ilvl w:val="0"/>
          <w:numId w:val="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Regulatory and Litigation Matters</w:t>
      </w:r>
    </w:p>
    <w:p>
      <w:pPr>
        <w:spacing w:after="0" w:line="212" w:lineRule="exact"/>
        <w:rPr>
          <w:sz w:val="20"/>
          <w:szCs w:val="20"/>
          <w:color w:val="auto"/>
        </w:rPr>
      </w:pPr>
    </w:p>
    <w:p>
      <w:pPr>
        <w:ind w:left="40" w:right="319" w:firstLine="538"/>
        <w:spacing w:after="0" w:line="258" w:lineRule="auto"/>
        <w:rPr>
          <w:sz w:val="20"/>
          <w:szCs w:val="20"/>
          <w:color w:val="auto"/>
        </w:rPr>
      </w:pPr>
      <w:r>
        <w:rPr>
          <w:rFonts w:ascii="Times New Roman" w:cs="Times New Roman" w:eastAsia="Times New Roman" w:hAnsi="Times New Roman"/>
          <w:sz w:val="15"/>
          <w:szCs w:val="15"/>
          <w:color w:val="auto"/>
        </w:rPr>
        <w:t>The Company is subject to certain regulatory and legal proceedings and other claims arising in the ordinary course of business, some of which involve claims for damages and taxes that are substantial in amount. The Company believes that, except for the items discussed below, for which the Company is currently unable to predict the final outcome, the disposition of proceedings currently pending will not have a material adverse effect on the Company’s financial position or results of operations.</w:t>
      </w:r>
    </w:p>
    <w:p>
      <w:pPr>
        <w:spacing w:after="0" w:line="188" w:lineRule="exact"/>
        <w:rPr>
          <w:sz w:val="20"/>
          <w:szCs w:val="20"/>
          <w:color w:val="auto"/>
        </w:rPr>
      </w:pPr>
    </w:p>
    <w:p>
      <w:pPr>
        <w:ind w:left="40" w:right="99" w:firstLine="538"/>
        <w:spacing w:after="0" w:line="253" w:lineRule="auto"/>
        <w:rPr>
          <w:sz w:val="20"/>
          <w:szCs w:val="20"/>
          <w:color w:val="auto"/>
        </w:rPr>
      </w:pPr>
      <w:r>
        <w:rPr>
          <w:rFonts w:ascii="Times New Roman" w:cs="Times New Roman" w:eastAsia="Times New Roman" w:hAnsi="Times New Roman"/>
          <w:sz w:val="15"/>
          <w:szCs w:val="15"/>
          <w:color w:val="auto"/>
        </w:rPr>
        <w:t>In 1990, the Company’s Guyana subsidiary, GTT, was awarded a license to provide domestic and international voice and data services in Guyana on an exclusive basis until December 2030. Since 2001, the Government of Guyana has stated its intention to introduce additional competition into Guyana’s telecommunications sector. In connection therewith, the Company and GTT met on several occasions with officials of the Government of Guyana to discuss potential modifications of GTT’s exclusivity and other rights under the existing agreement and license. On October 5, 2020, the Prime Minister of Guyana formally implemented telecommunications legislation previously passed by the Guyana Parliament in 2016 that introduces material changes to many features of Guyana’s existing telecommunications regulatory regime with the intention of creating a more competitive market. At that time, the Company was issued a new license to provide domestic and international voice as well as data services and mobile services in Guyana. Two of the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79"/>
        <w:spacing w:after="0" w:line="291" w:lineRule="auto"/>
        <w:rPr>
          <w:sz w:val="20"/>
          <w:szCs w:val="20"/>
          <w:color w:val="auto"/>
        </w:rPr>
      </w:pPr>
      <w:r>
        <w:rPr>
          <w:rFonts w:ascii="Times New Roman" w:cs="Times New Roman" w:eastAsia="Times New Roman" w:hAnsi="Times New Roman"/>
          <w:sz w:val="14"/>
          <w:szCs w:val="14"/>
          <w:color w:val="auto"/>
        </w:rPr>
        <w:t>Company’s competitors were issued service licenses as well. While the Company has requested details of its competitors’ licenses, such information has not been made public by the Guyana Telecommunications Agency, and the Company is not yet able to ascertain whether the licenses issued to its competitors permit any competitors to provide services that have been subject to GTT’s exclusive rights contained in its 1990 license.</w:t>
      </w:r>
    </w:p>
    <w:p>
      <w:pPr>
        <w:spacing w:after="0" w:line="165" w:lineRule="exact"/>
        <w:rPr>
          <w:sz w:val="20"/>
          <w:szCs w:val="20"/>
          <w:color w:val="auto"/>
        </w:rPr>
      </w:pPr>
    </w:p>
    <w:p>
      <w:pPr>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On October 23, 2020, the Government of Guyana also brought into effect new telecommunications regulations called for by the telecommunications legislation. The regulations include new requirements for the market as a whole, which impose costly additional regulatory fees and impact the Company’s operations, administrative reporting and services. There can be no assurance that these regulations will be effectively implemented, or that they will be administered in a fair and transparent manner.</w:t>
      </w:r>
    </w:p>
    <w:p>
      <w:pPr>
        <w:spacing w:after="0" w:line="188" w:lineRule="exact"/>
        <w:rPr>
          <w:sz w:val="20"/>
          <w:szCs w:val="20"/>
          <w:color w:val="auto"/>
        </w:rPr>
      </w:pPr>
    </w:p>
    <w:p>
      <w:pPr>
        <w:ind w:left="40" w:right="39" w:firstLine="538"/>
        <w:spacing w:after="0" w:line="263" w:lineRule="auto"/>
        <w:rPr>
          <w:sz w:val="20"/>
          <w:szCs w:val="20"/>
          <w:color w:val="auto"/>
        </w:rPr>
      </w:pPr>
      <w:r>
        <w:rPr>
          <w:rFonts w:ascii="Times New Roman" w:cs="Times New Roman" w:eastAsia="Times New Roman" w:hAnsi="Times New Roman"/>
          <w:sz w:val="15"/>
          <w:szCs w:val="15"/>
          <w:color w:val="auto"/>
        </w:rPr>
        <w:t>Historically, GTT has been subject to other long-standing litigation proceedings and disputes in Guyana that have not yet been resolved. The Company believes that none of these additional proceedings would, in the event of an adverse outcome, have a material impact on the Company’s consolidated financial position, results of operations or liquidity.</w:t>
      </w:r>
    </w:p>
    <w:p>
      <w:pPr>
        <w:spacing w:after="0" w:line="172" w:lineRule="exact"/>
        <w:rPr>
          <w:sz w:val="20"/>
          <w:szCs w:val="20"/>
          <w:color w:val="auto"/>
        </w:rPr>
      </w:pPr>
    </w:p>
    <w:p>
      <w:pPr>
        <w:ind w:left="40" w:right="99" w:firstLine="538"/>
        <w:spacing w:after="0" w:line="251" w:lineRule="auto"/>
        <w:rPr>
          <w:sz w:val="20"/>
          <w:szCs w:val="20"/>
          <w:color w:val="auto"/>
        </w:rPr>
      </w:pPr>
      <w:r>
        <w:rPr>
          <w:rFonts w:ascii="Times New Roman" w:cs="Times New Roman" w:eastAsia="Times New Roman" w:hAnsi="Times New Roman"/>
          <w:sz w:val="15"/>
          <w:szCs w:val="15"/>
          <w:color w:val="auto"/>
        </w:rPr>
        <w:t>In a letter dated September 8, 2006, the National Frequency Management Unit (“NFMU”) agreed that total spectrum fees in Guyana should not increase for the years 2006 and 2007. However, that letter implied that spectrum fees in 2008 and onward may be increased beyond the amount GTT agreed to with the Government of Guyana. GTT has objected to the NFMU’s proposed action and reiterated its position that an increase in fees prior to development of an acceptable methodology would violate the Government’s prior agreement. In 2011, GTT paid the NFMU $2.6 million representing payments in full for 2008, 2009 and 2010. However, by letter dated November 23, 2011, the NFMU stated that it did not concur with GTT’s inference that the amount was payment in full for the specified years as it was NFMU’s continued opinion that the final calculation for spectrum fees was not agreed upon and was still an outstanding issue. By further letter dated November 24, 2011, the NFMU further rejected a proposal that was previously submitted jointly by GTT and another communications provider that outlined a recommended methodology for the calculation of these fees. The NFMU stated that it would prepare its own recommendation for consideration by the Minister of Telecommunications, who would decide the matter. GTT has paid undisputed spectrum fees according to the methodology used for its 2011 payments and has reserved amounts payable according to this methodology. There have been limited further discussions on this subject and GTT has not been given the opportunity to review recommendations to the Minister on spectrum fee methodology, if any.</w:t>
      </w:r>
    </w:p>
    <w:p>
      <w:pPr>
        <w:spacing w:after="0" w:line="199" w:lineRule="exact"/>
        <w:rPr>
          <w:sz w:val="20"/>
          <w:szCs w:val="20"/>
          <w:color w:val="auto"/>
        </w:rPr>
      </w:pPr>
    </w:p>
    <w:p>
      <w:pPr>
        <w:ind w:left="40" w:right="79" w:firstLine="538"/>
        <w:spacing w:after="0" w:line="258" w:lineRule="auto"/>
        <w:rPr>
          <w:sz w:val="20"/>
          <w:szCs w:val="20"/>
          <w:color w:val="auto"/>
        </w:rPr>
      </w:pPr>
      <w:r>
        <w:rPr>
          <w:rFonts w:ascii="Times New Roman" w:cs="Times New Roman" w:eastAsia="Times New Roman" w:hAnsi="Times New Roman"/>
          <w:sz w:val="15"/>
          <w:szCs w:val="15"/>
          <w:color w:val="auto"/>
        </w:rPr>
        <w:t>On May 8, 2009, a GTT competitor, Digicel, filed a lawsuit in Guyana challenging the legality of GTT’s exclusive license rights under Guyana’s constitution and GTT intervened in the suit in order to oppose Digicel’s claims. The case remains pending. The Company believes that any legal challenge to GTT’s exclusive license rights granted in 1990 is without merit and the Company continues to defend vigorously against such legal challenge.</w:t>
      </w:r>
    </w:p>
    <w:p>
      <w:pPr>
        <w:spacing w:after="0" w:line="188" w:lineRule="exact"/>
        <w:rPr>
          <w:sz w:val="20"/>
          <w:szCs w:val="20"/>
          <w:color w:val="auto"/>
        </w:rPr>
      </w:pPr>
    </w:p>
    <w:p>
      <w:pPr>
        <w:jc w:val="both"/>
        <w:ind w:left="40" w:right="59" w:firstLine="538"/>
        <w:spacing w:after="0" w:line="255" w:lineRule="auto"/>
        <w:rPr>
          <w:sz w:val="20"/>
          <w:szCs w:val="20"/>
          <w:color w:val="auto"/>
        </w:rPr>
      </w:pPr>
      <w:r>
        <w:rPr>
          <w:rFonts w:ascii="Times New Roman" w:cs="Times New Roman" w:eastAsia="Times New Roman" w:hAnsi="Times New Roman"/>
          <w:sz w:val="15"/>
          <w:szCs w:val="15"/>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with Digicel’s constitutional challenge described above. At the first instance, GTT was successful in defending Digicel’s application to strike out its claim. However, Digicel was successful before the Full Court in having the claims struck out. GTT has appealed the decision of the Full Court before Guyana’s Court of Appeal and is waiting for a date for the hearing of the appeal.</w:t>
      </w:r>
    </w:p>
    <w:p>
      <w:pPr>
        <w:spacing w:after="0" w:line="155" w:lineRule="exact"/>
        <w:rPr>
          <w:sz w:val="20"/>
          <w:szCs w:val="20"/>
          <w:color w:val="auto"/>
        </w:rPr>
      </w:pPr>
    </w:p>
    <w:p>
      <w:pPr>
        <w:jc w:val="both"/>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GTT is also involved in several legal claims regarding its tax filings with the Guyana Revenue Authority dating back to 1991 regarding the deductibility of intercompany advisory fees as well as other tax assessments. The Company maintains that any liability GTT might be found to have with respect to the disputed tax assessments, would be offset in part by the amounts necessary to ensure that GTT’s return on investment was no less than 15% per annum for the relevant periods.</w:t>
      </w:r>
    </w:p>
    <w:p>
      <w:pPr>
        <w:spacing w:after="0" w:line="154" w:lineRule="exact"/>
        <w:rPr>
          <w:sz w:val="20"/>
          <w:szCs w:val="20"/>
          <w:color w:val="auto"/>
        </w:rPr>
      </w:pPr>
    </w:p>
    <w:p>
      <w:pPr>
        <w:ind w:left="40" w:right="379" w:firstLine="538"/>
        <w:spacing w:after="0" w:line="277" w:lineRule="auto"/>
        <w:rPr>
          <w:sz w:val="20"/>
          <w:szCs w:val="20"/>
          <w:color w:val="auto"/>
        </w:rPr>
      </w:pPr>
      <w:r>
        <w:rPr>
          <w:rFonts w:ascii="Times New Roman" w:cs="Times New Roman" w:eastAsia="Times New Roman" w:hAnsi="Times New Roman"/>
          <w:sz w:val="15"/>
          <w:szCs w:val="15"/>
          <w:color w:val="auto"/>
        </w:rPr>
        <w:t>On May 20, 2021, the Company was served with a notice of application for enforcement of a foreign judgment with respect to a matter brought by the Trinidad &amp; Tobago Electric Commission (“TTEC”) in the High Court of Justice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5"/>
          <w:szCs w:val="15"/>
          <w:color w:val="auto"/>
        </w:rPr>
        <w:t>in the Republic of Trinidad and Tobago in August 2013 against the Company and other defendants, alleging breach of contract due to the Company’s failure to pay TTEC in connection with amounts alleged to be owed as reimbursement for cable repair costs. In May 2015, the Company failed to appear in the matter and a default judgment was entered against the Company in the amount of approximately $2.8 million. In May 2021, TTEC took steps to enforce the judgment by commencing proceedings against GTT in Guyana, however, in May of 2022, the High Court of Guyana denied TTEC’s petition and TTEC has appealed the decision before Guyana’s Court of Appeal. GTT intends to continue to defend its position against the legitimacy of the claim.</w:t>
      </w:r>
    </w:p>
    <w:p>
      <w:pPr>
        <w:spacing w:after="0" w:line="189" w:lineRule="exact"/>
        <w:rPr>
          <w:sz w:val="20"/>
          <w:szCs w:val="20"/>
          <w:color w:val="auto"/>
        </w:rPr>
      </w:pPr>
    </w:p>
    <w:p>
      <w:pPr>
        <w:jc w:val="both"/>
        <w:ind w:left="40" w:right="39" w:firstLine="538"/>
        <w:spacing w:after="0" w:line="252" w:lineRule="auto"/>
        <w:rPr>
          <w:sz w:val="20"/>
          <w:szCs w:val="20"/>
          <w:color w:val="auto"/>
        </w:rPr>
      </w:pPr>
      <w:r>
        <w:rPr>
          <w:rFonts w:ascii="Times New Roman" w:cs="Times New Roman" w:eastAsia="Times New Roman" w:hAnsi="Times New Roman"/>
          <w:sz w:val="15"/>
          <w:szCs w:val="15"/>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w:t>
      </w:r>
    </w:p>
    <w:p>
      <w:pPr>
        <w:spacing w:after="0" w:line="158" w:lineRule="exact"/>
        <w:rPr>
          <w:sz w:val="20"/>
          <w:szCs w:val="20"/>
          <w:color w:val="auto"/>
        </w:rPr>
      </w:pPr>
    </w:p>
    <w:p>
      <w:pPr>
        <w:jc w:val="both"/>
        <w:ind w:left="40" w:right="59" w:firstLine="538"/>
        <w:spacing w:after="0" w:line="256" w:lineRule="auto"/>
        <w:rPr>
          <w:sz w:val="20"/>
          <w:szCs w:val="20"/>
          <w:color w:val="auto"/>
        </w:rPr>
      </w:pPr>
      <w:r>
        <w:rPr>
          <w:rFonts w:ascii="Times New Roman" w:cs="Times New Roman" w:eastAsia="Times New Roman" w:hAnsi="Times New Roman"/>
          <w:sz w:val="15"/>
          <w:szCs w:val="15"/>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At this time, the Company cannot predict the outcome of the FCC Enforcement Bureau’s inquiry or the impact it may have on its business, financial condition, results of operations or liquidity.</w:t>
      </w:r>
    </w:p>
    <w:p>
      <w:pPr>
        <w:spacing w:after="0" w:line="155"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With respect to all of the foregoing matters, the Company believes that some adverse outcome is probable and has accordingly accrued $11.7 million as of September 30, 2022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15. SUBSEQUENT EVENTS</w:t>
      </w:r>
    </w:p>
    <w:p>
      <w:pPr>
        <w:spacing w:after="0" w:line="190" w:lineRule="exact"/>
        <w:rPr>
          <w:sz w:val="20"/>
          <w:szCs w:val="20"/>
          <w:color w:val="auto"/>
        </w:rPr>
      </w:pPr>
    </w:p>
    <w:p>
      <w:pPr>
        <w:jc w:val="both"/>
        <w:ind w:left="40" w:right="399" w:firstLine="538"/>
        <w:spacing w:after="0" w:line="258" w:lineRule="auto"/>
        <w:rPr>
          <w:sz w:val="20"/>
          <w:szCs w:val="20"/>
          <w:color w:val="auto"/>
        </w:rPr>
      </w:pPr>
      <w:r>
        <w:rPr>
          <w:rFonts w:ascii="Times New Roman" w:cs="Times New Roman" w:eastAsia="Times New Roman" w:hAnsi="Times New Roman"/>
          <w:sz w:val="15"/>
          <w:szCs w:val="15"/>
          <w:color w:val="auto"/>
        </w:rPr>
        <w:t>On November 7, 2022, CoBank and the Company amended the 2019 Credit Facility to, among other items, consent to the Company’s Sacred Wind Transaction and amend the calculation of the Total Leverage Ratio covenant to allow for the Company to guarantee indebtedness expected to be incurred in connection with the Remove and Replace project. A copy of the amendment is filed as Exhibit 10.1 to this Quarterly Report.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See Note 6 for a discussion of our acquisition of Sacred Wind Enterprises.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See Note 9 for a discussion regarding government grants to be received for our fiber builds in the southwestern United States and Alaska.</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MANAGEMENT’S DISCUSSION AND ANALYSIS OF FINANCIAL CONDITION AND RESULTS OF OPERATIONS</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0" w:lineRule="exact"/>
        <w:rPr>
          <w:sz w:val="20"/>
          <w:szCs w:val="20"/>
          <w:color w:val="auto"/>
        </w:rPr>
      </w:pPr>
    </w:p>
    <w:p>
      <w:pPr>
        <w:ind w:left="40" w:right="119" w:firstLine="425"/>
        <w:spacing w:after="0" w:line="256" w:lineRule="auto"/>
        <w:rPr>
          <w:sz w:val="20"/>
          <w:szCs w:val="20"/>
          <w:color w:val="auto"/>
        </w:rPr>
      </w:pPr>
      <w:r>
        <w:rPr>
          <w:rFonts w:ascii="Times New Roman" w:cs="Times New Roman" w:eastAsia="Times New Roman" w:hAnsi="Times New Roman"/>
          <w:sz w:val="15"/>
          <w:szCs w:val="15"/>
          <w:color w:val="auto"/>
        </w:rPr>
        <w:t>We are a provider of digital infrastructure and communications services in the United States and internationally, including the Caribbean region, with a focus on rural and remote markets with a growing demand for infrastructure investments. Our operating subsidiaries today primarily provide: (i) advanced wireless and wireline connectivity to residential, business and government customers, including a range of high-speed Internet and data services, fixed and mobile wireless solutions, and video and voice services; and (ii) carrier and enterprise communications services, such as terrestrial and submarine fiber optic transport, and communications tower facilities.</w:t>
      </w:r>
    </w:p>
    <w:p>
      <w:pPr>
        <w:spacing w:after="0" w:line="155" w:lineRule="exact"/>
        <w:rPr>
          <w:sz w:val="20"/>
          <w:szCs w:val="20"/>
          <w:color w:val="auto"/>
        </w:rPr>
      </w:pPr>
    </w:p>
    <w:p>
      <w:pPr>
        <w:jc w:val="both"/>
        <w:ind w:left="60" w:right="239" w:firstLine="395"/>
        <w:spacing w:after="0" w:line="252" w:lineRule="auto"/>
        <w:rPr>
          <w:sz w:val="20"/>
          <w:szCs w:val="20"/>
          <w:color w:val="auto"/>
        </w:rPr>
      </w:pPr>
      <w:r>
        <w:rPr>
          <w:rFonts w:ascii="Times New Roman" w:cs="Times New Roman" w:eastAsia="Times New Roman" w:hAnsi="Times New Roman"/>
          <w:sz w:val="15"/>
          <w:szCs w:val="15"/>
          <w:color w:val="auto"/>
        </w:rPr>
        <w:t>At the holding company level, we oversee the allocation of capital within and among our subsidiaries, affiliates, new investments, and stockholders. We also have developed significant operational expertise and resources that we use to augment the capabilities of our individual operating subsidiaries in our local markets. Over the past 10 years, we have built a platform of resources and expertise to support our operating subsidiaries and to improve their quality of service with greater economies of scale and expertise than would typically be available at the operating subsidiary level. We also provide management, technical, financial, regulatory, and marketing services to our operating subsidiaries and typically receive a management fee calculated as a percentage of their revenues, which is eliminated in consolidation. We also actively evaluate potential acquisitions, investment opportunities and other strategic transactions, both domestic and international, and generally look for those that we believe fit our profile of telecommunications businesses and have the potential to complement our “glass and steel” and “fiber first” approach in markets while generating steady excess cash flows over extended periods of time. We use the cash generated from our operations to re-invest in organic growth in our existing businesses, to make strategic investments in additional businesses, and to return cash to our investors through dividends or stock repurchases.</w:t>
      </w:r>
    </w:p>
    <w:p>
      <w:pPr>
        <w:spacing w:after="0" w:line="158" w:lineRule="exact"/>
        <w:rPr>
          <w:sz w:val="20"/>
          <w:szCs w:val="20"/>
          <w:color w:val="auto"/>
        </w:rPr>
      </w:pPr>
    </w:p>
    <w:p>
      <w:pPr>
        <w:ind w:left="60" w:right="179" w:firstLine="395"/>
        <w:spacing w:after="0" w:line="277" w:lineRule="auto"/>
        <w:rPr>
          <w:sz w:val="20"/>
          <w:szCs w:val="20"/>
          <w:color w:val="auto"/>
        </w:rPr>
      </w:pPr>
      <w:r>
        <w:rPr>
          <w:rFonts w:ascii="Times New Roman" w:cs="Times New Roman" w:eastAsia="Times New Roman" w:hAnsi="Times New Roman"/>
          <w:sz w:val="15"/>
          <w:szCs w:val="15"/>
          <w:color w:val="auto"/>
        </w:rPr>
        <w:t>For further information about our financial segments and geographical information about our operating revenues and assets, see Notes 1 and 13 to the Consolidated Financial Statements included in this Report.</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we offer the following types of services to our customers:</w:t>
      </w:r>
    </w:p>
    <w:p>
      <w:pPr>
        <w:spacing w:after="0" w:line="182" w:lineRule="exact"/>
        <w:rPr>
          <w:sz w:val="20"/>
          <w:szCs w:val="20"/>
          <w:color w:val="auto"/>
        </w:rPr>
      </w:pPr>
    </w:p>
    <w:p>
      <w:pPr>
        <w:ind w:left="1020" w:right="139" w:hanging="279"/>
        <w:spacing w:after="0" w:line="283" w:lineRule="auto"/>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Mobility Telecommunications Services</w:t>
      </w:r>
      <w:r>
        <w:rPr>
          <w:rFonts w:ascii="Times New Roman" w:cs="Times New Roman" w:eastAsia="Times New Roman" w:hAnsi="Times New Roman"/>
          <w:sz w:val="15"/>
          <w:szCs w:val="15"/>
          <w:color w:val="auto"/>
        </w:rPr>
        <w:t>. We offer mobile communications services and equipment (“Mobility”) over our wireless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networks to both our business and consumer subscribers.</w:t>
      </w:r>
    </w:p>
    <w:p>
      <w:pPr>
        <w:spacing w:after="0" w:line="130" w:lineRule="exact"/>
        <w:rPr>
          <w:rFonts w:ascii="Times New Roman" w:cs="Times New Roman" w:eastAsia="Times New Roman" w:hAnsi="Times New Roman"/>
          <w:sz w:val="15"/>
          <w:szCs w:val="15"/>
          <w:color w:val="auto"/>
        </w:rPr>
      </w:pPr>
    </w:p>
    <w:p>
      <w:pPr>
        <w:jc w:val="both"/>
        <w:ind w:left="1020" w:right="139" w:hanging="279"/>
        <w:spacing w:after="0" w:line="260" w:lineRule="auto"/>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Fixed Telecommunications Services</w:t>
      </w:r>
      <w:r>
        <w:rPr>
          <w:rFonts w:ascii="Times New Roman" w:cs="Times New Roman" w:eastAsia="Times New Roman" w:hAnsi="Times New Roman"/>
          <w:sz w:val="15"/>
          <w:szCs w:val="15"/>
          <w:color w:val="auto"/>
        </w:rPr>
        <w:t>. We provide fixed data and voice telecommunications services (“Fixed”) to both our business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consumer subscribers in all of our markets. These services include consumer broadband and high speed data solutions for businesses. For some markets, fixed services also include video services and revenue derived from support under certain government programs.</w:t>
      </w:r>
    </w:p>
    <w:p>
      <w:pPr>
        <w:spacing w:after="0" w:line="148" w:lineRule="exact"/>
        <w:rPr>
          <w:rFonts w:ascii="Times New Roman" w:cs="Times New Roman" w:eastAsia="Times New Roman" w:hAnsi="Times New Roman"/>
          <w:sz w:val="15"/>
          <w:szCs w:val="15"/>
          <w:color w:val="auto"/>
        </w:rPr>
      </w:pPr>
    </w:p>
    <w:p>
      <w:pPr>
        <w:jc w:val="both"/>
        <w:ind w:left="1020" w:right="139" w:hanging="279"/>
        <w:spacing w:after="0" w:line="266" w:lineRule="auto"/>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Carrier Telecommunication Services</w:t>
      </w:r>
      <w:r>
        <w:rPr>
          <w:rFonts w:ascii="Times New Roman" w:cs="Times New Roman" w:eastAsia="Times New Roman" w:hAnsi="Times New Roman"/>
          <w:sz w:val="15"/>
          <w:szCs w:val="15"/>
          <w:color w:val="auto"/>
        </w:rPr>
        <w:t>. We deliver services (“Carrier Services”) such as wholesale roaming, the leasing of critical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network infrastructure such as tower and transport facilities, site maintenance and international long-distance services to other telecommunications providers.</w:t>
      </w:r>
    </w:p>
    <w:p>
      <w:pPr>
        <w:spacing w:after="0" w:line="143" w:lineRule="exact"/>
        <w:rPr>
          <w:rFonts w:ascii="Times New Roman" w:cs="Times New Roman" w:eastAsia="Times New Roman" w:hAnsi="Times New Roman"/>
          <w:sz w:val="15"/>
          <w:szCs w:val="15"/>
          <w:color w:val="auto"/>
        </w:rPr>
      </w:pPr>
    </w:p>
    <w:p>
      <w:pPr>
        <w:ind w:left="1020" w:right="179" w:hanging="279"/>
        <w:spacing w:after="0" w:line="320"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Managed Services</w:t>
      </w:r>
      <w:r>
        <w:rPr>
          <w:rFonts w:ascii="Times New Roman" w:cs="Times New Roman" w:eastAsia="Times New Roman" w:hAnsi="Times New Roman"/>
          <w:sz w:val="14"/>
          <w:szCs w:val="14"/>
          <w:color w:val="auto"/>
        </w:rPr>
        <w:t>. We provide information technology services (“Managed Services”) such as network, application, infrastructure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hosting services to both our business and consumer customers to complement our Fixed Services in our existing markets.</w:t>
      </w:r>
    </w:p>
    <w:p>
      <w:pPr>
        <w:spacing w:after="0" w:line="112" w:lineRule="exact"/>
        <w:rPr>
          <w:sz w:val="20"/>
          <w:szCs w:val="20"/>
          <w:color w:val="auto"/>
        </w:rPr>
      </w:pPr>
    </w:p>
    <w:p>
      <w:pPr>
        <w:ind w:left="40" w:right="259" w:firstLine="538"/>
        <w:spacing w:after="0" w:line="277" w:lineRule="auto"/>
        <w:rPr>
          <w:sz w:val="20"/>
          <w:szCs w:val="20"/>
          <w:color w:val="auto"/>
        </w:rPr>
      </w:pPr>
      <w:r>
        <w:rPr>
          <w:rFonts w:ascii="Times New Roman" w:cs="Times New Roman" w:eastAsia="Times New Roman" w:hAnsi="Times New Roman"/>
          <w:sz w:val="15"/>
          <w:szCs w:val="15"/>
          <w:color w:val="auto"/>
        </w:rPr>
        <w:t>Through September 30, 2022, we have identified three operating segments to manage and review our operations and to facilitate investor presentations of our results. These three operating segments are as follows:</w:t>
      </w:r>
    </w:p>
    <w:p>
      <w:pPr>
        <w:spacing w:after="0" w:line="136" w:lineRule="exact"/>
        <w:rPr>
          <w:sz w:val="20"/>
          <w:szCs w:val="20"/>
          <w:color w:val="auto"/>
        </w:rPr>
      </w:pPr>
    </w:p>
    <w:p>
      <w:pPr>
        <w:ind w:left="1020" w:right="339" w:hanging="267"/>
        <w:spacing w:after="0" w:line="283"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International Telecom. </w:t>
      </w:r>
      <w:r>
        <w:rPr>
          <w:rFonts w:ascii="Times New Roman" w:cs="Times New Roman" w:eastAsia="Times New Roman" w:hAnsi="Times New Roman"/>
          <w:sz w:val="15"/>
          <w:szCs w:val="15"/>
          <w:color w:val="auto"/>
        </w:rPr>
        <w:t>In our international markets, we offer Fixed Services, Mobility Services, Carrier Services and Managed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Services to customers in Bermuda, the Cayman Islands, Guyana and the US Virgin Islands.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20" w:right="1680" w:hanging="267"/>
        <w:spacing w:after="0" w:line="320" w:lineRule="auto"/>
        <w:tabs>
          <w:tab w:leader="none" w:pos="10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US Telecom. </w:t>
      </w:r>
      <w:r>
        <w:rPr>
          <w:rFonts w:ascii="Times New Roman" w:cs="Times New Roman" w:eastAsia="Times New Roman" w:hAnsi="Times New Roman"/>
          <w:sz w:val="14"/>
          <w:szCs w:val="14"/>
          <w:color w:val="auto"/>
        </w:rPr>
        <w:t>In the United States, we offer Fixed Services, Carrier Services, and Managed Services to business and consumer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customers in Alaska and the western United States. In the western United States, we also provide Mobility Services</w:t>
      </w:r>
    </w:p>
    <w:p>
      <w:pPr>
        <w:spacing w:after="0" w:line="108" w:lineRule="exact"/>
        <w:rPr>
          <w:rFonts w:ascii="Times New Roman" w:cs="Times New Roman" w:eastAsia="Times New Roman" w:hAnsi="Times New Roman"/>
          <w:sz w:val="14"/>
          <w:szCs w:val="14"/>
          <w:color w:val="auto"/>
        </w:rPr>
      </w:pPr>
    </w:p>
    <w:p>
      <w:pPr>
        <w:ind w:left="1020" w:right="1680" w:hanging="267"/>
        <w:spacing w:after="0" w:line="283" w:lineRule="auto"/>
        <w:tabs>
          <w:tab w:leader="none" w:pos="10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Renewable Energy. </w:t>
      </w:r>
      <w:r>
        <w:rPr>
          <w:rFonts w:ascii="Times New Roman" w:cs="Times New Roman" w:eastAsia="Times New Roman" w:hAnsi="Times New Roman"/>
          <w:sz w:val="15"/>
          <w:szCs w:val="15"/>
          <w:color w:val="auto"/>
        </w:rPr>
        <w:t>In India, we provided distributed generation solar power to commercial and industrial customers through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January 27, 2021. See </w:t>
      </w:r>
      <w:r>
        <w:rPr>
          <w:rFonts w:ascii="Times New Roman" w:cs="Times New Roman" w:eastAsia="Times New Roman" w:hAnsi="Times New Roman"/>
          <w:sz w:val="15"/>
          <w:szCs w:val="15"/>
          <w:i w:val="1"/>
          <w:iCs w:val="1"/>
          <w:color w:val="auto"/>
        </w:rPr>
        <w:t>Disposition of International Solar Business</w:t>
      </w:r>
      <w:r>
        <w:rPr>
          <w:rFonts w:ascii="Times New Roman" w:cs="Times New Roman" w:eastAsia="Times New Roman" w:hAnsi="Times New Roman"/>
          <w:sz w:val="15"/>
          <w:szCs w:val="15"/>
          <w:color w:val="auto"/>
        </w:rPr>
        <w:t xml:space="preserve"> for further details.</w:t>
      </w:r>
    </w:p>
    <w:p>
      <w:pPr>
        <w:spacing w:after="0" w:line="135" w:lineRule="exact"/>
        <w:rPr>
          <w:sz w:val="20"/>
          <w:szCs w:val="20"/>
          <w:color w:val="auto"/>
        </w:rPr>
      </w:pPr>
    </w:p>
    <w:p>
      <w:pPr>
        <w:ind w:left="40" w:right="1380" w:firstLine="538"/>
        <w:spacing w:after="0" w:line="277" w:lineRule="auto"/>
        <w:rPr>
          <w:sz w:val="20"/>
          <w:szCs w:val="20"/>
          <w:color w:val="auto"/>
        </w:rPr>
      </w:pPr>
      <w:r>
        <w:rPr>
          <w:rFonts w:ascii="Times New Roman" w:cs="Times New Roman" w:eastAsia="Times New Roman" w:hAnsi="Times New Roman"/>
          <w:sz w:val="15"/>
          <w:szCs w:val="15"/>
          <w:color w:val="auto"/>
        </w:rPr>
        <w:t>The following chart summarizes the operating activities of our principal subsidiaries, the segments in which we report our revenue and the markets we served as of September 30, 2022:</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Segment</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Services</w:t>
            </w:r>
          </w:p>
        </w:tc>
        <w:tc>
          <w:tcPr>
            <w:tcW w:w="3360" w:type="dxa"/>
            <w:vAlign w:val="bottom"/>
            <w:gridSpan w:val="2"/>
          </w:tcPr>
          <w:p>
            <w:pPr>
              <w:ind w:left="1420"/>
              <w:spacing w:after="0"/>
              <w:rPr>
                <w:sz w:val="20"/>
                <w:szCs w:val="20"/>
                <w:color w:val="auto"/>
              </w:rPr>
            </w:pPr>
            <w:r>
              <w:rPr>
                <w:rFonts w:ascii="Times New Roman" w:cs="Times New Roman" w:eastAsia="Times New Roman" w:hAnsi="Times New Roman"/>
                <w:sz w:val="12"/>
                <w:szCs w:val="12"/>
                <w:b w:val="1"/>
                <w:bCs w:val="1"/>
                <w:color w:val="auto"/>
              </w:rPr>
              <w:t>Markets</w:t>
            </w:r>
          </w:p>
        </w:tc>
        <w:tc>
          <w:tcPr>
            <w:tcW w:w="4120" w:type="dxa"/>
            <w:vAlign w:val="bottom"/>
          </w:tcPr>
          <w:p>
            <w:pPr>
              <w:ind w:left="1840"/>
              <w:spacing w:after="0"/>
              <w:rPr>
                <w:sz w:val="20"/>
                <w:szCs w:val="20"/>
                <w:color w:val="auto"/>
              </w:rPr>
            </w:pPr>
            <w:r>
              <w:rPr>
                <w:rFonts w:ascii="Times New Roman" w:cs="Times New Roman" w:eastAsia="Times New Roman" w:hAnsi="Times New Roman"/>
                <w:sz w:val="12"/>
                <w:szCs w:val="12"/>
                <w:b w:val="1"/>
                <w:bCs w:val="1"/>
                <w:color w:val="auto"/>
              </w:rPr>
              <w:t>Tradenames</w:t>
            </w:r>
          </w:p>
        </w:tc>
      </w:tr>
      <w:tr>
        <w:trPr>
          <w:trHeight w:val="170"/>
        </w:trPr>
        <w:tc>
          <w:tcPr>
            <w:tcW w:w="14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w w:val="96"/>
              </w:rPr>
              <w:t>International Telecom</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Mobility Services</w:t>
            </w:r>
          </w:p>
        </w:tc>
        <w:tc>
          <w:tcPr>
            <w:tcW w:w="100" w:type="dxa"/>
            <w:vAlign w:val="bottom"/>
            <w:tcBorders>
              <w:top w:val="single" w:sz="8" w:color="CCEEFF"/>
            </w:tcBorders>
            <w:shd w:val="clear" w:color="auto" w:fill="CCEEFF"/>
          </w:tcPr>
          <w:p>
            <w:pPr>
              <w:spacing w:after="0"/>
              <w:rPr>
                <w:sz w:val="14"/>
                <w:szCs w:val="14"/>
                <w:color w:val="auto"/>
              </w:rPr>
            </w:pPr>
          </w:p>
        </w:tc>
        <w:tc>
          <w:tcPr>
            <w:tcW w:w="326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Bermuda, Guyana, US Virgin Islands</w:t>
            </w:r>
          </w:p>
        </w:tc>
        <w:tc>
          <w:tcPr>
            <w:tcW w:w="100" w:type="dxa"/>
            <w:vAlign w:val="bottom"/>
            <w:tcBorders>
              <w:top w:val="single" w:sz="8" w:color="CCEEFF"/>
            </w:tcBorders>
            <w:shd w:val="clear" w:color="auto" w:fill="CCEEFF"/>
          </w:tcPr>
          <w:p>
            <w:pPr>
              <w:spacing w:after="0"/>
              <w:rPr>
                <w:sz w:val="14"/>
                <w:szCs w:val="14"/>
                <w:color w:val="auto"/>
              </w:rPr>
            </w:pPr>
          </w:p>
        </w:tc>
        <w:tc>
          <w:tcPr>
            <w:tcW w:w="41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One, GTT, Viya</w:t>
            </w:r>
          </w:p>
        </w:tc>
      </w:tr>
      <w:tr>
        <w:trPr>
          <w:trHeight w:val="179"/>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Fixed Services</w:t>
            </w:r>
          </w:p>
        </w:tc>
        <w:tc>
          <w:tcPr>
            <w:tcW w:w="3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Bermuda, Cayman Islands, Guyana, US Virgin Islands</w:t>
            </w: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One, Logic, GTT, Viya</w:t>
            </w:r>
          </w:p>
        </w:tc>
      </w:tr>
      <w:tr>
        <w:trPr>
          <w:trHeight w:val="179"/>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Carrier Services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Bermuda, Guyana, US Virgin Islands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One, GTT, Viya</w:t>
            </w:r>
          </w:p>
        </w:tc>
      </w:tr>
      <w:tr>
        <w:trPr>
          <w:trHeight w:val="179"/>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Managed Services</w:t>
            </w:r>
          </w:p>
        </w:tc>
        <w:tc>
          <w:tcPr>
            <w:tcW w:w="3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Bermuda, Cayman Islands, US Virgin Islands, Guyana</w:t>
            </w: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Fireminds, One, Logic, GTT, Viya</w:t>
            </w:r>
          </w:p>
        </w:tc>
      </w:tr>
      <w:tr>
        <w:trPr>
          <w:trHeight w:val="170"/>
        </w:trPr>
        <w:tc>
          <w:tcPr>
            <w:tcW w:w="14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US Telecom</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Mobility Services</w:t>
            </w:r>
          </w:p>
        </w:tc>
        <w:tc>
          <w:tcPr>
            <w:tcW w:w="100" w:type="dxa"/>
            <w:vAlign w:val="bottom"/>
            <w:tcBorders>
              <w:top w:val="single" w:sz="8" w:color="CCEEFF"/>
            </w:tcBorders>
            <w:shd w:val="clear" w:color="auto" w:fill="CCEEFF"/>
          </w:tcPr>
          <w:p>
            <w:pPr>
              <w:spacing w:after="0"/>
              <w:rPr>
                <w:sz w:val="14"/>
                <w:szCs w:val="14"/>
                <w:color w:val="auto"/>
              </w:rPr>
            </w:pPr>
          </w:p>
        </w:tc>
        <w:tc>
          <w:tcPr>
            <w:tcW w:w="326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United States (rural markets)</w:t>
            </w:r>
          </w:p>
        </w:tc>
        <w:tc>
          <w:tcPr>
            <w:tcW w:w="100" w:type="dxa"/>
            <w:vAlign w:val="bottom"/>
            <w:tcBorders>
              <w:top w:val="single" w:sz="8" w:color="CCEEFF"/>
            </w:tcBorders>
            <w:shd w:val="clear" w:color="auto" w:fill="CCEEFF"/>
          </w:tcPr>
          <w:p>
            <w:pPr>
              <w:spacing w:after="0"/>
              <w:rPr>
                <w:sz w:val="14"/>
                <w:szCs w:val="14"/>
                <w:color w:val="auto"/>
              </w:rPr>
            </w:pPr>
          </w:p>
        </w:tc>
        <w:tc>
          <w:tcPr>
            <w:tcW w:w="412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Choice, Choice NTUA Wireless</w:t>
            </w:r>
          </w:p>
        </w:tc>
      </w:tr>
      <w:tr>
        <w:trPr>
          <w:trHeight w:val="179"/>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Fixed Services</w:t>
            </w:r>
          </w:p>
        </w:tc>
        <w:tc>
          <w:tcPr>
            <w:tcW w:w="3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w w:val="99"/>
              </w:rPr>
              <w:t>Alaska Communications, Commnet Broadband, Choice NTUA Wire</w:t>
            </w:r>
          </w:p>
        </w:tc>
      </w:tr>
      <w:tr>
        <w:trPr>
          <w:trHeight w:val="179"/>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Carrier Services</w:t>
            </w: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Alaska Communications, Commnet, Essextel</w:t>
            </w:r>
          </w:p>
        </w:tc>
      </w:tr>
      <w:tr>
        <w:trPr>
          <w:trHeight w:val="179"/>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Managed Services</w:t>
            </w:r>
          </w:p>
        </w:tc>
        <w:tc>
          <w:tcPr>
            <w:tcW w:w="3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Alaska Communications, Commnet Broadband</w:t>
            </w:r>
          </w:p>
        </w:tc>
      </w:tr>
      <w:tr>
        <w:trPr>
          <w:trHeight w:val="152"/>
        </w:trPr>
        <w:tc>
          <w:tcPr>
            <w:tcW w:w="140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5"/>
                <w:szCs w:val="15"/>
                <w:b w:val="1"/>
                <w:bCs w:val="1"/>
                <w:color w:val="auto"/>
              </w:rPr>
              <w:t>Renewable Energy</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Solar</w:t>
            </w:r>
          </w:p>
        </w:tc>
        <w:tc>
          <w:tcPr>
            <w:tcW w:w="100" w:type="dxa"/>
            <w:vAlign w:val="bottom"/>
            <w:tcBorders>
              <w:top w:val="single" w:sz="8" w:color="CCEEFF"/>
            </w:tcBorders>
            <w:shd w:val="clear" w:color="auto" w:fill="CCEEFF"/>
          </w:tcPr>
          <w:p>
            <w:pPr>
              <w:spacing w:after="0"/>
              <w:rPr>
                <w:sz w:val="13"/>
                <w:szCs w:val="13"/>
                <w:color w:val="auto"/>
              </w:rPr>
            </w:pPr>
          </w:p>
        </w:tc>
        <w:tc>
          <w:tcPr>
            <w:tcW w:w="326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India</w:t>
            </w:r>
          </w:p>
        </w:tc>
        <w:tc>
          <w:tcPr>
            <w:tcW w:w="100" w:type="dxa"/>
            <w:vAlign w:val="bottom"/>
            <w:tcBorders>
              <w:top w:val="single" w:sz="8" w:color="CCEEFF"/>
            </w:tcBorders>
            <w:shd w:val="clear" w:color="auto" w:fill="CCEEFF"/>
          </w:tcPr>
          <w:p>
            <w:pPr>
              <w:spacing w:after="0"/>
              <w:rPr>
                <w:sz w:val="13"/>
                <w:szCs w:val="13"/>
                <w:color w:val="auto"/>
              </w:rPr>
            </w:pPr>
          </w:p>
        </w:tc>
        <w:tc>
          <w:tcPr>
            <w:tcW w:w="412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Vibrant Energy</w:t>
            </w:r>
          </w:p>
        </w:tc>
      </w:tr>
      <w:tr>
        <w:trPr>
          <w:trHeight w:val="197"/>
        </w:trPr>
        <w:tc>
          <w:tcPr>
            <w:tcW w:w="1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(1)</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120" w:type="dxa"/>
            <w:vAlign w:val="bottom"/>
            <w:tcBorders>
              <w:bottom w:val="single" w:sz="8" w:color="auto"/>
            </w:tcBorders>
            <w:shd w:val="clear" w:color="auto" w:fill="CCEEFF"/>
          </w:tcPr>
          <w:p>
            <w:pPr>
              <w:spacing w:after="0"/>
              <w:rPr>
                <w:sz w:val="17"/>
                <w:szCs w:val="17"/>
                <w:color w:val="auto"/>
              </w:rPr>
            </w:pPr>
          </w:p>
        </w:tc>
      </w:tr>
    </w:tbl>
    <w:p>
      <w:pPr>
        <w:spacing w:after="0" w:line="163" w:lineRule="exact"/>
        <w:rPr>
          <w:sz w:val="20"/>
          <w:szCs w:val="20"/>
          <w:color w:val="auto"/>
        </w:rPr>
      </w:pPr>
    </w:p>
    <w:p>
      <w:pPr>
        <w:ind w:left="860" w:hanging="264"/>
        <w:spacing w:after="0"/>
        <w:tabs>
          <w:tab w:leader="none" w:pos="8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Disposition of International Solar Business</w:t>
      </w:r>
      <w:r>
        <w:rPr>
          <w:rFonts w:ascii="Times New Roman" w:cs="Times New Roman" w:eastAsia="Times New Roman" w:hAnsi="Times New Roman"/>
          <w:sz w:val="15"/>
          <w:szCs w:val="15"/>
          <w:color w:val="auto"/>
        </w:rPr>
        <w:t xml:space="preserve"> for further details.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25" w:lineRule="exact"/>
        <w:rPr>
          <w:rFonts w:ascii="Times New Roman" w:cs="Times New Roman" w:eastAsia="Times New Roman" w:hAnsi="Times New Roman"/>
          <w:sz w:val="15"/>
          <w:szCs w:val="15"/>
          <w:color w:val="auto"/>
        </w:rPr>
      </w:pPr>
    </w:p>
    <w:p>
      <w:pPr>
        <w:ind w:left="44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10220"/>
          </w:cols>
          <w:pgMar w:left="1440" w:top="450" w:right="239"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Acquisition of Sacred Wind Enterprises</w:t>
      </w:r>
    </w:p>
    <w:p>
      <w:pPr>
        <w:spacing w:after="0" w:line="190" w:lineRule="exact"/>
        <w:rPr>
          <w:sz w:val="20"/>
          <w:szCs w:val="20"/>
          <w:color w:val="auto"/>
        </w:rPr>
      </w:pPr>
    </w:p>
    <w:p>
      <w:pPr>
        <w:ind w:left="40" w:right="119" w:firstLine="538"/>
        <w:spacing w:after="0" w:line="276" w:lineRule="auto"/>
        <w:rPr>
          <w:sz w:val="20"/>
          <w:szCs w:val="20"/>
          <w:color w:val="auto"/>
        </w:rPr>
      </w:pPr>
      <w:r>
        <w:rPr>
          <w:rFonts w:ascii="Times New Roman" w:cs="Times New Roman" w:eastAsia="Times New Roman" w:hAnsi="Times New Roman"/>
          <w:sz w:val="14"/>
          <w:szCs w:val="14"/>
          <w:color w:val="auto"/>
        </w:rPr>
        <w:t>On November 7, 2022, we, via our newly formed wholly owned subsidiary Alloy, Inc. (“Alloy”), acquired all of the issued and outstanding stock of Sacred Wind Enterprises, Inc. (“Sacred Wind”), a rural telecommunications provider in New Mexico (the “Sacred Wind Transaction”). As part of the Sacred Wind Transaction, we paid approximately $27 million in cash and, following the contribution of all of our ownership interests in our Commnet business to Alloy, issued approximately 6% of the fully diluted shares in Alloy to the Sacred Wind stockholders. We will also assume Sacred Wind’s debt of approximately $32 million, to the Rural Utilities Services. In addition, the Purchase Agreement includes certain earn-outs, based on various performance measures, the values of which are currently being assessed, to be paid to the Sacred Wind stockholders.</w:t>
      </w:r>
    </w:p>
    <w:p>
      <w:pPr>
        <w:spacing w:after="0" w:line="144" w:lineRule="exact"/>
        <w:rPr>
          <w:sz w:val="20"/>
          <w:szCs w:val="20"/>
          <w:color w:val="auto"/>
        </w:rPr>
      </w:pPr>
    </w:p>
    <w:p>
      <w:pPr>
        <w:ind w:left="40" w:right="419" w:firstLine="538"/>
        <w:spacing w:after="0" w:line="277" w:lineRule="auto"/>
        <w:rPr>
          <w:sz w:val="20"/>
          <w:szCs w:val="20"/>
          <w:color w:val="auto"/>
        </w:rPr>
      </w:pPr>
      <w:r>
        <w:rPr>
          <w:rFonts w:ascii="Times New Roman" w:cs="Times New Roman" w:eastAsia="Times New Roman" w:hAnsi="Times New Roman"/>
          <w:sz w:val="15"/>
          <w:szCs w:val="15"/>
          <w:color w:val="auto"/>
        </w:rPr>
        <w:t>We believe that the acquisition of Sacred Wind will expand our infrastructure reach and broadband services in the rural Southwest and increase our wholesale carrier, residential and business broadband services.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Acquisition of Alaska Communications</w:t>
      </w:r>
    </w:p>
    <w:p>
      <w:pPr>
        <w:spacing w:after="0" w:line="190" w:lineRule="exact"/>
        <w:rPr>
          <w:sz w:val="20"/>
          <w:szCs w:val="20"/>
          <w:color w:val="auto"/>
        </w:rPr>
      </w:pPr>
    </w:p>
    <w:p>
      <w:pPr>
        <w:jc w:val="both"/>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On July 22, 2021, we completed the acquisition of Alaska Communications Systems Group, Inc. (“Alaska Communications”), a publicly listed company, for approximately $339.5 million in cash, net of cash acquired, (the “Alaska Transaction”). Alaska Communications provides broadband telecommunication and managed information technology services to customers in the state of Alaska and beyond using its statewide and interstate telecommunications network.</w:t>
      </w:r>
    </w:p>
    <w:p>
      <w:pPr>
        <w:spacing w:after="0" w:line="154" w:lineRule="exact"/>
        <w:rPr>
          <w:sz w:val="20"/>
          <w:szCs w:val="20"/>
          <w:color w:val="auto"/>
        </w:rPr>
      </w:pPr>
    </w:p>
    <w:p>
      <w:pPr>
        <w:jc w:val="both"/>
        <w:ind w:left="40" w:right="59" w:firstLine="511"/>
        <w:spacing w:after="0" w:line="253" w:lineRule="auto"/>
        <w:rPr>
          <w:sz w:val="20"/>
          <w:szCs w:val="20"/>
          <w:color w:val="auto"/>
        </w:rPr>
      </w:pPr>
      <w:r>
        <w:rPr>
          <w:rFonts w:ascii="Times New Roman" w:cs="Times New Roman" w:eastAsia="Times New Roman" w:hAnsi="Times New Roman"/>
          <w:sz w:val="15"/>
          <w:szCs w:val="15"/>
          <w:color w:val="auto"/>
        </w:rPr>
        <w:t>In conjunction with the Alaska Transaction, we entered into an agreement with affiliates and investment funds managed by Freedom 3 Capital, LLC as well as other institutional investors (collectively the “Freedom 3 Investors”). The Freedom 3 Investors contributed $71.5 million in conjunction with the Alaska Transaction (the “Freedom 3 Investment”). The Freedom 3 Investment consists of common and preferred equity instruments in our subsidiary of which holds the ownership of Alaska Communications. We accounted for the Freedom 3 Investment as a redeemable noncontrolling interest in our consolidated financial statements and we also entered into a financing transaction drawing $220 million on a new credit facility to complete the Alaska Transaction. As a result of the Alaska Transaction, we own approximately 52% of the common equity of Alaska Communications and control its operations and management. Beginning on July 22, 2021, the results of Alaska Communications are included in our US Telecom segment.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See </w:t>
      </w:r>
      <w:r>
        <w:rPr>
          <w:rFonts w:ascii="Times New Roman" w:cs="Times New Roman" w:eastAsia="Times New Roman" w:hAnsi="Times New Roman"/>
          <w:sz w:val="15"/>
          <w:szCs w:val="15"/>
          <w:i w:val="1"/>
          <w:iCs w:val="1"/>
          <w:color w:val="auto"/>
        </w:rPr>
        <w:t>Liquidity and Capital Resources</w:t>
      </w:r>
      <w:r>
        <w:rPr>
          <w:rFonts w:ascii="Times New Roman" w:cs="Times New Roman" w:eastAsia="Times New Roman" w:hAnsi="Times New Roman"/>
          <w:sz w:val="15"/>
          <w:szCs w:val="15"/>
          <w:color w:val="auto"/>
        </w:rPr>
        <w:t xml:space="preserve"> for a discussion regarding the credit agreement used to help finance the Alaska Transaction.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Global Macroeconomic Conditions</w:t>
      </w:r>
    </w:p>
    <w:p>
      <w:pPr>
        <w:spacing w:after="0" w:line="190"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Our assessment of the impact of COVID-19 on our operations through September 30, 2022, did not indicate that there was a material adverse impact to our consolidated financial statements as of and for the three and nine months ended September 30, 2022. However, we may, in future periods, experience difficulty in procuring network or retail equipment, such as handsets for subscribers, as a result of COVID-19 restrictions and related supply chain challenges.</w:t>
      </w:r>
    </w:p>
    <w:p>
      <w:pPr>
        <w:spacing w:after="0" w:line="154" w:lineRule="exact"/>
        <w:rPr>
          <w:sz w:val="20"/>
          <w:szCs w:val="20"/>
          <w:color w:val="auto"/>
        </w:rPr>
      </w:pPr>
    </w:p>
    <w:p>
      <w:pPr>
        <w:jc w:val="both"/>
        <w:ind w:left="40" w:right="39" w:firstLine="538"/>
        <w:spacing w:after="0" w:line="253" w:lineRule="auto"/>
        <w:rPr>
          <w:sz w:val="20"/>
          <w:szCs w:val="20"/>
          <w:color w:val="auto"/>
        </w:rPr>
      </w:pPr>
      <w:r>
        <w:rPr>
          <w:rFonts w:ascii="Times New Roman" w:cs="Times New Roman" w:eastAsia="Times New Roman" w:hAnsi="Times New Roman"/>
          <w:sz w:val="15"/>
          <w:szCs w:val="15"/>
          <w:color w:val="auto"/>
        </w:rPr>
        <w:t>In addition to potential supply chain challenges, several of our markets have experienced an increase in operating costs, some of which we believe, is attributable to macro-economic conditions, including inflation. If these conditions continue or worsen, they could negatively impact us by increasing our operating expenses. These conditions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these conditions may result in build costs that exceed our original budget. To the extent that we are unable to pass on the impact of these conditions through increased prices, revised budget estimates, or offset them in other ways, such conditions may impact our financial condition and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Disposition of International Solar Business</w:t>
      </w:r>
    </w:p>
    <w:p>
      <w:pPr>
        <w:spacing w:after="0" w:line="190" w:lineRule="exact"/>
        <w:rPr>
          <w:sz w:val="20"/>
          <w:szCs w:val="20"/>
          <w:color w:val="auto"/>
        </w:rPr>
      </w:pPr>
    </w:p>
    <w:p>
      <w:pPr>
        <w:jc w:val="both"/>
        <w:ind w:left="40" w:right="59" w:firstLine="511"/>
        <w:spacing w:after="0" w:line="258" w:lineRule="auto"/>
        <w:rPr>
          <w:sz w:val="20"/>
          <w:szCs w:val="20"/>
          <w:color w:val="auto"/>
        </w:rPr>
      </w:pPr>
      <w:r>
        <w:rPr>
          <w:rFonts w:ascii="Times New Roman" w:cs="Times New Roman" w:eastAsia="Times New Roman" w:hAnsi="Times New Roman"/>
          <w:sz w:val="15"/>
          <w:szCs w:val="15"/>
          <w:color w:val="auto"/>
        </w:rPr>
        <w:t>In January 2021, we completed the sale of 67% of the outstanding equity in our business that owns and operates distributed generation solar power projects operated under the Vibrant name in India (the “Vibrant Transaction”). The post-sale results of our ownership interest in Vibrant will be recorded through the equity method of accounting within the Corporate and Other operating segment. We will continue to present the historical results of our Renewable Energy segment for comparative purposes.</w:t>
      </w:r>
    </w:p>
    <w:p>
      <w:pPr>
        <w:spacing w:after="0" w:line="154" w:lineRule="exact"/>
        <w:rPr>
          <w:sz w:val="20"/>
          <w:szCs w:val="20"/>
          <w:color w:val="auto"/>
        </w:rPr>
      </w:pPr>
    </w:p>
    <w:p>
      <w:pPr>
        <w:jc w:val="both"/>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The operations of Vibrant did not qualify as discontinued operations because the disposition did not represent a strategic shift that had a major effect on our operations and financial results.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FirstNet Agreement</w:t>
      </w:r>
    </w:p>
    <w:p>
      <w:pPr>
        <w:spacing w:after="0" w:line="190" w:lineRule="exact"/>
        <w:rPr>
          <w:sz w:val="20"/>
          <w:szCs w:val="20"/>
          <w:color w:val="auto"/>
        </w:rPr>
      </w:pPr>
    </w:p>
    <w:p>
      <w:pPr>
        <w:jc w:val="both"/>
        <w:ind w:left="40" w:right="39" w:firstLine="538"/>
        <w:spacing w:after="0" w:line="252" w:lineRule="auto"/>
        <w:rPr>
          <w:sz w:val="20"/>
          <w:szCs w:val="20"/>
          <w:color w:val="auto"/>
        </w:rPr>
      </w:pPr>
      <w:r>
        <w:rPr>
          <w:rFonts w:ascii="Times New Roman" w:cs="Times New Roman" w:eastAsia="Times New Roman" w:hAnsi="Times New Roman"/>
          <w:sz w:val="15"/>
          <w:szCs w:val="15"/>
          <w:color w:val="auto"/>
        </w:rPr>
        <w:t>In July 2019, we entered into a Network Build and Maintenance Agreement with AT&amp;T Mobility, LLC (“AT&amp;T”) that we amended in August 2020, May 2021 and August 2022 (the “FirstNet Agreement”). In connection with the FirstNet Agreement, we are building a portion of AT&amp;T’s network for the First Responder Network Authority (“FirstNet”) in or near our current operating area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Since inception of the project through September 30, 2022, we have recorded $52.1 million in construction revenue, including $8.6 million during 2022. In 2022 and 2023, we also expect to record additional construction revenue and related costs, as sites are completed. Revenues from construction are expected to have minimal impact on operating income. The network build portion of the FirstNet Agreement has continued during the COVID-19 pandemic, but the overall timing of the build schedule has been delayed.</w:t>
      </w:r>
    </w:p>
    <w:p>
      <w:pPr>
        <w:spacing w:after="0" w:line="162" w:lineRule="exact"/>
        <w:rPr>
          <w:sz w:val="20"/>
          <w:szCs w:val="20"/>
          <w:color w:val="auto"/>
        </w:rPr>
      </w:pPr>
    </w:p>
    <w:p>
      <w:pPr>
        <w:jc w:val="both"/>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2029.</w:t>
      </w:r>
    </w:p>
    <w:p>
      <w:pPr>
        <w:spacing w:after="0" w:line="154"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Transaction and expect overall operating income contributions from the FirstNet Transaction to have a relatively steady impact going forward.</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Universal Service Fund and Connect America Fund Phase II Programs</w:t>
      </w:r>
    </w:p>
    <w:p>
      <w:pPr>
        <w:spacing w:after="0" w:line="190"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w:t>
      </w:r>
    </w:p>
    <w:p>
      <w:pPr>
        <w:spacing w:after="0" w:line="154"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150" w:lineRule="exact"/>
        <w:rPr>
          <w:sz w:val="20"/>
          <w:szCs w:val="20"/>
          <w:color w:val="auto"/>
        </w:rPr>
      </w:pPr>
    </w:p>
    <w:p>
      <w:pPr>
        <w:jc w:val="both"/>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Both the USF and CAFII programs are subject to certain operational and reporting compliance requirements. We believe we are in compliance with these requirements as of September 30, 2022.</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40" w:right="59" w:firstLine="538"/>
        <w:spacing w:after="0" w:line="256" w:lineRule="auto"/>
        <w:rPr>
          <w:sz w:val="20"/>
          <w:szCs w:val="20"/>
          <w:color w:val="auto"/>
        </w:rPr>
      </w:pPr>
      <w:r>
        <w:rPr>
          <w:rFonts w:ascii="Times New Roman" w:cs="Times New Roman" w:eastAsia="Times New Roman" w:hAnsi="Times New Roman"/>
          <w:sz w:val="15"/>
          <w:szCs w:val="15"/>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will be reduced again to $5.5 million for the annual period through June 2023. Thereafter, Viya will not receive High Cost Program support.</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RDOF (“Rural Digital Opportunities Fund”)</w:t>
      </w:r>
    </w:p>
    <w:p>
      <w:pPr>
        <w:spacing w:after="0" w:line="190"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We expect to receive approximately $20.1 million over 10 years to provide broadband and voice coverage to over 10,000 households in the United States (not including Alaska) under the 2020 Rural Digital Opportunity Fund Phase I Auction (“RDOF”). We recorded $0.5 million and $1.4 million of revenue from the RDOF program during the three and nine months ended September 30, 2022, respectively.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Construction Grants</w:t>
      </w:r>
    </w:p>
    <w:p>
      <w:pPr>
        <w:spacing w:after="0" w:line="190" w:lineRule="exact"/>
        <w:rPr>
          <w:sz w:val="20"/>
          <w:szCs w:val="20"/>
          <w:color w:val="auto"/>
        </w:rPr>
      </w:pPr>
    </w:p>
    <w:p>
      <w:pPr>
        <w:jc w:val="both"/>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We have also been awarded construction grants to build network connectivity for eligible communities. The funding of these grants, is used to reimburse us for construction costs, and is distributed upon completion of a project. Completion deadlines begin in June 2023 and once these projects are constructed, we are obligated to provide service to the participants. We expect to meet all requirements associated with these grants. A rollforward of the Company’s grant awards is below (in thousands):</w:t>
      </w: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145"/>
        </w:trPr>
        <w:tc>
          <w:tcPr>
            <w:tcW w:w="35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70"/>
        </w:trPr>
        <w:tc>
          <w:tcPr>
            <w:tcW w:w="3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Grants awarded, December 31, 2021</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11,067</w:t>
            </w:r>
          </w:p>
        </w:tc>
      </w:tr>
      <w:tr>
        <w:trPr>
          <w:trHeight w:val="201"/>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New grants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23,269</w:t>
            </w:r>
          </w:p>
        </w:tc>
      </w:tr>
      <w:tr>
        <w:trPr>
          <w:trHeight w:val="20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Cancelled grants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(4,254)</w:t>
            </w:r>
          </w:p>
        </w:tc>
      </w:tr>
      <w:tr>
        <w:trPr>
          <w:trHeight w:val="170"/>
        </w:trPr>
        <w:tc>
          <w:tcPr>
            <w:tcW w:w="352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Grants awarded, September 30, 2022</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30,082</w:t>
            </w: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In addition, we partner with tribal governments to obtain grants under the Tribal Broadband Connectivity Program ("TBCP"). The TBCP is a program administered by the National Telecommunications and Information Administration to deploy broadband connectivity on tribal lands. We were identified as a sub recipient of TBCP grants totaling $77.5 million as of September 30, 2022. Additionally, in October 2022, the company was identified as a sub-recipient for an additional TBCP grant of $52.3 million.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Replace and Remove Program</w:t>
      </w:r>
    </w:p>
    <w:p>
      <w:pPr>
        <w:spacing w:after="0" w:line="190" w:lineRule="exact"/>
        <w:rPr>
          <w:sz w:val="20"/>
          <w:szCs w:val="20"/>
          <w:color w:val="auto"/>
        </w:rPr>
      </w:pPr>
    </w:p>
    <w:p>
      <w:pPr>
        <w:ind w:left="40" w:right="159" w:firstLine="538"/>
        <w:spacing w:after="0" w:line="252" w:lineRule="auto"/>
        <w:rPr>
          <w:sz w:val="20"/>
          <w:szCs w:val="20"/>
          <w:color w:val="auto"/>
        </w:rPr>
      </w:pPr>
      <w:r>
        <w:rPr>
          <w:rFonts w:ascii="Times New Roman" w:cs="Times New Roman" w:eastAsia="Times New Roman" w:hAnsi="Times New Roman"/>
          <w:sz w:val="15"/>
          <w:szCs w:val="15"/>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ZTE communications equipment and services in our U.S. networks and replace such equipment. The Replace and Remove Program requires that we complete our first request for reimbursement for services performed under the program no later than July 14, 2023 and that we complete the project no later than one year from submitting our initial reimbursement request. We are currently assessing the impact of this program on our financial statements and anticipate that we will be able to meet the deadlines and requirements of the program. At September 30, 2022, we established a receivable for $2.1 million of costs for which we expect to be reimbursed under the program.</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CBRS Auction</w:t>
      </w:r>
    </w:p>
    <w:p>
      <w:pPr>
        <w:spacing w:after="0" w:line="190" w:lineRule="exact"/>
        <w:rPr>
          <w:sz w:val="20"/>
          <w:szCs w:val="20"/>
          <w:color w:val="auto"/>
        </w:rPr>
      </w:pPr>
    </w:p>
    <w:p>
      <w:pPr>
        <w:ind w:left="40" w:right="479" w:firstLine="538"/>
        <w:spacing w:after="0" w:line="277" w:lineRule="auto"/>
        <w:rPr>
          <w:sz w:val="20"/>
          <w:szCs w:val="20"/>
          <w:color w:val="auto"/>
        </w:rPr>
      </w:pPr>
      <w:r>
        <w:rPr>
          <w:rFonts w:ascii="Times New Roman" w:cs="Times New Roman" w:eastAsia="Times New Roman" w:hAnsi="Times New Roman"/>
          <w:sz w:val="15"/>
          <w:szCs w:val="15"/>
          <w:color w:val="auto"/>
        </w:rPr>
        <w:t>During the third quarter of 2020, we participated in the FCC’s Citizens Broadband Radio Service (CBRS) auction for Priority Access Licenses (PALs) in the 3.5 GHz spectrum band. These PALs are licensed on a county-by-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5"/>
          <w:szCs w:val="15"/>
          <w:color w:val="auto"/>
        </w:rPr>
        <w:t>county basis and are awarded for a 10-year renewable term. We were a winning bidder for PALs located strategically throughout the United States at a total cost of approximately $20.4 million. In the third quarter of 2022, we surrendered a portion of the PALs that we won in the auction in exchange for repayment of the approximately $1.1 million paid for such licenses and entered into a Consent Decree with the FCC with respect to such surrender and receipt of the remaining licenses. In connection with the awarded licenses, we will have to achieve certain CBRS spectrum build out obligations. We currently expect to comply with all applicable requirements related to these licenses.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Presentation of Revenue</w:t>
      </w:r>
    </w:p>
    <w:p>
      <w:pPr>
        <w:spacing w:after="0" w:line="190"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Effective July 1, 2021, we began to categorize Mobility revenue and Fixed revenue as either “consumer” or “business” based upon the characteristics of our subscribers. Effective October 1, 2021, our statement of operations separately reflects Construction revenue. All periods presented have been adjusted to conform to these presentation updates.</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Presentation of Operating Expenses</w:t>
      </w:r>
    </w:p>
    <w:p>
      <w:pPr>
        <w:spacing w:after="0" w:line="190" w:lineRule="exact"/>
        <w:rPr>
          <w:sz w:val="20"/>
          <w:szCs w:val="20"/>
          <w:color w:val="auto"/>
        </w:rPr>
      </w:pPr>
    </w:p>
    <w:p>
      <w:pPr>
        <w:ind w:left="40" w:right="59" w:firstLine="538"/>
        <w:spacing w:after="0" w:line="255" w:lineRule="auto"/>
        <w:rPr>
          <w:sz w:val="20"/>
          <w:szCs w:val="20"/>
          <w:color w:val="auto"/>
        </w:rPr>
      </w:pPr>
      <w:r>
        <w:rPr>
          <w:rFonts w:ascii="Times New Roman" w:cs="Times New Roman" w:eastAsia="Times New Roman" w:hAnsi="Times New Roman"/>
          <w:sz w:val="15"/>
          <w:szCs w:val="15"/>
          <w:color w:val="auto"/>
        </w:rPr>
        <w:t>Effective January 1, 2021, we changed our presentation of operating expenses in the Condensed Consolidated Statements of Operations by combining the previously disclosed Termination and Access Fees with Engineering and Operations as the newly represented Cost of communications services and other. In addition, the previously disclosed Sales, Marketing and Customer Service expenses are now combined with the previously disclosed General and Administrative expenses within the newly represented Selling, General and Administrative expenses. The change in presentation was made to better align our results with industry standards. Cost of construction services continues to be broken out separately and all depreciation and amortization continues to be shown separately.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Selected Segment Financial Information</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represents selected segment information for the three months ended September 30, 2022 and 2021 (in thousands):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59"/>
        </w:trPr>
        <w:tc>
          <w:tcPr>
            <w:tcW w:w="30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1"/>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4,004</w:t>
            </w:r>
          </w:p>
        </w:tc>
        <w:tc>
          <w:tcPr>
            <w:tcW w:w="20" w:type="dxa"/>
            <w:vAlign w:val="bottom"/>
          </w:tcPr>
          <w:p>
            <w:pPr>
              <w:spacing w:after="0"/>
              <w:rPr>
                <w:sz w:val="15"/>
                <w:szCs w:val="15"/>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22,776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24,834</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26,482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2,356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28,838</w:t>
            </w:r>
          </w:p>
        </w:tc>
        <w:tc>
          <w:tcPr>
            <w:tcW w:w="20" w:type="dxa"/>
            <w:vAlign w:val="bottom"/>
          </w:tcPr>
          <w:p>
            <w:pPr>
              <w:spacing w:after="0"/>
              <w:rPr>
                <w:sz w:val="14"/>
                <w:szCs w:val="14"/>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18,578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32,509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51,087</w:t>
            </w:r>
          </w:p>
        </w:tc>
        <w:tc>
          <w:tcPr>
            <w:tcW w:w="20" w:type="dxa"/>
            <w:vAlign w:val="bottom"/>
          </w:tcPr>
          <w:p>
            <w:pPr>
              <w:spacing w:after="0"/>
              <w:rPr>
                <w:sz w:val="14"/>
                <w:szCs w:val="14"/>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39,989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59,132</w:t>
            </w:r>
          </w:p>
        </w:tc>
        <w:tc>
          <w:tcPr>
            <w:tcW w:w="20" w:type="dxa"/>
            <w:vAlign w:val="bottom"/>
          </w:tcPr>
          <w:p>
            <w:pPr>
              <w:spacing w:after="0"/>
              <w:rPr>
                <w:sz w:val="15"/>
                <w:szCs w:val="15"/>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58,567</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51,652</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110,219</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3,220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31,360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34,580</w:t>
            </w: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88,609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85,368</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173,977</w:t>
            </w:r>
          </w:p>
        </w:tc>
        <w:tc>
          <w:tcPr>
            <w:tcW w:w="20" w:type="dxa"/>
            <w:vAlign w:val="bottom"/>
          </w:tcPr>
          <w:p>
            <w:pPr>
              <w:spacing w:after="0"/>
              <w:rPr>
                <w:sz w:val="14"/>
                <w:szCs w:val="14"/>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3,332</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3,332</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4,904</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1,398</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3,506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4,904</w:t>
            </w:r>
          </w:p>
        </w:tc>
        <w:tc>
          <w:tcPr>
            <w:tcW w:w="20" w:type="dxa"/>
            <w:vAlign w:val="bottom"/>
          </w:tcPr>
          <w:p>
            <w:pPr>
              <w:spacing w:after="0"/>
              <w:rPr>
                <w:sz w:val="14"/>
                <w:szCs w:val="14"/>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90,007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92,206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182,213</w:t>
            </w:r>
          </w:p>
        </w:tc>
        <w:tc>
          <w:tcPr>
            <w:tcW w:w="20" w:type="dxa"/>
            <w:vAlign w:val="bottom"/>
          </w:tcPr>
          <w:p>
            <w:pPr>
              <w:spacing w:after="0"/>
              <w:rPr>
                <w:sz w:val="18"/>
                <w:szCs w:val="18"/>
                <w:color w:val="auto"/>
              </w:rPr>
            </w:pPr>
          </w:p>
        </w:tc>
      </w:tr>
      <w:tr>
        <w:trPr>
          <w:trHeight w:val="153"/>
        </w:trPr>
        <w:tc>
          <w:tcPr>
            <w:tcW w:w="3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13,360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(711)</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(11,926)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20" w:type="dxa"/>
            <w:vAlign w:val="bottom"/>
          </w:tcPr>
          <w:p>
            <w:pPr>
              <w:spacing w:after="0"/>
              <w:rPr>
                <w:sz w:val="16"/>
                <w:szCs w:val="16"/>
                <w:color w:val="auto"/>
              </w:rPr>
            </w:pPr>
          </w:p>
        </w:tc>
      </w:tr>
      <w:tr>
        <w:trPr>
          <w:trHeight w:val="88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80" w:type="dxa"/>
            <w:vAlign w:val="bottom"/>
          </w:tcPr>
          <w:p>
            <w:pPr>
              <w:spacing w:after="0"/>
              <w:rPr>
                <w:sz w:val="16"/>
                <w:szCs w:val="16"/>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23,845</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2,140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25,985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16,549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21,681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38,230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57,419</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37,165</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94,584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2,557</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31,939</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34,496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84,054</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71,244</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155,298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6,417</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6,417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1,252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3,793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85,306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81,454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166,760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(9,830)</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(55)</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(4,310)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(1) Corporate and Other items refer to corporate overhead costs and consolidating adjustments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 comparison of our segment results for the three months ended September 30, 2022, and 2021 is as follows:</w:t>
      </w:r>
    </w:p>
    <w:p>
      <w:pPr>
        <w:spacing w:after="0" w:line="128" w:lineRule="exact"/>
        <w:rPr>
          <w:sz w:val="20"/>
          <w:szCs w:val="20"/>
          <w:color w:val="auto"/>
        </w:rPr>
      </w:pPr>
    </w:p>
    <w:p>
      <w:pPr>
        <w:ind w:left="40" w:right="99" w:firstLine="538"/>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Revenues within our International Telecom segment increased $4.7 million, or 5.5%, to $90.0 million from $85.3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for the three months ended September 30, 2022 and 2021, respectively, as a result of an increase in Fixed and Mobility subscribers within all of our international markets. In addition, our International Telecom segment recognized an increase in Carrier Services revenue due to increases in transport and access fees as well as roaming revenues as a result of increased tourism in certain markets. These increases, however, were partially offset by the $1.4 million scheduled step down in federal support revenues in the US Virgin Islands.</w:t>
      </w:r>
    </w:p>
    <w:p>
      <w:pPr>
        <w:spacing w:after="0" w:line="154" w:lineRule="exact"/>
        <w:rPr>
          <w:sz w:val="20"/>
          <w:szCs w:val="20"/>
          <w:color w:val="auto"/>
        </w:rPr>
      </w:pPr>
    </w:p>
    <w:p>
      <w:pPr>
        <w:ind w:left="40" w:right="219" w:firstLine="538"/>
        <w:spacing w:after="0" w:line="258" w:lineRule="auto"/>
        <w:rPr>
          <w:sz w:val="20"/>
          <w:szCs w:val="20"/>
          <w:color w:val="auto"/>
        </w:rPr>
      </w:pPr>
      <w:r>
        <w:rPr>
          <w:rFonts w:ascii="Times New Roman" w:cs="Times New Roman" w:eastAsia="Times New Roman" w:hAnsi="Times New Roman"/>
          <w:sz w:val="15"/>
          <w:szCs w:val="15"/>
          <w:color w:val="auto"/>
        </w:rPr>
        <w:t>Operating expenses within our International Telecom segment increased by $4.5 million, or 6.2%, to $76.6 million from $72.1 million for the three months ended September 30, 2022 and 2021, respectively. The increase in operating expenses was primarily the result of an increase in direct costs, equipment costs, sales and marketing expenses to support the expansion of our subscriber base and additional costs for our continued investment in network expansion and enhancement.</w:t>
      </w:r>
    </w:p>
    <w:p>
      <w:pPr>
        <w:spacing w:after="0" w:line="154" w:lineRule="exact"/>
        <w:rPr>
          <w:sz w:val="20"/>
          <w:szCs w:val="20"/>
          <w:color w:val="auto"/>
        </w:rPr>
      </w:pPr>
    </w:p>
    <w:p>
      <w:pPr>
        <w:ind w:left="40" w:right="139" w:firstLine="538"/>
        <w:spacing w:after="0" w:line="277" w:lineRule="auto"/>
        <w:rPr>
          <w:sz w:val="20"/>
          <w:szCs w:val="20"/>
          <w:color w:val="auto"/>
        </w:rPr>
      </w:pPr>
      <w:r>
        <w:rPr>
          <w:rFonts w:ascii="Times New Roman" w:cs="Times New Roman" w:eastAsia="Times New Roman" w:hAnsi="Times New Roman"/>
          <w:sz w:val="15"/>
          <w:szCs w:val="15"/>
          <w:color w:val="auto"/>
        </w:rPr>
        <w:t>As a result, our International Telecom segment’s operating income increased $0.2 million, or 1.5%, to $13.4 million from $13.2 million for the three months ended September 30, 2022 and 2021, respectively.</w:t>
      </w:r>
    </w:p>
    <w:p>
      <w:pPr>
        <w:spacing w:after="0" w:line="138" w:lineRule="exact"/>
        <w:rPr>
          <w:sz w:val="20"/>
          <w:szCs w:val="20"/>
          <w:color w:val="auto"/>
        </w:rPr>
      </w:pPr>
    </w:p>
    <w:p>
      <w:pPr>
        <w:ind w:left="40" w:right="99" w:firstLine="538"/>
        <w:spacing w:after="0" w:line="257" w:lineRule="auto"/>
        <w:rPr>
          <w:sz w:val="20"/>
          <w:szCs w:val="20"/>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Revenue within our US Telecom segment increased by $10.7 million, or 13.1%, to $92.2 million from $81.5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three months ended September 30, 2022 and 2021, respectively, primarily as a result of the improved operating performance of our Alaska operations, and a full three months of our Alaska operations, which were acquired on July 22, 2021, being included in our 2022 results partially offset by a $3.1 million reduction in construction revenue related to the FirstNet Transaction as well as a reduction in roaming revenue due to certain restructured carrier contracts in our western United States operations.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538"/>
        <w:spacing w:after="0" w:line="256" w:lineRule="auto"/>
        <w:rPr>
          <w:sz w:val="20"/>
          <w:szCs w:val="20"/>
          <w:color w:val="auto"/>
        </w:rPr>
      </w:pPr>
      <w:r>
        <w:rPr>
          <w:rFonts w:ascii="Times New Roman" w:cs="Times New Roman" w:eastAsia="Times New Roman" w:hAnsi="Times New Roman"/>
          <w:sz w:val="15"/>
          <w:szCs w:val="15"/>
          <w:color w:val="auto"/>
        </w:rPr>
        <w:t>Operating expenses within our US Telecom segment increased $0.2 million to $91.5 million from $91.3 million for the three months ended September 30, 2022 and 2021, respectively, as a result of a full three months of our Alaska operations, which were acquired on July 22, 2021, being included in our 2022 results and increases in other expenses being incurred in connection with both the FirstNet Transaction and the CARES Act-funded build-out of rural broadband operations. These increases were partially offset by decreases in both FirstNet construction costs of $2.5 million and transaction-related expenses, pertaining to the Alaska Transaction, of $8.8 million.</w:t>
      </w:r>
    </w:p>
    <w:p>
      <w:pPr>
        <w:spacing w:after="0" w:line="155" w:lineRule="exact"/>
        <w:rPr>
          <w:sz w:val="20"/>
          <w:szCs w:val="20"/>
          <w:color w:val="auto"/>
        </w:rPr>
      </w:pPr>
    </w:p>
    <w:p>
      <w:pPr>
        <w:ind w:left="40" w:right="279" w:firstLine="538"/>
        <w:spacing w:after="0" w:line="277" w:lineRule="auto"/>
        <w:rPr>
          <w:sz w:val="20"/>
          <w:szCs w:val="20"/>
          <w:color w:val="auto"/>
        </w:rPr>
      </w:pPr>
      <w:r>
        <w:rPr>
          <w:rFonts w:ascii="Times New Roman" w:cs="Times New Roman" w:eastAsia="Times New Roman" w:hAnsi="Times New Roman"/>
          <w:sz w:val="15"/>
          <w:szCs w:val="15"/>
          <w:color w:val="auto"/>
        </w:rPr>
        <w:t>As a result of the above, our US Telecom segment’s operating income (loss) increased by $10.5 million to income of $0.7 million from a loss of $(9.8) million for the three months ended September 30, 2022 and 2021, respectively.</w:t>
      </w:r>
    </w:p>
    <w:p>
      <w:pPr>
        <w:spacing w:after="0" w:line="138" w:lineRule="exact"/>
        <w:rPr>
          <w:sz w:val="20"/>
          <w:szCs w:val="20"/>
          <w:color w:val="auto"/>
        </w:rPr>
      </w:pPr>
    </w:p>
    <w:p>
      <w:pPr>
        <w:ind w:left="40" w:right="13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Renewable Energy. </w:t>
      </w:r>
      <w:r>
        <w:rPr>
          <w:rFonts w:ascii="Times New Roman" w:cs="Times New Roman" w:eastAsia="Times New Roman" w:hAnsi="Times New Roman"/>
          <w:sz w:val="15"/>
          <w:szCs w:val="15"/>
          <w:color w:val="auto"/>
        </w:rPr>
        <w:t>Until the completion of the Vibrant Transaction on January 27, 2021, we distributed generation solar power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commercial and industrial customers under the Vibrant name in India. Accordingly, we did not generate revenue or incur operating expenses within our Renewable Energy segment subsequent to that date.</w:t>
      </w:r>
    </w:p>
    <w:p>
      <w:pPr>
        <w:spacing w:after="0" w:line="148" w:lineRule="exact"/>
        <w:rPr>
          <w:sz w:val="20"/>
          <w:szCs w:val="20"/>
          <w:color w:val="auto"/>
        </w:rPr>
      </w:pPr>
    </w:p>
    <w:p>
      <w:pPr>
        <w:ind w:left="40" w:right="339" w:firstLine="538"/>
        <w:spacing w:after="0" w:line="277" w:lineRule="auto"/>
        <w:rPr>
          <w:sz w:val="20"/>
          <w:szCs w:val="20"/>
          <w:color w:val="auto"/>
        </w:rPr>
      </w:pPr>
      <w:r>
        <w:rPr>
          <w:rFonts w:ascii="Times New Roman" w:cs="Times New Roman" w:eastAsia="Times New Roman" w:hAnsi="Times New Roman"/>
          <w:sz w:val="15"/>
          <w:szCs w:val="15"/>
          <w:color w:val="auto"/>
        </w:rPr>
        <w:t>The following represents a year over year discussion and analysis of our results of operations for the three months ended September 30, 2022 and 2021 (in thousands):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Percent</w:t>
            </w:r>
          </w:p>
        </w:tc>
        <w:tc>
          <w:tcPr>
            <w:tcW w:w="0" w:type="dxa"/>
            <w:vAlign w:val="bottom"/>
          </w:tcPr>
          <w:p>
            <w:pPr>
              <w:spacing w:after="0"/>
              <w:rPr>
                <w:sz w:val="1"/>
                <w:szCs w:val="1"/>
                <w:color w:val="auto"/>
              </w:rPr>
            </w:pPr>
          </w:p>
        </w:tc>
      </w:tr>
      <w:tr>
        <w:trPr>
          <w:trHeight w:val="154"/>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Increase</w:t>
            </w:r>
          </w:p>
        </w:tc>
        <w:tc>
          <w:tcPr>
            <w:tcW w:w="0" w:type="dxa"/>
            <w:vAlign w:val="bottom"/>
          </w:tcPr>
          <w:p>
            <w:pPr>
              <w:spacing w:after="0"/>
              <w:rPr>
                <w:sz w:val="1"/>
                <w:szCs w:val="1"/>
                <w:color w:val="auto"/>
              </w:rPr>
            </w:pPr>
          </w:p>
        </w:tc>
      </w:tr>
      <w:tr>
        <w:trPr>
          <w:trHeight w:val="159"/>
        </w:trPr>
        <w:tc>
          <w:tcPr>
            <w:tcW w:w="4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(Decrease)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0" w:type="dxa"/>
            <w:vAlign w:val="bottom"/>
          </w:tcPr>
          <w:p>
            <w:pPr>
              <w:spacing w:after="0"/>
              <w:rPr>
                <w:sz w:val="1"/>
                <w:szCs w:val="1"/>
                <w:color w:val="auto"/>
              </w:rPr>
            </w:pPr>
          </w:p>
        </w:tc>
      </w:tr>
      <w:tr>
        <w:trPr>
          <w:trHeight w:val="170"/>
        </w:trPr>
        <w:tc>
          <w:tcPr>
            <w:tcW w:w="492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REVENUE:</w:t>
            </w:r>
          </w:p>
        </w:tc>
        <w:tc>
          <w:tcPr>
            <w:tcW w:w="2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Communication services</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173,977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155,298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18,679</w:t>
            </w:r>
          </w:p>
        </w:tc>
        <w:tc>
          <w:tcPr>
            <w:tcW w:w="1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12.0 %</w:t>
            </w: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Construction</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4,904</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5,045</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2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182,213</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166,760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15,453</w:t>
            </w:r>
          </w:p>
        </w:tc>
        <w:tc>
          <w:tcPr>
            <w:tcW w:w="1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9.3</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2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 xml:space="preserve">OPERATING EXPENSES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excluding depreciation and amortization unless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otherwise indicated</w:t>
            </w: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Cost of communications services and other</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78,949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70,732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Cost of construction revenue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(2,534)</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58,056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53,360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4,696</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Transaction-related charges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5,696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33,312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28,875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4,437</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(Gain) Loss on disposition of long-lived assets</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(289.1)</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operating expenses</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180,774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167,742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13,032</w:t>
            </w:r>
          </w:p>
        </w:tc>
        <w:tc>
          <w:tcPr>
            <w:tcW w:w="1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7.8</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Income (loss) from operations</w:t>
            </w:r>
          </w:p>
        </w:tc>
        <w:tc>
          <w:tcPr>
            <w:tcW w:w="2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1,439</w:t>
            </w:r>
          </w:p>
        </w:tc>
        <w:tc>
          <w:tcPr>
            <w:tcW w:w="1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(982)</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2,421</w:t>
            </w:r>
          </w:p>
        </w:tc>
        <w:tc>
          <w:tcPr>
            <w:tcW w:w="1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(246.5)</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OTHER INCOME (EXPENSE):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179"/>
        </w:trPr>
        <w:tc>
          <w:tcPr>
            <w:tcW w:w="49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(2,075)</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income (expense)</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2,289</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170"/>
        </w:trPr>
        <w:tc>
          <w:tcPr>
            <w:tcW w:w="4920" w:type="dxa"/>
            <w:vAlign w:val="bottom"/>
            <w:tcBorders>
              <w:bottom w:val="single" w:sz="8" w:color="CCEEFF"/>
            </w:tcBorders>
          </w:tcPr>
          <w:p>
            <w:pPr>
              <w:ind w:left="260"/>
              <w:spacing w:after="0" w:line="171" w:lineRule="exact"/>
              <w:rPr>
                <w:sz w:val="20"/>
                <w:szCs w:val="20"/>
                <w:color w:val="auto"/>
              </w:rPr>
            </w:pPr>
            <w:r>
              <w:rPr>
                <w:rFonts w:ascii="Times New Roman" w:cs="Times New Roman" w:eastAsia="Times New Roman" w:hAnsi="Times New Roman"/>
                <w:sz w:val="15"/>
                <w:szCs w:val="15"/>
                <w:color w:val="auto"/>
              </w:rPr>
              <w:t>Other expense, net</w:t>
            </w:r>
          </w:p>
        </w:tc>
        <w:tc>
          <w:tcPr>
            <w:tcW w:w="2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(3,571)</w:t>
            </w: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(3,781)</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210</w:t>
            </w:r>
          </w:p>
        </w:tc>
        <w:tc>
          <w:tcPr>
            <w:tcW w:w="1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(5.6)</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LOSS BEFORE INCOME TAXES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(2,132)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(4,763)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2,631</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(55.2)</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Income tax benefit</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(1,772)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(4,475)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2,703</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(60.4)</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 net of tax:</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1,856</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(2,867)</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9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NET LOSS ATTRIBUTABLE TO ATN INTERNATIONAL, INC.</w:t>
            </w:r>
          </w:p>
        </w:tc>
        <w:tc>
          <w:tcPr>
            <w:tcW w:w="4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w:t>
            </w:r>
          </w:p>
        </w:tc>
        <w:tc>
          <w:tcPr>
            <w:tcW w:w="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xml:space="preserve">6.3 </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4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Communications Services Revenue</w:t>
      </w:r>
    </w:p>
    <w:p>
      <w:pPr>
        <w:spacing w:after="0" w:line="186" w:lineRule="exact"/>
        <w:rPr>
          <w:sz w:val="20"/>
          <w:szCs w:val="20"/>
          <w:color w:val="auto"/>
        </w:rPr>
      </w:pPr>
    </w:p>
    <w:p>
      <w:pPr>
        <w:ind w:left="40" w:right="159" w:firstLine="538"/>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Mobility Revenue. </w:t>
      </w:r>
      <w:r>
        <w:rPr>
          <w:rFonts w:ascii="Times New Roman" w:cs="Times New Roman" w:eastAsia="Times New Roman" w:hAnsi="Times New Roman"/>
          <w:sz w:val="15"/>
          <w:szCs w:val="15"/>
          <w:color w:val="auto"/>
        </w:rPr>
        <w:t>Our Mobility revenue consists of retail revenue generated within both our International Telecom and US Telecom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segments by providing retail mobile voice and data services over our wireless networks as well as through the sale and repair services of related equipment, such as handsets and other accessories, to our retail subscribers. Mobility revenue increased by $2.8 million, or 10.8%, to $28.8 million for the three months ended September 30, 2022 from $26.0 million for the three months ended September 30, 2021. Of this increase, $2.3 million related to an increase in revenue from business customers while revenue from consumers increased by $0.5 million. The increase in Mobility revenue, within our segments, consisted of the following:</w:t>
      </w:r>
    </w:p>
    <w:p>
      <w:pPr>
        <w:spacing w:after="0" w:line="153" w:lineRule="exact"/>
        <w:rPr>
          <w:sz w:val="20"/>
          <w:szCs w:val="20"/>
          <w:color w:val="auto"/>
        </w:rPr>
      </w:pPr>
    </w:p>
    <w:p>
      <w:pPr>
        <w:ind w:left="600" w:right="159" w:hanging="273"/>
        <w:spacing w:after="0" w:line="257" w:lineRule="auto"/>
        <w:tabs>
          <w:tab w:leader="none" w:pos="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Mobility revenue increased by $2.7 million, or 11.3%, to $26.5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three months ended September 30, 2022 from $23.8 million for the three months ended September 30, 2021. Mobility revenue increased in each of our markets as total revenue from business and consumer customers increased by $2.3 million and $0.4 million, respectively. The net increases were the result of improved retail and marketing strategies which lead to an increase in subscribers in all of our markets and an increase in equipment and services revenues in certain markets.</w:t>
      </w:r>
    </w:p>
    <w:p>
      <w:pPr>
        <w:spacing w:after="0" w:line="151" w:lineRule="exact"/>
        <w:rPr>
          <w:rFonts w:ascii="Times New Roman" w:cs="Times New Roman" w:eastAsia="Times New Roman" w:hAnsi="Times New Roman"/>
          <w:sz w:val="15"/>
          <w:szCs w:val="15"/>
          <w:color w:val="auto"/>
        </w:rPr>
      </w:pPr>
    </w:p>
    <w:p>
      <w:pPr>
        <w:ind w:left="600" w:right="159" w:hanging="273"/>
        <w:spacing w:after="0" w:line="265" w:lineRule="auto"/>
        <w:tabs>
          <w:tab w:leader="none" w:pos="6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Mobility revenue within our US Telecom segment increased by $0.3 million, or 14.3%, to $2.4 million from $2.1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three months ended September 30, 2022 and 2021, respectively. Of this increase, revenue from business and consumer customers increased by $0.1 million and $0.2 million, respectively.</w:t>
      </w:r>
    </w:p>
    <w:p>
      <w:pPr>
        <w:spacing w:after="0" w:line="148" w:lineRule="exact"/>
        <w:rPr>
          <w:sz w:val="20"/>
          <w:szCs w:val="20"/>
          <w:color w:val="auto"/>
        </w:rPr>
      </w:pPr>
    </w:p>
    <w:p>
      <w:pPr>
        <w:ind w:left="40" w:right="79" w:firstLine="538"/>
        <w:spacing w:after="0" w:line="263" w:lineRule="auto"/>
        <w:rPr>
          <w:sz w:val="20"/>
          <w:szCs w:val="20"/>
          <w:color w:val="auto"/>
        </w:rPr>
      </w:pPr>
      <w:r>
        <w:rPr>
          <w:rFonts w:ascii="Times New Roman" w:cs="Times New Roman" w:eastAsia="Times New Roman" w:hAnsi="Times New Roman"/>
          <w:sz w:val="15"/>
          <w:szCs w:val="15"/>
          <w:color w:val="auto"/>
        </w:rPr>
        <w:t>We expect that Mobility revenue within our International Telecom segment may increase as a result of an increase in subscribers. However, such growth may be partially offset due to increased competition. We expect that Mobility revenue within our US Telecom segment will decrease over time as we put more emphasis on other revenue offerings.</w:t>
      </w:r>
    </w:p>
    <w:p>
      <w:pPr>
        <w:spacing w:after="0" w:line="146" w:lineRule="exact"/>
        <w:rPr>
          <w:sz w:val="20"/>
          <w:szCs w:val="20"/>
          <w:color w:val="auto"/>
        </w:rPr>
      </w:pPr>
    </w:p>
    <w:p>
      <w:pPr>
        <w:ind w:left="40" w:right="119" w:firstLine="538"/>
        <w:spacing w:after="0" w:line="280" w:lineRule="auto"/>
        <w:rPr>
          <w:sz w:val="20"/>
          <w:szCs w:val="20"/>
          <w:color w:val="auto"/>
        </w:rPr>
      </w:pPr>
      <w:r>
        <w:rPr>
          <w:rFonts w:ascii="Times New Roman" w:cs="Times New Roman" w:eastAsia="Times New Roman" w:hAnsi="Times New Roman"/>
          <w:sz w:val="14"/>
          <w:szCs w:val="14"/>
          <w:b w:val="1"/>
          <w:bCs w:val="1"/>
          <w:color w:val="auto"/>
        </w:rPr>
        <w:t xml:space="preserve">Fixed Revenue. </w:t>
      </w:r>
      <w:r>
        <w:rPr>
          <w:rFonts w:ascii="Times New Roman" w:cs="Times New Roman" w:eastAsia="Times New Roman" w:hAnsi="Times New Roman"/>
          <w:sz w:val="14"/>
          <w:szCs w:val="14"/>
          <w:color w:val="auto"/>
        </w:rPr>
        <w:t>Fixed revenue is primarily generated by broadband, voice, and video service revenues provided to retail and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customers over our wireline networks. Fixed revenue within our US Telecom segment also includes revenue from the Connect America Fund Phase</w:t>
      </w:r>
    </w:p>
    <w:p>
      <w:pPr>
        <w:spacing w:after="0" w:line="1" w:lineRule="exact"/>
        <w:rPr>
          <w:sz w:val="20"/>
          <w:szCs w:val="20"/>
          <w:color w:val="auto"/>
        </w:rPr>
      </w:pPr>
    </w:p>
    <w:p>
      <w:pPr>
        <w:ind w:left="40" w:right="119" w:hanging="4"/>
        <w:spacing w:after="0" w:line="251" w:lineRule="auto"/>
        <w:tabs>
          <w:tab w:leader="none" w:pos="177"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program awards in the western United States and Alaska, as well as revenue from the Alaska Universal Service Fund. Within our International Telecom segment, Fixed revenue also includes funding under the FCC’s High Cost Program in the US Virgin Islands. Fixed revenue increased by $15.6 million, or 16.5%, to $110.2 million from $94.6 million for the three months ended September 30, 2022 and 2021, respectively. Of this increase, $12.9 million relates to revenue from business customers while the remaining increase of $2.7 million pertains to consumers. The increase in Fixed revenue, within our segments, consisted of the following:</w:t>
      </w:r>
    </w:p>
    <w:p>
      <w:pPr>
        <w:spacing w:after="0" w:line="157" w:lineRule="exact"/>
        <w:rPr>
          <w:rFonts w:ascii="Times New Roman" w:cs="Times New Roman" w:eastAsia="Times New Roman" w:hAnsi="Times New Roman"/>
          <w:sz w:val="15"/>
          <w:szCs w:val="15"/>
          <w:color w:val="auto"/>
        </w:rPr>
      </w:pPr>
    </w:p>
    <w:p>
      <w:pPr>
        <w:ind w:left="600" w:right="79" w:hanging="273"/>
        <w:spacing w:after="0" w:line="257" w:lineRule="auto"/>
        <w:tabs>
          <w:tab w:leader="none" w:pos="60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Fixed revenue increased by $1.2 million, or 2.1%, to $58.6 million 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$57.4 million for the three months ended September 30, 2022 and 2021, respectively, primarily as a result of an increase in fixed broadband revenue as a result of an increase in broadband subscribers in all of our international markets as well as an increase in pricing within certain markets partially offset by the previously disclosed and scheduled $1.4 million step down in revenue from the FCC’s High Cost Program within our Viya operations.</w:t>
      </w:r>
    </w:p>
    <w:p>
      <w:pPr>
        <w:spacing w:after="0" w:line="151" w:lineRule="exact"/>
        <w:rPr>
          <w:rFonts w:ascii="Times New Roman" w:cs="Times New Roman" w:eastAsia="Times New Roman" w:hAnsi="Times New Roman"/>
          <w:sz w:val="15"/>
          <w:szCs w:val="15"/>
          <w:color w:val="auto"/>
        </w:rPr>
      </w:pPr>
    </w:p>
    <w:p>
      <w:pPr>
        <w:ind w:left="600" w:right="119" w:hanging="273"/>
        <w:spacing w:after="0" w:line="257" w:lineRule="auto"/>
        <w:tabs>
          <w:tab w:leader="none" w:pos="60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Fixed revenue within our US Telecom segment increased by $14.5 million, or 39.0%, to $51.7 million from $37.2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three months ended September 30, 2022 and 2021, respectively. This increase was mostly a result of a full three months of our Alaska operations, which were acquired on July 22, 2021, being included in our 2022 results, and to a lesser extent an increase, within the western United States, related to an increase in usage for both business and consumer subscribers to support our subscribers’ increased demand for remote working.</w:t>
      </w:r>
    </w:p>
    <w:p>
      <w:pPr>
        <w:spacing w:after="0" w:line="154" w:lineRule="exact"/>
        <w:rPr>
          <w:sz w:val="20"/>
          <w:szCs w:val="20"/>
          <w:color w:val="auto"/>
        </w:rPr>
      </w:pPr>
    </w:p>
    <w:p>
      <w:pPr>
        <w:ind w:left="40" w:right="59" w:firstLine="538"/>
        <w:spacing w:after="0" w:line="258" w:lineRule="auto"/>
        <w:rPr>
          <w:sz w:val="20"/>
          <w:szCs w:val="20"/>
          <w:color w:val="auto"/>
        </w:rPr>
      </w:pPr>
      <w:r>
        <w:rPr>
          <w:rFonts w:ascii="Times New Roman" w:cs="Times New Roman" w:eastAsia="Times New Roman" w:hAnsi="Times New Roman"/>
          <w:sz w:val="15"/>
          <w:szCs w:val="15"/>
          <w:color w:val="auto"/>
        </w:rPr>
        <w:t>Fixed revenue within our International Telecom segment may further decrease as a result of the future scheduled step downs in USF funding in the US Virgin Islands, a decrease in demand for our video services due to subscribers using alternative methods to receive video content, and if COVID-19 travel related restrictions are reinstated in some of our international markets. Such decreases, however, may be offset as a result of an increase in demand for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19"/>
        <w:spacing w:after="0" w:line="263" w:lineRule="auto"/>
        <w:rPr>
          <w:sz w:val="20"/>
          <w:szCs w:val="20"/>
          <w:color w:val="auto"/>
        </w:rPr>
      </w:pPr>
      <w:r>
        <w:rPr>
          <w:rFonts w:ascii="Times New Roman" w:cs="Times New Roman" w:eastAsia="Times New Roman" w:hAnsi="Times New Roman"/>
          <w:sz w:val="15"/>
          <w:szCs w:val="15"/>
          <w:color w:val="auto"/>
        </w:rPr>
        <w:t>broadband and other data services from consumers, businesses and government, driven by such trends as the popularity of video and audio streaming, demand for cloud services and smart home, business and city solutions, and macro-economic and population growth in places like the Cayman Islands and Guyana.</w:t>
      </w:r>
    </w:p>
    <w:p>
      <w:pPr>
        <w:spacing w:after="0" w:line="150" w:lineRule="exact"/>
        <w:rPr>
          <w:sz w:val="20"/>
          <w:szCs w:val="20"/>
          <w:color w:val="auto"/>
        </w:rPr>
      </w:pPr>
    </w:p>
    <w:p>
      <w:pPr>
        <w:ind w:left="40" w:right="539" w:firstLine="538"/>
        <w:spacing w:after="0" w:line="277" w:lineRule="auto"/>
        <w:rPr>
          <w:sz w:val="20"/>
          <w:szCs w:val="20"/>
          <w:color w:val="auto"/>
        </w:rPr>
      </w:pPr>
      <w:r>
        <w:rPr>
          <w:rFonts w:ascii="Times New Roman" w:cs="Times New Roman" w:eastAsia="Times New Roman" w:hAnsi="Times New Roman"/>
          <w:sz w:val="15"/>
          <w:szCs w:val="15"/>
          <w:color w:val="auto"/>
        </w:rPr>
        <w:t>Within our US Telecom segment, Fixed revenue is expected to increase as both our Alaska operations and our western United States operations further deploy broadband access to both consumers and businesses.</w:t>
      </w:r>
    </w:p>
    <w:p>
      <w:pPr>
        <w:spacing w:after="0" w:line="136" w:lineRule="exact"/>
        <w:rPr>
          <w:sz w:val="20"/>
          <w:szCs w:val="20"/>
          <w:color w:val="auto"/>
        </w:rPr>
      </w:pPr>
    </w:p>
    <w:p>
      <w:pPr>
        <w:ind w:left="40" w:right="59" w:firstLine="538"/>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Carrier Services Revenue. </w:t>
      </w:r>
      <w:r>
        <w:rPr>
          <w:rFonts w:ascii="Times New Roman" w:cs="Times New Roman" w:eastAsia="Times New Roman" w:hAnsi="Times New Roman"/>
          <w:sz w:val="15"/>
          <w:szCs w:val="15"/>
          <w:color w:val="auto"/>
        </w:rPr>
        <w:t>Carrier Services revenue is generated by both our International Telecom and US Telecom segments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Within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 Carrier Services revenue increased by $0.1 million, or 0.3%, to $34.6 million from $34.5 million for the three months ended September 30, 2022 and 2021, respectively. The increase, within our segments, consisted of the following:</w:t>
      </w:r>
    </w:p>
    <w:p>
      <w:pPr>
        <w:spacing w:after="0" w:line="153" w:lineRule="exact"/>
        <w:rPr>
          <w:sz w:val="20"/>
          <w:szCs w:val="20"/>
          <w:color w:val="auto"/>
        </w:rPr>
      </w:pPr>
    </w:p>
    <w:p>
      <w:pPr>
        <w:ind w:left="600" w:right="139" w:hanging="273"/>
        <w:spacing w:after="0" w:line="265" w:lineRule="auto"/>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Carrier Services revenue increased by $0.6 million, or 23.1%, to $3.2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$2.6 million for the three months ended September 30, 2022 and 2021, respectively, as a result of an increase in transport and access services as well as higher roaming revenues from an increase in tourism within certain international markets.</w:t>
      </w:r>
    </w:p>
    <w:p>
      <w:pPr>
        <w:spacing w:after="0" w:line="145" w:lineRule="exact"/>
        <w:rPr>
          <w:rFonts w:ascii="Times New Roman" w:cs="Times New Roman" w:eastAsia="Times New Roman" w:hAnsi="Times New Roman"/>
          <w:sz w:val="15"/>
          <w:szCs w:val="15"/>
          <w:color w:val="auto"/>
        </w:rPr>
      </w:pPr>
    </w:p>
    <w:p>
      <w:pPr>
        <w:ind w:left="600" w:right="219" w:hanging="273"/>
        <w:spacing w:after="0" w:line="259" w:lineRule="auto"/>
        <w:tabs>
          <w:tab w:leader="none" w:pos="6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Carrier Services revenue within our US Telecom segment decreased by $0.5 million, or 1.6%, to $31.4 million from $31.9</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for the three months ended September 30, 2022 and 2021, respectively. This decrease was primarily related to the $4.1 million revenue reduction in our western United States operations as a result of the restructure of certain carrier contracts partially offset by a full three months of our Alaska operations, which were acquired on July 22, 2021, being included in our 2022 results.</w:t>
      </w:r>
    </w:p>
    <w:p>
      <w:pPr>
        <w:spacing w:after="0" w:line="154" w:lineRule="exact"/>
        <w:rPr>
          <w:sz w:val="20"/>
          <w:szCs w:val="20"/>
          <w:color w:val="auto"/>
        </w:rPr>
      </w:pPr>
    </w:p>
    <w:p>
      <w:pPr>
        <w:ind w:left="40" w:right="139" w:firstLine="538"/>
        <w:spacing w:after="0" w:line="252" w:lineRule="auto"/>
        <w:rPr>
          <w:sz w:val="20"/>
          <w:szCs w:val="20"/>
          <w:color w:val="auto"/>
        </w:rPr>
      </w:pPr>
      <w:r>
        <w:rPr>
          <w:rFonts w:ascii="Times New Roman" w:cs="Times New Roman" w:eastAsia="Times New Roman" w:hAnsi="Times New Roman"/>
          <w:sz w:val="15"/>
          <w:szCs w:val="15"/>
          <w:color w:val="auto"/>
        </w:rPr>
        <w:t>Within our International Telecom segment, Carrier Services revenue may continue to increase if tourism continues to move toward a return to pre-pandemic levels. Also, within our International Telecom segment, we expect that Carrier Services revenue from our international long-distance business in Guyana may decrease as consumers seek to use alternative technology services to place long-distance calls. In addition, such revenue may decline as the result of the implementation, by the Government of Guyana, of passed legislation which terminates our right to be the exclusive provider of domestic Fixed and international long-distance service in Guyana. While the loss of our exclusive rights may cause an immediate reduction in our Carrier Services revenue, the complete impact of the new legislation to our operations will not be fully known until the Government of Guyana makes the terms and conditions of licenses issued to two of our competitors available to us. Over the longer term, such declines in Carrier Services revenue may be offset by increased Fixed revenue from broadband services to consumers and enterprises in Guyana, increased Mobility revenue from an increase in regulated local calling rates in Guyana or possible economic growth within that country.</w:t>
      </w:r>
    </w:p>
    <w:p>
      <w:pPr>
        <w:spacing w:after="0" w:line="162" w:lineRule="exact"/>
        <w:rPr>
          <w:sz w:val="20"/>
          <w:szCs w:val="20"/>
          <w:color w:val="auto"/>
        </w:rPr>
      </w:pPr>
    </w:p>
    <w:p>
      <w:pPr>
        <w:ind w:left="40" w:right="379" w:firstLine="538"/>
        <w:spacing w:after="0" w:line="263" w:lineRule="auto"/>
        <w:rPr>
          <w:sz w:val="20"/>
          <w:szCs w:val="20"/>
          <w:color w:val="auto"/>
        </w:rPr>
      </w:pPr>
      <w:r>
        <w:rPr>
          <w:rFonts w:ascii="Times New Roman" w:cs="Times New Roman" w:eastAsia="Times New Roman" w:hAnsi="Times New Roman"/>
          <w:sz w:val="15"/>
          <w:szCs w:val="15"/>
          <w:color w:val="auto"/>
        </w:rPr>
        <w:t>Within our US Telecom segment, Carrier Services revenue is expected to increase as a result of our transition away from our legacy wholesale roaming business to other carrier and consumer-based infrastructure services. Such increases may be partially offset by the impact of continued reduced contractual wholesale roaming rates and imposed revenue caps with our Carrier customers.</w:t>
      </w:r>
    </w:p>
    <w:p>
      <w:pPr>
        <w:spacing w:after="0" w:line="150" w:lineRule="exact"/>
        <w:rPr>
          <w:sz w:val="20"/>
          <w:szCs w:val="20"/>
          <w:color w:val="auto"/>
        </w:rPr>
      </w:pPr>
    </w:p>
    <w:p>
      <w:pPr>
        <w:ind w:left="40" w:right="119" w:firstLine="538"/>
        <w:spacing w:after="0" w:line="263" w:lineRule="auto"/>
        <w:rPr>
          <w:sz w:val="20"/>
          <w:szCs w:val="20"/>
          <w:color w:val="auto"/>
        </w:rPr>
      </w:pPr>
      <w:r>
        <w:rPr>
          <w:rFonts w:ascii="Times New Roman" w:cs="Times New Roman" w:eastAsia="Times New Roman" w:hAnsi="Times New Roman"/>
          <w:sz w:val="15"/>
          <w:szCs w:val="15"/>
          <w:color w:val="auto"/>
        </w:rPr>
        <w:t>The most significant competitive factor we face within our US Telecom segment is competition from other providers of such shared infrastructure services, including the leasing of our tower space and transport services, as well as the extent to which our carrier customers choose to roam on our networks.</w:t>
      </w:r>
    </w:p>
    <w:p>
      <w:pPr>
        <w:spacing w:after="0" w:line="146" w:lineRule="exact"/>
        <w:rPr>
          <w:sz w:val="20"/>
          <w:szCs w:val="20"/>
          <w:color w:val="auto"/>
        </w:rPr>
      </w:pPr>
    </w:p>
    <w:p>
      <w:pPr>
        <w:jc w:val="both"/>
        <w:ind w:left="40" w:right="9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Other Communications Services Revenue. </w:t>
      </w:r>
      <w:r>
        <w:rPr>
          <w:rFonts w:ascii="Times New Roman" w:cs="Times New Roman" w:eastAsia="Times New Roman" w:hAnsi="Times New Roman"/>
          <w:sz w:val="15"/>
          <w:szCs w:val="15"/>
          <w:color w:val="auto"/>
        </w:rPr>
        <w:t>Other Communications Services revenue includes miscellaneous services that the operations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within our International Telecom segment provide to retail subscribers. Other Communications Services revenue increased to $0.3 million from $0.2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Construction Revenue</w:t>
      </w:r>
    </w:p>
    <w:p>
      <w:pPr>
        <w:spacing w:after="0" w:line="190" w:lineRule="exact"/>
        <w:rPr>
          <w:sz w:val="20"/>
          <w:szCs w:val="20"/>
          <w:color w:val="auto"/>
        </w:rPr>
      </w:pPr>
    </w:p>
    <w:p>
      <w:pPr>
        <w:ind w:left="40" w:right="159" w:firstLine="538"/>
        <w:spacing w:after="0" w:line="256" w:lineRule="auto"/>
        <w:rPr>
          <w:sz w:val="20"/>
          <w:szCs w:val="20"/>
          <w:color w:val="auto"/>
        </w:rPr>
      </w:pPr>
      <w:r>
        <w:rPr>
          <w:rFonts w:ascii="Times New Roman" w:cs="Times New Roman" w:eastAsia="Times New Roman" w:hAnsi="Times New Roman"/>
          <w:sz w:val="15"/>
          <w:szCs w:val="15"/>
          <w:color w:val="auto"/>
        </w:rPr>
        <w:t>Construction revenue represents revenue generated within our US Telecom segment for the construction of network cell sites related to the FirstNet Agreement. During the three months ended September 30, 2022 and 2021, Construction revenue decreased to $3.3 million from $6.4 million, respectively, as a result of a decrease in the number of sites completed during the three months ended September 30, 2022 as compared to the same period in 2021. As of September 30, 2022, 70% of the cell sites related to the FirstNet Agreement were completed and we expect another 5% of the total build to be completed during the fourth quarter of 2022 with the remainder to be completed in 2023.</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Revenue</w:t>
      </w:r>
    </w:p>
    <w:p>
      <w:pPr>
        <w:spacing w:after="0" w:line="186" w:lineRule="exact"/>
        <w:rPr>
          <w:sz w:val="20"/>
          <w:szCs w:val="20"/>
          <w:color w:val="auto"/>
        </w:rPr>
      </w:pPr>
    </w:p>
    <w:p>
      <w:pPr>
        <w:ind w:left="40" w:right="25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Renewable Energy Revenue. </w:t>
      </w:r>
      <w:r>
        <w:rPr>
          <w:rFonts w:ascii="Times New Roman" w:cs="Times New Roman" w:eastAsia="Times New Roman" w:hAnsi="Times New Roman"/>
          <w:sz w:val="15"/>
          <w:szCs w:val="15"/>
          <w:color w:val="auto"/>
        </w:rPr>
        <w:t>We did not generate any renewable energy revenue during the three months ended September 30, 2022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2021 as a result of the Vibrant Transaction.</w:t>
      </w:r>
    </w:p>
    <w:p>
      <w:pPr>
        <w:spacing w:after="0" w:line="131" w:lineRule="exact"/>
        <w:rPr>
          <w:sz w:val="20"/>
          <w:szCs w:val="20"/>
          <w:color w:val="auto"/>
        </w:rPr>
      </w:pPr>
    </w:p>
    <w:p>
      <w:pPr>
        <w:ind w:left="40" w:right="5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Managed Services Revenue. </w:t>
      </w:r>
      <w:r>
        <w:rPr>
          <w:rFonts w:ascii="Times New Roman" w:cs="Times New Roman" w:eastAsia="Times New Roman" w:hAnsi="Times New Roman"/>
          <w:sz w:val="15"/>
          <w:szCs w:val="15"/>
          <w:color w:val="auto"/>
        </w:rPr>
        <w:t>Managed Services revenue is generated within both our International and US Telecom segments and includes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network, application, infrastructure, and hosting services. Managed Services revenue decreased by $0.1 million, or 2.0%, to $4.9 million from $5.0 million for the three months ended September 30, 2022 and 2021, respectively.</w:t>
      </w:r>
    </w:p>
    <w:p>
      <w:pPr>
        <w:spacing w:after="0" w:line="145" w:lineRule="exact"/>
        <w:rPr>
          <w:sz w:val="20"/>
          <w:szCs w:val="20"/>
          <w:color w:val="auto"/>
        </w:rPr>
      </w:pPr>
    </w:p>
    <w:p>
      <w:pPr>
        <w:ind w:left="40" w:right="17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Managed Services revenue in our International Telecom segment increased slightly to $1.4 million, or 7.7%, 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$1.3 million for the three months ended September 30, 2022 and 2021, respectively.</w:t>
      </w:r>
    </w:p>
    <w:p>
      <w:pPr>
        <w:spacing w:after="0" w:line="135" w:lineRule="exact"/>
        <w:rPr>
          <w:sz w:val="20"/>
          <w:szCs w:val="20"/>
          <w:color w:val="auto"/>
        </w:rPr>
      </w:pPr>
    </w:p>
    <w:p>
      <w:pPr>
        <w:ind w:left="40" w:right="31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Within our US Telecom segment, Managed Services revenue decreased to $3.5 million, or 7.9%, from $3.8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three months ended September 30, 2022 and 2021, respectively.</w:t>
      </w:r>
    </w:p>
    <w:p>
      <w:pPr>
        <w:spacing w:after="0" w:line="137" w:lineRule="exact"/>
        <w:rPr>
          <w:sz w:val="20"/>
          <w:szCs w:val="20"/>
          <w:color w:val="auto"/>
        </w:rPr>
      </w:pPr>
    </w:p>
    <w:p>
      <w:pPr>
        <w:ind w:left="40" w:right="79" w:firstLine="538"/>
        <w:spacing w:after="0" w:line="277" w:lineRule="auto"/>
        <w:rPr>
          <w:sz w:val="20"/>
          <w:szCs w:val="20"/>
          <w:color w:val="auto"/>
        </w:rPr>
      </w:pPr>
      <w:r>
        <w:rPr>
          <w:rFonts w:ascii="Times New Roman" w:cs="Times New Roman" w:eastAsia="Times New Roman" w:hAnsi="Times New Roman"/>
          <w:sz w:val="15"/>
          <w:szCs w:val="15"/>
          <w:color w:val="auto"/>
        </w:rPr>
        <w:t>We expect that Managed Services revenue may increase in our both our US and International Telecom segments as a result of our continued effort to sell certain Managed Services solutions to both our consumer and business customers in all of our markets.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6" w:lineRule="exact"/>
        <w:rPr>
          <w:sz w:val="20"/>
          <w:szCs w:val="20"/>
          <w:color w:val="auto"/>
        </w:rPr>
      </w:pPr>
    </w:p>
    <w:p>
      <w:pPr>
        <w:ind w:left="40" w:right="119" w:firstLine="538"/>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Cost of communication services and other. </w:t>
      </w:r>
      <w:r>
        <w:rPr>
          <w:rFonts w:ascii="Times New Roman" w:cs="Times New Roman" w:eastAsia="Times New Roman" w:hAnsi="Times New Roman"/>
          <w:sz w:val="15"/>
          <w:szCs w:val="15"/>
          <w:color w:val="auto"/>
        </w:rPr>
        <w:t>Cost of communication services and other are charges that we incur for voice and data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transport circuits (in particular, the circuits between our Mobility sites and our switches), internet capacity, video programming costs, access fees we pay to terminate our calls, telecommunication spectrum fees and direct costs associated within our managed services businesses. Cost of communication services and other also includes expenses associated with developing, operating, upgrading and supporting our telecommunications networks, including the salaries and benefits paid to employees directly involved in the development and operation of those businesses, as well as bad debt reserves and the cost of handsets and customer resale equipment incurred by our retail businesses.</w:t>
      </w:r>
    </w:p>
    <w:p>
      <w:pPr>
        <w:spacing w:after="0" w:line="155" w:lineRule="exact"/>
        <w:rPr>
          <w:sz w:val="20"/>
          <w:szCs w:val="20"/>
          <w:color w:val="auto"/>
        </w:rPr>
      </w:pPr>
    </w:p>
    <w:p>
      <w:pPr>
        <w:ind w:left="40" w:right="179" w:firstLine="538"/>
        <w:spacing w:after="0" w:line="263" w:lineRule="auto"/>
        <w:rPr>
          <w:sz w:val="20"/>
          <w:szCs w:val="20"/>
          <w:color w:val="auto"/>
        </w:rPr>
      </w:pPr>
      <w:r>
        <w:rPr>
          <w:rFonts w:ascii="Times New Roman" w:cs="Times New Roman" w:eastAsia="Times New Roman" w:hAnsi="Times New Roman"/>
          <w:sz w:val="15"/>
          <w:szCs w:val="15"/>
          <w:color w:val="auto"/>
        </w:rPr>
        <w:t>Cost of communication services and other increased by $8.2 million, or 11.6%, to $78.9 million from $70.7 million for the three months ended September 30, 2022 and 2021, respectively. The net increase in cost of communication services and other, within our segments, consisted of the following:</w:t>
      </w:r>
    </w:p>
    <w:p>
      <w:pPr>
        <w:spacing w:after="0" w:line="92" w:lineRule="exact"/>
        <w:rPr>
          <w:sz w:val="20"/>
          <w:szCs w:val="20"/>
          <w:color w:val="auto"/>
        </w:rPr>
      </w:pPr>
    </w:p>
    <w:p>
      <w:pPr>
        <w:ind w:left="600" w:right="159" w:hanging="273"/>
        <w:spacing w:after="0" w:line="259" w:lineRule="auto"/>
        <w:tabs>
          <w:tab w:leader="none" w:pos="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Within our International Telecom segment, cost of communication services and other increased by $1.6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4.7%, to $35.6 million from $34.0 million, for the three months ended September 30, 2022 and 2021, respectively. This increase was the result of increased equipment costs, primarily the cost of handsets, as a result of an increase in subscribers due to seasonal promotions and marketing strategies.</w:t>
      </w:r>
    </w:p>
    <w:p>
      <w:pPr>
        <w:spacing w:after="0" w:line="95" w:lineRule="exact"/>
        <w:rPr>
          <w:rFonts w:ascii="Times New Roman" w:cs="Times New Roman" w:eastAsia="Times New Roman" w:hAnsi="Times New Roman"/>
          <w:sz w:val="15"/>
          <w:szCs w:val="15"/>
          <w:color w:val="auto"/>
        </w:rPr>
      </w:pPr>
    </w:p>
    <w:p>
      <w:pPr>
        <w:ind w:left="600" w:right="79" w:hanging="273"/>
        <w:spacing w:after="0" w:line="259" w:lineRule="auto"/>
        <w:tabs>
          <w:tab w:leader="none" w:pos="6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Cost of communication services and other within our US Telecom segment increased by $6.7 million, or 18.3%, to $43.3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$36.6 million for the three months ended September 30, 2022 and 2021, respectively. This increase was a result of a full three months of our Alaska operations, which were acquired on July 22, 2021, being included in our 2022 results and an increase in data transport costs in connection with the fully constructed cell sites as part of the First Net Transaction. These increases were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partially offset by a reduction of costs within our private network business which terminated a majority of its operations in early 2022.</w:t>
      </w:r>
    </w:p>
    <w:p>
      <w:pPr>
        <w:spacing w:after="0" w:line="186" w:lineRule="exact"/>
        <w:rPr>
          <w:sz w:val="20"/>
          <w:szCs w:val="20"/>
          <w:color w:val="auto"/>
        </w:rPr>
      </w:pPr>
    </w:p>
    <w:p>
      <w:pPr>
        <w:ind w:left="40" w:right="159" w:firstLine="538"/>
        <w:spacing w:after="0" w:line="255" w:lineRule="auto"/>
        <w:rPr>
          <w:sz w:val="20"/>
          <w:szCs w:val="20"/>
          <w:color w:val="auto"/>
        </w:rPr>
      </w:pPr>
      <w:r>
        <w:rPr>
          <w:rFonts w:ascii="Times New Roman" w:cs="Times New Roman" w:eastAsia="Times New Roman" w:hAnsi="Times New Roman"/>
          <w:sz w:val="15"/>
          <w:szCs w:val="15"/>
          <w:color w:val="auto"/>
        </w:rPr>
        <w:t>We expect that cost of communication services and other may increase within our International Telecom segment due to an expected increase in roaming costs if tourism continues to return to pre-pandemic levels. Within the US Telecom segment, these expenses are expected to increase in connection with our expected increase in carrier services revenue, an increase in the expenses associated with our funding award under the CARES Act and anticipated expenses in connection with our performance related to the construction phase of our FirstNet Transaction which is expected to be completed in 2023. In addition, we expect cost of services may increase as a result of continued inflationary pressure, issues facing the global supply chain and geopolitical uncertainty.</w:t>
      </w:r>
    </w:p>
    <w:p>
      <w:pPr>
        <w:spacing w:after="0" w:line="151" w:lineRule="exact"/>
        <w:rPr>
          <w:sz w:val="20"/>
          <w:szCs w:val="20"/>
          <w:color w:val="auto"/>
        </w:rPr>
      </w:pPr>
    </w:p>
    <w:p>
      <w:pPr>
        <w:ind w:left="40" w:right="179" w:firstLine="538"/>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Cost of construction revenue. </w:t>
      </w:r>
      <w:r>
        <w:rPr>
          <w:rFonts w:ascii="Times New Roman" w:cs="Times New Roman" w:eastAsia="Times New Roman" w:hAnsi="Times New Roman"/>
          <w:sz w:val="15"/>
          <w:szCs w:val="15"/>
          <w:color w:val="auto"/>
        </w:rPr>
        <w:t>Cost of construction revenue includes the expenses incurred in connection with the construction of and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delivery to AT&amp;T of cell sites in accordance with our FirstNet Agreement. During the three months ended September 30, 2022 and September 30, 2021, cost of construction revenue decreased to $3.3 million from $5.9 million as a result of a decrease in the number of sites completed during the three months ended September 30, 2022 as compared to the same period in 2021. As of September 30, 2022, 70% of the cell sites related to the FirstNet Agreement were completed and we expect another 5% of the total build to be completed during the fourth quarter of 2022 with the remainder to be completed in 2023.</w:t>
      </w:r>
    </w:p>
    <w:p>
      <w:pPr>
        <w:spacing w:after="0" w:line="151" w:lineRule="exact"/>
        <w:rPr>
          <w:sz w:val="20"/>
          <w:szCs w:val="20"/>
          <w:color w:val="auto"/>
        </w:rPr>
      </w:pPr>
    </w:p>
    <w:p>
      <w:pPr>
        <w:ind w:left="40" w:right="199" w:firstLine="538"/>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Selling, general and administrative expenses. </w:t>
      </w:r>
      <w:r>
        <w:rPr>
          <w:rFonts w:ascii="Times New Roman" w:cs="Times New Roman" w:eastAsia="Times New Roman" w:hAnsi="Times New Roman"/>
          <w:sz w:val="15"/>
          <w:szCs w:val="15"/>
          <w:color w:val="auto"/>
        </w:rPr>
        <w:t>Selling, general and administrative expenses include salaries and benefits we pay to sales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56" w:lineRule="exact"/>
        <w:rPr>
          <w:sz w:val="20"/>
          <w:szCs w:val="20"/>
          <w:color w:val="auto"/>
        </w:rPr>
      </w:pPr>
    </w:p>
    <w:p>
      <w:pPr>
        <w:jc w:val="both"/>
        <w:ind w:left="40" w:right="179" w:firstLine="538"/>
        <w:spacing w:after="0" w:line="263" w:lineRule="auto"/>
        <w:rPr>
          <w:sz w:val="20"/>
          <w:szCs w:val="20"/>
          <w:color w:val="auto"/>
        </w:rPr>
      </w:pPr>
      <w:r>
        <w:rPr>
          <w:rFonts w:ascii="Times New Roman" w:cs="Times New Roman" w:eastAsia="Times New Roman" w:hAnsi="Times New Roman"/>
          <w:sz w:val="15"/>
          <w:szCs w:val="15"/>
          <w:color w:val="auto"/>
        </w:rPr>
        <w:t>Selling, general and administrative expenses increased by $4.7 million, or 8.8%, to $58.1 million from $53.4 million for the three months ended September 30, 2022 and 2021, respectively. The net increase in selling, general and administrative expenses, within our segments, consisted of the following:</w:t>
      </w:r>
    </w:p>
    <w:p>
      <w:pPr>
        <w:spacing w:after="0" w:line="92" w:lineRule="exact"/>
        <w:rPr>
          <w:sz w:val="20"/>
          <w:szCs w:val="20"/>
          <w:color w:val="auto"/>
        </w:rPr>
      </w:pPr>
    </w:p>
    <w:p>
      <w:pPr>
        <w:ind w:left="600" w:right="79" w:hanging="273"/>
        <w:spacing w:after="0" w:line="259" w:lineRule="auto"/>
        <w:tabs>
          <w:tab w:leader="none" w:pos="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our selling, general and administrative expenses increased by $2.2</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or 9.1%, to $26.5 million from $24.3 million for the three months ended September 30, 2022 and 2021, respectively. This increase was incurred within all of our international markets primarily as a result of an increase in both our sales and marketing efforts and customer support capabilities to support the expansion of our subscriber base.</w:t>
      </w:r>
    </w:p>
    <w:p>
      <w:pPr>
        <w:spacing w:after="0" w:line="151" w:lineRule="exact"/>
        <w:rPr>
          <w:rFonts w:ascii="Times New Roman" w:cs="Times New Roman" w:eastAsia="Times New Roman" w:hAnsi="Times New Roman"/>
          <w:sz w:val="15"/>
          <w:szCs w:val="15"/>
          <w:color w:val="auto"/>
        </w:rPr>
      </w:pPr>
    </w:p>
    <w:p>
      <w:pPr>
        <w:ind w:left="600" w:right="259" w:hanging="273"/>
        <w:spacing w:after="0" w:line="257" w:lineRule="auto"/>
        <w:tabs>
          <w:tab w:leader="none" w:pos="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Selling, general and administrative expenses increased within our US Telecom segment by $1.1 million, or 4.9%, to $23.7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$22.6 million, for the three months ended September 30, 2022 and 2021, respectively. This increase was the result of a full three months of our Alaska operations, which were acquired on July 22, 2021, being included in our 2022 results and an increase in such costs in connection with the First Net Transaction partially offset by a reduction of costs within our private network business which terminated a majority of its operations in early 2022.</w:t>
      </w:r>
    </w:p>
    <w:p>
      <w:pPr>
        <w:spacing w:after="0" w:line="151" w:lineRule="exact"/>
        <w:rPr>
          <w:rFonts w:ascii="Times New Roman" w:cs="Times New Roman" w:eastAsia="Times New Roman" w:hAnsi="Times New Roman"/>
          <w:sz w:val="15"/>
          <w:szCs w:val="15"/>
          <w:color w:val="auto"/>
        </w:rPr>
      </w:pPr>
    </w:p>
    <w:p>
      <w:pPr>
        <w:ind w:left="600" w:right="379" w:hanging="273"/>
        <w:spacing w:after="0" w:line="280" w:lineRule="auto"/>
        <w:tabs>
          <w:tab w:leader="none" w:pos="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Renewable Energy. </w:t>
      </w:r>
      <w:r>
        <w:rPr>
          <w:rFonts w:ascii="Times New Roman" w:cs="Times New Roman" w:eastAsia="Times New Roman" w:hAnsi="Times New Roman"/>
          <w:sz w:val="15"/>
          <w:szCs w:val="15"/>
          <w:color w:val="auto"/>
        </w:rPr>
        <w:t>During the three months ended September 30, 2022 and 2021, our Renewable Energy segment incurred a nominal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of selling, general and administrative expenses.</w:t>
      </w:r>
    </w:p>
    <w:p>
      <w:pPr>
        <w:spacing w:after="0" w:line="135" w:lineRule="exact"/>
        <w:rPr>
          <w:rFonts w:ascii="Times New Roman" w:cs="Times New Roman" w:eastAsia="Times New Roman" w:hAnsi="Times New Roman"/>
          <w:sz w:val="15"/>
          <w:szCs w:val="15"/>
          <w:color w:val="auto"/>
        </w:rPr>
      </w:pPr>
    </w:p>
    <w:p>
      <w:pPr>
        <w:ind w:left="600" w:right="199" w:hanging="273"/>
        <w:spacing w:after="0" w:line="265" w:lineRule="auto"/>
        <w:tabs>
          <w:tab w:leader="none" w:pos="6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Corporate Overhead. </w:t>
      </w:r>
      <w:r>
        <w:rPr>
          <w:rFonts w:ascii="Times New Roman" w:cs="Times New Roman" w:eastAsia="Times New Roman" w:hAnsi="Times New Roman"/>
          <w:sz w:val="15"/>
          <w:szCs w:val="15"/>
          <w:color w:val="auto"/>
        </w:rPr>
        <w:t>Selling, general and administrative expenses within our corporate overhead increased by $1.4 million, or 21.9%,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$7.8 million from $6.4 million, for the three months ended September 30, 2022 and 2021, respectively, primarily related to increased professional services and travel-related expenses.</w:t>
      </w:r>
    </w:p>
    <w:p>
      <w:pPr>
        <w:spacing w:after="0" w:line="148" w:lineRule="exact"/>
        <w:rPr>
          <w:sz w:val="20"/>
          <w:szCs w:val="20"/>
          <w:color w:val="auto"/>
        </w:rPr>
      </w:pPr>
    </w:p>
    <w:p>
      <w:pPr>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We expect an increase in these costs as a result of expected costs associated with our recent funding award under the CARES Act, our recently received grant to bring fiber connectivity to certain areas in southern Apache County, Arizona and the cost impact of the construction phase of the FirstNet Transaction which is expected to be completed during 2023. Our Corporate Overhead segment may also experience an increase in these expenses to support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77" w:lineRule="auto"/>
        <w:rPr>
          <w:sz w:val="20"/>
          <w:szCs w:val="20"/>
          <w:color w:val="auto"/>
        </w:rPr>
      </w:pPr>
      <w:r>
        <w:rPr>
          <w:rFonts w:ascii="Times New Roman" w:cs="Times New Roman" w:eastAsia="Times New Roman" w:hAnsi="Times New Roman"/>
          <w:sz w:val="15"/>
          <w:szCs w:val="15"/>
          <w:color w:val="auto"/>
        </w:rPr>
        <w:t>our expanding operations. In addition, we expect our selling, general, and administrative expenses may increase as a result of continued inflationary pressure, issues facing the global supply chain and geopolitical uncertainty.</w:t>
      </w:r>
    </w:p>
    <w:p>
      <w:pPr>
        <w:spacing w:after="0" w:line="136" w:lineRule="exact"/>
        <w:rPr>
          <w:sz w:val="20"/>
          <w:szCs w:val="20"/>
          <w:color w:val="auto"/>
        </w:rPr>
      </w:pPr>
    </w:p>
    <w:p>
      <w:pPr>
        <w:ind w:left="40" w:right="7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Transaction-related charges. </w:t>
      </w:r>
      <w:r>
        <w:rPr>
          <w:rFonts w:ascii="Times New Roman" w:cs="Times New Roman" w:eastAsia="Times New Roman" w:hAnsi="Times New Roman"/>
          <w:sz w:val="15"/>
          <w:szCs w:val="15"/>
          <w:color w:val="auto"/>
        </w:rPr>
        <w:t>Transaction-related charges include the external costs, such as legal, tax, accounting and consulting fees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directly associated with acquisition and disposition-related activities, which are expensed as incurred. Transaction-related charges do not include internal costs, such as employee salary and travel-related expenses, incurred in connection with acquisitions or dispositions or any integration-related costs.</w:t>
      </w:r>
    </w:p>
    <w:p>
      <w:pPr>
        <w:spacing w:after="0" w:line="153" w:lineRule="exact"/>
        <w:rPr>
          <w:sz w:val="20"/>
          <w:szCs w:val="20"/>
          <w:color w:val="auto"/>
        </w:rPr>
      </w:pPr>
    </w:p>
    <w:p>
      <w:pPr>
        <w:jc w:val="both"/>
        <w:ind w:left="40" w:right="419" w:firstLine="538"/>
        <w:spacing w:after="0" w:line="277" w:lineRule="auto"/>
        <w:rPr>
          <w:sz w:val="20"/>
          <w:szCs w:val="20"/>
          <w:color w:val="auto"/>
        </w:rPr>
      </w:pPr>
      <w:r>
        <w:rPr>
          <w:rFonts w:ascii="Times New Roman" w:cs="Times New Roman" w:eastAsia="Times New Roman" w:hAnsi="Times New Roman"/>
          <w:sz w:val="15"/>
          <w:szCs w:val="15"/>
          <w:color w:val="auto"/>
        </w:rPr>
        <w:t>We incurred $3.4 million and $5.7 million of transaction-related charges during the three months ended September 30, 2022 and 2021, respectively.</w:t>
      </w:r>
    </w:p>
    <w:p>
      <w:pPr>
        <w:spacing w:after="0" w:line="136" w:lineRule="exact"/>
        <w:rPr>
          <w:sz w:val="20"/>
          <w:szCs w:val="20"/>
          <w:color w:val="auto"/>
        </w:rPr>
      </w:pPr>
    </w:p>
    <w:p>
      <w:pPr>
        <w:ind w:left="40" w:right="239" w:firstLine="575"/>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Depreciation and amortization expenses. </w:t>
      </w:r>
      <w:r>
        <w:rPr>
          <w:rFonts w:ascii="Times New Roman" w:cs="Times New Roman" w:eastAsia="Times New Roman" w:hAnsi="Times New Roman"/>
          <w:sz w:val="15"/>
          <w:szCs w:val="15"/>
          <w:color w:val="auto"/>
        </w:rPr>
        <w:t>Depreciation and amortization expenses represent the depreciation and amortization charges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we record on our property and equipment.</w:t>
      </w:r>
    </w:p>
    <w:p>
      <w:pPr>
        <w:spacing w:after="0" w:line="135" w:lineRule="exact"/>
        <w:rPr>
          <w:sz w:val="20"/>
          <w:szCs w:val="20"/>
          <w:color w:val="auto"/>
        </w:rPr>
      </w:pPr>
    </w:p>
    <w:p>
      <w:pPr>
        <w:jc w:val="both"/>
        <w:ind w:left="40" w:right="439" w:firstLine="538"/>
        <w:spacing w:after="0" w:line="263" w:lineRule="auto"/>
        <w:rPr>
          <w:sz w:val="20"/>
          <w:szCs w:val="20"/>
          <w:color w:val="auto"/>
        </w:rPr>
      </w:pPr>
      <w:r>
        <w:rPr>
          <w:rFonts w:ascii="Times New Roman" w:cs="Times New Roman" w:eastAsia="Times New Roman" w:hAnsi="Times New Roman"/>
          <w:sz w:val="15"/>
          <w:szCs w:val="15"/>
          <w:color w:val="auto"/>
        </w:rPr>
        <w:t>Depreciation and amortization expenses increased by $4.5 million, or 15.6%, to $33.3 million from $28.8 million for the three months ended September 30, 2022 and 2021, respectively. The net increase in depreciation and amortization expenses, within our segments, consisted primarily of the following:</w:t>
      </w:r>
    </w:p>
    <w:p>
      <w:pPr>
        <w:spacing w:after="0" w:line="148" w:lineRule="exact"/>
        <w:rPr>
          <w:sz w:val="20"/>
          <w:szCs w:val="20"/>
          <w:color w:val="auto"/>
        </w:rPr>
      </w:pPr>
    </w:p>
    <w:p>
      <w:pPr>
        <w:jc w:val="both"/>
        <w:ind w:left="600" w:right="339" w:hanging="273"/>
        <w:spacing w:after="0" w:line="265" w:lineRule="auto"/>
        <w:tabs>
          <w:tab w:leader="none" w:pos="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Depreciation and amortization expenses increased within our International Telecom segment by $0.8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6.0%, to $14.1 million from $13.3 million, for the three months ended September 30, 2022 and 2021, respectively. This increase was a result of recent upgrades and expansions to this segment’s network.</w:t>
      </w:r>
    </w:p>
    <w:p>
      <w:pPr>
        <w:spacing w:after="0" w:line="145" w:lineRule="exact"/>
        <w:rPr>
          <w:rFonts w:ascii="Times New Roman" w:cs="Times New Roman" w:eastAsia="Times New Roman" w:hAnsi="Times New Roman"/>
          <w:sz w:val="15"/>
          <w:szCs w:val="15"/>
          <w:color w:val="auto"/>
        </w:rPr>
      </w:pPr>
    </w:p>
    <w:p>
      <w:pPr>
        <w:ind w:left="600" w:right="59" w:hanging="273"/>
        <w:spacing w:after="0" w:line="265" w:lineRule="auto"/>
        <w:tabs>
          <w:tab w:leader="none" w:pos="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Depreciation and amortization expenses increased within our US Telecom segment by $4.1 million, or 28.9%, to $18.3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$14.2 million, for the three months ended September 30, 2022 and 2021, respectively, primarily as a result of a full three months of our Alaska operations, which were acquired on July 22, 2021, being included in our 2022 results.</w:t>
      </w:r>
    </w:p>
    <w:p>
      <w:pPr>
        <w:spacing w:after="0" w:line="145" w:lineRule="exact"/>
        <w:rPr>
          <w:rFonts w:ascii="Times New Roman" w:cs="Times New Roman" w:eastAsia="Times New Roman" w:hAnsi="Times New Roman"/>
          <w:sz w:val="15"/>
          <w:szCs w:val="15"/>
          <w:color w:val="auto"/>
        </w:rPr>
      </w:pPr>
    </w:p>
    <w:p>
      <w:pPr>
        <w:ind w:left="600" w:right="139" w:hanging="273"/>
        <w:spacing w:after="0" w:line="265" w:lineRule="auto"/>
        <w:tabs>
          <w:tab w:leader="none" w:pos="6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Corporate Overhead</w:t>
      </w:r>
      <w:r>
        <w:rPr>
          <w:rFonts w:ascii="Times New Roman" w:cs="Times New Roman" w:eastAsia="Times New Roman" w:hAnsi="Times New Roman"/>
          <w:sz w:val="15"/>
          <w:szCs w:val="15"/>
          <w:color w:val="auto"/>
        </w:rPr>
        <w:t>. Depreciation and amortization expenses decreased within our corporate overhead by $0.4 million, or 33.3%, to $0.8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$1.2 million, for the three months ended September 30, 2022 and 2021, respectively, primarily as a result of certain assets becoming fully depreciated in recent periods.</w:t>
      </w:r>
    </w:p>
    <w:p>
      <w:pPr>
        <w:spacing w:after="0" w:line="148" w:lineRule="exact"/>
        <w:rPr>
          <w:sz w:val="20"/>
          <w:szCs w:val="20"/>
          <w:color w:val="auto"/>
        </w:rPr>
      </w:pPr>
    </w:p>
    <w:p>
      <w:pPr>
        <w:ind w:left="40" w:right="159" w:firstLine="538"/>
        <w:spacing w:after="0" w:line="277" w:lineRule="auto"/>
        <w:rPr>
          <w:sz w:val="20"/>
          <w:szCs w:val="20"/>
          <w:color w:val="auto"/>
        </w:rPr>
      </w:pPr>
      <w:r>
        <w:rPr>
          <w:rFonts w:ascii="Times New Roman" w:cs="Times New Roman" w:eastAsia="Times New Roman" w:hAnsi="Times New Roman"/>
          <w:sz w:val="15"/>
          <w:szCs w:val="15"/>
          <w:color w:val="auto"/>
        </w:rPr>
        <w:t>We expect depreciation and amortization expense to increase within all of our segments as we acquire tangible assets to expand or upgrade our telecommunications networks.</w:t>
      </w:r>
    </w:p>
    <w:p>
      <w:pPr>
        <w:spacing w:after="0" w:line="136" w:lineRule="exact"/>
        <w:rPr>
          <w:sz w:val="20"/>
          <w:szCs w:val="20"/>
          <w:color w:val="auto"/>
        </w:rPr>
      </w:pPr>
    </w:p>
    <w:p>
      <w:pPr>
        <w:ind w:left="40" w:right="47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Amortization of intangibles from acquisitions. </w:t>
      </w:r>
      <w:r>
        <w:rPr>
          <w:rFonts w:ascii="Times New Roman" w:cs="Times New Roman" w:eastAsia="Times New Roman" w:hAnsi="Times New Roman"/>
          <w:sz w:val="15"/>
          <w:szCs w:val="15"/>
          <w:color w:val="auto"/>
        </w:rPr>
        <w:t>Amortization of intangibles from acquisitions include the amortization of customer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relationships and trade names related to our completed acquisitions.</w:t>
      </w:r>
    </w:p>
    <w:p>
      <w:pPr>
        <w:spacing w:after="0" w:line="135" w:lineRule="exact"/>
        <w:rPr>
          <w:sz w:val="20"/>
          <w:szCs w:val="20"/>
          <w:color w:val="auto"/>
        </w:rPr>
      </w:pPr>
    </w:p>
    <w:p>
      <w:pPr>
        <w:ind w:left="40" w:right="219" w:firstLine="538"/>
        <w:spacing w:after="0" w:line="277" w:lineRule="auto"/>
        <w:rPr>
          <w:sz w:val="20"/>
          <w:szCs w:val="20"/>
          <w:color w:val="auto"/>
        </w:rPr>
      </w:pPr>
      <w:r>
        <w:rPr>
          <w:rFonts w:ascii="Times New Roman" w:cs="Times New Roman" w:eastAsia="Times New Roman" w:hAnsi="Times New Roman"/>
          <w:sz w:val="15"/>
          <w:szCs w:val="15"/>
          <w:color w:val="auto"/>
        </w:rPr>
        <w:t>Amortization of intangibles from acquisitions decreased by $0.4 million, or 11.1%, to $3.2 million from $3.6 million for the three months ended September 30, 2022 and 2021, respectively, as a result of the scheduled amortization of costs incurred in previous periods.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expect that amortization of intangibles from acquisitions will decrease as such costs continue to amortize as scheduled.</w:t>
      </w:r>
    </w:p>
    <w:p>
      <w:pPr>
        <w:spacing w:after="0" w:line="182" w:lineRule="exact"/>
        <w:rPr>
          <w:sz w:val="20"/>
          <w:szCs w:val="20"/>
          <w:color w:val="auto"/>
        </w:rPr>
      </w:pPr>
    </w:p>
    <w:p>
      <w:pPr>
        <w:ind w:left="40" w:right="41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Loss on disposition of long-lived assets</w:t>
      </w:r>
      <w:r>
        <w:rPr>
          <w:rFonts w:ascii="Times New Roman" w:cs="Times New Roman" w:eastAsia="Times New Roman" w:hAnsi="Times New Roman"/>
          <w:sz w:val="15"/>
          <w:szCs w:val="15"/>
          <w:color w:val="auto"/>
        </w:rPr>
        <w:t>. During the three months ended September 30, 2022, we recorded a $0.5 million loss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disposal of certain assets, primarily within our Renewable Energy segment related to the final settlement of the Vibrant Transaction.</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During the three months ended September 30, 2021, we recorded a loss on the disposition of miscellaneous long-lived assets of $0.3</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million.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53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Interest income. </w:t>
      </w:r>
      <w:r>
        <w:rPr>
          <w:rFonts w:ascii="Times New Roman" w:cs="Times New Roman" w:eastAsia="Times New Roman" w:hAnsi="Times New Roman"/>
          <w:sz w:val="15"/>
          <w:szCs w:val="15"/>
          <w:color w:val="auto"/>
        </w:rPr>
        <w:t>Interest income represents interest earned on our cash, cash equivalents, restricted cash and short-term investment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balances and were nominal amounts during both the three months ended September 30, 2022 and 2021.</w:t>
      </w:r>
    </w:p>
    <w:p>
      <w:pPr>
        <w:spacing w:after="0" w:line="131" w:lineRule="exact"/>
        <w:rPr>
          <w:sz w:val="20"/>
          <w:szCs w:val="20"/>
          <w:color w:val="auto"/>
        </w:rPr>
      </w:pPr>
    </w:p>
    <w:p>
      <w:pPr>
        <w:jc w:val="both"/>
        <w:ind w:left="40" w:right="9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Interest expense. </w:t>
      </w:r>
      <w:r>
        <w:rPr>
          <w:rFonts w:ascii="Times New Roman" w:cs="Times New Roman" w:eastAsia="Times New Roman" w:hAnsi="Times New Roman"/>
          <w:sz w:val="15"/>
          <w:szCs w:val="15"/>
          <w:color w:val="auto"/>
        </w:rPr>
        <w:t>We incur interest expense on the 2019 CoBank Credit Facility, the Alaska Credit Facility (beginning in July 2021 and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conjunction with the completion of the Alaska Transaction), the Viya Debt, the One Communications Debt and the Receivables Credit Facility (each as defined below). Interest expense also includes commitment fees, letter of credit fees and the amortization of debt issuance costs.</w:t>
      </w:r>
    </w:p>
    <w:p>
      <w:pPr>
        <w:spacing w:after="0" w:line="147" w:lineRule="exact"/>
        <w:rPr>
          <w:sz w:val="20"/>
          <w:szCs w:val="20"/>
          <w:color w:val="auto"/>
        </w:rPr>
      </w:pPr>
    </w:p>
    <w:p>
      <w:pPr>
        <w:jc w:val="both"/>
        <w:ind w:left="40" w:right="339" w:firstLine="538"/>
        <w:spacing w:after="0" w:line="263" w:lineRule="auto"/>
        <w:rPr>
          <w:sz w:val="20"/>
          <w:szCs w:val="20"/>
          <w:color w:val="auto"/>
        </w:rPr>
      </w:pPr>
      <w:r>
        <w:rPr>
          <w:rFonts w:ascii="Times New Roman" w:cs="Times New Roman" w:eastAsia="Times New Roman" w:hAnsi="Times New Roman"/>
          <w:sz w:val="15"/>
          <w:szCs w:val="15"/>
          <w:color w:val="auto"/>
        </w:rPr>
        <w:t>Interest expense increased to $5.5 million from $3.4 million for the three months ended September 30, 2022 and 2021, respectively, as additional interest expense was incurred as a result of new borrowings under the 2019 CoBank Credit Facility, the Alaska Credit Facility and the Receivables Credit Facility as well as an increase in interest rates on those facilities.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We expect that interest expense may increase in future periods as a result of increased interest rates and borrowings.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 xml:space="preserve">Other income (expenses).  </w:t>
      </w:r>
      <w:r>
        <w:rPr>
          <w:rFonts w:ascii="Times New Roman" w:cs="Times New Roman" w:eastAsia="Times New Roman" w:hAnsi="Times New Roman"/>
          <w:sz w:val="15"/>
          <w:szCs w:val="15"/>
          <w:color w:val="auto"/>
        </w:rPr>
        <w:t>Other income (expenses) represents miscellaneous non-operational income earned and expenses incurred.</w:t>
      </w:r>
    </w:p>
    <w:p>
      <w:pPr>
        <w:spacing w:after="0" w:line="190" w:lineRule="exact"/>
        <w:rPr>
          <w:sz w:val="20"/>
          <w:szCs w:val="20"/>
          <w:color w:val="auto"/>
        </w:rPr>
      </w:pPr>
    </w:p>
    <w:p>
      <w:pPr>
        <w:ind w:left="40" w:right="259" w:firstLine="538"/>
        <w:spacing w:after="0" w:line="277" w:lineRule="auto"/>
        <w:rPr>
          <w:sz w:val="20"/>
          <w:szCs w:val="20"/>
          <w:color w:val="auto"/>
        </w:rPr>
      </w:pPr>
      <w:r>
        <w:rPr>
          <w:rFonts w:ascii="Times New Roman" w:cs="Times New Roman" w:eastAsia="Times New Roman" w:hAnsi="Times New Roman"/>
          <w:sz w:val="15"/>
          <w:szCs w:val="15"/>
          <w:color w:val="auto"/>
        </w:rPr>
        <w:t>For the three months ended September 30, 2022, other income (expenses) was $1.9 million of income primarily related to gains from our noncontrolling investments partially offset by losses on foreign currency transactions.</w:t>
      </w:r>
    </w:p>
    <w:p>
      <w:pPr>
        <w:spacing w:after="0" w:line="140" w:lineRule="exact"/>
        <w:rPr>
          <w:sz w:val="20"/>
          <w:szCs w:val="20"/>
          <w:color w:val="auto"/>
        </w:rPr>
      </w:pPr>
    </w:p>
    <w:p>
      <w:pPr>
        <w:ind w:left="40" w:right="279" w:firstLine="538"/>
        <w:spacing w:after="0" w:line="263" w:lineRule="auto"/>
        <w:rPr>
          <w:sz w:val="20"/>
          <w:szCs w:val="20"/>
          <w:color w:val="auto"/>
        </w:rPr>
      </w:pPr>
      <w:r>
        <w:rPr>
          <w:rFonts w:ascii="Times New Roman" w:cs="Times New Roman" w:eastAsia="Times New Roman" w:hAnsi="Times New Roman"/>
          <w:sz w:val="15"/>
          <w:szCs w:val="15"/>
          <w:color w:val="auto"/>
        </w:rPr>
        <w:t>For the three months ended September 30, 2021, other income (expenses) was an expense of $0.4 million which was primarily related to losses from our noncontrolling investments and on foreign currency transactions. These losses were partially offset by miscellaneous income generated during the quarter.</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 xml:space="preserve">Income taxes. </w:t>
      </w:r>
      <w:r>
        <w:rPr>
          <w:rFonts w:ascii="Times New Roman" w:cs="Times New Roman" w:eastAsia="Times New Roman" w:hAnsi="Times New Roman"/>
          <w:sz w:val="15"/>
          <w:szCs w:val="15"/>
          <w:color w:val="auto"/>
        </w:rPr>
        <w:t>Our effective tax rate for the three months ended September 30, 2022 and 2021 was 16.9% and 6.0%, respectively.</w:t>
      </w:r>
    </w:p>
    <w:p>
      <w:pPr>
        <w:spacing w:after="0" w:line="190" w:lineRule="exact"/>
        <w:rPr>
          <w:sz w:val="20"/>
          <w:szCs w:val="20"/>
          <w:color w:val="auto"/>
        </w:rPr>
      </w:pPr>
    </w:p>
    <w:p>
      <w:pPr>
        <w:ind w:left="40" w:right="299" w:firstLine="538"/>
        <w:spacing w:after="0" w:line="258" w:lineRule="auto"/>
        <w:rPr>
          <w:sz w:val="20"/>
          <w:szCs w:val="20"/>
          <w:color w:val="auto"/>
        </w:rPr>
      </w:pPr>
      <w:r>
        <w:rPr>
          <w:rFonts w:ascii="Times New Roman" w:cs="Times New Roman" w:eastAsia="Times New Roman" w:hAnsi="Times New Roman"/>
          <w:sz w:val="15"/>
          <w:szCs w:val="15"/>
          <w:color w:val="auto"/>
        </w:rPr>
        <w:t>We recorded an income tax benefit of $0.4 million in relation to a pretax loss of $2.1 million for the three months ended September 30, 2022. The effective tax rate for the three months ended September 30, 2022 was primarily impacted by the following items (i) the mix of income generated among the jurisdictions in which we operate and (ii) discrete items including $0.9 million of expense for interest on unrecognized tax positions.</w:t>
      </w:r>
    </w:p>
    <w:p>
      <w:pPr>
        <w:spacing w:after="0" w:line="154" w:lineRule="exact"/>
        <w:rPr>
          <w:sz w:val="20"/>
          <w:szCs w:val="20"/>
          <w:color w:val="auto"/>
        </w:rPr>
      </w:pPr>
    </w:p>
    <w:p>
      <w:pPr>
        <w:ind w:left="40" w:right="119" w:firstLine="538"/>
        <w:spacing w:after="0" w:line="263" w:lineRule="auto"/>
        <w:rPr>
          <w:sz w:val="20"/>
          <w:szCs w:val="20"/>
          <w:color w:val="auto"/>
        </w:rPr>
      </w:pPr>
      <w:r>
        <w:rPr>
          <w:rFonts w:ascii="Times New Roman" w:cs="Times New Roman" w:eastAsia="Times New Roman" w:hAnsi="Times New Roman"/>
          <w:sz w:val="15"/>
          <w:szCs w:val="15"/>
          <w:color w:val="auto"/>
        </w:rPr>
        <w:t>The effective tax rate for the three months ended September 30, 2021 was primarily impacted by the following items: (i) the mix of income generated among the jurisdictions in which we operate, (ii) certain transactional charges incurred in connection with our recent acquisition that had no tax benefit, and (iii) a discrete expense of $0.5 million for interest on unrecognized tax positions.</w:t>
      </w:r>
    </w:p>
    <w:p>
      <w:pPr>
        <w:spacing w:after="0" w:line="150" w:lineRule="exact"/>
        <w:rPr>
          <w:sz w:val="20"/>
          <w:szCs w:val="20"/>
          <w:color w:val="auto"/>
        </w:rPr>
      </w:pPr>
    </w:p>
    <w:p>
      <w:pPr>
        <w:ind w:left="40" w:right="79" w:firstLine="538"/>
        <w:spacing w:after="0" w:line="275" w:lineRule="auto"/>
        <w:rPr>
          <w:sz w:val="20"/>
          <w:szCs w:val="20"/>
          <w:color w:val="auto"/>
        </w:rPr>
      </w:pPr>
      <w:r>
        <w:rPr>
          <w:rFonts w:ascii="Times New Roman" w:cs="Times New Roman" w:eastAsia="Times New Roman" w:hAnsi="Times New Roman"/>
          <w:sz w:val="14"/>
          <w:szCs w:val="14"/>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3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Net income attributable to noncontrolling interests, net of tax. </w:t>
      </w:r>
      <w:r>
        <w:rPr>
          <w:rFonts w:ascii="Times New Roman" w:cs="Times New Roman" w:eastAsia="Times New Roman" w:hAnsi="Times New Roman"/>
          <w:sz w:val="15"/>
          <w:szCs w:val="15"/>
          <w:color w:val="auto"/>
        </w:rPr>
        <w:t>Net income attributable to noncontrolling interests, net of tax reflected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allocation of income of $1.0 million and losses of $1.9 million generated by our less than wholly owned subsidiaries for the three months ended September 30, 2022 and 2021, respectively. Changes in net income attributable to noncontrolling interests, net of tax, within our segments, consisted of the following:</w:t>
      </w:r>
    </w:p>
    <w:p>
      <w:pPr>
        <w:spacing w:after="0" w:line="151" w:lineRule="exact"/>
        <w:rPr>
          <w:sz w:val="20"/>
          <w:szCs w:val="20"/>
          <w:color w:val="auto"/>
        </w:rPr>
      </w:pPr>
    </w:p>
    <w:p>
      <w:pPr>
        <w:ind w:left="600" w:right="59" w:hanging="273"/>
        <w:spacing w:after="0" w:line="259" w:lineRule="auto"/>
        <w:tabs>
          <w:tab w:leader="none" w:pos="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net income attributable to noncontrolling interests, net of tax increased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$0.1 million, or 4.3%, to an allocation of $2.4 million of income from an allocation of $2.3 million of income for the three months ended September 30, 2022 and 2021, respectively, primarily as a result of increased profitability at our less than wholly owned subsidiaries partially offset by an increase in our ownership of certain less than wholly owned subsidiaries in certain international markets.</w:t>
      </w:r>
    </w:p>
    <w:p>
      <w:pPr>
        <w:spacing w:after="0" w:line="151" w:lineRule="exact"/>
        <w:rPr>
          <w:rFonts w:ascii="Times New Roman" w:cs="Times New Roman" w:eastAsia="Times New Roman" w:hAnsi="Times New Roman"/>
          <w:sz w:val="15"/>
          <w:szCs w:val="15"/>
          <w:color w:val="auto"/>
        </w:rPr>
      </w:pPr>
    </w:p>
    <w:p>
      <w:pPr>
        <w:ind w:left="600" w:right="79" w:hanging="273"/>
        <w:spacing w:after="0" w:line="265" w:lineRule="auto"/>
        <w:tabs>
          <w:tab w:leader="none" w:pos="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Within our US Telecom segment, net income attributable to noncontrolling interests, net of tax decreased by $2.3 million to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allocation of losses of $1.4 million from an allocation of losses of $4.2 million for the three months ended September 30, 2022 and 2021, respectively, as a result the completion of the Alaska Transaction.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 xml:space="preserve">Net income (loss) attributable to ATN International, Inc. stockholders. </w:t>
      </w:r>
      <w:r>
        <w:rPr>
          <w:rFonts w:ascii="Times New Roman" w:cs="Times New Roman" w:eastAsia="Times New Roman" w:hAnsi="Times New Roman"/>
          <w:sz w:val="15"/>
          <w:szCs w:val="15"/>
          <w:color w:val="auto"/>
        </w:rPr>
        <w:t>Net income (loss) attributable to ATN International, Inc.</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stockholders was a loss of $2.8 million and $2.6 million for the three months ended September 30, 2022 and 2021, respectively.</w:t>
      </w:r>
    </w:p>
    <w:p>
      <w:pPr>
        <w:spacing w:after="0" w:line="172" w:lineRule="exact"/>
        <w:rPr>
          <w:sz w:val="20"/>
          <w:szCs w:val="20"/>
          <w:color w:val="auto"/>
        </w:rPr>
      </w:pPr>
    </w:p>
    <w:p>
      <w:pPr>
        <w:ind w:left="40" w:right="319" w:firstLine="538"/>
        <w:spacing w:after="0" w:line="263" w:lineRule="auto"/>
        <w:rPr>
          <w:sz w:val="20"/>
          <w:szCs w:val="20"/>
          <w:color w:val="auto"/>
        </w:rPr>
      </w:pPr>
      <w:r>
        <w:rPr>
          <w:rFonts w:ascii="Times New Roman" w:cs="Times New Roman" w:eastAsia="Times New Roman" w:hAnsi="Times New Roman"/>
          <w:sz w:val="15"/>
          <w:szCs w:val="15"/>
          <w:color w:val="auto"/>
        </w:rPr>
        <w:t>On a per diluted share basis, net income (loss) was a loss of $0.25 and $0.22 per diluted share for the three months ended September 30, 2022 and 2021, respectively. Such per share losses were impacted by accrued preferred dividends of $1.2 million and $0.8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Selected Segment Financial Information</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represents selected segment information for the nine months ended September 30, 2022 and 2021 (in thousands):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70"/>
        </w:trPr>
        <w:tc>
          <w:tcPr>
            <w:tcW w:w="30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10,997</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11,970</w:t>
            </w:r>
          </w:p>
        </w:tc>
        <w:tc>
          <w:tcPr>
            <w:tcW w:w="20" w:type="dxa"/>
            <w:vAlign w:val="bottom"/>
          </w:tcPr>
          <w:p>
            <w:pPr>
              <w:spacing w:after="0"/>
              <w:rPr>
                <w:sz w:val="15"/>
                <w:szCs w:val="15"/>
                <w:color w:val="auto"/>
              </w:rPr>
            </w:pP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69,088</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75,022</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6,036</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81,058</w:t>
            </w:r>
          </w:p>
        </w:tc>
        <w:tc>
          <w:tcPr>
            <w:tcW w:w="20" w:type="dxa"/>
            <w:vAlign w:val="bottom"/>
          </w:tcPr>
          <w:p>
            <w:pPr>
              <w:spacing w:after="0"/>
              <w:rPr>
                <w:sz w:val="14"/>
                <w:szCs w:val="14"/>
                <w:color w:val="auto"/>
              </w:rPr>
            </w:pP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52,827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91,521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144,348</w:t>
            </w:r>
          </w:p>
        </w:tc>
        <w:tc>
          <w:tcPr>
            <w:tcW w:w="20" w:type="dxa"/>
            <w:vAlign w:val="bottom"/>
          </w:tcPr>
          <w:p>
            <w:pPr>
              <w:spacing w:after="0"/>
              <w:rPr>
                <w:sz w:val="14"/>
                <w:szCs w:val="14"/>
                <w:color w:val="auto"/>
              </w:rPr>
            </w:pP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122,435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57,279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179,714</w:t>
            </w:r>
          </w:p>
        </w:tc>
        <w:tc>
          <w:tcPr>
            <w:tcW w:w="20" w:type="dxa"/>
            <w:vAlign w:val="bottom"/>
          </w:tcPr>
          <w:p>
            <w:pPr>
              <w:spacing w:after="0"/>
              <w:rPr>
                <w:sz w:val="15"/>
                <w:szCs w:val="15"/>
                <w:color w:val="auto"/>
              </w:rPr>
            </w:pP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175,262</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148,800</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324,062</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10,042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96,102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106,144</w:t>
            </w: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261,377</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250,938</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512,315</w:t>
            </w:r>
          </w:p>
        </w:tc>
        <w:tc>
          <w:tcPr>
            <w:tcW w:w="20" w:type="dxa"/>
            <w:vAlign w:val="bottom"/>
          </w:tcPr>
          <w:p>
            <w:pPr>
              <w:spacing w:after="0"/>
              <w:rPr>
                <w:sz w:val="14"/>
                <w:szCs w:val="14"/>
                <w:color w:val="auto"/>
              </w:rPr>
            </w:pP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8,615</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8,615</w:t>
            </w:r>
          </w:p>
        </w:tc>
        <w:tc>
          <w:tcPr>
            <w:tcW w:w="20" w:type="dxa"/>
            <w:vAlign w:val="bottom"/>
          </w:tcPr>
          <w:p>
            <w:pPr>
              <w:spacing w:after="0"/>
              <w:rPr>
                <w:sz w:val="14"/>
                <w:szCs w:val="14"/>
                <w:color w:val="auto"/>
              </w:rPr>
            </w:pP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20" w:type="dxa"/>
            <w:vAlign w:val="bottom"/>
          </w:tcPr>
          <w:p>
            <w:pPr>
              <w:spacing w:after="0"/>
              <w:rPr>
                <w:sz w:val="15"/>
                <w:szCs w:val="15"/>
                <w:color w:val="auto"/>
              </w:rPr>
            </w:pP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3,820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8,980</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12,800</w:t>
            </w:r>
          </w:p>
        </w:tc>
        <w:tc>
          <w:tcPr>
            <w:tcW w:w="20" w:type="dxa"/>
            <w:vAlign w:val="bottom"/>
          </w:tcPr>
          <w:p>
            <w:pPr>
              <w:spacing w:after="0"/>
              <w:rPr>
                <w:sz w:val="14"/>
                <w:szCs w:val="14"/>
                <w:color w:val="auto"/>
              </w:rPr>
            </w:pPr>
          </w:p>
        </w:tc>
      </w:tr>
      <w:tr>
        <w:trPr>
          <w:trHeight w:val="21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265,197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268,533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533,730</w:t>
            </w:r>
          </w:p>
        </w:tc>
        <w:tc>
          <w:tcPr>
            <w:tcW w:w="20" w:type="dxa"/>
            <w:vAlign w:val="bottom"/>
          </w:tcPr>
          <w:p>
            <w:pPr>
              <w:spacing w:after="0"/>
              <w:rPr>
                <w:sz w:val="18"/>
                <w:szCs w:val="18"/>
                <w:color w:val="auto"/>
              </w:rPr>
            </w:pPr>
          </w:p>
        </w:tc>
      </w:tr>
      <w:tr>
        <w:trPr>
          <w:trHeight w:val="153"/>
        </w:trPr>
        <w:tc>
          <w:tcPr>
            <w:tcW w:w="3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(4,199)</w:t>
            </w: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(755)</w:t>
            </w: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(28,663)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3,272</w:t>
            </w:r>
          </w:p>
        </w:tc>
        <w:tc>
          <w:tcPr>
            <w:tcW w:w="20" w:type="dxa"/>
            <w:vAlign w:val="bottom"/>
          </w:tcPr>
          <w:p>
            <w:pPr>
              <w:spacing w:after="0"/>
              <w:rPr>
                <w:sz w:val="16"/>
                <w:szCs w:val="16"/>
                <w:color w:val="auto"/>
              </w:rPr>
            </w:pPr>
          </w:p>
        </w:tc>
      </w:tr>
      <w:tr>
        <w:trPr>
          <w:trHeight w:val="882"/>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2"/>
        </w:trPr>
        <w:tc>
          <w:tcPr>
            <w:tcW w:w="3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56692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69280" cy="6985"/>
                    </a:xfrm>
                    <a:prstGeom prst="rect">
                      <a:avLst/>
                    </a:prstGeom>
                    <a:noFill/>
                  </pic:spPr>
                </pic:pic>
              </a:graphicData>
            </a:graphic>
          </wp:anchor>
        </w:drawing>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International</w:t>
            </w:r>
          </w:p>
        </w:tc>
        <w:tc>
          <w:tcPr>
            <w:tcW w:w="18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US</w:t>
            </w:r>
          </w:p>
        </w:tc>
        <w:tc>
          <w:tcPr>
            <w:tcW w:w="10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Corporate and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4"/>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8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0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Energy</w:t>
            </w:r>
          </w:p>
        </w:tc>
        <w:tc>
          <w:tcPr>
            <w:tcW w:w="10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Other (1)</w:t>
            </w:r>
          </w:p>
        </w:tc>
        <w:tc>
          <w:tcPr>
            <w:tcW w:w="100" w:type="dxa"/>
            <w:vAlign w:val="bottom"/>
          </w:tcPr>
          <w:p>
            <w:pPr>
              <w:spacing w:after="0"/>
              <w:rPr>
                <w:sz w:val="13"/>
                <w:szCs w:val="1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Consolidated</w:t>
            </w:r>
          </w:p>
        </w:tc>
      </w:tr>
      <w:tr>
        <w:trPr>
          <w:trHeight w:val="170"/>
        </w:trPr>
        <w:tc>
          <w:tcPr>
            <w:tcW w:w="30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179"/>
        </w:trPr>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Communication Services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9"/>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Mobility - Business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5,066</w:t>
            </w:r>
          </w:p>
        </w:tc>
      </w:tr>
      <w:tr>
        <w:trPr>
          <w:trHeight w:val="179"/>
        </w:trPr>
        <w:tc>
          <w:tcPr>
            <w:tcW w:w="30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Mobility - Consumer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70,761</w:t>
            </w:r>
          </w:p>
        </w:tc>
      </w:tr>
      <w:tr>
        <w:trPr>
          <w:trHeight w:val="170"/>
        </w:trPr>
        <w:tc>
          <w:tcPr>
            <w:tcW w:w="3060" w:type="dxa"/>
            <w:vAlign w:val="bottom"/>
            <w:tcBorders>
              <w:top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Mobility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68,420</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7,407</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75,827</w:t>
            </w:r>
          </w:p>
        </w:tc>
      </w:tr>
      <w:tr>
        <w:trPr>
          <w:trHeight w:val="170"/>
        </w:trPr>
        <w:tc>
          <w:tcPr>
            <w:tcW w:w="3060" w:type="dxa"/>
            <w:vAlign w:val="bottom"/>
          </w:tcPr>
          <w:p>
            <w:pPr>
              <w:ind w:left="180"/>
              <w:spacing w:after="0" w:line="171" w:lineRule="exact"/>
              <w:rPr>
                <w:sz w:val="20"/>
                <w:szCs w:val="20"/>
                <w:color w:val="auto"/>
              </w:rPr>
            </w:pPr>
            <w:r>
              <w:rPr>
                <w:rFonts w:ascii="Times New Roman" w:cs="Times New Roman" w:eastAsia="Times New Roman" w:hAnsi="Times New Roman"/>
                <w:sz w:val="15"/>
                <w:szCs w:val="15"/>
                <w:color w:val="auto"/>
              </w:rPr>
              <w:t>Fixed - Business</w:t>
            </w:r>
          </w:p>
        </w:tc>
        <w:tc>
          <w:tcPr>
            <w:tcW w:w="16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50,037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26,409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71" w:lineRule="exact"/>
              <w:rPr>
                <w:sz w:val="20"/>
                <w:szCs w:val="20"/>
                <w:color w:val="auto"/>
              </w:rPr>
            </w:pPr>
            <w:r>
              <w:rPr>
                <w:rFonts w:ascii="Times New Roman" w:cs="Times New Roman" w:eastAsia="Times New Roman" w:hAnsi="Times New Roman"/>
                <w:sz w:val="15"/>
                <w:szCs w:val="15"/>
                <w:color w:val="auto"/>
              </w:rPr>
              <w:t>76,446</w:t>
            </w: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Fixed - Consumer</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125,255</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23,004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148,259</w:t>
            </w:r>
          </w:p>
        </w:tc>
      </w:tr>
      <w:tr>
        <w:trPr>
          <w:trHeight w:val="170"/>
        </w:trPr>
        <w:tc>
          <w:tcPr>
            <w:tcW w:w="3060" w:type="dxa"/>
            <w:vAlign w:val="bottom"/>
            <w:tcBorders>
              <w:bottom w:val="single" w:sz="8" w:color="CCEEFF"/>
            </w:tcBorders>
          </w:tcPr>
          <w:p>
            <w:pPr>
              <w:ind w:left="280"/>
              <w:spacing w:after="0" w:line="171" w:lineRule="exact"/>
              <w:rPr>
                <w:sz w:val="20"/>
                <w:szCs w:val="20"/>
                <w:color w:val="auto"/>
              </w:rPr>
            </w:pPr>
            <w:r>
              <w:rPr>
                <w:rFonts w:ascii="Times New Roman" w:cs="Times New Roman" w:eastAsia="Times New Roman" w:hAnsi="Times New Roman"/>
                <w:sz w:val="15"/>
                <w:szCs w:val="15"/>
                <w:color w:val="auto"/>
              </w:rPr>
              <w:t>Total Fixed</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175,292</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49,413</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224,705</w:t>
            </w:r>
          </w:p>
        </w:tc>
      </w:tr>
      <w:tr>
        <w:trPr>
          <w:trHeight w:val="170"/>
        </w:trPr>
        <w:tc>
          <w:tcPr>
            <w:tcW w:w="30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5"/>
                <w:szCs w:val="15"/>
                <w:color w:val="auto"/>
              </w:rPr>
              <w:t>Carrier Services</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6,963</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70,713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77,676</w:t>
            </w: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r>
      <w:tr>
        <w:trPr>
          <w:trHeight w:val="170"/>
        </w:trPr>
        <w:tc>
          <w:tcPr>
            <w:tcW w:w="3060" w:type="dxa"/>
            <w:vAlign w:val="bottom"/>
            <w:tcBorders>
              <w:top w:val="single" w:sz="8" w:color="CCEEFF"/>
            </w:tcBorders>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Communication Services Revenue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251,364</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127,533</w:t>
            </w: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378,897</w:t>
            </w:r>
          </w:p>
        </w:tc>
      </w:tr>
      <w:tr>
        <w:trPr>
          <w:trHeight w:val="170"/>
        </w:trPr>
        <w:tc>
          <w:tcPr>
            <w:tcW w:w="30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5"/>
                <w:szCs w:val="15"/>
                <w:color w:val="auto"/>
              </w:rPr>
              <w:t>Construction</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28,049</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28,049</w:t>
            </w:r>
          </w:p>
        </w:tc>
      </w:tr>
      <w:tr>
        <w:trPr>
          <w:trHeight w:val="170"/>
        </w:trPr>
        <w:tc>
          <w:tcPr>
            <w:tcW w:w="3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79"/>
        </w:trPr>
        <w:tc>
          <w:tcPr>
            <w:tcW w:w="30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Renewable Energy</w:t>
            </w:r>
          </w:p>
        </w:tc>
        <w:tc>
          <w:tcPr>
            <w:tcW w:w="160" w:type="dxa"/>
            <w:vAlign w:val="bottom"/>
          </w:tcPr>
          <w:p>
            <w:pPr>
              <w:spacing w:after="0"/>
              <w:rPr>
                <w:sz w:val="15"/>
                <w:szCs w:val="15"/>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r>
      <w:tr>
        <w:trPr>
          <w:trHeight w:val="17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Managed Services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3,978</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7,771</w:t>
            </w:r>
          </w:p>
        </w:tc>
      </w:tr>
      <w:tr>
        <w:trPr>
          <w:trHeight w:val="170"/>
        </w:trPr>
        <w:tc>
          <w:tcPr>
            <w:tcW w:w="3060" w:type="dxa"/>
            <w:vAlign w:val="bottom"/>
            <w:tcBorders>
              <w:bottom w:val="single" w:sz="8" w:color="CCEEFF"/>
            </w:tcBorders>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Other Revenue</w:t>
            </w: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3,978</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3,793</w:t>
            </w:r>
          </w:p>
        </w:tc>
        <w:tc>
          <w:tcPr>
            <w:tcW w:w="2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418</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8,189</w:t>
            </w:r>
          </w:p>
        </w:tc>
      </w:tr>
      <w:tr>
        <w:trPr>
          <w:trHeight w:val="170"/>
        </w:trPr>
        <w:tc>
          <w:tcPr>
            <w:tcW w:w="306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255,342</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159,375</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418</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415,135</w:t>
            </w:r>
          </w:p>
        </w:tc>
      </w:tr>
      <w:tr>
        <w:trPr>
          <w:trHeight w:val="20"/>
        </w:trPr>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53"/>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9"/>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40,999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(10,920)</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(1,488)</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(23,319)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5,272</w:t>
            </w:r>
          </w:p>
        </w:tc>
      </w:tr>
    </w:tbl>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(1) Reconciling items refer to corporate overhead costs and consolidating adjustments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 comparison of our segment results for the nine months ended September 30, 2022, and 2021 is as follows:</w:t>
      </w:r>
    </w:p>
    <w:p>
      <w:pPr>
        <w:spacing w:after="0" w:line="128" w:lineRule="exact"/>
        <w:rPr>
          <w:sz w:val="20"/>
          <w:szCs w:val="20"/>
          <w:color w:val="auto"/>
        </w:rPr>
      </w:pPr>
    </w:p>
    <w:p>
      <w:pPr>
        <w:ind w:left="40" w:right="79" w:firstLine="538"/>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Revenues within our International Telecom segment increased $9.9 million, or 3.9%, to $265.2 million from $255.3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for the nine months ended September 30, 2022 and 2021, respectively, as a result of an increase in Fixed and Mobility subscribers within our international markets. In addition, our US Virgin Islands and Bermuda markets recognized an increase in Carrier Services revenue as a result of increased tourism in those markets. These increases, however, were partially offset by a $4.1 million reduction in federal support revenues in the US Virgin Islands.</w:t>
      </w:r>
    </w:p>
    <w:p>
      <w:pPr>
        <w:spacing w:after="0" w:line="154" w:lineRule="exact"/>
        <w:rPr>
          <w:sz w:val="20"/>
          <w:szCs w:val="20"/>
          <w:color w:val="auto"/>
        </w:rPr>
      </w:pPr>
    </w:p>
    <w:p>
      <w:pPr>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Operating expenses within our International Telecom segment increased by $14.0 million, or 6.5%, to $228.3 million from $214.3 million for the nine months ended September 30, 2022 and 2021, respectively. The increase was primarily the result of an increase in direct costs, primarily roaming expenses due to increased tourism in the US Virgin Islands and Bermuda, equipment expenses due to increased handset sales and an increase in sales and marketing expenses to support the expansion of our subscriber base.</w:t>
      </w:r>
    </w:p>
    <w:p>
      <w:pPr>
        <w:spacing w:after="0" w:line="154" w:lineRule="exact"/>
        <w:rPr>
          <w:sz w:val="20"/>
          <w:szCs w:val="20"/>
          <w:color w:val="auto"/>
        </w:rPr>
      </w:pPr>
    </w:p>
    <w:p>
      <w:pPr>
        <w:ind w:left="40" w:right="259" w:firstLine="538"/>
        <w:spacing w:after="0" w:line="277" w:lineRule="auto"/>
        <w:rPr>
          <w:sz w:val="20"/>
          <w:szCs w:val="20"/>
          <w:color w:val="auto"/>
        </w:rPr>
      </w:pPr>
      <w:r>
        <w:rPr>
          <w:rFonts w:ascii="Times New Roman" w:cs="Times New Roman" w:eastAsia="Times New Roman" w:hAnsi="Times New Roman"/>
          <w:sz w:val="15"/>
          <w:szCs w:val="15"/>
          <w:color w:val="auto"/>
        </w:rPr>
        <w:t>As a result, our International Telecom segment’s operating income decreased $4.1 million, or 10.0%, to $36.9 million from $41.0 million for the nine months ended September 30, 2022 and 2021, respectively.</w:t>
      </w:r>
    </w:p>
    <w:p>
      <w:pPr>
        <w:spacing w:after="0" w:line="138" w:lineRule="exact"/>
        <w:rPr>
          <w:sz w:val="20"/>
          <w:szCs w:val="20"/>
          <w:color w:val="auto"/>
        </w:rPr>
      </w:pPr>
    </w:p>
    <w:p>
      <w:pPr>
        <w:ind w:left="40" w:right="199" w:firstLine="538"/>
        <w:spacing w:after="0" w:line="257" w:lineRule="auto"/>
        <w:rPr>
          <w:sz w:val="20"/>
          <w:szCs w:val="20"/>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Revenue within our US Telecom segment increased by $109.1 million, or 68.4%, to $268.5 million from $159.4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nine months ended September 30, 2022 and 2021, respectively, primarily as a result of a full nine months of our Alaska operations, which were acquired on July 22, 2021, being included in our 2022 results partially offset by a $19.4 million reduction in construction revenue related to the FirstNet Transaction as well as a reduction in roaming revenue due to the restructuring of certain carrier contracts in our western United States operations.</w:t>
      </w:r>
    </w:p>
    <w:p>
      <w:pPr>
        <w:spacing w:after="0" w:line="154" w:lineRule="exact"/>
        <w:rPr>
          <w:sz w:val="20"/>
          <w:szCs w:val="20"/>
          <w:color w:val="auto"/>
        </w:rPr>
      </w:pPr>
    </w:p>
    <w:p>
      <w:pPr>
        <w:ind w:left="40" w:right="159" w:firstLine="538"/>
        <w:spacing w:after="0" w:line="263" w:lineRule="auto"/>
        <w:rPr>
          <w:sz w:val="20"/>
          <w:szCs w:val="20"/>
          <w:color w:val="auto"/>
        </w:rPr>
      </w:pPr>
      <w:r>
        <w:rPr>
          <w:rFonts w:ascii="Times New Roman" w:cs="Times New Roman" w:eastAsia="Times New Roman" w:hAnsi="Times New Roman"/>
          <w:sz w:val="15"/>
          <w:szCs w:val="15"/>
          <w:color w:val="auto"/>
        </w:rPr>
        <w:t>Operating expenses within our US Telecom segment increased $102.4 million to $272.7 million from $170.3 million for the nine months ended September 30, 2022 and 2021, respectively, as a result of a full nine months of our Alaska operations, which were acquired on July 22, 2021, being included in our 2022 results and increases in other</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59"/>
        <w:spacing w:after="0" w:line="263" w:lineRule="auto"/>
        <w:rPr>
          <w:sz w:val="20"/>
          <w:szCs w:val="20"/>
          <w:color w:val="auto"/>
        </w:rPr>
      </w:pPr>
      <w:r>
        <w:rPr>
          <w:rFonts w:ascii="Times New Roman" w:cs="Times New Roman" w:eastAsia="Times New Roman" w:hAnsi="Times New Roman"/>
          <w:sz w:val="15"/>
          <w:szCs w:val="15"/>
          <w:color w:val="auto"/>
        </w:rPr>
        <w:t>expenses being incurred in connection with both the FirstNet Transaction and the CARES Act-funded build-out of rural broadband operations. These increases were partially offset by decreases in FirstNet construction costs of $19.4 million and transaction-related expenses, primarily related to the Alaska Transaction, of $7.9 million.</w:t>
      </w:r>
    </w:p>
    <w:p>
      <w:pPr>
        <w:spacing w:after="0" w:line="150" w:lineRule="exact"/>
        <w:rPr>
          <w:sz w:val="20"/>
          <w:szCs w:val="20"/>
          <w:color w:val="auto"/>
        </w:rPr>
      </w:pPr>
    </w:p>
    <w:p>
      <w:pPr>
        <w:ind w:left="40" w:right="199" w:firstLine="538"/>
        <w:spacing w:after="0" w:line="277" w:lineRule="auto"/>
        <w:rPr>
          <w:sz w:val="20"/>
          <w:szCs w:val="20"/>
          <w:color w:val="auto"/>
        </w:rPr>
      </w:pPr>
      <w:r>
        <w:rPr>
          <w:rFonts w:ascii="Times New Roman" w:cs="Times New Roman" w:eastAsia="Times New Roman" w:hAnsi="Times New Roman"/>
          <w:sz w:val="15"/>
          <w:szCs w:val="15"/>
          <w:color w:val="auto"/>
        </w:rPr>
        <w:t>As a result of the above, our US Telecom segment’s operating loss decreased by $6.7 million to a loss of $4.2 million from a loss of $10.9 million for the nine months ended September 30, 2022 and 2021, respectively.</w:t>
      </w:r>
    </w:p>
    <w:p>
      <w:pPr>
        <w:spacing w:after="0" w:line="138" w:lineRule="exact"/>
        <w:rPr>
          <w:sz w:val="20"/>
          <w:szCs w:val="20"/>
          <w:color w:val="auto"/>
        </w:rPr>
      </w:pPr>
    </w:p>
    <w:p>
      <w:pPr>
        <w:ind w:left="40" w:right="139" w:firstLine="538"/>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Renewable Energy. </w:t>
      </w:r>
      <w:r>
        <w:rPr>
          <w:rFonts w:ascii="Times New Roman" w:cs="Times New Roman" w:eastAsia="Times New Roman" w:hAnsi="Times New Roman"/>
          <w:sz w:val="15"/>
          <w:szCs w:val="15"/>
          <w:color w:val="auto"/>
        </w:rPr>
        <w:t>Until the completion of the Vibrant Transaction on January 27, 2021, we distributed generation solar power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commercial and industrial customers under the Vibrant name in India. Accordingly, we did not generate revenue or incur operating expenses within our Renewable Energy segment subsequent to that date. For the nine months ended September 30, 2021, we generated revenue, incurred operating expenses and reported an operating loss of $3.4 million, $4.6 million and $1.2 million, respectively.</w:t>
      </w:r>
    </w:p>
    <w:p>
      <w:pPr>
        <w:spacing w:after="0" w:line="154" w:lineRule="exact"/>
        <w:rPr>
          <w:sz w:val="20"/>
          <w:szCs w:val="20"/>
          <w:color w:val="auto"/>
        </w:rPr>
      </w:pPr>
    </w:p>
    <w:p>
      <w:pPr>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The following represents a year over year discussion and analysis of our results of operations for the nine months ended September 30, 2022 and 2021 (in thousands):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Amount of</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0" w:type="dxa"/>
            <w:vAlign w:val="bottom"/>
          </w:tcPr>
          <w:p>
            <w:pPr>
              <w:spacing w:after="0"/>
              <w:rPr>
                <w:sz w:val="1"/>
                <w:szCs w:val="1"/>
                <w:color w:val="auto"/>
              </w:rPr>
            </w:pPr>
          </w:p>
        </w:tc>
      </w:tr>
      <w:tr>
        <w:trPr>
          <w:trHeight w:val="154"/>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6"/>
              </w:rPr>
              <w:t>Increase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(Decrease)</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(Decrease)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Communication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512,315</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378,897</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133,418</w:t>
            </w: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35.2 %</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Construction</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28,049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(19,434)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179"/>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8,189</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4,611</w:t>
            </w: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260"/>
              <w:spacing w:after="0" w:line="171" w:lineRule="exact"/>
              <w:rPr>
                <w:sz w:val="20"/>
                <w:szCs w:val="20"/>
                <w:color w:val="auto"/>
              </w:rPr>
            </w:pPr>
            <w:r>
              <w:rPr>
                <w:rFonts w:ascii="Times New Roman" w:cs="Times New Roman" w:eastAsia="Times New Roman" w:hAnsi="Times New Roman"/>
                <w:sz w:val="15"/>
                <w:szCs w:val="15"/>
                <w:color w:val="auto"/>
              </w:rPr>
              <w:t>Total revenue</w:t>
            </w: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533,730</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415,135</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118,595</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28.6</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00" w:type="dxa"/>
            <w:vAlign w:val="bottom"/>
          </w:tcPr>
          <w:p>
            <w:pPr>
              <w:spacing w:after="0" w:line="143" w:lineRule="exact"/>
              <w:rPr>
                <w:sz w:val="20"/>
                <w:szCs w:val="20"/>
                <w:color w:val="auto"/>
              </w:rPr>
            </w:pPr>
            <w:r>
              <w:rPr>
                <w:rFonts w:ascii="Times New Roman" w:cs="Times New Roman" w:eastAsia="Times New Roman" w:hAnsi="Times New Roman"/>
                <w:sz w:val="15"/>
                <w:szCs w:val="15"/>
                <w:b w:val="1"/>
                <w:bCs w:val="1"/>
                <w:color w:val="auto"/>
              </w:rPr>
              <w:t xml:space="preserve">OPERATING EXPENSES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excluding depreciation and amortization unless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otherwise indicated</w:t>
            </w: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Cost of communication services and other</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229,821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168,717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61,104</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Cost of construction revenue</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8,640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27,997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(19,357)</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(69.1)</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173,575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131,705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41,870</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Transaction-related charges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(3,442)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(44.0)</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100,421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68,693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31,728</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intangibles from acquisitions</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5,420</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Loss on disposition of long-lived assets</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3,876</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tcBorders>
              <w:bottom w:val="single" w:sz="8" w:color="CCEEFF"/>
            </w:tcBorders>
          </w:tcPr>
          <w:p>
            <w:pPr>
              <w:ind w:left="360"/>
              <w:spacing w:after="0" w:line="171" w:lineRule="exact"/>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530,458</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409,864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120,594</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29.4</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360"/>
              <w:spacing w:after="0" w:line="171" w:lineRule="exact"/>
              <w:rPr>
                <w:sz w:val="20"/>
                <w:szCs w:val="20"/>
                <w:color w:val="auto"/>
              </w:rPr>
            </w:pPr>
            <w:r>
              <w:rPr>
                <w:rFonts w:ascii="Times New Roman" w:cs="Times New Roman" w:eastAsia="Times New Roman" w:hAnsi="Times New Roman"/>
                <w:sz w:val="15"/>
                <w:szCs w:val="15"/>
                <w:color w:val="auto"/>
              </w:rPr>
              <w:t>Income (loss) from operations</w:t>
            </w: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3,272</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5,271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(1,999)</w:t>
            </w:r>
          </w:p>
        </w:tc>
        <w:tc>
          <w:tcPr>
            <w:tcW w:w="18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(37.9)</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OTHER INCOME (EXPENSE):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income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(50.6)</w:t>
            </w: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(13,107)</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(5,723)</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(7,384)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income</w:t>
            </w: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3,379</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1,923</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w:t>
            </w:r>
          </w:p>
        </w:tc>
        <w:tc>
          <w:tcPr>
            <w:tcW w:w="1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00" w:type="dxa"/>
            <w:vAlign w:val="bottom"/>
            <w:tcBorders>
              <w:bottom w:val="single" w:sz="8" w:color="CCEEFF"/>
            </w:tcBorders>
          </w:tcPr>
          <w:p>
            <w:pPr>
              <w:ind w:left="260"/>
              <w:spacing w:after="0" w:line="171" w:lineRule="exact"/>
              <w:rPr>
                <w:sz w:val="20"/>
                <w:szCs w:val="20"/>
                <w:color w:val="auto"/>
              </w:rPr>
            </w:pPr>
            <w:r>
              <w:rPr>
                <w:rFonts w:ascii="Times New Roman" w:cs="Times New Roman" w:eastAsia="Times New Roman" w:hAnsi="Times New Roman"/>
                <w:sz w:val="15"/>
                <w:szCs w:val="15"/>
                <w:color w:val="auto"/>
              </w:rPr>
              <w:t>Other expense, net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(9,687)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(3,717)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(5,970)</w:t>
            </w: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5"/>
                <w:szCs w:val="15"/>
                <w:color w:val="auto"/>
              </w:rPr>
              <w:t>160.6</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(6,415)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1,554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(7,969)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(512.8)</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Income tax benefit</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(1,378)</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(1,535)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(10.2)</w:t>
            </w:r>
          </w:p>
        </w:tc>
        <w:tc>
          <w:tcPr>
            <w:tcW w:w="0" w:type="dxa"/>
            <w:vAlign w:val="bottom"/>
          </w:tcPr>
          <w:p>
            <w:pPr>
              <w:spacing w:after="0"/>
              <w:rPr>
                <w:sz w:val="1"/>
                <w:szCs w:val="1"/>
                <w:color w:val="auto"/>
              </w:rPr>
            </w:pPr>
          </w:p>
        </w:tc>
      </w:tr>
      <w:tr>
        <w:trPr>
          <w:trHeight w:val="170"/>
        </w:trPr>
        <w:tc>
          <w:tcPr>
            <w:tcW w:w="51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5"/>
                <w:szCs w:val="15"/>
                <w:b w:val="1"/>
                <w:bCs w:val="1"/>
                <w:color w:val="auto"/>
              </w:rPr>
              <w:t>NET INCOME (LOSS)</w:t>
            </w: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(5,037)</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3,089</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(8,126)</w:t>
            </w:r>
          </w:p>
        </w:tc>
        <w:tc>
          <w:tcPr>
            <w:tcW w:w="1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(263.1)</w:t>
            </w: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Net (income) loss attributable to noncontrolling interests, net of tax:</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(986)</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1,768</w:t>
            </w:r>
          </w:p>
        </w:tc>
        <w:tc>
          <w:tcPr>
            <w:tcW w:w="18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(179.3)</w:t>
            </w: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NET INCOME (LOSS) ATTRIBUTABLE TO ATN</w:t>
            </w: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00" w:type="dxa"/>
            <w:vAlign w:val="bottom"/>
            <w:vMerge w:val="continue"/>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(4,255)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2,103</w:t>
            </w:r>
          </w:p>
        </w:tc>
        <w:tc>
          <w:tcPr>
            <w:tcW w:w="1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(6,358)</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(302.3)%</w:t>
            </w:r>
          </w:p>
        </w:tc>
        <w:tc>
          <w:tcPr>
            <w:tcW w:w="0" w:type="dxa"/>
            <w:vAlign w:val="bottom"/>
          </w:tcPr>
          <w:p>
            <w:pPr>
              <w:spacing w:after="0"/>
              <w:rPr>
                <w:sz w:val="1"/>
                <w:szCs w:val="1"/>
                <w:color w:val="auto"/>
              </w:rPr>
            </w:pPr>
          </w:p>
        </w:tc>
      </w:tr>
      <w:tr>
        <w:trPr>
          <w:trHeight w:val="18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INTERNATIONAL, INC. STOCKHOLDERS</w:t>
            </w:r>
          </w:p>
        </w:tc>
        <w:tc>
          <w:tcPr>
            <w:tcW w:w="10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n/m = not meaningful</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Communications Services Revenue</w:t>
      </w:r>
    </w:p>
    <w:p>
      <w:pPr>
        <w:spacing w:after="0" w:line="186" w:lineRule="exact"/>
        <w:rPr>
          <w:sz w:val="20"/>
          <w:szCs w:val="20"/>
          <w:color w:val="auto"/>
        </w:rPr>
      </w:pPr>
    </w:p>
    <w:p>
      <w:pPr>
        <w:ind w:left="40" w:right="19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Mobility Revenue. </w:t>
      </w:r>
      <w:r>
        <w:rPr>
          <w:rFonts w:ascii="Times New Roman" w:cs="Times New Roman" w:eastAsia="Times New Roman" w:hAnsi="Times New Roman"/>
          <w:sz w:val="15"/>
          <w:szCs w:val="15"/>
          <w:color w:val="auto"/>
        </w:rPr>
        <w:t>Mobility revenue increased by $5.3 million, or 7.0%, to $81.1 million for the nine months ended September 30, 2022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from $75.8 million for the nine months ended September 30, 2021. Of this increase, $6.9 million related to an increase in revenue from business customers while revenue from consumers declined by $1.7 million. The increase in Mobility revenue, within our segments, consisted of the following:</w:t>
      </w:r>
    </w:p>
    <w:p>
      <w:pPr>
        <w:spacing w:after="0" w:line="151" w:lineRule="exact"/>
        <w:rPr>
          <w:sz w:val="20"/>
          <w:szCs w:val="20"/>
          <w:color w:val="auto"/>
        </w:rPr>
      </w:pPr>
    </w:p>
    <w:p>
      <w:pPr>
        <w:ind w:left="600" w:right="179" w:hanging="273"/>
        <w:spacing w:after="0" w:line="259" w:lineRule="auto"/>
        <w:tabs>
          <w:tab w:leader="none" w:pos="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Mobility revenue increased by $6.6 million, or 9.6%, to $75.0 million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the nine months ended September 30, 2022 from $68.4 million for the nine months ended September 30, 2021. Mobility revenue increased in each of our markets as total revenue from business customers was the majority of that increase. The increases were the result of improved retail and marketing strategies which lead to an increase in subscribers and equipment sales in certain markets.</w:t>
      </w:r>
    </w:p>
    <w:p>
      <w:pPr>
        <w:spacing w:after="0" w:line="151" w:lineRule="exact"/>
        <w:rPr>
          <w:rFonts w:ascii="Times New Roman" w:cs="Times New Roman" w:eastAsia="Times New Roman" w:hAnsi="Times New Roman"/>
          <w:sz w:val="15"/>
          <w:szCs w:val="15"/>
          <w:color w:val="auto"/>
        </w:rPr>
      </w:pPr>
    </w:p>
    <w:p>
      <w:pPr>
        <w:ind w:left="600" w:right="139" w:hanging="273"/>
        <w:spacing w:after="0" w:line="259" w:lineRule="auto"/>
        <w:tabs>
          <w:tab w:leader="none" w:pos="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Mobility revenue within our US Telecom segment decreased by $1.4 million, or 18.9%, to $6.0 million from $7.4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nine months ended September 30, 2022 and 2021, respectively. Of this decrease, $1.2 million related to a decrease in revenue from consumers within our retail operations due to a decrease in subscribers while the remaining $0.2 million decrease was the result of a decrease in revenue from our private networks business.</w:t>
      </w:r>
    </w:p>
    <w:p>
      <w:pPr>
        <w:spacing w:after="0" w:line="150" w:lineRule="exact"/>
        <w:rPr>
          <w:sz w:val="20"/>
          <w:szCs w:val="20"/>
          <w:color w:val="auto"/>
        </w:rPr>
      </w:pPr>
    </w:p>
    <w:p>
      <w:pPr>
        <w:ind w:left="40" w:right="33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Fixed Revenue. </w:t>
      </w:r>
      <w:r>
        <w:rPr>
          <w:rFonts w:ascii="Times New Roman" w:cs="Times New Roman" w:eastAsia="Times New Roman" w:hAnsi="Times New Roman"/>
          <w:sz w:val="15"/>
          <w:szCs w:val="15"/>
          <w:color w:val="auto"/>
        </w:rPr>
        <w:t>Fixed revenue increased by $99.4 million, or 44.2%, to $324.1 million from $224.7 million for the nine months ended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September 30, 2022 and 2021, respectively. Of this increase, $67.9 million and $31.5 million relate to revenue from business and consumer customers, respectively. The increase in Fixed revenue, within our segments, consisted of the following:</w:t>
      </w:r>
    </w:p>
    <w:p>
      <w:pPr>
        <w:spacing w:after="0" w:line="145" w:lineRule="exact"/>
        <w:rPr>
          <w:sz w:val="20"/>
          <w:szCs w:val="20"/>
          <w:color w:val="auto"/>
        </w:rPr>
      </w:pPr>
    </w:p>
    <w:p>
      <w:pPr>
        <w:ind w:left="600" w:right="79" w:hanging="273"/>
        <w:spacing w:after="0" w:line="292" w:lineRule="auto"/>
        <w:tabs>
          <w:tab w:leader="none" w:pos="6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 Telecom</w:t>
      </w:r>
      <w:r>
        <w:rPr>
          <w:rFonts w:ascii="Times New Roman" w:cs="Times New Roman" w:eastAsia="Times New Roman" w:hAnsi="Times New Roman"/>
          <w:sz w:val="14"/>
          <w:szCs w:val="14"/>
          <w:color w:val="auto"/>
        </w:rPr>
        <w:t>. Within our International Telecom segment, Fixed revenue was consistent at $175.3 million for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2022 and 2021, as increases in fixed broadband subscribers in all of our international markets and data pricing in certain markets was offset by the previously disclosed and scheduled $4.1 million reduction in revenue from the FCC’s High Cost Program.</w:t>
      </w:r>
    </w:p>
    <w:p>
      <w:pPr>
        <w:spacing w:after="0" w:line="129" w:lineRule="exact"/>
        <w:rPr>
          <w:rFonts w:ascii="Times New Roman" w:cs="Times New Roman" w:eastAsia="Times New Roman" w:hAnsi="Times New Roman"/>
          <w:sz w:val="14"/>
          <w:szCs w:val="14"/>
          <w:color w:val="auto"/>
        </w:rPr>
      </w:pPr>
    </w:p>
    <w:p>
      <w:pPr>
        <w:jc w:val="both"/>
        <w:ind w:left="600" w:right="99" w:hanging="273"/>
        <w:spacing w:after="0" w:line="284" w:lineRule="auto"/>
        <w:tabs>
          <w:tab w:leader="none" w:pos="6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US Telecom</w:t>
      </w:r>
      <w:r>
        <w:rPr>
          <w:rFonts w:ascii="Times New Roman" w:cs="Times New Roman" w:eastAsia="Times New Roman" w:hAnsi="Times New Roman"/>
          <w:sz w:val="14"/>
          <w:szCs w:val="14"/>
          <w:color w:val="auto"/>
        </w:rPr>
        <w:t>. Fixed revenue within our US Telecom segment increased by $99.4 million to $148.8 million from $49.4 million for the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2022 and 2021, respectively. This increase was a result of a full nine months of our Alaska operations, which were acquired on July 22, 2021, being included in our 2022 results, and a $2.9 million increase, within the western United States, related to an increase in usage for both business and consumer subscribers to support our subscribers’ increased demand for remote working.</w:t>
      </w:r>
    </w:p>
    <w:p>
      <w:pPr>
        <w:spacing w:after="0" w:line="132" w:lineRule="exact"/>
        <w:rPr>
          <w:sz w:val="20"/>
          <w:szCs w:val="20"/>
          <w:color w:val="auto"/>
        </w:rPr>
      </w:pPr>
    </w:p>
    <w:p>
      <w:pPr>
        <w:ind w:left="40" w:right="25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Carrier Services Revenue. </w:t>
      </w:r>
      <w:r>
        <w:rPr>
          <w:rFonts w:ascii="Times New Roman" w:cs="Times New Roman" w:eastAsia="Times New Roman" w:hAnsi="Times New Roman"/>
          <w:sz w:val="15"/>
          <w:szCs w:val="15"/>
          <w:color w:val="auto"/>
        </w:rPr>
        <w:t>Carrier Services revenue increased by $28.4 million, or 36.6%, to $106.1 million from $77.7 million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nine months ended September 30, 2022 and 2021, respectively. The increase, within our segments, consisted of the following:</w:t>
      </w:r>
    </w:p>
    <w:p>
      <w:pPr>
        <w:spacing w:after="0" w:line="133" w:lineRule="exact"/>
        <w:rPr>
          <w:sz w:val="20"/>
          <w:szCs w:val="20"/>
          <w:color w:val="auto"/>
        </w:rPr>
      </w:pPr>
    </w:p>
    <w:p>
      <w:pPr>
        <w:jc w:val="both"/>
        <w:ind w:left="600" w:right="139" w:hanging="273"/>
        <w:spacing w:after="0" w:line="292" w:lineRule="auto"/>
        <w:tabs>
          <w:tab w:leader="none" w:pos="6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International Telecom</w:t>
      </w:r>
      <w:r>
        <w:rPr>
          <w:rFonts w:ascii="Times New Roman" w:cs="Times New Roman" w:eastAsia="Times New Roman" w:hAnsi="Times New Roman"/>
          <w:sz w:val="14"/>
          <w:szCs w:val="14"/>
          <w:color w:val="auto"/>
        </w:rPr>
        <w:t>. Within our International Telecom segment, Carrier Services revenue increased by $3.0 million, or 42.9%, to $10.0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from $7.0 million for the nine months ended September 30, 2022 and 2021, respectively, as a result of an increase in transport and access services and in tourism, primarily within the US Virgin Islands and Bermuda, that resulted in increased roaming revenues.</w:t>
      </w:r>
    </w:p>
    <w:p>
      <w:pPr>
        <w:spacing w:after="0" w:line="129" w:lineRule="exact"/>
        <w:rPr>
          <w:rFonts w:ascii="Times New Roman" w:cs="Times New Roman" w:eastAsia="Times New Roman" w:hAnsi="Times New Roman"/>
          <w:sz w:val="14"/>
          <w:szCs w:val="14"/>
          <w:color w:val="auto"/>
        </w:rPr>
      </w:pPr>
    </w:p>
    <w:p>
      <w:pPr>
        <w:ind w:left="600" w:right="59" w:hanging="273"/>
        <w:spacing w:after="0" w:line="259" w:lineRule="auto"/>
        <w:tabs>
          <w:tab w:leader="none" w:pos="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Carrier Services revenue within our US Telecom segment increased by $25.4 million, or 35.9%, to $96.1 million from $70.7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for the nine months ended September 30, 2022 and 2021, respectively. This increase was primarily related to a full nine months of our Alaska operations, which were acquired on July 22, 2021, being included in our 2022 results partially offset by a decrease of $11.0 million in our western United States operations as a result of the restructure of certain carrier contracts.</w:t>
      </w:r>
    </w:p>
    <w:p>
      <w:pPr>
        <w:spacing w:after="0" w:line="150" w:lineRule="exact"/>
        <w:rPr>
          <w:sz w:val="20"/>
          <w:szCs w:val="20"/>
          <w:color w:val="auto"/>
        </w:rPr>
      </w:pPr>
    </w:p>
    <w:p>
      <w:pPr>
        <w:ind w:left="40" w:right="17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Other Communications Services Revenue. </w:t>
      </w:r>
      <w:r>
        <w:rPr>
          <w:rFonts w:ascii="Times New Roman" w:cs="Times New Roman" w:eastAsia="Times New Roman" w:hAnsi="Times New Roman"/>
          <w:sz w:val="15"/>
          <w:szCs w:val="15"/>
          <w:color w:val="auto"/>
        </w:rPr>
        <w:t>Other Communications Services revenue increased to $1.1 million from $0.7 million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2" w:name="page63"/>
    <w:bookmarkEnd w:id="6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Construction Revenue</w:t>
      </w:r>
    </w:p>
    <w:p>
      <w:pPr>
        <w:spacing w:after="0" w:line="190" w:lineRule="exact"/>
        <w:rPr>
          <w:sz w:val="20"/>
          <w:szCs w:val="20"/>
          <w:color w:val="auto"/>
        </w:rPr>
      </w:pPr>
    </w:p>
    <w:p>
      <w:pPr>
        <w:ind w:left="40" w:right="39" w:firstLine="538"/>
        <w:spacing w:after="0" w:line="258" w:lineRule="auto"/>
        <w:rPr>
          <w:sz w:val="20"/>
          <w:szCs w:val="20"/>
          <w:color w:val="auto"/>
        </w:rPr>
      </w:pPr>
      <w:r>
        <w:rPr>
          <w:rFonts w:ascii="Times New Roman" w:cs="Times New Roman" w:eastAsia="Times New Roman" w:hAnsi="Times New Roman"/>
          <w:sz w:val="15"/>
          <w:szCs w:val="15"/>
          <w:color w:val="auto"/>
        </w:rPr>
        <w:t>During the nine months ended September 30, 2022 and 2021, Construction revenue decreased to $8.6 million from $28.0 million, respectively, as a result of a decrease in the number of sites completed during 2022 as compared to 2021. As of September 30, 2022, 70% of the cell sites related to the FirstNet Agreement were completed and we expect another 5% of the total build to be completed during the fourth quarter of 2022 with the remainder to be completed in 2023.</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Other Revenue</w:t>
      </w:r>
    </w:p>
    <w:p>
      <w:pPr>
        <w:spacing w:after="0" w:line="186" w:lineRule="exact"/>
        <w:rPr>
          <w:sz w:val="20"/>
          <w:szCs w:val="20"/>
          <w:color w:val="auto"/>
        </w:rPr>
      </w:pPr>
    </w:p>
    <w:p>
      <w:pPr>
        <w:ind w:left="40" w:right="259" w:firstLine="538"/>
        <w:spacing w:after="0" w:line="320" w:lineRule="auto"/>
        <w:rPr>
          <w:sz w:val="20"/>
          <w:szCs w:val="20"/>
          <w:color w:val="auto"/>
        </w:rPr>
      </w:pPr>
      <w:r>
        <w:rPr>
          <w:rFonts w:ascii="Times New Roman" w:cs="Times New Roman" w:eastAsia="Times New Roman" w:hAnsi="Times New Roman"/>
          <w:sz w:val="14"/>
          <w:szCs w:val="14"/>
          <w:b w:val="1"/>
          <w:bCs w:val="1"/>
          <w:color w:val="auto"/>
        </w:rPr>
        <w:t xml:space="preserve">Renewable Energy Revenue. </w:t>
      </w:r>
      <w:r>
        <w:rPr>
          <w:rFonts w:ascii="Times New Roman" w:cs="Times New Roman" w:eastAsia="Times New Roman" w:hAnsi="Times New Roman"/>
          <w:sz w:val="14"/>
          <w:szCs w:val="14"/>
          <w:color w:val="auto"/>
        </w:rPr>
        <w:t>As a result of the Vibrant Transaction, we did not generate any renewable energy revenue during the nine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months ended September 30, 2022 and generated $0.4 million of renewable energy revenue during the nine months ended September 30, 2021.</w:t>
      </w:r>
    </w:p>
    <w:p>
      <w:pPr>
        <w:spacing w:after="0" w:line="108" w:lineRule="exact"/>
        <w:rPr>
          <w:sz w:val="20"/>
          <w:szCs w:val="20"/>
          <w:color w:val="auto"/>
        </w:rPr>
      </w:pPr>
    </w:p>
    <w:p>
      <w:pPr>
        <w:ind w:left="40" w:right="23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Managed Services Revenue. </w:t>
      </w:r>
      <w:r>
        <w:rPr>
          <w:rFonts w:ascii="Times New Roman" w:cs="Times New Roman" w:eastAsia="Times New Roman" w:hAnsi="Times New Roman"/>
          <w:sz w:val="15"/>
          <w:szCs w:val="15"/>
          <w:color w:val="auto"/>
        </w:rPr>
        <w:t>Managed Services revenue increased by $5.0 million, or 64.1%, to $12.8 million from $7.8 million for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nine months ended September 30, 2022 and 2021, respectively.</w:t>
      </w:r>
    </w:p>
    <w:p>
      <w:pPr>
        <w:spacing w:after="0" w:line="133" w:lineRule="exact"/>
        <w:rPr>
          <w:sz w:val="20"/>
          <w:szCs w:val="20"/>
          <w:color w:val="auto"/>
        </w:rPr>
      </w:pPr>
    </w:p>
    <w:p>
      <w:pPr>
        <w:ind w:left="40" w:right="19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Managed Services revenue in our International Telecom segment decreased $0.2 million to $3.8 million, or 5.0%,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$4.0 million for the nine months ended September 30, 2022 and 2021, respectively.</w:t>
      </w:r>
    </w:p>
    <w:p>
      <w:pPr>
        <w:spacing w:after="0" w:line="135" w:lineRule="exact"/>
        <w:rPr>
          <w:sz w:val="20"/>
          <w:szCs w:val="20"/>
          <w:color w:val="auto"/>
        </w:rPr>
      </w:pPr>
    </w:p>
    <w:p>
      <w:pPr>
        <w:jc w:val="both"/>
        <w:ind w:left="40" w:right="13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Within our US Telecom segment, Managed Services revenue increased to $9.0 million from $3.8 million for the nine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September 30, 2022 and 2021, respectively, primarily related to a full nine months of our Alaska operations, which were acquired on July 22, 2021, included in our 2022 results</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6" w:lineRule="exact"/>
        <w:rPr>
          <w:sz w:val="20"/>
          <w:szCs w:val="20"/>
          <w:color w:val="auto"/>
        </w:rPr>
      </w:pPr>
    </w:p>
    <w:p>
      <w:pPr>
        <w:ind w:left="40" w:right="27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Cost of communication services and other. </w:t>
      </w:r>
      <w:r>
        <w:rPr>
          <w:rFonts w:ascii="Times New Roman" w:cs="Times New Roman" w:eastAsia="Times New Roman" w:hAnsi="Times New Roman"/>
          <w:sz w:val="15"/>
          <w:szCs w:val="15"/>
          <w:color w:val="auto"/>
        </w:rPr>
        <w:t>Cost of communication services and other increased by $41.7 million, or 36.2%, to $229.8</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million from $168.7 million for the nine months ended September 30, 2022 and 2021, respectively. The net increase in cost of communication services and other, within our segments, consisted of the following:</w:t>
      </w:r>
    </w:p>
    <w:p>
      <w:pPr>
        <w:spacing w:after="0" w:line="89" w:lineRule="exact"/>
        <w:rPr>
          <w:sz w:val="20"/>
          <w:szCs w:val="20"/>
          <w:color w:val="auto"/>
        </w:rPr>
      </w:pPr>
    </w:p>
    <w:p>
      <w:pPr>
        <w:jc w:val="both"/>
        <w:ind w:left="600" w:right="99" w:hanging="273"/>
        <w:spacing w:after="0" w:line="257" w:lineRule="auto"/>
        <w:tabs>
          <w:tab w:leader="none" w:pos="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International Telecom. </w:t>
      </w:r>
      <w:r>
        <w:rPr>
          <w:rFonts w:ascii="Times New Roman" w:cs="Times New Roman" w:eastAsia="Times New Roman" w:hAnsi="Times New Roman"/>
          <w:sz w:val="15"/>
          <w:szCs w:val="15"/>
          <w:color w:val="auto"/>
        </w:rPr>
        <w:t>Within our International Telecom segment, cost of communication services and other increased by $3.0 million,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2.9%, to $104.7 million from $101.7 million, for the nine months ended September 30, 2022 and 2021, respectively. This increase was the result of an increase in roaming expense, due to an increase in related roaming revenues from higher levels of travel and tourism in the US Virgin Islands and Bermuda, as well as an increase in equipment expenses. Primarily the cost of handsets, as a result of improved retail and marketing strategies which lead to an increase in subscribers and handset sales.</w:t>
      </w:r>
    </w:p>
    <w:p>
      <w:pPr>
        <w:spacing w:after="0" w:line="95" w:lineRule="exact"/>
        <w:rPr>
          <w:rFonts w:ascii="Times New Roman" w:cs="Times New Roman" w:eastAsia="Times New Roman" w:hAnsi="Times New Roman"/>
          <w:sz w:val="15"/>
          <w:szCs w:val="15"/>
          <w:color w:val="auto"/>
        </w:rPr>
      </w:pPr>
    </w:p>
    <w:p>
      <w:pPr>
        <w:ind w:left="600" w:right="199" w:hanging="273"/>
        <w:spacing w:after="0" w:line="255" w:lineRule="auto"/>
        <w:tabs>
          <w:tab w:leader="none" w:pos="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Cost of communication services and other within our US Telecom segment increased by $58.5 million, or 86.8%, to $125.8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$67.3 million for the nine months ended September 30, 2022 and 2021, respectively. This increase was a result of a full nine months of our Alaska operations, which were acquired on July 22, 2021, being included in our 2022 results, and an increase in data transport costs in connection with the fully constructed cell sites as part of the FirstNet Transaction and an increase within our wholesale long-distance voice services business to support its increased revenues. These increases were partially offset by decreases in our private network business which terminated its operations in early 2022.</w:t>
      </w:r>
    </w:p>
    <w:p>
      <w:pPr>
        <w:spacing w:after="0" w:line="153" w:lineRule="exact"/>
        <w:rPr>
          <w:sz w:val="20"/>
          <w:szCs w:val="20"/>
          <w:color w:val="auto"/>
        </w:rPr>
      </w:pPr>
    </w:p>
    <w:p>
      <w:pPr>
        <w:ind w:left="40" w:right="25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Cost of construction revenue. </w:t>
      </w:r>
      <w:r>
        <w:rPr>
          <w:rFonts w:ascii="Times New Roman" w:cs="Times New Roman" w:eastAsia="Times New Roman" w:hAnsi="Times New Roman"/>
          <w:sz w:val="15"/>
          <w:szCs w:val="15"/>
          <w:color w:val="auto"/>
        </w:rPr>
        <w:t>During the nine months ended September 30, 2022 and September 30, 2021, cost of construction revenue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decreased to $8.6 million from $28.0 million as a result of a decrease in the number of sites completed during 2022 as compared to 2021. As of September 30, 2022, 70% of the cell sites related to the FirstNet Agreement were completed and we expect another 5% of the total build to be completed during the fourth quarter of 2022 with the remainder to be completed in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 xml:space="preserve">Selling, general and administrative expenses. </w:t>
      </w:r>
      <w:r>
        <w:rPr>
          <w:rFonts w:ascii="Times New Roman" w:cs="Times New Roman" w:eastAsia="Times New Roman" w:hAnsi="Times New Roman"/>
          <w:sz w:val="15"/>
          <w:szCs w:val="15"/>
          <w:color w:val="auto"/>
        </w:rPr>
        <w:t>Selling, general and administrative expenses increased by $41.9 million, or 31.8%, to</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$173.6 million from $131.7 million for the nine months ended September 30, 2022 and 2021, respectively. The net increase in selling, general and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administrative expenses, within our segments, consisted of the following:</w:t>
      </w:r>
    </w:p>
    <w:p>
      <w:pPr>
        <w:spacing w:after="0" w:line="114" w:lineRule="exact"/>
        <w:rPr>
          <w:sz w:val="20"/>
          <w:szCs w:val="20"/>
          <w:color w:val="auto"/>
        </w:rPr>
      </w:pPr>
    </w:p>
    <w:p>
      <w:pPr>
        <w:ind w:left="600" w:right="79" w:hanging="273"/>
        <w:spacing w:after="0" w:line="259" w:lineRule="auto"/>
        <w:tabs>
          <w:tab w:leader="none" w:pos="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our selling, general and administrative expenses increased by $6.9</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or 9.7%, to $78.3 million from $71.4 million for the nine months ended September 30, 2022 and 2021, respectively. This increase was incurred within all of our international markets primarily as a result of an increase in our sales and marketing capabilities to support the expansion of our subscriber base.</w:t>
      </w:r>
    </w:p>
    <w:p>
      <w:pPr>
        <w:spacing w:after="0" w:line="151" w:lineRule="exact"/>
        <w:rPr>
          <w:rFonts w:ascii="Times New Roman" w:cs="Times New Roman" w:eastAsia="Times New Roman" w:hAnsi="Times New Roman"/>
          <w:sz w:val="15"/>
          <w:szCs w:val="15"/>
          <w:color w:val="auto"/>
        </w:rPr>
      </w:pPr>
    </w:p>
    <w:p>
      <w:pPr>
        <w:ind w:left="600" w:right="199" w:hanging="273"/>
        <w:spacing w:after="0" w:line="257" w:lineRule="auto"/>
        <w:tabs>
          <w:tab w:leader="none" w:pos="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Selling, general and administrative expenses increased within our US Telecom segment by $33.5 million, or 87.0%, to $72.0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$38.5 million, for the nine months ended September 30, 2022 and 2021, respectively. This increase was the result of a full nine months of our Alaska operations, which were acquired on July 22, 2021, being included in our 2022 results and an increase in such costs in connection with the First Net Transaction partially offset by a reduction of costs within our private network business which terminated its operations in early 2022.</w:t>
      </w:r>
    </w:p>
    <w:p>
      <w:pPr>
        <w:spacing w:after="0" w:line="151" w:lineRule="exact"/>
        <w:rPr>
          <w:rFonts w:ascii="Times New Roman" w:cs="Times New Roman" w:eastAsia="Times New Roman" w:hAnsi="Times New Roman"/>
          <w:sz w:val="15"/>
          <w:szCs w:val="15"/>
          <w:color w:val="auto"/>
        </w:rPr>
      </w:pPr>
    </w:p>
    <w:p>
      <w:pPr>
        <w:ind w:left="600" w:right="439" w:hanging="273"/>
        <w:spacing w:after="0" w:line="317" w:lineRule="auto"/>
        <w:tabs>
          <w:tab w:leader="none" w:pos="6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Renewable Energy. </w:t>
      </w:r>
      <w:r>
        <w:rPr>
          <w:rFonts w:ascii="Times New Roman" w:cs="Times New Roman" w:eastAsia="Times New Roman" w:hAnsi="Times New Roman"/>
          <w:sz w:val="14"/>
          <w:szCs w:val="14"/>
          <w:color w:val="auto"/>
        </w:rPr>
        <w:t>During the nine months ended September 30, 2022 and 2021, our Renewable Energy segment incurred a nominal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 and $0.5 million of selling, general and administrative expenses, respectively, as a result of the Vibrant Transaction.</w:t>
      </w:r>
    </w:p>
    <w:p>
      <w:pPr>
        <w:spacing w:after="0" w:line="112" w:lineRule="exact"/>
        <w:rPr>
          <w:rFonts w:ascii="Times New Roman" w:cs="Times New Roman" w:eastAsia="Times New Roman" w:hAnsi="Times New Roman"/>
          <w:sz w:val="14"/>
          <w:szCs w:val="14"/>
          <w:color w:val="auto"/>
        </w:rPr>
      </w:pPr>
    </w:p>
    <w:p>
      <w:pPr>
        <w:ind w:left="600" w:hanging="273"/>
        <w:spacing w:after="0"/>
        <w:tabs>
          <w:tab w:leader="none" w:pos="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Corporate Overhead. </w:t>
      </w:r>
      <w:r>
        <w:rPr>
          <w:rFonts w:ascii="Times New Roman" w:cs="Times New Roman" w:eastAsia="Times New Roman" w:hAnsi="Times New Roman"/>
          <w:sz w:val="15"/>
          <w:szCs w:val="15"/>
          <w:color w:val="auto"/>
        </w:rPr>
        <w:t>Selling, general and administrative expenses within our corporate overhead increased by $1.8 million, or 8.4%, to</w:t>
      </w:r>
    </w:p>
    <w:p>
      <w:pPr>
        <w:spacing w:after="0" w:line="22" w:lineRule="exact"/>
        <w:rPr>
          <w:rFonts w:ascii="Times New Roman" w:cs="Times New Roman" w:eastAsia="Times New Roman" w:hAnsi="Times New Roman"/>
          <w:sz w:val="15"/>
          <w:szCs w:val="15"/>
          <w:color w:val="auto"/>
        </w:rPr>
      </w:pPr>
    </w:p>
    <w:p>
      <w:pPr>
        <w:ind w:left="600" w:right="119"/>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$23.2 million from $21.4 million, for the nine months ended September 30, 2022 and 2021, respectively, primarily related to an increase in professional service expenses, integration costs associated with the completion of the Alaska Transaction and an increase in travel related costs.</w:t>
      </w:r>
    </w:p>
    <w:p>
      <w:pPr>
        <w:spacing w:after="0" w:line="151" w:lineRule="exact"/>
        <w:rPr>
          <w:sz w:val="20"/>
          <w:szCs w:val="20"/>
          <w:color w:val="auto"/>
        </w:rPr>
      </w:pPr>
    </w:p>
    <w:p>
      <w:pPr>
        <w:ind w:left="40" w:right="41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Transaction-related charges. </w:t>
      </w:r>
      <w:r>
        <w:rPr>
          <w:rFonts w:ascii="Times New Roman" w:cs="Times New Roman" w:eastAsia="Times New Roman" w:hAnsi="Times New Roman"/>
          <w:sz w:val="15"/>
          <w:szCs w:val="15"/>
          <w:color w:val="auto"/>
        </w:rPr>
        <w:t>We incurred $4.4 million and $7.8 million of transaction-related charges during the nine months ended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September 30, 2022 and 2021, respectively.</w:t>
      </w:r>
    </w:p>
    <w:p>
      <w:pPr>
        <w:spacing w:after="0" w:line="131" w:lineRule="exact"/>
        <w:rPr>
          <w:sz w:val="20"/>
          <w:szCs w:val="20"/>
          <w:color w:val="auto"/>
        </w:rPr>
      </w:pPr>
    </w:p>
    <w:p>
      <w:pPr>
        <w:ind w:left="40" w:right="119" w:firstLine="575"/>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Depreciation and amortization expenses. </w:t>
      </w:r>
      <w:r>
        <w:rPr>
          <w:rFonts w:ascii="Times New Roman" w:cs="Times New Roman" w:eastAsia="Times New Roman" w:hAnsi="Times New Roman"/>
          <w:sz w:val="15"/>
          <w:szCs w:val="15"/>
          <w:color w:val="auto"/>
        </w:rPr>
        <w:t>Depreciation and amortization expenses increased by $31.8 million, or 46.4%, to $100.4</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million from $68.6 million for the nine months ended September 30, 2022 and 2021, respectively. The net increase in depreciation and amortization expenses, within our segments, consisted primarily of the following:</w:t>
      </w:r>
    </w:p>
    <w:p>
      <w:pPr>
        <w:spacing w:after="0" w:line="145" w:lineRule="exact"/>
        <w:rPr>
          <w:sz w:val="20"/>
          <w:szCs w:val="20"/>
          <w:color w:val="auto"/>
        </w:rPr>
      </w:pPr>
    </w:p>
    <w:p>
      <w:pPr>
        <w:ind w:left="600" w:hanging="273"/>
        <w:spacing w:after="0"/>
        <w:tabs>
          <w:tab w:leader="none" w:pos="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Depreciation and amortization expenses increased within our International Telecom segment by $3.0 million, or</w:t>
      </w:r>
    </w:p>
    <w:p>
      <w:pPr>
        <w:spacing w:after="0" w:line="22" w:lineRule="exact"/>
        <w:rPr>
          <w:rFonts w:ascii="Times New Roman" w:cs="Times New Roman" w:eastAsia="Times New Roman" w:hAnsi="Times New Roman"/>
          <w:sz w:val="15"/>
          <w:szCs w:val="15"/>
          <w:color w:val="auto"/>
        </w:rPr>
      </w:pPr>
    </w:p>
    <w:p>
      <w:pPr>
        <w:ind w:left="600" w:right="319"/>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7.5%, to $43.1 million from $40.1 million, for the nine months ended September 30, 2022 and 2021, respectively. This increase was the result of a full nine months of our Alaska operations, which were acquired on July 22, 2021, included in our 2022 results and the depreciation expense recorded on recent capital expenditures.</w:t>
      </w:r>
    </w:p>
    <w:p>
      <w:pPr>
        <w:spacing w:after="0" w:line="153" w:lineRule="exact"/>
        <w:rPr>
          <w:rFonts w:ascii="Times New Roman" w:cs="Times New Roman" w:eastAsia="Times New Roman" w:hAnsi="Times New Roman"/>
          <w:sz w:val="15"/>
          <w:szCs w:val="15"/>
          <w:color w:val="auto"/>
        </w:rPr>
      </w:pPr>
    </w:p>
    <w:p>
      <w:pPr>
        <w:ind w:left="600" w:right="319" w:hanging="273"/>
        <w:spacing w:after="0" w:line="317" w:lineRule="auto"/>
        <w:tabs>
          <w:tab w:leader="none" w:pos="6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US Telecom</w:t>
      </w:r>
      <w:r>
        <w:rPr>
          <w:rFonts w:ascii="Times New Roman" w:cs="Times New Roman" w:eastAsia="Times New Roman" w:hAnsi="Times New Roman"/>
          <w:sz w:val="14"/>
          <w:szCs w:val="14"/>
          <w:color w:val="auto"/>
        </w:rPr>
        <w:t>. Depreciation and amortization expenses increased within our US Telecom segment by $30.0 million to $54.5 million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$24.5 million, for the nine months ended September 30, 2022 and 2021, respectively, primarily as a result of the Alaska Transaction.</w:t>
      </w:r>
    </w:p>
    <w:p>
      <w:pPr>
        <w:spacing w:after="0" w:line="112" w:lineRule="exact"/>
        <w:rPr>
          <w:rFonts w:ascii="Times New Roman" w:cs="Times New Roman" w:eastAsia="Times New Roman" w:hAnsi="Times New Roman"/>
          <w:sz w:val="14"/>
          <w:szCs w:val="14"/>
          <w:color w:val="auto"/>
        </w:rPr>
      </w:pPr>
    </w:p>
    <w:p>
      <w:pPr>
        <w:jc w:val="both"/>
        <w:ind w:left="600" w:right="399" w:hanging="273"/>
        <w:spacing w:after="0" w:line="265" w:lineRule="auto"/>
        <w:tabs>
          <w:tab w:leader="none" w:pos="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Renewable Energy</w:t>
      </w:r>
      <w:r>
        <w:rPr>
          <w:rFonts w:ascii="Times New Roman" w:cs="Times New Roman" w:eastAsia="Times New Roman" w:hAnsi="Times New Roman"/>
          <w:sz w:val="15"/>
          <w:szCs w:val="15"/>
          <w:color w:val="auto"/>
        </w:rPr>
        <w:t>. Our Renewable Energy segment did not record any depreciation and amortization expense during the nine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September 30, 2022 as a result of the Vibrant Transaction. This segment incurred $0.2 million of depreciation and amortization expenses during the nine months ended September 30, 2021.</w:t>
      </w:r>
    </w:p>
    <w:p>
      <w:pPr>
        <w:spacing w:after="0" w:line="145" w:lineRule="exact"/>
        <w:rPr>
          <w:rFonts w:ascii="Times New Roman" w:cs="Times New Roman" w:eastAsia="Times New Roman" w:hAnsi="Times New Roman"/>
          <w:sz w:val="15"/>
          <w:szCs w:val="15"/>
          <w:color w:val="auto"/>
        </w:rPr>
      </w:pPr>
    </w:p>
    <w:p>
      <w:pPr>
        <w:ind w:left="600" w:right="139" w:hanging="273"/>
        <w:spacing w:after="0" w:line="265" w:lineRule="auto"/>
        <w:tabs>
          <w:tab w:leader="none" w:pos="60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Corporate Overhead</w:t>
      </w:r>
      <w:r>
        <w:rPr>
          <w:rFonts w:ascii="Times New Roman" w:cs="Times New Roman" w:eastAsia="Times New Roman" w:hAnsi="Times New Roman"/>
          <w:sz w:val="15"/>
          <w:szCs w:val="15"/>
          <w:color w:val="auto"/>
        </w:rPr>
        <w:t>. Depreciation and amortization expenses decreased within our corporate overhead by $1.0 million, or 26.3%, to $2.8</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million from $3.8 million, for the nine months ended September 30, 2022 and 2021, respectively, primarily as a result of certain assets becoming fully depreciated in recent periods.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4" w:name="page65"/>
    <w:bookmarkEnd w:id="6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13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Amortization of intangibles from acquisitions. </w:t>
      </w:r>
      <w:r>
        <w:rPr>
          <w:rFonts w:ascii="Times New Roman" w:cs="Times New Roman" w:eastAsia="Times New Roman" w:hAnsi="Times New Roman"/>
          <w:sz w:val="15"/>
          <w:szCs w:val="15"/>
          <w:color w:val="auto"/>
        </w:rPr>
        <w:t>Amortization of intangibles from acquisitions increased by $5.3 million to $9.7 million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from $4.4 million for the nine months ended September 30, 2022 and 2021, respectively, as a result of the Alaska Transaction which was completed on July 22, 2021.</w:t>
      </w:r>
    </w:p>
    <w:p>
      <w:pPr>
        <w:spacing w:after="0" w:line="143" w:lineRule="exact"/>
        <w:rPr>
          <w:sz w:val="20"/>
          <w:szCs w:val="20"/>
          <w:color w:val="auto"/>
        </w:rPr>
      </w:pPr>
    </w:p>
    <w:p>
      <w:pPr>
        <w:ind w:left="40" w:right="7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Loss on disposition of long-lived assets</w:t>
      </w:r>
      <w:r>
        <w:rPr>
          <w:rFonts w:ascii="Times New Roman" w:cs="Times New Roman" w:eastAsia="Times New Roman" w:hAnsi="Times New Roman"/>
          <w:sz w:val="15"/>
          <w:szCs w:val="15"/>
          <w:color w:val="auto"/>
        </w:rPr>
        <w:t>. During the nine months ended September 30, 2022, we recorded a loss on the disposition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long-lived assets of $3.9 million. Of this amount, $2.1 million was incurred in our US Telecom segment relating to the disposal of certain assets while $1.0 million was incurred in our International Telecom segment as a result of the modification of agreements for the use of other certain assets, while the remaining amount pertains to the final settlement of the Vibrant Transaction within our Renewable Energy segment.</w:t>
      </w:r>
    </w:p>
    <w:p>
      <w:pPr>
        <w:spacing w:after="0" w:line="153" w:lineRule="exact"/>
        <w:rPr>
          <w:sz w:val="20"/>
          <w:szCs w:val="20"/>
          <w:color w:val="auto"/>
        </w:rPr>
      </w:pPr>
    </w:p>
    <w:p>
      <w:pPr>
        <w:ind w:left="40" w:right="359" w:firstLine="538"/>
        <w:spacing w:after="0" w:line="277" w:lineRule="auto"/>
        <w:rPr>
          <w:sz w:val="20"/>
          <w:szCs w:val="20"/>
          <w:color w:val="auto"/>
        </w:rPr>
      </w:pPr>
      <w:r>
        <w:rPr>
          <w:rFonts w:ascii="Times New Roman" w:cs="Times New Roman" w:eastAsia="Times New Roman" w:hAnsi="Times New Roman"/>
          <w:sz w:val="15"/>
          <w:szCs w:val="15"/>
          <w:color w:val="auto"/>
        </w:rPr>
        <w:t>During the nine months ended September 30, 2021, we recorded a loss on the disposition of long-lived assets of $0.6 million, primarily related to the Vibrant Transaction, partially offset by gains within the US Telecom segment.</w:t>
      </w:r>
    </w:p>
    <w:p>
      <w:pPr>
        <w:spacing w:after="0" w:line="136" w:lineRule="exact"/>
        <w:rPr>
          <w:sz w:val="20"/>
          <w:szCs w:val="20"/>
          <w:color w:val="auto"/>
        </w:rPr>
      </w:pPr>
    </w:p>
    <w:p>
      <w:pPr>
        <w:ind w:left="40" w:right="539" w:firstLine="538"/>
        <w:spacing w:after="0" w:line="283" w:lineRule="auto"/>
        <w:rPr>
          <w:sz w:val="20"/>
          <w:szCs w:val="20"/>
          <w:color w:val="auto"/>
        </w:rPr>
      </w:pPr>
      <w:r>
        <w:rPr>
          <w:rFonts w:ascii="Times New Roman" w:cs="Times New Roman" w:eastAsia="Times New Roman" w:hAnsi="Times New Roman"/>
          <w:sz w:val="15"/>
          <w:szCs w:val="15"/>
          <w:b w:val="1"/>
          <w:bCs w:val="1"/>
          <w:color w:val="auto"/>
        </w:rPr>
        <w:t xml:space="preserve">Interest income. </w:t>
      </w:r>
      <w:r>
        <w:rPr>
          <w:rFonts w:ascii="Times New Roman" w:cs="Times New Roman" w:eastAsia="Times New Roman" w:hAnsi="Times New Roman"/>
          <w:sz w:val="15"/>
          <w:szCs w:val="15"/>
          <w:color w:val="auto"/>
        </w:rPr>
        <w:t>Interest income represents interest earned on our cash, cash equivalents, restricted cash and short-term investment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balances and were nominal amounts during both the nine months ended September 30, 2022 and 2021.</w:t>
      </w:r>
    </w:p>
    <w:p>
      <w:pPr>
        <w:spacing w:after="0" w:line="131" w:lineRule="exact"/>
        <w:rPr>
          <w:sz w:val="20"/>
          <w:szCs w:val="20"/>
          <w:color w:val="auto"/>
        </w:rPr>
      </w:pPr>
    </w:p>
    <w:p>
      <w:pPr>
        <w:ind w:left="40" w:right="15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Interest expense. </w:t>
      </w:r>
      <w:r>
        <w:rPr>
          <w:rFonts w:ascii="Times New Roman" w:cs="Times New Roman" w:eastAsia="Times New Roman" w:hAnsi="Times New Roman"/>
          <w:sz w:val="15"/>
          <w:szCs w:val="15"/>
          <w:color w:val="auto"/>
        </w:rPr>
        <w:t>Interest expense increased to $13.1 million from $5.7 million for the nine months ended September 30, 2022 and 2021,</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respectively, as additional interest expense was incurred as a result of new borrowings under the 2019 CoBank Credit Facility, the Alaska Credit Facility and the Receivables Credit Facility as well as an increase in interest rates.</w:t>
      </w:r>
    </w:p>
    <w:p>
      <w:pPr>
        <w:spacing w:after="0" w:line="143" w:lineRule="exact"/>
        <w:rPr>
          <w:sz w:val="20"/>
          <w:szCs w:val="20"/>
          <w:color w:val="auto"/>
        </w:rPr>
      </w:pPr>
    </w:p>
    <w:p>
      <w:pPr>
        <w:jc w:val="both"/>
        <w:ind w:left="40" w:right="9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Other income (expenses). </w:t>
      </w:r>
      <w:r>
        <w:rPr>
          <w:rFonts w:ascii="Times New Roman" w:cs="Times New Roman" w:eastAsia="Times New Roman" w:hAnsi="Times New Roman"/>
          <w:sz w:val="15"/>
          <w:szCs w:val="15"/>
          <w:color w:val="auto"/>
        </w:rPr>
        <w:t>For the nine months ended September 30, 2022, other income (expenses) was $3.4 million of income primarily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related to gains from our noncontrolling investments partially offset by increased expenses associated with certain employee benefit plans and losses on foreign currency transactions.</w:t>
      </w:r>
    </w:p>
    <w:p>
      <w:pPr>
        <w:spacing w:after="0" w:line="147" w:lineRule="exact"/>
        <w:rPr>
          <w:sz w:val="20"/>
          <w:szCs w:val="20"/>
          <w:color w:val="auto"/>
        </w:rPr>
      </w:pPr>
    </w:p>
    <w:p>
      <w:pPr>
        <w:ind w:left="40" w:right="259" w:firstLine="538"/>
        <w:spacing w:after="0" w:line="277" w:lineRule="auto"/>
        <w:rPr>
          <w:sz w:val="20"/>
          <w:szCs w:val="20"/>
          <w:color w:val="auto"/>
        </w:rPr>
      </w:pPr>
      <w:r>
        <w:rPr>
          <w:rFonts w:ascii="Times New Roman" w:cs="Times New Roman" w:eastAsia="Times New Roman" w:hAnsi="Times New Roman"/>
          <w:sz w:val="15"/>
          <w:szCs w:val="15"/>
          <w:color w:val="auto"/>
        </w:rPr>
        <w:t>For the nine months ended September 30, 2021, other income (expense) was income of $1.9 million which was primarily related to gains from our noncontrolling investments partially offset by a net loss on foreign currency transactions.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b w:val="1"/>
          <w:bCs w:val="1"/>
          <w:color w:val="auto"/>
        </w:rPr>
        <w:t xml:space="preserve">Income taxes. </w:t>
      </w:r>
      <w:r>
        <w:rPr>
          <w:rFonts w:ascii="Times New Roman" w:cs="Times New Roman" w:eastAsia="Times New Roman" w:hAnsi="Times New Roman"/>
          <w:sz w:val="15"/>
          <w:szCs w:val="15"/>
          <w:color w:val="auto"/>
        </w:rPr>
        <w:t>Our effective tax rate for the nine months ended September 30, 2022 and 2021 was 21.5% and (98.8%), respectively.</w:t>
      </w:r>
    </w:p>
    <w:p>
      <w:pPr>
        <w:spacing w:after="0" w:line="190" w:lineRule="exact"/>
        <w:rPr>
          <w:sz w:val="20"/>
          <w:szCs w:val="20"/>
          <w:color w:val="auto"/>
        </w:rPr>
      </w:pPr>
    </w:p>
    <w:p>
      <w:pPr>
        <w:ind w:left="40" w:right="59" w:firstLine="538"/>
        <w:spacing w:after="0" w:line="255" w:lineRule="auto"/>
        <w:rPr>
          <w:sz w:val="20"/>
          <w:szCs w:val="20"/>
          <w:color w:val="auto"/>
        </w:rPr>
      </w:pPr>
      <w:r>
        <w:rPr>
          <w:rFonts w:ascii="Times New Roman" w:cs="Times New Roman" w:eastAsia="Times New Roman" w:hAnsi="Times New Roman"/>
          <w:sz w:val="15"/>
          <w:szCs w:val="15"/>
          <w:color w:val="auto"/>
        </w:rPr>
        <w:t>We recorded an income tax benefit of $1.4 million in relation to a pretax loss of $6.4 million for the nine months ended September 30, 2022. The effective tax rate for the nine months ended September 30, 2022 was primarily impacted by the following items (i) the mix of income generated among the jurisdictions in which we operate, (ii) a $2.1 million net expense recognized discretely to record a valuation allowance on certain deferred tax assets that are not expected to be realizable based on the weight of positive and negative evidence and (iii) discrete items including a $3.3 million benefit from the reversal of an unrecognized tax position due to a statute of limitations expiration, and a $1.7 million expense for interest on unrecognized tax positions.</w:t>
      </w:r>
    </w:p>
    <w:p>
      <w:pPr>
        <w:spacing w:after="0" w:line="155" w:lineRule="exact"/>
        <w:rPr>
          <w:sz w:val="20"/>
          <w:szCs w:val="20"/>
          <w:color w:val="auto"/>
        </w:rPr>
      </w:pPr>
    </w:p>
    <w:p>
      <w:pPr>
        <w:ind w:left="40" w:right="119" w:firstLine="538"/>
        <w:spacing w:after="0" w:line="258" w:lineRule="auto"/>
        <w:rPr>
          <w:sz w:val="20"/>
          <w:szCs w:val="20"/>
          <w:color w:val="auto"/>
        </w:rPr>
      </w:pPr>
      <w:r>
        <w:rPr>
          <w:rFonts w:ascii="Times New Roman" w:cs="Times New Roman" w:eastAsia="Times New Roman" w:hAnsi="Times New Roman"/>
          <w:sz w:val="15"/>
          <w:szCs w:val="15"/>
          <w:color w:val="auto"/>
        </w:rPr>
        <w:t>The effective tax rate for the nine months ended September 30, 2021 was primarily impacted by the following items: (i) the mix of income generated among the jurisdictions in which we operate, (ii) certain transactional charges incurred in connection with our recent acquisition that had no tax benefit, and (iii) discrete items including a $3.4 million benefit from the reversal of an unrecognized tax position due to statute expiration and a $1.5 million expense for interest on unrecognized tax positions.</w:t>
      </w:r>
    </w:p>
    <w:p>
      <w:pPr>
        <w:spacing w:after="0" w:line="154" w:lineRule="exact"/>
        <w:rPr>
          <w:sz w:val="20"/>
          <w:szCs w:val="20"/>
          <w:color w:val="auto"/>
        </w:rPr>
      </w:pPr>
    </w:p>
    <w:p>
      <w:pPr>
        <w:ind w:left="40" w:right="79" w:firstLine="538"/>
        <w:spacing w:after="0" w:line="255" w:lineRule="auto"/>
        <w:rPr>
          <w:sz w:val="20"/>
          <w:szCs w:val="20"/>
          <w:color w:val="auto"/>
        </w:rPr>
      </w:pPr>
      <w:r>
        <w:rPr>
          <w:rFonts w:ascii="Times New Roman" w:cs="Times New Roman" w:eastAsia="Times New Roman" w:hAnsi="Times New Roman"/>
          <w:sz w:val="15"/>
          <w:szCs w:val="15"/>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499"/>
        <w:spacing w:after="0" w:line="277" w:lineRule="auto"/>
        <w:rPr>
          <w:sz w:val="20"/>
          <w:szCs w:val="20"/>
          <w:color w:val="auto"/>
        </w:rPr>
      </w:pPr>
      <w:r>
        <w:rPr>
          <w:rFonts w:ascii="Times New Roman" w:cs="Times New Roman" w:eastAsia="Times New Roman" w:hAnsi="Times New Roman"/>
          <w:sz w:val="15"/>
          <w:szCs w:val="15"/>
          <w:color w:val="auto"/>
        </w:rPr>
        <w:t>estimates and judgments by management. Accordingly, we could record additional provisions or benefits for US federal, state, and foreign tax matters in future periods as new information becomes available.</w:t>
      </w:r>
    </w:p>
    <w:p>
      <w:pPr>
        <w:spacing w:after="0" w:line="136" w:lineRule="exact"/>
        <w:rPr>
          <w:sz w:val="20"/>
          <w:szCs w:val="20"/>
          <w:color w:val="auto"/>
        </w:rPr>
      </w:pPr>
    </w:p>
    <w:p>
      <w:pPr>
        <w:ind w:left="40" w:right="39" w:firstLine="538"/>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Net income attributable to noncontrolling interests, net of tax. </w:t>
      </w:r>
      <w:r>
        <w:rPr>
          <w:rFonts w:ascii="Times New Roman" w:cs="Times New Roman" w:eastAsia="Times New Roman" w:hAnsi="Times New Roman"/>
          <w:sz w:val="15"/>
          <w:szCs w:val="15"/>
          <w:color w:val="auto"/>
        </w:rPr>
        <w:t>Net income attributable to noncontrolling interests, net of tax reflected 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allocation of $0.8 million of losses and $1.0 million of income generated by our less than wholly owned subsidiaries for the nine months ended September 30, 2022 and 2021, respectively. Changes in net income attributable to noncontrolling interests, net of tax, within our segments, consisted of the following:</w:t>
      </w:r>
    </w:p>
    <w:p>
      <w:pPr>
        <w:spacing w:after="0" w:line="151" w:lineRule="exact"/>
        <w:rPr>
          <w:sz w:val="20"/>
          <w:szCs w:val="20"/>
          <w:color w:val="auto"/>
        </w:rPr>
      </w:pPr>
    </w:p>
    <w:p>
      <w:pPr>
        <w:ind w:left="600" w:right="179" w:hanging="273"/>
        <w:spacing w:after="0" w:line="259" w:lineRule="auto"/>
        <w:tabs>
          <w:tab w:leader="none" w:pos="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International Telecom</w:t>
      </w:r>
      <w:r>
        <w:rPr>
          <w:rFonts w:ascii="Times New Roman" w:cs="Times New Roman" w:eastAsia="Times New Roman" w:hAnsi="Times New Roman"/>
          <w:sz w:val="15"/>
          <w:szCs w:val="15"/>
          <w:color w:val="auto"/>
        </w:rPr>
        <w:t>. Within our International Telecom segment, net income attributable to noncontrolling interests, net of tax decreased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$1.1 million, or 18.6%, to an allocation of $4.8 million of income from an allocation of $5.9 million of income for the nine months ended September 30, 2022 and 2021, respectively, primarily as a result of reduced profitability at our less than wholly owned subsidiaries partially offset by an increase in our ownership in certain international markets.</w:t>
      </w:r>
    </w:p>
    <w:p>
      <w:pPr>
        <w:spacing w:after="0" w:line="151" w:lineRule="exact"/>
        <w:rPr>
          <w:rFonts w:ascii="Times New Roman" w:cs="Times New Roman" w:eastAsia="Times New Roman" w:hAnsi="Times New Roman"/>
          <w:sz w:val="15"/>
          <w:szCs w:val="15"/>
          <w:color w:val="auto"/>
        </w:rPr>
      </w:pPr>
    </w:p>
    <w:p>
      <w:pPr>
        <w:ind w:left="600" w:right="99" w:hanging="273"/>
        <w:spacing w:after="0" w:line="259" w:lineRule="auto"/>
        <w:tabs>
          <w:tab w:leader="none" w:pos="60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US Telecom</w:t>
      </w:r>
      <w:r>
        <w:rPr>
          <w:rFonts w:ascii="Times New Roman" w:cs="Times New Roman" w:eastAsia="Times New Roman" w:hAnsi="Times New Roman"/>
          <w:sz w:val="15"/>
          <w:szCs w:val="15"/>
          <w:color w:val="auto"/>
        </w:rPr>
        <w:t>. Within our US Telecom segment, net income attributable to noncontrolling interests, net of tax increased by $1.5 million to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allocation of losses of $5.6 million from an allocation of losses of $4.1 million for the nine months ended September 30, 2022 and 2021, respectively, as a result of the Alaska Transaction, which was completed on July 22, 2021 and reduced profitability in certain less than wholly owned subsidiaries within our US Mobility operations.</w:t>
      </w:r>
    </w:p>
    <w:p>
      <w:pPr>
        <w:spacing w:after="0" w:line="150" w:lineRule="exact"/>
        <w:rPr>
          <w:sz w:val="20"/>
          <w:szCs w:val="20"/>
          <w:color w:val="auto"/>
        </w:rPr>
      </w:pPr>
    </w:p>
    <w:p>
      <w:pPr>
        <w:ind w:left="40" w:right="279" w:firstLine="53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Net income (loss) attributable to ATN International, Inc. stockholders. </w:t>
      </w:r>
      <w:r>
        <w:rPr>
          <w:rFonts w:ascii="Times New Roman" w:cs="Times New Roman" w:eastAsia="Times New Roman" w:hAnsi="Times New Roman"/>
          <w:sz w:val="15"/>
          <w:szCs w:val="15"/>
          <w:color w:val="auto"/>
        </w:rPr>
        <w:t>Net income (loss) attributable to ATN International, Inc.</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stockholders was a loss of $4.3 million for the nine months ended September 30, 2022 as compared to income of $2.1 million for the nine months ended September 30, 2021.</w:t>
      </w:r>
    </w:p>
    <w:p>
      <w:pPr>
        <w:spacing w:after="0" w:line="147" w:lineRule="exact"/>
        <w:rPr>
          <w:sz w:val="20"/>
          <w:szCs w:val="20"/>
          <w:color w:val="auto"/>
        </w:rPr>
      </w:pPr>
    </w:p>
    <w:p>
      <w:pPr>
        <w:ind w:left="40" w:right="239" w:firstLine="538"/>
        <w:spacing w:after="0" w:line="263" w:lineRule="auto"/>
        <w:rPr>
          <w:sz w:val="20"/>
          <w:szCs w:val="20"/>
          <w:color w:val="auto"/>
        </w:rPr>
      </w:pPr>
      <w:r>
        <w:rPr>
          <w:rFonts w:ascii="Times New Roman" w:cs="Times New Roman" w:eastAsia="Times New Roman" w:hAnsi="Times New Roman"/>
          <w:sz w:val="15"/>
          <w:szCs w:val="15"/>
          <w:color w:val="auto"/>
        </w:rPr>
        <w:t>On a per diluted share basis, net income (loss) was a loss of $0.49 per diluted share for the nine months ended September 30, 2022 as compared to income of $0.08 per diluted share for the nine months ended September 30, 2021. Such per share amounts were impacted by accrued preferred dividends of $3.5 million and $2.3 million.</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u w:val="single" w:color="auto"/>
          <w:color w:val="auto"/>
        </w:rPr>
        <w:t>Regulatory and Tax Issues</w:t>
      </w:r>
    </w:p>
    <w:p>
      <w:pPr>
        <w:spacing w:after="0" w:line="190" w:lineRule="exact"/>
        <w:rPr>
          <w:sz w:val="20"/>
          <w:szCs w:val="20"/>
          <w:color w:val="auto"/>
        </w:rPr>
      </w:pPr>
    </w:p>
    <w:p>
      <w:pPr>
        <w:jc w:val="both"/>
        <w:ind w:left="40" w:right="99" w:firstLine="538"/>
        <w:spacing w:after="0" w:line="263" w:lineRule="auto"/>
        <w:rPr>
          <w:sz w:val="20"/>
          <w:szCs w:val="20"/>
          <w:color w:val="auto"/>
        </w:rPr>
      </w:pPr>
      <w:r>
        <w:rPr>
          <w:rFonts w:ascii="Times New Roman" w:cs="Times New Roman" w:eastAsia="Times New Roman" w:hAnsi="Times New Roman"/>
          <w:sz w:val="15"/>
          <w:szCs w:val="15"/>
          <w:color w:val="auto"/>
        </w:rPr>
        <w:t>We are involved in several regulatory and tax proceedings. A material and adverse outcome in one or more of these proceedings could have a material adverse impact on our financial condition and future operations. For a discussion of ongoing proceedings, see Note 14 o the Consolidated Financial Statements in this Report</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Tax Reform</w:t>
      </w:r>
    </w:p>
    <w:p>
      <w:pPr>
        <w:spacing w:after="0" w:line="190" w:lineRule="exact"/>
        <w:rPr>
          <w:sz w:val="20"/>
          <w:szCs w:val="20"/>
          <w:color w:val="auto"/>
        </w:rPr>
      </w:pPr>
    </w:p>
    <w:p>
      <w:pPr>
        <w:ind w:left="40" w:right="99" w:firstLine="538"/>
        <w:spacing w:after="0" w:line="252" w:lineRule="auto"/>
        <w:rPr>
          <w:sz w:val="20"/>
          <w:szCs w:val="20"/>
          <w:color w:val="auto"/>
        </w:rPr>
      </w:pPr>
      <w:r>
        <w:rPr>
          <w:rFonts w:ascii="Times New Roman" w:cs="Times New Roman" w:eastAsia="Times New Roman" w:hAnsi="Times New Roman"/>
          <w:sz w:val="15"/>
          <w:szCs w:val="15"/>
          <w:color w:val="auto"/>
        </w:rPr>
        <w:t>The Tax Cuts and Jobs Act of 2017 (the “Tax Act”), which was signed into law on December 22, 2017, has resulted in significant changes to the US corporate income tax system and the US Virgin Islands mirror code which replaces “United States” with “US Virgin Islands” throughout the Internal Revenue Code. The Tax Act transitions international taxation from a worldwide system to a modified territorial system and includes two base erosion prevention measures on non-US earnings, which has the effect of subjecting certain earnings of our foreign subsidiaries to US taxation as global intangible low taxed income (“GILTI”), eliminates the deduction of certain payments made to related foreign corporations, and imposes a minimum tax if greater than regular tax under the base-erosion and anti-abuse tax (“BEAT”). These changes became effective beginning in 2018 but did not have an impact on us in the initial or following years. Based on our forecasted income for 2022, we are not currently projecting a GILTI inclusion. We do not expect we will be subject to BEAT and therefore have not included any tax impacts of BEAT in our consolidated financial statements for the quarter ended September 30, 2022.</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0" w:lineRule="exact"/>
        <w:rPr>
          <w:sz w:val="20"/>
          <w:szCs w:val="20"/>
          <w:color w:val="auto"/>
        </w:rPr>
      </w:pPr>
    </w:p>
    <w:p>
      <w:pPr>
        <w:jc w:val="both"/>
        <w:ind w:left="40" w:right="159" w:firstLine="538"/>
        <w:spacing w:after="0" w:line="263" w:lineRule="auto"/>
        <w:rPr>
          <w:sz w:val="20"/>
          <w:szCs w:val="20"/>
          <w:color w:val="auto"/>
        </w:rPr>
      </w:pPr>
      <w:r>
        <w:rPr>
          <w:rFonts w:ascii="Times New Roman" w:cs="Times New Roman" w:eastAsia="Times New Roman" w:hAnsi="Times New Roman"/>
          <w:sz w:val="15"/>
          <w:szCs w:val="15"/>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339"/>
        <w:spacing w:after="0" w:line="277" w:lineRule="auto"/>
        <w:rPr>
          <w:sz w:val="20"/>
          <w:szCs w:val="20"/>
          <w:color w:val="auto"/>
        </w:rPr>
      </w:pPr>
      <w:r>
        <w:rPr>
          <w:rFonts w:ascii="Times New Roman" w:cs="Times New Roman" w:eastAsia="Times New Roman" w:hAnsi="Times New Roman"/>
          <w:sz w:val="15"/>
          <w:szCs w:val="15"/>
          <w:color w:val="auto"/>
        </w:rPr>
        <w:t>and availability under our current credit facilities will be sufficient to meet our cash needs for at least the next twelve months for working capital needs and capital expenditures.</w:t>
      </w:r>
    </w:p>
    <w:p>
      <w:pPr>
        <w:spacing w:after="0" w:line="81" w:lineRule="exact"/>
        <w:rPr>
          <w:sz w:val="20"/>
          <w:szCs w:val="20"/>
          <w:color w:val="auto"/>
        </w:rPr>
      </w:pPr>
    </w:p>
    <w:p>
      <w:pPr>
        <w:ind w:left="40" w:right="139" w:firstLine="538"/>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Total liquidity. </w:t>
      </w:r>
      <w:r>
        <w:rPr>
          <w:rFonts w:ascii="Times New Roman" w:cs="Times New Roman" w:eastAsia="Times New Roman" w:hAnsi="Times New Roman"/>
          <w:sz w:val="15"/>
          <w:szCs w:val="15"/>
          <w:color w:val="auto"/>
        </w:rPr>
        <w:t>As of September 30, 2022, we had approximately $77.8 million in cash, cash equivalents and restricted cash. Of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amount, $29.7 million was held by our foreign subsidiaries and is indefinitely invested outside the United States. In addition, we had approximately $399.2 million of debt, net of unamortized deferred financing costs, as of September 30, 2022. How and when we deploy our balance sheet capacity will figure prominently in our longer-term growth prospects and stockholder returns.</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Uses of Cash</w:t>
      </w:r>
    </w:p>
    <w:p>
      <w:pPr>
        <w:spacing w:after="0" w:line="188" w:lineRule="exact"/>
        <w:rPr>
          <w:sz w:val="20"/>
          <w:szCs w:val="20"/>
          <w:color w:val="auto"/>
        </w:rPr>
      </w:pPr>
    </w:p>
    <w:p>
      <w:pPr>
        <w:ind w:left="40" w:right="37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 xml:space="preserve">Acquisitions and investments. </w:t>
      </w:r>
      <w:r>
        <w:rPr>
          <w:rFonts w:ascii="Times New Roman" w:cs="Times New Roman" w:eastAsia="Times New Roman" w:hAnsi="Times New Roman"/>
          <w:sz w:val="15"/>
          <w:szCs w:val="15"/>
          <w:color w:val="auto"/>
        </w:rPr>
        <w:t>We have historically funded our acquisitions with a combination of cash-on-hand, borrowings under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credit facilities as well as equity investor and seller financings.</w:t>
      </w:r>
    </w:p>
    <w:p>
      <w:pPr>
        <w:spacing w:after="0" w:line="79" w:lineRule="exact"/>
        <w:rPr>
          <w:sz w:val="20"/>
          <w:szCs w:val="20"/>
          <w:color w:val="auto"/>
        </w:rPr>
      </w:pPr>
    </w:p>
    <w:p>
      <w:pPr>
        <w:ind w:left="40" w:right="77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 xml:space="preserve">Alaska Transaction. </w:t>
      </w:r>
      <w:r>
        <w:rPr>
          <w:rFonts w:ascii="Times New Roman" w:cs="Times New Roman" w:eastAsia="Times New Roman" w:hAnsi="Times New Roman"/>
          <w:sz w:val="15"/>
          <w:szCs w:val="15"/>
          <w:color w:val="auto"/>
        </w:rPr>
        <w:t>On July 22, 2021, Alaska Communications entered into a new debt financing in connection with the Alaska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Transaction. See </w:t>
      </w:r>
      <w:r>
        <w:rPr>
          <w:rFonts w:ascii="Times New Roman" w:cs="Times New Roman" w:eastAsia="Times New Roman" w:hAnsi="Times New Roman"/>
          <w:sz w:val="15"/>
          <w:szCs w:val="15"/>
          <w:i w:val="1"/>
          <w:iCs w:val="1"/>
          <w:color w:val="auto"/>
        </w:rPr>
        <w:t>Acquisition of Alaska Communications System Group, Inc.</w:t>
      </w:r>
    </w:p>
    <w:p>
      <w:pPr>
        <w:spacing w:after="0" w:line="70" w:lineRule="exact"/>
        <w:rPr>
          <w:sz w:val="20"/>
          <w:szCs w:val="20"/>
          <w:color w:val="auto"/>
        </w:rPr>
      </w:pPr>
    </w:p>
    <w:p>
      <w:pPr>
        <w:ind w:left="40" w:right="199" w:firstLine="538"/>
        <w:spacing w:after="0" w:line="256" w:lineRule="auto"/>
        <w:rPr>
          <w:sz w:val="20"/>
          <w:szCs w:val="20"/>
          <w:color w:val="auto"/>
        </w:rPr>
      </w:pPr>
      <w:r>
        <w:rPr>
          <w:rFonts w:ascii="Times New Roman" w:cs="Times New Roman" w:eastAsia="Times New Roman" w:hAnsi="Times New Roman"/>
          <w:sz w:val="15"/>
          <w:szCs w:val="15"/>
          <w:color w:val="auto"/>
        </w:rPr>
        <w:t>We continue to explore opportunities to expand our telecommunications business or acquire new businesses and telecommunications licenses in the United States, the Caribbean and elsewhere. Such acquisitions may require external financing. While there can be no assurance as to whether, when or on what terms we will be able to acquire any such businesses or licenses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97" w:lineRule="exact"/>
        <w:rPr>
          <w:sz w:val="20"/>
          <w:szCs w:val="20"/>
          <w:color w:val="auto"/>
        </w:rPr>
      </w:pPr>
    </w:p>
    <w:p>
      <w:pPr>
        <w:ind w:left="40" w:right="79" w:firstLine="538"/>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Cash used in investing activities. </w:t>
      </w:r>
      <w:r>
        <w:rPr>
          <w:rFonts w:ascii="Times New Roman" w:cs="Times New Roman" w:eastAsia="Times New Roman" w:hAnsi="Times New Roman"/>
          <w:sz w:val="15"/>
          <w:szCs w:val="15"/>
          <w:color w:val="auto"/>
        </w:rPr>
        <w:t>Cash used in investing activities decreased by $297.1 million to $94.6 million from $391.8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nine months ended September 30, 2022 and 2021, respectively. Excluding the $339.5 million of cash used for the Alaska Transaction, cash used in investing activities increased by $42.4 million, primarily as a result of an increase in capital expenditures of $43.1 million to $114.0 million from $70.9 million. Offsetting this increase was a reduction in reimbursable capital expenditures of $4.7 million to $4.0 million from $8.7 million.</w:t>
      </w:r>
    </w:p>
    <w:p>
      <w:pPr>
        <w:spacing w:after="0" w:line="152" w:lineRule="exact"/>
        <w:rPr>
          <w:sz w:val="20"/>
          <w:szCs w:val="20"/>
          <w:color w:val="auto"/>
        </w:rPr>
      </w:pPr>
    </w:p>
    <w:p>
      <w:pPr>
        <w:ind w:left="40" w:right="99" w:firstLine="538"/>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Cash provided by (used in) financing activities. </w:t>
      </w:r>
      <w:r>
        <w:rPr>
          <w:rFonts w:ascii="Times New Roman" w:cs="Times New Roman" w:eastAsia="Times New Roman" w:hAnsi="Times New Roman"/>
          <w:sz w:val="15"/>
          <w:szCs w:val="15"/>
          <w:color w:val="auto"/>
        </w:rPr>
        <w:t>Cash provided by financing activities decreased by $328.7 million to $12.8 million 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$341.4 million. Excluding cash provided by the Alaska Transaction of $291.5 million (including $220.0 million of debt financing and $71.5 million of equity financing provided by a non-controlling third party), cash provided by financing activities decreased by $37.1 million primarily related to a reduction in borrowings, net of repayments, under our credit facilities partially offset by a reduction in expenditures for the repurchase of non-controlling interests and repurchases of our common stock.</w:t>
      </w:r>
    </w:p>
    <w:p>
      <w:pPr>
        <w:spacing w:after="0" w:line="152" w:lineRule="exact"/>
        <w:rPr>
          <w:sz w:val="20"/>
          <w:szCs w:val="20"/>
          <w:color w:val="auto"/>
        </w:rPr>
      </w:pPr>
    </w:p>
    <w:p>
      <w:pPr>
        <w:ind w:left="40" w:right="5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Working Capital. </w:t>
      </w:r>
      <w:r>
        <w:rPr>
          <w:rFonts w:ascii="Times New Roman" w:cs="Times New Roman" w:eastAsia="Times New Roman" w:hAnsi="Times New Roman"/>
          <w:sz w:val="15"/>
          <w:szCs w:val="15"/>
          <w:color w:val="auto"/>
        </w:rPr>
        <w:t>Historically, we have internally funded our working capital needs. Pursuant to the FirstNet Agreement, AT&amp;T has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146" w:lineRule="exact"/>
        <w:rPr>
          <w:sz w:val="20"/>
          <w:szCs w:val="20"/>
          <w:color w:val="auto"/>
        </w:rPr>
      </w:pPr>
    </w:p>
    <w:p>
      <w:pPr>
        <w:ind w:left="40" w:right="1019" w:firstLine="538"/>
        <w:spacing w:after="0" w:line="280" w:lineRule="auto"/>
        <w:rPr>
          <w:sz w:val="20"/>
          <w:szCs w:val="20"/>
          <w:color w:val="auto"/>
        </w:rPr>
      </w:pPr>
      <w:r>
        <w:rPr>
          <w:rFonts w:ascii="Times New Roman" w:cs="Times New Roman" w:eastAsia="Times New Roman" w:hAnsi="Times New Roman"/>
          <w:sz w:val="15"/>
          <w:szCs w:val="15"/>
          <w:i w:val="1"/>
          <w:iCs w:val="1"/>
          <w:color w:val="auto"/>
        </w:rPr>
        <w:t xml:space="preserve">Capital expenditures. </w:t>
      </w:r>
      <w:r>
        <w:rPr>
          <w:rFonts w:ascii="Times New Roman" w:cs="Times New Roman" w:eastAsia="Times New Roman" w:hAnsi="Times New Roman"/>
          <w:sz w:val="15"/>
          <w:szCs w:val="15"/>
          <w:color w:val="auto"/>
        </w:rPr>
        <w:t>Historically, a significant use of our cash has been for capital expenditures to expand and upgrade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telecommunications networks and to expand our previously owned renewable energy operations.</w:t>
      </w:r>
    </w:p>
    <w:p>
      <w:pPr>
        <w:spacing w:after="0" w:line="48" w:lineRule="exact"/>
        <w:rPr>
          <w:sz w:val="20"/>
          <w:szCs w:val="20"/>
          <w:color w:val="auto"/>
        </w:rPr>
      </w:pPr>
    </w:p>
    <w:p>
      <w:pPr>
        <w:ind w:left="40" w:right="79" w:firstLine="538"/>
        <w:spacing w:after="0" w:line="277" w:lineRule="auto"/>
        <w:rPr>
          <w:sz w:val="20"/>
          <w:szCs w:val="20"/>
          <w:color w:val="auto"/>
        </w:rPr>
      </w:pPr>
      <w:r>
        <w:rPr>
          <w:rFonts w:ascii="Times New Roman" w:cs="Times New Roman" w:eastAsia="Times New Roman" w:hAnsi="Times New Roman"/>
          <w:sz w:val="15"/>
          <w:szCs w:val="15"/>
          <w:color w:val="auto"/>
        </w:rPr>
        <w:t>For the nine months ended September 30, 2022 and 2021, we spent approximately $114.0 million and $70.9 million, respectively, on capital expenditures relating to our telecommunications networks and our business support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7" w:name="page68"/>
    <w:bookmarkEnd w:id="67"/>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59"/>
        <w:spacing w:after="0" w:line="277" w:lineRule="auto"/>
        <w:rPr>
          <w:sz w:val="20"/>
          <w:szCs w:val="20"/>
          <w:color w:val="auto"/>
        </w:rPr>
      </w:pPr>
      <w:r>
        <w:rPr>
          <w:rFonts w:ascii="Times New Roman" w:cs="Times New Roman" w:eastAsia="Times New Roman" w:hAnsi="Times New Roman"/>
          <w:sz w:val="15"/>
          <w:szCs w:val="15"/>
          <w:color w:val="auto"/>
        </w:rPr>
        <w:t>systems of which $4.0 million and $8.7 million, respectively, are reimbursable. The following notes our capital expenditures, by operating segment, for these periods (in thousands):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2"/>
                <w:szCs w:val="12"/>
                <w:b w:val="1"/>
                <w:bCs w:val="1"/>
                <w:color w:val="auto"/>
              </w:rPr>
              <w:t>Capital Expenditures</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31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International</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2"/>
                <w:szCs w:val="12"/>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0" w:type="dxa"/>
            <w:vAlign w:val="bottom"/>
          </w:tcPr>
          <w:p>
            <w:pPr>
              <w:spacing w:after="0"/>
              <w:rPr>
                <w:sz w:val="1"/>
                <w:szCs w:val="1"/>
                <w:color w:val="auto"/>
              </w:rPr>
            </w:pPr>
          </w:p>
        </w:tc>
      </w:tr>
      <w:tr>
        <w:trPr>
          <w:trHeight w:val="145"/>
        </w:trPr>
        <w:tc>
          <w:tcPr>
            <w:tcW w:w="31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2"/>
                <w:szCs w:val="12"/>
                <w:b w:val="1"/>
                <w:bCs w:val="1"/>
                <w:color w:val="auto"/>
              </w:rPr>
              <w:t>Telecom</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6"/>
              </w:rPr>
              <w:t>Telecom</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2"/>
                <w:szCs w:val="12"/>
                <w:b w:val="1"/>
                <w:bCs w:val="1"/>
                <w:color w:val="auto"/>
              </w:rPr>
              <w:t>Other (1)</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5"/>
                <w:szCs w:val="15"/>
                <w:color w:val="auto"/>
              </w:rPr>
              <w:t>2022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53,270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ind w:left="500"/>
              <w:spacing w:after="0" w:line="171" w:lineRule="exact"/>
              <w:rPr>
                <w:sz w:val="20"/>
                <w:szCs w:val="20"/>
                <w:color w:val="auto"/>
              </w:rPr>
            </w:pPr>
            <w:r>
              <w:rPr>
                <w:rFonts w:ascii="Times New Roman" w:cs="Times New Roman" w:eastAsia="Times New Roman" w:hAnsi="Times New Roman"/>
                <w:sz w:val="15"/>
                <w:szCs w:val="15"/>
                <w:color w:val="auto"/>
              </w:rPr>
              <w:t>60,056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71" w:lineRule="exact"/>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ind w:right="73"/>
              <w:spacing w:after="0" w:line="171" w:lineRule="exact"/>
              <w:rPr>
                <w:sz w:val="20"/>
                <w:szCs w:val="20"/>
                <w:color w:val="auto"/>
              </w:rPr>
            </w:pPr>
            <w:r>
              <w:rPr>
                <w:rFonts w:ascii="Times New Roman" w:cs="Times New Roman" w:eastAsia="Times New Roman" w:hAnsi="Times New Roman"/>
                <w:sz w:val="15"/>
                <w:szCs w:val="15"/>
                <w:color w:val="auto"/>
              </w:rPr>
              <w:t>633</w:t>
            </w:r>
          </w:p>
        </w:tc>
        <w:tc>
          <w:tcPr>
            <w:tcW w:w="360" w:type="dxa"/>
            <w:vAlign w:val="bottom"/>
            <w:shd w:val="clear" w:color="auto" w:fill="CCEEFF"/>
          </w:tcPr>
          <w:p>
            <w:pPr>
              <w:jc w:val="right"/>
              <w:ind w:right="65"/>
              <w:spacing w:after="0" w:line="171"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5"/>
                <w:szCs w:val="15"/>
                <w:color w:val="auto"/>
              </w:rPr>
              <w:t>113,959</w:t>
            </w:r>
          </w:p>
        </w:tc>
        <w:tc>
          <w:tcPr>
            <w:tcW w:w="0" w:type="dxa"/>
            <w:vAlign w:val="bottom"/>
          </w:tcPr>
          <w:p>
            <w:pPr>
              <w:spacing w:after="0"/>
              <w:rPr>
                <w:sz w:val="1"/>
                <w:szCs w:val="1"/>
                <w:color w:val="auto"/>
              </w:rPr>
            </w:pPr>
          </w:p>
        </w:tc>
      </w:tr>
      <w:tr>
        <w:trPr>
          <w:trHeight w:val="193"/>
        </w:trPr>
        <w:tc>
          <w:tcPr>
            <w:tcW w:w="3120" w:type="dxa"/>
            <w:vAlign w:val="bottom"/>
          </w:tcPr>
          <w:p>
            <w:pPr>
              <w:spacing w:after="0"/>
              <w:rPr>
                <w:sz w:val="20"/>
                <w:szCs w:val="20"/>
                <w:color w:val="auto"/>
              </w:rPr>
            </w:pPr>
            <w:r>
              <w:rPr>
                <w:rFonts w:ascii="Times New Roman" w:cs="Times New Roman" w:eastAsia="Times New Roman" w:hAnsi="Times New Roman"/>
                <w:sz w:val="15"/>
                <w:szCs w:val="15"/>
                <w:color w:val="auto"/>
              </w:rPr>
              <w:t>2021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32,485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36,157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2,280</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70,922</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5"/>
          <w:szCs w:val="15"/>
          <w:color w:val="auto"/>
        </w:rPr>
        <w:t>(1) Corporate and other items refer to corporate overhead costs and consolidating adjustments</w:t>
      </w:r>
    </w:p>
    <w:p>
      <w:pPr>
        <w:spacing w:after="0" w:line="186" w:lineRule="exact"/>
        <w:rPr>
          <w:sz w:val="20"/>
          <w:szCs w:val="20"/>
          <w:color w:val="auto"/>
        </w:rPr>
      </w:pPr>
    </w:p>
    <w:p>
      <w:pPr>
        <w:ind w:left="40" w:right="259" w:firstLine="538"/>
        <w:spacing w:after="0" w:line="263" w:lineRule="auto"/>
        <w:rPr>
          <w:sz w:val="20"/>
          <w:szCs w:val="20"/>
          <w:color w:val="auto"/>
        </w:rPr>
      </w:pPr>
      <w:r>
        <w:rPr>
          <w:rFonts w:ascii="Times New Roman" w:cs="Times New Roman" w:eastAsia="Times New Roman" w:hAnsi="Times New Roman"/>
          <w:sz w:val="15"/>
          <w:szCs w:val="15"/>
          <w:color w:val="auto"/>
        </w:rPr>
        <w:t>We are continuing to invest in our telecommunication networks along with our operating and business support systems in many of our markets. Such investments primarily relate to the upgrade and expansion of our networks and are expected to total approximately $150 million to $160 million, net of reimbursable amounts, for the full year 2022.</w:t>
      </w:r>
    </w:p>
    <w:p>
      <w:pPr>
        <w:spacing w:after="0" w:line="150" w:lineRule="exact"/>
        <w:rPr>
          <w:sz w:val="20"/>
          <w:szCs w:val="20"/>
          <w:color w:val="auto"/>
        </w:rPr>
      </w:pPr>
    </w:p>
    <w:p>
      <w:pPr>
        <w:ind w:left="40" w:right="519" w:firstLine="538"/>
        <w:spacing w:after="0" w:line="277" w:lineRule="auto"/>
        <w:rPr>
          <w:sz w:val="20"/>
          <w:szCs w:val="20"/>
          <w:color w:val="auto"/>
        </w:rPr>
      </w:pPr>
      <w:r>
        <w:rPr>
          <w:rFonts w:ascii="Times New Roman" w:cs="Times New Roman" w:eastAsia="Times New Roman" w:hAnsi="Times New Roman"/>
          <w:sz w:val="15"/>
          <w:szCs w:val="15"/>
          <w:color w:val="auto"/>
        </w:rPr>
        <w:t>We expect to fund our current capital expenditures primarily from our current cash balances, cash generated from operations and our existing credit facilities.</w:t>
      </w:r>
    </w:p>
    <w:p>
      <w:pPr>
        <w:spacing w:after="0" w:line="138" w:lineRule="exact"/>
        <w:rPr>
          <w:sz w:val="20"/>
          <w:szCs w:val="20"/>
          <w:color w:val="auto"/>
        </w:rPr>
      </w:pPr>
    </w:p>
    <w:p>
      <w:pPr>
        <w:ind w:left="40" w:right="59" w:firstLine="538"/>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We have historically used cash-on-hand to make payments for income taxes. Our policy is to allocate capital where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believe we will get the best returns and to 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129" w:lineRule="exact"/>
        <w:rPr>
          <w:sz w:val="20"/>
          <w:szCs w:val="20"/>
          <w:color w:val="auto"/>
        </w:rPr>
      </w:pPr>
    </w:p>
    <w:p>
      <w:pPr>
        <w:jc w:val="both"/>
        <w:ind w:left="40" w:right="219" w:firstLine="538"/>
        <w:spacing w:after="0" w:line="292"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We use cash-on-hand to make dividend payments to our stockholders when declared by our Board of Directors.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2022, our Board of Directors declared $2.7 million of dividends to our stockholders which includes a $0.17 per share dividend declared on September 15, 2022 and paid on October 7, 2022. We have declared quarterly dividends since the fourth quarter of 1998.</w:t>
      </w:r>
    </w:p>
    <w:p>
      <w:pPr>
        <w:spacing w:after="0" w:line="73" w:lineRule="exact"/>
        <w:rPr>
          <w:sz w:val="20"/>
          <w:szCs w:val="20"/>
          <w:color w:val="auto"/>
        </w:rPr>
      </w:pPr>
    </w:p>
    <w:p>
      <w:pPr>
        <w:ind w:left="40" w:right="119" w:firstLine="538"/>
        <w:spacing w:after="0" w:line="259" w:lineRule="auto"/>
        <w:rPr>
          <w:sz w:val="20"/>
          <w:szCs w:val="20"/>
          <w:color w:val="auto"/>
        </w:rPr>
      </w:pPr>
      <w:r>
        <w:rPr>
          <w:rFonts w:ascii="Times New Roman" w:cs="Times New Roman" w:eastAsia="Times New Roman" w:hAnsi="Times New Roman"/>
          <w:sz w:val="15"/>
          <w:szCs w:val="15"/>
          <w:i w:val="1"/>
          <w:iCs w:val="1"/>
          <w:color w:val="auto"/>
        </w:rPr>
        <w:t xml:space="preserve">Stock Repurchase Plan. </w:t>
      </w:r>
      <w:r>
        <w:rPr>
          <w:rFonts w:ascii="Times New Roman" w:cs="Times New Roman" w:eastAsia="Times New Roman" w:hAnsi="Times New Roman"/>
          <w:sz w:val="15"/>
          <w:szCs w:val="15"/>
          <w:color w:val="auto"/>
        </w:rPr>
        <w:t>On September 19, 2016, our Board of Directors authorized the repurchase of up to $50.0 million of our common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from time to time on the open market or in privately negotiated transactions (the “2016 Repurchase Plan”). We repurchased $0.9 million and $2.6 million of our common stock under the 2016 Repurchase Plan during the nine months ended September 30, 2022 and 2021, respectively. As of September 30, 2022, we had $19.5 million authorized and available for share repurchases under the 2016 Repurchase Plan.</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Sources of Cash</w:t>
      </w:r>
    </w:p>
    <w:p>
      <w:pPr>
        <w:spacing w:after="0" w:line="188" w:lineRule="exact"/>
        <w:rPr>
          <w:sz w:val="20"/>
          <w:szCs w:val="20"/>
          <w:color w:val="auto"/>
        </w:rPr>
      </w:pPr>
    </w:p>
    <w:p>
      <w:pPr>
        <w:jc w:val="both"/>
        <w:ind w:left="40" w:right="19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Cash provided by operations. </w:t>
      </w:r>
      <w:r>
        <w:rPr>
          <w:rFonts w:ascii="Times New Roman" w:cs="Times New Roman" w:eastAsia="Times New Roman" w:hAnsi="Times New Roman"/>
          <w:sz w:val="15"/>
          <w:szCs w:val="15"/>
          <w:color w:val="auto"/>
        </w:rPr>
        <w:t>Cash provided by operating activities was $79.0 million for the nine months ended September 30, 2022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compared to $47.7 million for the nine months ended September 30, 2021. The increase of $31.3 million was primarily related to a decrease in net income of $8.1 million offset by an increase in depreciation and amortization expenses of $37.1 million.</w:t>
      </w: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CoBank Credit Facility</w:t>
      </w:r>
    </w:p>
    <w:p>
      <w:pPr>
        <w:spacing w:after="0" w:line="190" w:lineRule="exact"/>
        <w:rPr>
          <w:sz w:val="20"/>
          <w:szCs w:val="20"/>
          <w:color w:val="auto"/>
        </w:rPr>
      </w:pPr>
    </w:p>
    <w:p>
      <w:pPr>
        <w:ind w:left="40" w:right="279" w:firstLine="538"/>
        <w:spacing w:after="0" w:line="256" w:lineRule="auto"/>
        <w:rPr>
          <w:sz w:val="20"/>
          <w:szCs w:val="20"/>
          <w:color w:val="auto"/>
        </w:rPr>
      </w:pPr>
      <w:r>
        <w:rPr>
          <w:rFonts w:ascii="Times New Roman" w:cs="Times New Roman" w:eastAsia="Times New Roman" w:hAnsi="Times New Roman"/>
          <w:sz w:val="15"/>
          <w:szCs w:val="15"/>
          <w:color w:val="auto"/>
        </w:rPr>
        <w:t>On April 10, 2019, we entered into a credit facility, with CoBank, ACB and a syndicate of other lenders (as amended, the “2019 CoBank Credit Facility”). The 2019 CoBank Credit Facility provides for a $200 million revolving credit facility that includes (i) up to $75 million for standby or trade letters of credit and (ii) up to $10 million under a swingline sub-facility. Approximately $26.0 million of performance letters of credit have been issued and remain outstanding and undrawn as of September 30, 2022. The 2019 CoBank Credit Facility matures on April 10, 2024.</w:t>
      </w:r>
    </w:p>
    <w:p>
      <w:pPr>
        <w:spacing w:after="0" w:line="155" w:lineRule="exact"/>
        <w:rPr>
          <w:sz w:val="20"/>
          <w:szCs w:val="20"/>
          <w:color w:val="auto"/>
        </w:rPr>
      </w:pPr>
    </w:p>
    <w:p>
      <w:pPr>
        <w:ind w:left="40" w:right="379" w:firstLine="538"/>
        <w:spacing w:after="0" w:line="277" w:lineRule="auto"/>
        <w:rPr>
          <w:sz w:val="20"/>
          <w:szCs w:val="20"/>
          <w:color w:val="auto"/>
        </w:rPr>
      </w:pPr>
      <w:r>
        <w:rPr>
          <w:rFonts w:ascii="Times New Roman" w:cs="Times New Roman" w:eastAsia="Times New Roman" w:hAnsi="Times New Roman"/>
          <w:sz w:val="14"/>
          <w:szCs w:val="14"/>
          <w:color w:val="auto"/>
        </w:rPr>
        <w:t>Amounts borrowed under the 2019 CoBank Credit Facility bear interest at a rate equal to, at our option, either (i) the London Interbank Offered Rate (“LIBOR”) plus an applicable margin ranging between 1.25% to 2.25% or (ii) a base rate plus an applicable margin ranging from</w:t>
      </w:r>
    </w:p>
    <w:p>
      <w:pPr>
        <w:spacing w:after="0" w:line="1"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5"/>
          <w:szCs w:val="15"/>
          <w:color w:val="auto"/>
        </w:rPr>
        <w:t>0.25% to 1.25%. Swingline loans bear interest at the base rate plus the applicable margin for base rate loans. The base rate is equal to the higher of (i) 1.00% plus the higher of (x) LIBOR for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8" w:name="page69"/>
    <w:bookmarkEnd w:id="68"/>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5"/>
          <w:szCs w:val="15"/>
          <w:color w:val="auto"/>
        </w:rPr>
        <w:t>an interest period of one month and (y) LIBOR for an interest period of one week; (ii) the Federal Funds Effective Rate (as defined in the 2019 CoBank Credit Facility) plus 0.50% per annum; and (iii) the Prime Rate (as defined in the 2019 CoBank Credit Facility). The applicable margin is determined based on the Total Net Leverage Ratio (as defined in the 2019 CoBank Credit Facility). Under the terms of the 2019 CoBank Credit Facility, we must also pay a commitment fee ranging from 0.150% to 0.375% of the average daily unused portion of the 2019 CoBank Credit Facility over each calendar quarter.</w:t>
      </w:r>
    </w:p>
    <w:p>
      <w:pPr>
        <w:spacing w:after="0" w:line="155" w:lineRule="exact"/>
        <w:rPr>
          <w:sz w:val="20"/>
          <w:szCs w:val="20"/>
          <w:color w:val="auto"/>
        </w:rPr>
      </w:pPr>
    </w:p>
    <w:p>
      <w:pPr>
        <w:ind w:left="40" w:right="199" w:firstLine="572"/>
        <w:spacing w:after="0" w:line="253" w:lineRule="auto"/>
        <w:rPr>
          <w:sz w:val="20"/>
          <w:szCs w:val="20"/>
          <w:color w:val="auto"/>
        </w:rPr>
      </w:pPr>
      <w:r>
        <w:rPr>
          <w:rFonts w:ascii="Times New Roman" w:cs="Times New Roman" w:eastAsia="Times New Roman" w:hAnsi="Times New Roman"/>
          <w:sz w:val="15"/>
          <w:szCs w:val="15"/>
          <w:color w:val="auto"/>
        </w:rPr>
        <w:t>The 2019 CoBank Credit Facility contains customary representations, warranties and covenants, including a financial covenant that imposes a maximum ratio of indebtedness to EBITDA as well as covenants limiting additional indebtedness, liens, guaranties, mergers and consolidations, substantial asset sales, investments and loans, sale and leasebacks, transactions with affiliates and fundamental changes. Our investments in “unrestricted” subsidiaries and certain dividend payments to our stockholders are not limited unless the Total Net Leverage Ratio is equal to or greater than 1.75 to 1.0. The Total Net Leverage Ratio is measured each fiscal quarter and is required to be less than or equal to 2.75 to 1.0. In the event of a Qualifying Acquisition (as defined in the 2019 CoBank Credit Facility), the Total Net Leverage Ratio increases to 3.25 to 1.0 for the subsequent three fiscal quarters. On November 7, 2022, we amended the 2019 CoBank Credit Facility to allow for the incurrence of certain indebtedness related to payment guarantees in connection with our Remove and Replace project.</w:t>
      </w:r>
    </w:p>
    <w:p>
      <w:pPr>
        <w:spacing w:after="0" w:line="158" w:lineRule="exact"/>
        <w:rPr>
          <w:sz w:val="20"/>
          <w:szCs w:val="20"/>
          <w:color w:val="auto"/>
        </w:rPr>
      </w:pPr>
    </w:p>
    <w:p>
      <w:pPr>
        <w:jc w:val="both"/>
        <w:ind w:left="40" w:right="139" w:firstLine="538"/>
        <w:spacing w:after="0" w:line="263" w:lineRule="auto"/>
        <w:rPr>
          <w:sz w:val="20"/>
          <w:szCs w:val="20"/>
          <w:color w:val="auto"/>
        </w:rPr>
      </w:pPr>
      <w:r>
        <w:rPr>
          <w:rFonts w:ascii="Times New Roman" w:cs="Times New Roman" w:eastAsia="Times New Roman" w:hAnsi="Times New Roman"/>
          <w:sz w:val="15"/>
          <w:szCs w:val="15"/>
          <w:color w:val="auto"/>
        </w:rPr>
        <w:t>The 2019 CoBank Credit Facility also provides for the incurrence by us of incremental term loan facilities, when combined with increases to revolving loan commitments, in an aggregate amount not to exceed $200 million (the “Accordion”). Amounts borrowed under the Accordion are also subject to proforma compliance with a net leverage ratio financial covenant.</w:t>
      </w:r>
    </w:p>
    <w:p>
      <w:pPr>
        <w:spacing w:after="0" w:line="150" w:lineRule="exact"/>
        <w:rPr>
          <w:sz w:val="20"/>
          <w:szCs w:val="20"/>
          <w:color w:val="auto"/>
        </w:rPr>
      </w:pPr>
    </w:p>
    <w:p>
      <w:pPr>
        <w:ind w:left="40" w:right="119" w:firstLine="538"/>
        <w:spacing w:after="0" w:line="263" w:lineRule="auto"/>
        <w:rPr>
          <w:sz w:val="20"/>
          <w:szCs w:val="20"/>
          <w:color w:val="auto"/>
        </w:rPr>
      </w:pPr>
      <w:r>
        <w:rPr>
          <w:rFonts w:ascii="Times New Roman" w:cs="Times New Roman" w:eastAsia="Times New Roman" w:hAnsi="Times New Roman"/>
          <w:sz w:val="15"/>
          <w:szCs w:val="15"/>
          <w:color w:val="auto"/>
        </w:rPr>
        <w:t>As of September 30, 2022, we were in compliance with all of the financial covenants, had $71.0 million outstanding in borrowings and, net of the $26.0 million of outstanding performance letters of credit, had $103.0 million of availability under the 2019 CoBank Credit Facility. As of September 30, 2022, there are no outstanding interest rate hedge agreements associated with the 2019 CoBank Credit Facility.</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Alaska Credit Facility</w:t>
      </w:r>
    </w:p>
    <w:p>
      <w:pPr>
        <w:spacing w:after="0" w:line="224" w:lineRule="exact"/>
        <w:rPr>
          <w:sz w:val="20"/>
          <w:szCs w:val="20"/>
          <w:color w:val="auto"/>
        </w:rPr>
      </w:pPr>
    </w:p>
    <w:p>
      <w:pPr>
        <w:ind w:left="40" w:right="139" w:firstLine="538"/>
        <w:spacing w:after="0" w:line="258" w:lineRule="auto"/>
        <w:rPr>
          <w:sz w:val="20"/>
          <w:szCs w:val="20"/>
          <w:color w:val="auto"/>
        </w:rPr>
      </w:pPr>
      <w:r>
        <w:rPr>
          <w:rFonts w:ascii="Times New Roman" w:cs="Times New Roman" w:eastAsia="Times New Roman" w:hAnsi="Times New Roman"/>
          <w:sz w:val="15"/>
          <w:szCs w:val="15"/>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 As of September 30, 2022, $210.0 million was outstanding under the Alaska Term Loan and $15.5 million was outstanding under the Alaska Revolving Facility. Both facilities mature on July 22, 2026.</w:t>
      </w:r>
    </w:p>
    <w:p>
      <w:pPr>
        <w:spacing w:after="0" w:line="188" w:lineRule="exact"/>
        <w:rPr>
          <w:sz w:val="20"/>
          <w:szCs w:val="20"/>
          <w:color w:val="auto"/>
        </w:rPr>
      </w:pPr>
    </w:p>
    <w:p>
      <w:pPr>
        <w:ind w:left="40" w:right="219" w:firstLine="538"/>
        <w:spacing w:after="0" w:line="277" w:lineRule="auto"/>
        <w:rPr>
          <w:sz w:val="20"/>
          <w:szCs w:val="20"/>
          <w:color w:val="auto"/>
        </w:rPr>
      </w:pPr>
      <w:r>
        <w:rPr>
          <w:rFonts w:ascii="Times New Roman" w:cs="Times New Roman" w:eastAsia="Times New Roman" w:hAnsi="Times New Roman"/>
          <w:sz w:val="15"/>
          <w:szCs w:val="15"/>
          <w:color w:val="auto"/>
        </w:rPr>
        <w:t>We capitalized $6.6 million of fees associated with the Alaska Credit Facility which are being amortized over the life of the debt and $4.9 million were unamortized as of September 30, 2022.</w:t>
      </w:r>
    </w:p>
    <w:p>
      <w:pPr>
        <w:spacing w:after="0" w:line="162" w:lineRule="exact"/>
        <w:rPr>
          <w:sz w:val="20"/>
          <w:szCs w:val="20"/>
          <w:color w:val="auto"/>
        </w:rPr>
      </w:pPr>
    </w:p>
    <w:p>
      <w:pPr>
        <w:ind w:left="40" w:right="239" w:firstLine="538"/>
        <w:spacing w:after="0" w:line="277" w:lineRule="auto"/>
        <w:rPr>
          <w:sz w:val="20"/>
          <w:szCs w:val="20"/>
          <w:color w:val="auto"/>
        </w:rPr>
      </w:pPr>
      <w:r>
        <w:rPr>
          <w:rFonts w:ascii="Times New Roman" w:cs="Times New Roman" w:eastAsia="Times New Roman" w:hAnsi="Times New Roman"/>
          <w:sz w:val="15"/>
          <w:szCs w:val="15"/>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key terms and conditions of the Alaska Credit Facility include the following:</w:t>
      </w:r>
    </w:p>
    <w:p>
      <w:pPr>
        <w:spacing w:after="0" w:line="186" w:lineRule="exact"/>
        <w:rPr>
          <w:sz w:val="20"/>
          <w:szCs w:val="20"/>
          <w:color w:val="auto"/>
        </w:rPr>
      </w:pPr>
    </w:p>
    <w:p>
      <w:pPr>
        <w:ind w:left="1140" w:hanging="275"/>
        <w:spacing w:after="0"/>
        <w:tabs>
          <w:tab w:leader="none" w:pos="11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outstanding bear an interest rate of LIBOR, or a LIBOR replacement rate as applicable, plus a margin ranging from</w:t>
      </w:r>
    </w:p>
    <w:p>
      <w:pPr>
        <w:spacing w:after="0" w:line="20" w:lineRule="exact"/>
        <w:rPr>
          <w:rFonts w:ascii="Times New Roman" w:cs="Times New Roman" w:eastAsia="Times New Roman" w:hAnsi="Times New Roman"/>
          <w:sz w:val="15"/>
          <w:szCs w:val="15"/>
          <w:color w:val="auto"/>
        </w:rPr>
      </w:pPr>
    </w:p>
    <w:p>
      <w:pPr>
        <w:ind w:left="1140" w:right="199"/>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3.00% to 4.00% based on Alaska Communications’ Consolidated Total Net Leverage Ratio (as defined in the Credit Agreement) or an alternate base rate may be selected at a margin that is 1% lower than the counterpart LIBOR margin;</w:t>
      </w:r>
    </w:p>
    <w:p>
      <w:pPr>
        <w:spacing w:after="0" w:line="153" w:lineRule="exact"/>
        <w:rPr>
          <w:rFonts w:ascii="Times New Roman" w:cs="Times New Roman" w:eastAsia="Times New Roman" w:hAnsi="Times New Roman"/>
          <w:sz w:val="15"/>
          <w:szCs w:val="15"/>
          <w:color w:val="auto"/>
        </w:rPr>
      </w:pPr>
    </w:p>
    <w:p>
      <w:pPr>
        <w:ind w:left="1140" w:right="119" w:hanging="275"/>
        <w:spacing w:after="0" w:line="277" w:lineRule="auto"/>
        <w:tabs>
          <w:tab w:leader="none" w:pos="11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Principal repayments are due quarterly commencing in the fourth quarter of 2023 in quarterly amounts as follows: from the fourth quarter of 2023 through the third quarter of 2024, $1.3 million; and from</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69" w:name="page70"/>
    <w:bookmarkEnd w:id="69"/>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40" w:right="539"/>
        <w:spacing w:after="0" w:line="277" w:lineRule="auto"/>
        <w:rPr>
          <w:sz w:val="20"/>
          <w:szCs w:val="20"/>
          <w:color w:val="auto"/>
        </w:rPr>
      </w:pPr>
      <w:r>
        <w:rPr>
          <w:rFonts w:ascii="Times New Roman" w:cs="Times New Roman" w:eastAsia="Times New Roman" w:hAnsi="Times New Roman"/>
          <w:sz w:val="15"/>
          <w:szCs w:val="15"/>
          <w:color w:val="auto"/>
        </w:rPr>
        <w:t>the fourth quarter of 2024 through the third quarter of 2026, $2.6 million. The remaining unpaid balance is due on the final maturity date;</w:t>
      </w:r>
    </w:p>
    <w:p>
      <w:pPr>
        <w:spacing w:after="0" w:line="140" w:lineRule="exact"/>
        <w:rPr>
          <w:sz w:val="20"/>
          <w:szCs w:val="20"/>
          <w:color w:val="auto"/>
        </w:rPr>
      </w:pPr>
    </w:p>
    <w:p>
      <w:pPr>
        <w:ind w:left="1140" w:right="139" w:hanging="275"/>
        <w:spacing w:after="0" w:line="277" w:lineRule="auto"/>
        <w:tabs>
          <w:tab w:leader="none" w:pos="1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Alaska Communications is required to maintain financial ratios as defined in the Alaska Credit Facility, including (a) a maximum Consolidated Net Total Leverage Ratio of 4.00 to 1, stepping down to 3.75 to 1 beginning with the second quarter of 2024; and</w:t>
      </w: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(b) a minimum Consolidated Fixed Charge Coverage Ratio of not less than 1.25 to 1; and</w:t>
      </w:r>
    </w:p>
    <w:p>
      <w:pPr>
        <w:spacing w:after="0" w:line="172" w:lineRule="exact"/>
        <w:rPr>
          <w:rFonts w:ascii="Times New Roman" w:cs="Times New Roman" w:eastAsia="Times New Roman" w:hAnsi="Times New Roman"/>
          <w:sz w:val="14"/>
          <w:szCs w:val="14"/>
          <w:color w:val="auto"/>
        </w:rPr>
      </w:pPr>
    </w:p>
    <w:p>
      <w:pPr>
        <w:ind w:left="1140" w:right="139" w:hanging="275"/>
        <w:spacing w:after="0" w:line="277" w:lineRule="auto"/>
        <w:tabs>
          <w:tab w:leader="none" w:pos="11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Alaska Credit Facility is non-recourse to the Company and is secured by substantially all of the personal property and certain material real property owned by Alaska Communications.</w:t>
      </w:r>
    </w:p>
    <w:p>
      <w:pPr>
        <w:spacing w:after="0" w:line="140" w:lineRule="exact"/>
        <w:rPr>
          <w:sz w:val="20"/>
          <w:szCs w:val="20"/>
          <w:color w:val="auto"/>
        </w:rPr>
      </w:pPr>
    </w:p>
    <w:p>
      <w:pPr>
        <w:ind w:left="40" w:right="59" w:firstLine="538"/>
        <w:spacing w:after="0" w:line="277" w:lineRule="auto"/>
        <w:rPr>
          <w:sz w:val="20"/>
          <w:szCs w:val="20"/>
          <w:color w:val="auto"/>
        </w:rPr>
      </w:pPr>
      <w:r>
        <w:rPr>
          <w:rFonts w:ascii="Times New Roman" w:cs="Times New Roman" w:eastAsia="Times New Roman" w:hAnsi="Times New Roman"/>
          <w:sz w:val="15"/>
          <w:szCs w:val="15"/>
          <w:color w:val="auto"/>
        </w:rPr>
        <w:t>Alaska Communication’s interest rate swap, that had been designated as a cash flow hedge with an interest rate of 1.6735%, expired on June 30, 2022. As of September 30, 2022, there are no outstanding interest rate hedge agreements associated with the Alaska Credit Facility.</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Alaska Term Facility</w:t>
      </w:r>
    </w:p>
    <w:p>
      <w:pPr>
        <w:spacing w:after="0" w:line="190" w:lineRule="exact"/>
        <w:rPr>
          <w:sz w:val="20"/>
          <w:szCs w:val="20"/>
          <w:color w:val="auto"/>
        </w:rPr>
      </w:pPr>
    </w:p>
    <w:p>
      <w:pPr>
        <w:ind w:left="40" w:right="199" w:firstLine="538"/>
        <w:spacing w:after="0" w:line="277" w:lineRule="auto"/>
        <w:rPr>
          <w:sz w:val="20"/>
          <w:szCs w:val="20"/>
          <w:color w:val="auto"/>
        </w:rPr>
      </w:pPr>
      <w:r>
        <w:rPr>
          <w:rFonts w:ascii="Times New Roman" w:cs="Times New Roman" w:eastAsia="Times New Roman" w:hAnsi="Times New Roman"/>
          <w:sz w:val="15"/>
          <w:szCs w:val="15"/>
          <w:color w:val="auto"/>
        </w:rPr>
        <w:t>On June 15, 2022, Alaska Communications Systems Holdings, the parent company of Alaska Communications, entered a secured lending arrangement with Bristol Bay Industrial, LLC. (the “Alaska Term Facility”).</w:t>
      </w:r>
    </w:p>
    <w:p>
      <w:pPr>
        <w:spacing w:after="0" w:line="140" w:lineRule="exact"/>
        <w:rPr>
          <w:sz w:val="20"/>
          <w:szCs w:val="20"/>
          <w:color w:val="auto"/>
        </w:rPr>
      </w:pPr>
    </w:p>
    <w:p>
      <w:pPr>
        <w:ind w:left="40" w:right="219" w:firstLine="538"/>
        <w:spacing w:after="0" w:line="258" w:lineRule="auto"/>
        <w:rPr>
          <w:sz w:val="20"/>
          <w:szCs w:val="20"/>
          <w:color w:val="auto"/>
        </w:rPr>
      </w:pPr>
      <w:r>
        <w:rPr>
          <w:rFonts w:ascii="Times New Roman" w:cs="Times New Roman" w:eastAsia="Times New Roman" w:hAnsi="Times New Roman"/>
          <w:sz w:val="15"/>
          <w:szCs w:val="15"/>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September 30, 2022. Scheduled quarterly payments of principal commence on March 31, 2023. The Alaska Term Facility matures on June 30, 2024.</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Alaska Term Facility contains events of default customary for facilities of this type.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we had $0.7 million outstanding under the Alaska Term Facility.</w:t>
      </w: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FirstNet Receivables Credit Facility</w:t>
      </w:r>
    </w:p>
    <w:p>
      <w:pPr>
        <w:spacing w:after="0" w:line="190" w:lineRule="exact"/>
        <w:rPr>
          <w:sz w:val="20"/>
          <w:szCs w:val="20"/>
          <w:color w:val="auto"/>
        </w:rPr>
      </w:pPr>
    </w:p>
    <w:p>
      <w:pPr>
        <w:ind w:left="40" w:right="119" w:firstLine="538"/>
        <w:spacing w:after="0" w:line="277" w:lineRule="auto"/>
        <w:rPr>
          <w:sz w:val="20"/>
          <w:szCs w:val="20"/>
          <w:color w:val="auto"/>
        </w:rPr>
      </w:pPr>
      <w:r>
        <w:rPr>
          <w:rFonts w:ascii="Times New Roman" w:cs="Times New Roman" w:eastAsia="Times New Roman" w:hAnsi="Times New Roman"/>
          <w:sz w:val="15"/>
          <w:szCs w:val="15"/>
          <w:color w:val="auto"/>
        </w:rPr>
        <w:t>On March 26, 2020, Commnet Finance, a wholly owned subsidiary of Commnet Wireless, entered into a receivables credit facility with the Company, Commnet Wireless, and CoBank, ACB (the “Receivables Credit Facility”).</w:t>
      </w:r>
    </w:p>
    <w:p>
      <w:pPr>
        <w:spacing w:after="0" w:line="140" w:lineRule="exact"/>
        <w:rPr>
          <w:sz w:val="20"/>
          <w:szCs w:val="20"/>
          <w:color w:val="auto"/>
        </w:rPr>
      </w:pPr>
    </w:p>
    <w:p>
      <w:pPr>
        <w:ind w:left="40" w:right="359" w:firstLine="538"/>
        <w:spacing w:after="0" w:line="258" w:lineRule="auto"/>
        <w:rPr>
          <w:sz w:val="20"/>
          <w:szCs w:val="20"/>
          <w:color w:val="auto"/>
        </w:rPr>
      </w:pPr>
      <w:r>
        <w:rPr>
          <w:rFonts w:ascii="Times New Roman" w:cs="Times New Roman" w:eastAsia="Times New Roman" w:hAnsi="Times New Roman"/>
          <w:sz w:val="15"/>
          <w:szCs w:val="15"/>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 On December 29, 2021, CoBank amended the Receivables Credit Facility and extended the delayed draw period to December 31, 2022.</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maturity date for each loan will be set by CoBank and will match the weighted average maturity of the certain receivables financed.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Interest on the loans accrues at a fixed annual interest rate to be quoted by CoBank at the time of the delayed draw.</w:t>
      </w:r>
    </w:p>
    <w:p>
      <w:pPr>
        <w:spacing w:after="0" w:line="186" w:lineRule="exact"/>
        <w:rPr>
          <w:sz w:val="20"/>
          <w:szCs w:val="20"/>
          <w:color w:val="auto"/>
        </w:rPr>
      </w:pPr>
    </w:p>
    <w:p>
      <w:pPr>
        <w:ind w:left="40" w:right="639" w:firstLine="538"/>
        <w:spacing w:after="0" w:line="258" w:lineRule="auto"/>
        <w:rPr>
          <w:sz w:val="20"/>
          <w:szCs w:val="20"/>
          <w:color w:val="auto"/>
        </w:rPr>
      </w:pPr>
      <w:r>
        <w:rPr>
          <w:rFonts w:ascii="Times New Roman" w:cs="Times New Roman" w:eastAsia="Times New Roman" w:hAnsi="Times New Roman"/>
          <w:sz w:val="15"/>
          <w:szCs w:val="15"/>
          <w:color w:val="auto"/>
        </w:rPr>
        <w:t>The Receivables Credit Facility contains customary events of termination, representations and warranties, affirmative and negative covenants and events of default customary for facilities of this type.</w:t>
      </w:r>
    </w:p>
    <w:p>
      <w:pPr>
        <w:spacing w:after="0" w:line="1" w:lineRule="exact"/>
        <w:rPr>
          <w:sz w:val="20"/>
          <w:szCs w:val="20"/>
          <w:color w:val="auto"/>
        </w:rPr>
      </w:pPr>
    </w:p>
    <w:p>
      <w:pPr>
        <w:ind w:left="40" w:right="639"/>
        <w:spacing w:after="0" w:line="258" w:lineRule="auto"/>
        <w:rPr>
          <w:sz w:val="20"/>
          <w:szCs w:val="20"/>
          <w:color w:val="auto"/>
        </w:rPr>
      </w:pPr>
      <w:r>
        <w:rPr>
          <w:rFonts w:ascii="Times New Roman" w:cs="Times New Roman" w:eastAsia="Times New Roman" w:hAnsi="Times New Roman"/>
          <w:sz w:val="15"/>
          <w:szCs w:val="15"/>
          <w:color w:val="auto"/>
        </w:rPr>
        <w:t>As of September 30, 2022, we had $44.3 million outstanding, of which $5.7 million was current, and $25.4 million of availability under the Receivables Credit Facility. We capitalized $0.9 million of fees associated with the Receivables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Credit Facility which are being amortized over the life of the debt and $0.8 million were unamortized as of September 30, 2022.</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Viya Debt</w:t>
      </w:r>
    </w:p>
    <w:p>
      <w:pPr>
        <w:spacing w:after="0" w:line="190" w:lineRule="exact"/>
        <w:rPr>
          <w:sz w:val="20"/>
          <w:szCs w:val="20"/>
          <w:color w:val="auto"/>
        </w:rPr>
      </w:pPr>
    </w:p>
    <w:p>
      <w:pPr>
        <w:ind w:left="40" w:right="59" w:firstLine="538"/>
        <w:spacing w:after="0" w:line="255" w:lineRule="auto"/>
        <w:rPr>
          <w:sz w:val="20"/>
          <w:szCs w:val="20"/>
          <w:color w:val="auto"/>
        </w:rPr>
      </w:pPr>
      <w:r>
        <w:rPr>
          <w:rFonts w:ascii="Times New Roman" w:cs="Times New Roman" w:eastAsia="Times New Roman" w:hAnsi="Times New Roman"/>
          <w:sz w:val="15"/>
          <w:szCs w:val="15"/>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our Viya subsidiaries and is guaranteed by us.</w:t>
      </w:r>
    </w:p>
    <w:p>
      <w:pPr>
        <w:spacing w:after="0" w:line="155" w:lineRule="exact"/>
        <w:rPr>
          <w:sz w:val="20"/>
          <w:szCs w:val="20"/>
          <w:color w:val="auto"/>
        </w:rPr>
      </w:pPr>
    </w:p>
    <w:p>
      <w:pPr>
        <w:ind w:left="40" w:right="239" w:firstLine="538"/>
        <w:spacing w:after="0" w:line="277" w:lineRule="auto"/>
        <w:rPr>
          <w:sz w:val="20"/>
          <w:szCs w:val="20"/>
          <w:color w:val="auto"/>
        </w:rPr>
      </w:pPr>
      <w:r>
        <w:rPr>
          <w:rFonts w:ascii="Times New Roman" w:cs="Times New Roman" w:eastAsia="Times New Roman" w:hAnsi="Times New Roman"/>
          <w:sz w:val="15"/>
          <w:szCs w:val="15"/>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$60.0 million of the Viya Debt remained outstanding and $0.4 million of the rate lock fee was unamortized.</w:t>
      </w:r>
    </w:p>
    <w:p>
      <w:pPr>
        <w:spacing w:after="0" w:line="186" w:lineRule="exact"/>
        <w:rPr>
          <w:sz w:val="20"/>
          <w:szCs w:val="20"/>
          <w:color w:val="auto"/>
        </w:rPr>
      </w:pPr>
    </w:p>
    <w:p>
      <w:pPr>
        <w:ind w:left="40" w:right="159" w:firstLine="538"/>
        <w:spacing w:after="0" w:line="277" w:lineRule="auto"/>
        <w:rPr>
          <w:sz w:val="20"/>
          <w:szCs w:val="20"/>
          <w:color w:val="auto"/>
        </w:rPr>
      </w:pPr>
      <w:r>
        <w:rPr>
          <w:rFonts w:ascii="Times New Roman" w:cs="Times New Roman" w:eastAsia="Times New Roman" w:hAnsi="Times New Roman"/>
          <w:sz w:val="15"/>
          <w:szCs w:val="15"/>
          <w:color w:val="auto"/>
        </w:rPr>
        <w:t>On May 5, 2022, RTFC agreed to amend the Net Leverage Ratio to 7.0 to 1.0 through the maturity date of July 1, 2026. This covenant will be tested on December 31, 2022.</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One Communications Debt</w:t>
      </w:r>
    </w:p>
    <w:p>
      <w:pPr>
        <w:spacing w:after="0" w:line="190" w:lineRule="exact"/>
        <w:rPr>
          <w:sz w:val="20"/>
          <w:szCs w:val="20"/>
          <w:color w:val="auto"/>
        </w:rPr>
      </w:pPr>
    </w:p>
    <w:p>
      <w:pPr>
        <w:ind w:left="40" w:right="439" w:firstLine="538"/>
        <w:spacing w:after="0" w:line="277" w:lineRule="auto"/>
        <w:rPr>
          <w:sz w:val="20"/>
          <w:szCs w:val="20"/>
          <w:color w:val="auto"/>
        </w:rPr>
      </w:pPr>
      <w:r>
        <w:rPr>
          <w:rFonts w:ascii="Times New Roman" w:cs="Times New Roman" w:eastAsia="Times New Roman" w:hAnsi="Times New Roman"/>
          <w:sz w:val="15"/>
          <w:szCs w:val="15"/>
          <w:color w:val="auto"/>
        </w:rPr>
        <w:t>We have an outstanding loan from HSBC Bank Bermuda Limited (the “One Communications Debt”) which is scheduled to mature on November 30, 2022 and bears interest at the one-month LIBOR plus a margin ranging between 2.5% to 2.75% per annum paid quarterly.</w:t>
      </w:r>
    </w:p>
    <w:p>
      <w:pPr>
        <w:spacing w:after="0" w:line="140" w:lineRule="exact"/>
        <w:rPr>
          <w:sz w:val="20"/>
          <w:szCs w:val="20"/>
          <w:color w:val="auto"/>
        </w:rPr>
      </w:pPr>
    </w:p>
    <w:p>
      <w:pPr>
        <w:ind w:left="40" w:right="339" w:firstLine="538"/>
        <w:spacing w:after="0" w:line="258" w:lineRule="auto"/>
        <w:rPr>
          <w:sz w:val="20"/>
          <w:szCs w:val="20"/>
          <w:color w:val="auto"/>
        </w:rPr>
      </w:pPr>
      <w:r>
        <w:rPr>
          <w:rFonts w:ascii="Times New Roman" w:cs="Times New Roman" w:eastAsia="Times New Roman" w:hAnsi="Times New Roman"/>
          <w:sz w:val="15"/>
          <w:szCs w:val="15"/>
          <w:color w:val="auto"/>
        </w:rPr>
        <w:t>The One Communications Debt contains customary representations, warranties and affirmative and negative covenants (including limitations on additional debt, guaranties, sale of assets and liens) and financial covenants, tested annually as of and for the twelve months ended December 31st, that limit the ratio of tangible net worth to long term debt and total net debt to EBITDA and require a minimum debt service coverage ratio (as defined in the One Communications Debt agreement).</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As of September 30, 2022, $3.8 million of the One Communications Debt was outstanding.</w:t>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Factors Affecting Sources of Liquidity</w:t>
      </w:r>
    </w:p>
    <w:p>
      <w:pPr>
        <w:spacing w:after="0" w:line="132" w:lineRule="exact"/>
        <w:rPr>
          <w:sz w:val="20"/>
          <w:szCs w:val="20"/>
          <w:color w:val="auto"/>
        </w:rPr>
      </w:pPr>
    </w:p>
    <w:p>
      <w:pPr>
        <w:ind w:left="40" w:right="299" w:firstLine="538"/>
        <w:spacing w:after="0" w:line="317" w:lineRule="auto"/>
        <w:rPr>
          <w:sz w:val="20"/>
          <w:szCs w:val="20"/>
          <w:color w:val="auto"/>
        </w:rPr>
      </w:pPr>
      <w:r>
        <w:rPr>
          <w:rFonts w:ascii="Times New Roman" w:cs="Times New Roman" w:eastAsia="Times New Roman" w:hAnsi="Times New Roman"/>
          <w:sz w:val="14"/>
          <w:szCs w:val="14"/>
          <w:i w:val="1"/>
          <w:iCs w:val="1"/>
          <w:color w:val="auto"/>
        </w:rPr>
        <w:t xml:space="preserve">Internally generated funds. </w:t>
      </w:r>
      <w:r>
        <w:rPr>
          <w:rFonts w:ascii="Times New Roman" w:cs="Times New Roman" w:eastAsia="Times New Roman" w:hAnsi="Times New Roman"/>
          <w:sz w:val="14"/>
          <w:szCs w:val="14"/>
          <w:color w:val="auto"/>
        </w:rPr>
        <w:t>The key factors affecting our internally generated funds are demand for our services, competition, regulatory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developments, economic conditions in the markets where we operate our businesses and industry trends within the telecommunications.</w:t>
      </w:r>
    </w:p>
    <w:p>
      <w:pPr>
        <w:spacing w:after="0" w:line="112" w:lineRule="exact"/>
        <w:rPr>
          <w:sz w:val="20"/>
          <w:szCs w:val="20"/>
          <w:color w:val="auto"/>
        </w:rPr>
      </w:pPr>
    </w:p>
    <w:p>
      <w:pPr>
        <w:ind w:left="40" w:right="27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Restrictions under Credit Facility. </w:t>
      </w:r>
      <w:r>
        <w:rPr>
          <w:rFonts w:ascii="Times New Roman" w:cs="Times New Roman" w:eastAsia="Times New Roman" w:hAnsi="Times New Roman"/>
          <w:sz w:val="15"/>
          <w:szCs w:val="15"/>
          <w:color w:val="auto"/>
        </w:rPr>
        <w:t>Our 2019 CoBank Credit Facility contains customary representations, warranties and covenants,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covenants limiting additional indebtedness, liens, guaranties, mergers and consolidations, substantial asset sales, investments and loans, sale and leasebacks, transactions with affiliates and fundamental changes.</w:t>
      </w:r>
    </w:p>
    <w:p>
      <w:pPr>
        <w:spacing w:after="0" w:line="148" w:lineRule="exact"/>
        <w:rPr>
          <w:sz w:val="20"/>
          <w:szCs w:val="20"/>
          <w:color w:val="auto"/>
        </w:rPr>
      </w:pPr>
    </w:p>
    <w:p>
      <w:pPr>
        <w:ind w:left="40" w:right="199" w:firstLine="538"/>
        <w:spacing w:after="0" w:line="277" w:lineRule="auto"/>
        <w:rPr>
          <w:sz w:val="20"/>
          <w:szCs w:val="20"/>
          <w:color w:val="auto"/>
        </w:rPr>
      </w:pPr>
      <w:r>
        <w:rPr>
          <w:rFonts w:ascii="Times New Roman" w:cs="Times New Roman" w:eastAsia="Times New Roman" w:hAnsi="Times New Roman"/>
          <w:sz w:val="15"/>
          <w:szCs w:val="15"/>
          <w:color w:val="auto"/>
        </w:rPr>
        <w:t>In addition, the 2019 CoBank Credit Facility contains a financial covenant that imposes a maximum ratio of indebtedness to EBITDA. As of September 30, 2022, we were in compliance with all of the financial covenants of the 2019 CoBank Credit Facility.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1" w:name="page72"/>
    <w:bookmarkEnd w:id="71"/>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right="57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Capital markets. </w:t>
      </w:r>
      <w:r>
        <w:rPr>
          <w:rFonts w:ascii="Times New Roman" w:cs="Times New Roman" w:eastAsia="Times New Roman" w:hAnsi="Times New Roman"/>
          <w:sz w:val="15"/>
          <w:szCs w:val="15"/>
          <w:color w:val="auto"/>
        </w:rPr>
        <w:t>Our ability to raise funds in the capital markets depends on, among other things, general economic conditions,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conditions of the telecommunications and renewable energy industries, our financial performance, the state of the capital markets and our compliance with SEC requirements for the offering of securities.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90" w:lineRule="exact"/>
        <w:rPr>
          <w:sz w:val="20"/>
          <w:szCs w:val="20"/>
          <w:color w:val="auto"/>
        </w:rPr>
      </w:pPr>
    </w:p>
    <w:p>
      <w:pPr>
        <w:ind w:left="40" w:right="119" w:firstLine="538"/>
        <w:spacing w:after="0" w:line="252" w:lineRule="auto"/>
        <w:rPr>
          <w:sz w:val="20"/>
          <w:szCs w:val="20"/>
          <w:color w:val="auto"/>
        </w:rPr>
      </w:pPr>
      <w:r>
        <w:rPr>
          <w:rFonts w:ascii="Times New Roman" w:cs="Times New Roman" w:eastAsia="Times New Roman" w:hAnsi="Times New Roman"/>
          <w:sz w:val="15"/>
          <w:szCs w:val="15"/>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three months ended September 30, 2022 and 2021, we recorded $0.2 million and $0.3 million, respectively, in losses on foreign currency transactions. During each of the nine months ended September 30, 2022 and 2021, we recorded $0.7 million in losses on foreign currency transactions. We will continue to assess the impact of our exposure to the Guyana Dollar.</w:t>
      </w:r>
    </w:p>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Inflation</w:t>
      </w:r>
    </w:p>
    <w:p>
      <w:pPr>
        <w:spacing w:after="0" w:line="190" w:lineRule="exact"/>
        <w:rPr>
          <w:sz w:val="20"/>
          <w:szCs w:val="20"/>
          <w:color w:val="auto"/>
        </w:rPr>
      </w:pPr>
    </w:p>
    <w:p>
      <w:pPr>
        <w:ind w:left="40" w:right="59" w:firstLine="538"/>
        <w:spacing w:after="0" w:line="254" w:lineRule="auto"/>
        <w:rPr>
          <w:sz w:val="20"/>
          <w:szCs w:val="20"/>
          <w:color w:val="auto"/>
        </w:rPr>
      </w:pPr>
      <w:r>
        <w:rPr>
          <w:rFonts w:ascii="Times New Roman" w:cs="Times New Roman" w:eastAsia="Times New Roman" w:hAnsi="Times New Roman"/>
          <w:sz w:val="15"/>
          <w:szCs w:val="15"/>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 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See Note 2 to the Unaudited Condensed Consolidated Financial Statements included in this Report.</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90" w:lineRule="exact"/>
        <w:rPr>
          <w:sz w:val="20"/>
          <w:szCs w:val="20"/>
          <w:color w:val="auto"/>
        </w:rPr>
      </w:pPr>
    </w:p>
    <w:p>
      <w:pPr>
        <w:jc w:val="both"/>
        <w:ind w:left="40" w:right="219" w:firstLine="457"/>
        <w:spacing w:after="0" w:line="263" w:lineRule="auto"/>
        <w:rPr>
          <w:sz w:val="20"/>
          <w:szCs w:val="20"/>
          <w:color w:val="auto"/>
        </w:rPr>
      </w:pPr>
      <w:r>
        <w:rPr>
          <w:rFonts w:ascii="Times New Roman" w:cs="Times New Roman" w:eastAsia="Times New Roman" w:hAnsi="Times New Roman"/>
          <w:sz w:val="15"/>
          <w:szCs w:val="15"/>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2021.</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3. QUANTITATIVE AND QUALITATIVE DISCLOSURES ABOUT MARKET RISK</w:t>
      </w:r>
    </w:p>
    <w:p>
      <w:pPr>
        <w:spacing w:after="0" w:line="188" w:lineRule="exact"/>
        <w:rPr>
          <w:sz w:val="20"/>
          <w:szCs w:val="20"/>
          <w:color w:val="auto"/>
        </w:rPr>
      </w:pPr>
    </w:p>
    <w:p>
      <w:pPr>
        <w:ind w:left="40" w:right="119" w:firstLine="538"/>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Translation and Remeasurement. </w:t>
      </w:r>
      <w:r>
        <w:rPr>
          <w:rFonts w:ascii="Times New Roman" w:cs="Times New Roman" w:eastAsia="Times New Roman" w:hAnsi="Times New Roman"/>
          <w:sz w:val="14"/>
          <w:szCs w:val="14"/>
          <w:color w:val="auto"/>
        </w:rPr>
        <w:t>We translate the assets and liabilities of our foreign subsidiaries from their respective functional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80"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92" w:lineRule="exact"/>
        <w:rPr>
          <w:sz w:val="20"/>
          <w:szCs w:val="20"/>
          <w:color w:val="auto"/>
        </w:rPr>
      </w:pPr>
    </w:p>
    <w:p>
      <w:pPr>
        <w:jc w:val="both"/>
        <w:ind w:left="40" w:right="5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Employee Benefit Plans. </w:t>
      </w:r>
      <w:r>
        <w:rPr>
          <w:rFonts w:ascii="Times New Roman" w:cs="Times New Roman" w:eastAsia="Times New Roman" w:hAnsi="Times New Roman"/>
          <w:sz w:val="15"/>
          <w:szCs w:val="15"/>
          <w:color w:val="auto"/>
        </w:rPr>
        <w:t>We sponsor pension and other postretirement benefit plans for employees of certain subsidiaries. Net periodic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pension expense is recognized in our income statement. We recognize a pension or other postretirement plan’s funded status as either an asset or liability in our consolidated balance sheet. Actuarial gains and</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2" w:name="page73"/>
    <w:bookmarkEnd w:id="72"/>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losses are reported as a component of other comprehensive income and amortized through other income in subsequent periods.</w:t>
      </w:r>
    </w:p>
    <w:p>
      <w:pPr>
        <w:spacing w:after="0" w:line="184" w:lineRule="exact"/>
        <w:rPr>
          <w:sz w:val="20"/>
          <w:szCs w:val="20"/>
          <w:color w:val="auto"/>
        </w:rPr>
      </w:pPr>
    </w:p>
    <w:p>
      <w:pPr>
        <w:ind w:left="40" w:right="119" w:firstLine="538"/>
        <w:spacing w:after="0" w:line="317" w:lineRule="auto"/>
        <w:rPr>
          <w:sz w:val="20"/>
          <w:szCs w:val="20"/>
          <w:color w:val="auto"/>
        </w:rPr>
      </w:pPr>
      <w:r>
        <w:rPr>
          <w:rFonts w:ascii="Times New Roman" w:cs="Times New Roman" w:eastAsia="Times New Roman" w:hAnsi="Times New Roman"/>
          <w:sz w:val="14"/>
          <w:szCs w:val="14"/>
          <w:i w:val="1"/>
          <w:iCs w:val="1"/>
          <w:color w:val="auto"/>
        </w:rPr>
        <w:t>Interest Rate Sensitivity</w:t>
      </w:r>
      <w:r>
        <w:rPr>
          <w:rFonts w:ascii="Times New Roman" w:cs="Times New Roman" w:eastAsia="Times New Roman" w:hAnsi="Times New Roman"/>
          <w:sz w:val="14"/>
          <w:szCs w:val="14"/>
          <w:color w:val="auto"/>
        </w:rPr>
        <w:t>. As of September 30, 2022, we had $300.2 million of outstanding variable rate debt which is subject to fluctuations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interest rates. We believe that a 100-basis-point change in interest rates would result in a $3.0 million change in our annual interest expense.</w:t>
      </w:r>
    </w:p>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4. CONTROLS AND PROCEDURES</w:t>
      </w:r>
    </w:p>
    <w:p>
      <w:pPr>
        <w:spacing w:after="0" w:line="188" w:lineRule="exact"/>
        <w:rPr>
          <w:sz w:val="20"/>
          <w:szCs w:val="20"/>
          <w:color w:val="auto"/>
        </w:rPr>
      </w:pPr>
    </w:p>
    <w:p>
      <w:pPr>
        <w:jc w:val="both"/>
        <w:ind w:left="40" w:right="39" w:firstLine="538"/>
        <w:spacing w:after="0" w:line="251" w:lineRule="auto"/>
        <w:rPr>
          <w:sz w:val="20"/>
          <w:szCs w:val="20"/>
          <w:color w:val="auto"/>
        </w:rPr>
      </w:pPr>
      <w:r>
        <w:rPr>
          <w:rFonts w:ascii="Times New Roman" w:cs="Times New Roman" w:eastAsia="Times New Roman" w:hAnsi="Times New Roman"/>
          <w:sz w:val="15"/>
          <w:szCs w:val="15"/>
          <w:i w:val="1"/>
          <w:iCs w:val="1"/>
          <w:color w:val="auto"/>
        </w:rPr>
        <w:t xml:space="preserve">Management’s Evaluation of Disclosure Controls and Procedures. </w:t>
      </w:r>
      <w:r>
        <w:rPr>
          <w:rFonts w:ascii="Times New Roman" w:cs="Times New Roman" w:eastAsia="Times New Roman" w:hAnsi="Times New Roman"/>
          <w:sz w:val="15"/>
          <w:szCs w:val="15"/>
          <w:color w:val="auto"/>
        </w:rPr>
        <w:t>Our management, with the participation of our Chief Executive Officer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Chief Financial Officer, evaluated the effectiveness of our disclosure controls and procedures as of September 30, 2022.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64" w:lineRule="exact"/>
        <w:rPr>
          <w:sz w:val="20"/>
          <w:szCs w:val="20"/>
          <w:color w:val="auto"/>
        </w:rPr>
      </w:pPr>
    </w:p>
    <w:p>
      <w:pPr>
        <w:jc w:val="both"/>
        <w:ind w:left="40" w:right="39" w:firstLine="538"/>
        <w:spacing w:after="0" w:line="265" w:lineRule="auto"/>
        <w:rPr>
          <w:sz w:val="20"/>
          <w:szCs w:val="20"/>
          <w:color w:val="auto"/>
        </w:rPr>
      </w:pPr>
      <w:r>
        <w:rPr>
          <w:rFonts w:ascii="Times New Roman" w:cs="Times New Roman" w:eastAsia="Times New Roman" w:hAnsi="Times New Roman"/>
          <w:sz w:val="15"/>
          <w:szCs w:val="15"/>
          <w:i w:val="1"/>
          <w:iCs w:val="1"/>
          <w:color w:val="auto"/>
        </w:rPr>
        <w:t xml:space="preserve">Changes in internal control over financial reporting. </w:t>
      </w:r>
      <w:r>
        <w:rPr>
          <w:rFonts w:ascii="Times New Roman" w:cs="Times New Roman" w:eastAsia="Times New Roman" w:hAnsi="Times New Roman"/>
          <w:sz w:val="15"/>
          <w:szCs w:val="15"/>
          <w:color w:val="auto"/>
        </w:rPr>
        <w:t>There were no changes in our internal control over financial reporting that occurred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during the three months ended September 30, 2022 that have materially affected, or are reasonably likely to materially affect, our internal control over financial reporting.</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II—OTHER INFORMATION</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 Legal Proceedings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See Note 14 to the Unaudited Condensed Consolidated Financial Statements included in this Report.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79" w:lineRule="exact"/>
        <w:rPr>
          <w:sz w:val="20"/>
          <w:szCs w:val="20"/>
          <w:color w:val="auto"/>
        </w:rPr>
      </w:pPr>
    </w:p>
    <w:p>
      <w:pPr>
        <w:ind w:left="40" w:right="99" w:firstLine="538"/>
        <w:spacing w:after="0" w:line="256" w:lineRule="auto"/>
        <w:rPr>
          <w:sz w:val="20"/>
          <w:szCs w:val="20"/>
          <w:color w:val="auto"/>
        </w:rPr>
      </w:pPr>
      <w:r>
        <w:rPr>
          <w:rFonts w:ascii="Times New Roman" w:cs="Times New Roman" w:eastAsia="Times New Roman" w:hAnsi="Times New Roman"/>
          <w:sz w:val="15"/>
          <w:szCs w:val="15"/>
          <w:color w:val="auto"/>
        </w:rPr>
        <w:t>In addition to the other information set forth in this Report, you should carefully consider the factors discussed under Part I, Item 1A “Risk Factors” of our 2021 Annual Report on Form 10-K and our Quarterly Report on Form 10-Q for the quarter ended June 30, 2022. The risks described herein and in our 2021 Annual Report on Form 10-K K and our 10-Q,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Item 2. Unregistered Sales of Equity Securities and Use of Proceeds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i w:val="1"/>
          <w:iCs w:val="1"/>
          <w:color w:val="auto"/>
        </w:rPr>
        <w:t>Purchases of Equity Securities by the Issuer</w:t>
      </w:r>
    </w:p>
    <w:p>
      <w:pPr>
        <w:spacing w:after="0" w:line="188" w:lineRule="exact"/>
        <w:rPr>
          <w:sz w:val="20"/>
          <w:szCs w:val="20"/>
          <w:color w:val="auto"/>
        </w:rPr>
      </w:pPr>
    </w:p>
    <w:p>
      <w:pPr>
        <w:jc w:val="both"/>
        <w:ind w:left="40" w:right="59" w:firstLine="538"/>
        <w:spacing w:after="0" w:line="263" w:lineRule="auto"/>
        <w:rPr>
          <w:sz w:val="20"/>
          <w:szCs w:val="20"/>
          <w:color w:val="auto"/>
        </w:rPr>
      </w:pPr>
      <w:r>
        <w:rPr>
          <w:rFonts w:ascii="Times New Roman" w:cs="Times New Roman" w:eastAsia="Times New Roman" w:hAnsi="Times New Roman"/>
          <w:sz w:val="15"/>
          <w:szCs w:val="15"/>
          <w:color w:val="auto"/>
        </w:rPr>
        <w:t>On September 19, 2016, our Board of Directors authorized the repurchase of up to $50.0 million of our common stock from time to time on the open market or in privately negotiated transactions (the “2016 Repurchase Plan”). We have $19.5 million available to be repurchased under that plan as of September 30, 2022.</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3" w:name="page74"/>
    <w:bookmarkEnd w:id="73"/>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color w:val="auto"/>
        </w:rPr>
        <w:t>The following table reflects the repurchases by us of our common stock during the quarter ended September 30, 2022:</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5"/>
              </w:rPr>
              <w:t>(d)</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7"/>
              </w:rPr>
              <w:t>Maximum</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9"/>
              </w:rPr>
              <w:t>(c)</w:t>
            </w: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8"/>
              </w:rPr>
              <w:t>Number (or</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9"/>
              </w:rPr>
              <w:t>Approximate</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3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Total Number of</w:t>
            </w: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6"/>
              </w:rPr>
              <w:t>Dollar Value) of</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6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3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b w:val="1"/>
                <w:bCs w:val="1"/>
                <w:color w:val="auto"/>
              </w:rPr>
              <w:t>Shares Purchased</w:t>
            </w: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9"/>
              </w:rPr>
              <w:t>Shares that May</w:t>
            </w:r>
          </w:p>
        </w:tc>
        <w:tc>
          <w:tcPr>
            <w:tcW w:w="0" w:type="dxa"/>
            <w:vAlign w:val="bottom"/>
          </w:tcPr>
          <w:p>
            <w:pPr>
              <w:spacing w:after="0"/>
              <w:rPr>
                <w:sz w:val="1"/>
                <w:szCs w:val="1"/>
                <w:color w:val="auto"/>
              </w:rPr>
            </w:pPr>
          </w:p>
        </w:tc>
      </w:tr>
      <w:tr>
        <w:trPr>
          <w:trHeight w:val="123"/>
        </w:trPr>
        <w:tc>
          <w:tcPr>
            <w:tcW w:w="4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8"/>
              </w:rPr>
              <w:t>Total Number</w:t>
            </w:r>
          </w:p>
        </w:tc>
        <w:tc>
          <w:tcPr>
            <w:tcW w:w="80" w:type="dxa"/>
            <w:vAlign w:val="bottom"/>
          </w:tcPr>
          <w:p>
            <w:pPr>
              <w:spacing w:after="0"/>
              <w:rPr>
                <w:sz w:val="10"/>
                <w:szCs w:val="10"/>
                <w:color w:val="auto"/>
              </w:rPr>
            </w:pPr>
          </w:p>
        </w:tc>
        <w:tc>
          <w:tcPr>
            <w:tcW w:w="5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13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as Part of Publicly</w:t>
            </w:r>
          </w:p>
        </w:tc>
        <w:tc>
          <w:tcPr>
            <w:tcW w:w="100" w:type="dxa"/>
            <w:vAlign w:val="bottom"/>
          </w:tcPr>
          <w:p>
            <w:pPr>
              <w:spacing w:after="0"/>
              <w:rPr>
                <w:sz w:val="10"/>
                <w:szCs w:val="10"/>
                <w:color w:val="auto"/>
              </w:rPr>
            </w:pPr>
          </w:p>
        </w:tc>
        <w:tc>
          <w:tcPr>
            <w:tcW w:w="110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2"/>
                <w:szCs w:val="12"/>
                <w:b w:val="1"/>
                <w:bCs w:val="1"/>
                <w:color w:val="auto"/>
                <w:w w:val="98"/>
              </w:rPr>
              <w:t>be Purchased</w:t>
            </w: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Paid per</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Announced Plans</w:t>
            </w:r>
          </w:p>
        </w:tc>
        <w:tc>
          <w:tcPr>
            <w:tcW w:w="100" w:type="dxa"/>
            <w:vAlign w:val="bottom"/>
          </w:tcPr>
          <w:p>
            <w:pPr>
              <w:spacing w:after="0"/>
              <w:rPr>
                <w:sz w:val="13"/>
                <w:szCs w:val="13"/>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w w:val="98"/>
              </w:rPr>
              <w:t>Under the Plans or</w:t>
            </w:r>
          </w:p>
        </w:tc>
        <w:tc>
          <w:tcPr>
            <w:tcW w:w="0" w:type="dxa"/>
            <w:vAlign w:val="bottom"/>
          </w:tcPr>
          <w:p>
            <w:pPr>
              <w:spacing w:after="0"/>
              <w:rPr>
                <w:sz w:val="1"/>
                <w:szCs w:val="1"/>
                <w:color w:val="auto"/>
              </w:rPr>
            </w:pPr>
          </w:p>
        </w:tc>
      </w:tr>
      <w:tr>
        <w:trPr>
          <w:trHeight w:val="166"/>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Purchased</w:t>
            </w:r>
          </w:p>
        </w:tc>
        <w:tc>
          <w:tcPr>
            <w:tcW w:w="8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or Programs</w:t>
            </w:r>
          </w:p>
        </w:tc>
        <w:tc>
          <w:tcPr>
            <w:tcW w:w="100" w:type="dxa"/>
            <w:vAlign w:val="bottom"/>
          </w:tcPr>
          <w:p>
            <w:pPr>
              <w:spacing w:after="0"/>
              <w:rPr>
                <w:sz w:val="14"/>
                <w:szCs w:val="14"/>
                <w:color w:val="auto"/>
              </w:rPr>
            </w:pPr>
          </w:p>
        </w:tc>
        <w:tc>
          <w:tcPr>
            <w:tcW w:w="1100" w:type="dxa"/>
            <w:vAlign w:val="bottom"/>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8"/>
              </w:rPr>
              <w:t>Programs</w:t>
            </w:r>
          </w:p>
        </w:tc>
        <w:tc>
          <w:tcPr>
            <w:tcW w:w="0" w:type="dxa"/>
            <w:vAlign w:val="bottom"/>
          </w:tcPr>
          <w:p>
            <w:pPr>
              <w:spacing w:after="0"/>
              <w:rPr>
                <w:sz w:val="1"/>
                <w:szCs w:val="1"/>
                <w:color w:val="auto"/>
              </w:rPr>
            </w:pPr>
          </w:p>
        </w:tc>
      </w:tr>
      <w:tr>
        <w:trPr>
          <w:trHeight w:val="182"/>
        </w:trPr>
        <w:tc>
          <w:tcPr>
            <w:tcW w:w="4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1, 2022 — July 31, 2022</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19,451,514</w:t>
            </w:r>
          </w:p>
        </w:tc>
        <w:tc>
          <w:tcPr>
            <w:tcW w:w="0" w:type="dxa"/>
            <w:vAlign w:val="bottom"/>
          </w:tcPr>
          <w:p>
            <w:pPr>
              <w:spacing w:after="0"/>
              <w:rPr>
                <w:sz w:val="1"/>
                <w:szCs w:val="1"/>
                <w:color w:val="auto"/>
              </w:rPr>
            </w:pPr>
          </w:p>
        </w:tc>
      </w:tr>
      <w:tr>
        <w:trPr>
          <w:trHeight w:val="179"/>
        </w:trPr>
        <w:tc>
          <w:tcPr>
            <w:tcW w:w="4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1, 2022 — August 31, 2022</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19,451,514</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1, 2022 — September 30, 2022</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19,451,514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4" w:name="page75"/>
    <w:bookmarkEnd w:id="74"/>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1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Item 6. Exhibits:</w:t>
            </w: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8"/>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rPr>
              <w:t>10.1*</w:t>
            </w:r>
          </w:p>
        </w:tc>
        <w:tc>
          <w:tcPr>
            <w:tcW w:w="7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5"/>
                <w:szCs w:val="15"/>
                <w:color w:val="0000EE"/>
                <w:w w:val="98"/>
              </w:rPr>
              <w:t>Fourth Amendment, Consent and Confirmation Agreement, dated November 7, 2022, among ATN International, Inc., each of</w:t>
            </w:r>
          </w:p>
        </w:tc>
      </w:tr>
      <w:tr>
        <w:trPr>
          <w:trHeight w:val="159"/>
        </w:trPr>
        <w:tc>
          <w:tcPr>
            <w:tcW w:w="1420" w:type="dxa"/>
            <w:vAlign w:val="bottom"/>
          </w:tcPr>
          <w:p>
            <w:pPr>
              <w:spacing w:after="0"/>
              <w:rPr>
                <w:sz w:val="13"/>
                <w:szCs w:val="13"/>
                <w:color w:val="auto"/>
              </w:rPr>
            </w:pPr>
          </w:p>
        </w:tc>
        <w:tc>
          <w:tcPr>
            <w:tcW w:w="7500" w:type="dxa"/>
            <w:vAlign w:val="bottom"/>
            <w:gridSpan w:val="12"/>
          </w:tcPr>
          <w:p>
            <w:pPr>
              <w:spacing w:after="0" w:line="159" w:lineRule="exact"/>
              <w:rPr>
                <w:sz w:val="20"/>
                <w:szCs w:val="20"/>
                <w:color w:val="auto"/>
              </w:rPr>
            </w:pPr>
            <w:r>
              <w:rPr>
                <w:rFonts w:ascii="Times New Roman" w:cs="Times New Roman" w:eastAsia="Times New Roman" w:hAnsi="Times New Roman"/>
                <w:sz w:val="15"/>
                <w:szCs w:val="15"/>
                <w:color w:val="0000EE"/>
              </w:rPr>
              <w:t>the Guarantors named therein, CoBank, ACB, and each of the Lenders named therein.</w:t>
            </w:r>
          </w:p>
        </w:tc>
      </w:tr>
      <w:tr>
        <w:trPr>
          <w:trHeight w:val="20"/>
        </w:trPr>
        <w:tc>
          <w:tcPr>
            <w:tcW w:w="1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w w:val="98"/>
              </w:rPr>
              <w:t>10.2</w:t>
            </w:r>
          </w:p>
        </w:tc>
        <w:tc>
          <w:tcPr>
            <w:tcW w:w="7480" w:type="dxa"/>
            <w:vAlign w:val="bottom"/>
            <w:tcBorders>
              <w:bottom w:val="single" w:sz="8" w:color="0000EE"/>
            </w:tcBorders>
            <w:gridSpan w:val="11"/>
          </w:tcPr>
          <w:p>
            <w:pPr>
              <w:spacing w:after="0"/>
              <w:rPr>
                <w:rFonts w:ascii="Times New Roman" w:cs="Times New Roman" w:eastAsia="Times New Roman" w:hAnsi="Times New Roman"/>
                <w:sz w:val="15"/>
                <w:szCs w:val="15"/>
                <w:color w:val="0000EE"/>
                <w:w w:val="99"/>
              </w:rPr>
            </w:pPr>
            <w:hyperlink r:id="rId99">
              <w:r>
                <w:rPr>
                  <w:rFonts w:ascii="Times New Roman" w:cs="Times New Roman" w:eastAsia="Times New Roman" w:hAnsi="Times New Roman"/>
                  <w:sz w:val="15"/>
                  <w:szCs w:val="15"/>
                  <w:color w:val="0000EE"/>
                  <w:w w:val="99"/>
                </w:rPr>
                <w:t xml:space="preserve">Third </w:t>
              </w:r>
              <w:r>
                <w:rPr>
                  <w:rFonts w:ascii="Times New Roman" w:cs="Times New Roman" w:eastAsia="Times New Roman" w:hAnsi="Times New Roman"/>
                  <w:sz w:val="15"/>
                  <w:szCs w:val="15"/>
                  <w:color w:val="0000EE"/>
                  <w:highlight w:val="white"/>
                  <w:w w:val="99"/>
                </w:rPr>
                <w:t>Amendment to Network Build and Maintenance Agreement dated as of the 4th day of August, 2022 and effective as of</w:t>
              </w:r>
            </w:hyperlink>
          </w:p>
        </w:tc>
        <w:tc>
          <w:tcPr>
            <w:tcW w:w="20" w:type="dxa"/>
            <w:vAlign w:val="bottom"/>
          </w:tcPr>
          <w:p>
            <w:pPr>
              <w:spacing w:after="0"/>
              <w:rPr>
                <w:sz w:val="24"/>
                <w:szCs w:val="24"/>
                <w:color w:val="auto"/>
              </w:rPr>
            </w:pPr>
          </w:p>
        </w:tc>
      </w:tr>
      <w:tr>
        <w:trPr>
          <w:trHeight w:val="159"/>
        </w:trPr>
        <w:tc>
          <w:tcPr>
            <w:tcW w:w="1420" w:type="dxa"/>
            <w:vAlign w:val="bottom"/>
          </w:tcPr>
          <w:p>
            <w:pPr>
              <w:spacing w:after="0"/>
              <w:rPr>
                <w:sz w:val="13"/>
                <w:szCs w:val="13"/>
                <w:color w:val="auto"/>
              </w:rPr>
            </w:pPr>
          </w:p>
        </w:tc>
        <w:tc>
          <w:tcPr>
            <w:tcW w:w="7400" w:type="dxa"/>
            <w:vAlign w:val="bottom"/>
            <w:tcBorders>
              <w:bottom w:val="single" w:sz="8" w:color="0000EE"/>
            </w:tcBorders>
            <w:gridSpan w:val="10"/>
          </w:tcPr>
          <w:p>
            <w:pPr>
              <w:spacing w:after="0" w:line="159" w:lineRule="exact"/>
              <w:rPr>
                <w:rFonts w:ascii="Times New Roman" w:cs="Times New Roman" w:eastAsia="Times New Roman" w:hAnsi="Times New Roman"/>
                <w:sz w:val="15"/>
                <w:szCs w:val="15"/>
                <w:color w:val="0000EE"/>
                <w:w w:val="98"/>
              </w:rPr>
            </w:pPr>
            <w:hyperlink r:id="rId99">
              <w:r>
                <w:rPr>
                  <w:rFonts w:ascii="Times New Roman" w:cs="Times New Roman" w:eastAsia="Times New Roman" w:hAnsi="Times New Roman"/>
                  <w:sz w:val="15"/>
                  <w:szCs w:val="15"/>
                  <w:color w:val="0000EE"/>
                  <w:w w:val="98"/>
                </w:rPr>
                <w:t>the 1st day of January, 2022 by and between Commnet Wireless, LLC and AT&amp;T Mobility LLC , incorporated by reference</w:t>
              </w:r>
            </w:hyperlink>
          </w:p>
        </w:tc>
        <w:tc>
          <w:tcPr>
            <w:tcW w:w="100" w:type="dxa"/>
            <w:vAlign w:val="bottom"/>
            <w:gridSpan w:val="2"/>
          </w:tcPr>
          <w:p>
            <w:pPr>
              <w:spacing w:after="0"/>
              <w:rPr>
                <w:sz w:val="13"/>
                <w:szCs w:val="13"/>
                <w:color w:val="auto"/>
              </w:rPr>
            </w:pPr>
          </w:p>
        </w:tc>
      </w:tr>
      <w:tr>
        <w:trPr>
          <w:trHeight w:val="159"/>
        </w:trPr>
        <w:tc>
          <w:tcPr>
            <w:tcW w:w="1420" w:type="dxa"/>
            <w:vAlign w:val="bottom"/>
          </w:tcPr>
          <w:p>
            <w:pPr>
              <w:spacing w:after="0"/>
              <w:rPr>
                <w:sz w:val="13"/>
                <w:szCs w:val="13"/>
                <w:color w:val="auto"/>
              </w:rPr>
            </w:pPr>
          </w:p>
        </w:tc>
        <w:tc>
          <w:tcPr>
            <w:tcW w:w="7340" w:type="dxa"/>
            <w:vAlign w:val="bottom"/>
            <w:tcBorders>
              <w:bottom w:val="single" w:sz="8" w:color="0000EE"/>
            </w:tcBorders>
            <w:gridSpan w:val="9"/>
          </w:tcPr>
          <w:p>
            <w:pPr>
              <w:spacing w:after="0" w:line="159" w:lineRule="exact"/>
              <w:rPr>
                <w:rFonts w:ascii="Times New Roman" w:cs="Times New Roman" w:eastAsia="Times New Roman" w:hAnsi="Times New Roman"/>
                <w:sz w:val="15"/>
                <w:szCs w:val="15"/>
                <w:color w:val="0000EE"/>
                <w:w w:val="99"/>
              </w:rPr>
            </w:pPr>
            <w:hyperlink r:id="rId99">
              <w:r>
                <w:rPr>
                  <w:rFonts w:ascii="Times New Roman" w:cs="Times New Roman" w:eastAsia="Times New Roman" w:hAnsi="Times New Roman"/>
                  <w:sz w:val="15"/>
                  <w:szCs w:val="15"/>
                  <w:color w:val="0000EE"/>
                  <w:w w:val="99"/>
                </w:rPr>
                <w:t>to Exhibit 10.2 to the Company’s Quarterly Report on Form 10-Q (file No. 001-12593) for the quarterly period ended June</w:t>
              </w:r>
            </w:hyperlink>
          </w:p>
        </w:tc>
        <w:tc>
          <w:tcPr>
            <w:tcW w:w="160" w:type="dxa"/>
            <w:vAlign w:val="bottom"/>
            <w:gridSpan w:val="3"/>
          </w:tcPr>
          <w:p>
            <w:pPr>
              <w:spacing w:after="0"/>
              <w:rPr>
                <w:sz w:val="13"/>
                <w:szCs w:val="13"/>
                <w:color w:val="auto"/>
              </w:rPr>
            </w:pPr>
          </w:p>
        </w:tc>
      </w:tr>
      <w:tr>
        <w:trPr>
          <w:trHeight w:val="159"/>
        </w:trPr>
        <w:tc>
          <w:tcPr>
            <w:tcW w:w="1420" w:type="dxa"/>
            <w:vAlign w:val="bottom"/>
          </w:tcPr>
          <w:p>
            <w:pPr>
              <w:spacing w:after="0"/>
              <w:rPr>
                <w:sz w:val="13"/>
                <w:szCs w:val="13"/>
                <w:color w:val="auto"/>
              </w:rPr>
            </w:pPr>
          </w:p>
        </w:tc>
        <w:tc>
          <w:tcPr>
            <w:tcW w:w="2020" w:type="dxa"/>
            <w:vAlign w:val="bottom"/>
            <w:tcBorders>
              <w:bottom w:val="single" w:sz="8" w:color="0000EE"/>
            </w:tcBorders>
            <w:gridSpan w:val="2"/>
          </w:tcPr>
          <w:p>
            <w:pPr>
              <w:spacing w:after="0" w:line="159" w:lineRule="exact"/>
              <w:rPr>
                <w:rFonts w:ascii="Times New Roman" w:cs="Times New Roman" w:eastAsia="Times New Roman" w:hAnsi="Times New Roman"/>
                <w:sz w:val="15"/>
                <w:szCs w:val="15"/>
                <w:color w:val="0000EE"/>
                <w:w w:val="98"/>
              </w:rPr>
            </w:pPr>
            <w:hyperlink r:id="rId99">
              <w:r>
                <w:rPr>
                  <w:rFonts w:ascii="Times New Roman" w:cs="Times New Roman" w:eastAsia="Times New Roman" w:hAnsi="Times New Roman"/>
                  <w:sz w:val="15"/>
                  <w:szCs w:val="15"/>
                  <w:color w:val="0000EE"/>
                  <w:w w:val="98"/>
                </w:rPr>
                <w:t>30, 2022 filed on August 8, 2022.</w:t>
              </w:r>
            </w:hyperlink>
          </w:p>
        </w:tc>
        <w:tc>
          <w:tcPr>
            <w:tcW w:w="5480" w:type="dxa"/>
            <w:vAlign w:val="bottom"/>
            <w:gridSpan w:val="10"/>
          </w:tcPr>
          <w:p>
            <w:pPr>
              <w:spacing w:after="0"/>
              <w:rPr>
                <w:sz w:val="13"/>
                <w:szCs w:val="13"/>
                <w:color w:val="auto"/>
              </w:rPr>
            </w:pPr>
          </w:p>
        </w:tc>
      </w:tr>
      <w:tr>
        <w:trPr>
          <w:trHeight w:val="338"/>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rPr>
              <w:t>31.1*</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0000EE"/>
              </w:rPr>
              <w:t>Certification of Chief Executive Officer pursuant to Rule 13a-14(a) of the Securities Exchange Act of 1934, as adopted</w:t>
            </w:r>
          </w:p>
        </w:tc>
      </w:tr>
      <w:tr>
        <w:trPr>
          <w:trHeight w:val="159"/>
        </w:trPr>
        <w:tc>
          <w:tcPr>
            <w:tcW w:w="142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3"/>
          </w:tcPr>
          <w:p>
            <w:pPr>
              <w:spacing w:after="0" w:line="159" w:lineRule="exact"/>
              <w:rPr>
                <w:sz w:val="20"/>
                <w:szCs w:val="20"/>
                <w:color w:val="auto"/>
              </w:rPr>
            </w:pPr>
            <w:r>
              <w:rPr>
                <w:rFonts w:ascii="Times New Roman" w:cs="Times New Roman" w:eastAsia="Times New Roman" w:hAnsi="Times New Roman"/>
                <w:sz w:val="15"/>
                <w:szCs w:val="15"/>
                <w:color w:val="0000EE"/>
                <w:w w:val="99"/>
              </w:rPr>
              <w:t>pursuant to Section 302 of the Sarbanes-Oxley Act of 2002.</w:t>
            </w:r>
          </w:p>
        </w:tc>
        <w:tc>
          <w:tcPr>
            <w:tcW w:w="3540" w:type="dxa"/>
            <w:vAlign w:val="bottom"/>
            <w:tcBorders>
              <w:top w:val="single" w:sz="8" w:color="0000EE"/>
            </w:tcBorders>
            <w:gridSpan w:val="5"/>
          </w:tcPr>
          <w:p>
            <w:pPr>
              <w:spacing w:after="0"/>
              <w:rPr>
                <w:sz w:val="13"/>
                <w:szCs w:val="13"/>
                <w:color w:val="auto"/>
              </w:rPr>
            </w:pPr>
          </w:p>
        </w:tc>
        <w:tc>
          <w:tcPr>
            <w:tcW w:w="380" w:type="dxa"/>
            <w:vAlign w:val="bottom"/>
            <w:gridSpan w:val="4"/>
          </w:tcPr>
          <w:p>
            <w:pPr>
              <w:spacing w:after="0"/>
              <w:rPr>
                <w:sz w:val="13"/>
                <w:szCs w:val="13"/>
                <w:color w:val="auto"/>
              </w:rPr>
            </w:pPr>
          </w:p>
        </w:tc>
      </w:tr>
      <w:tr>
        <w:trPr>
          <w:trHeight w:val="305"/>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rPr>
              <w:t>31.2*</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0000EE"/>
              </w:rPr>
              <w:t>Certification of Chief Financial Officer pursuant to Rule 13a-14(a) of the Securities Exchange Act of 1934, as adopted</w:t>
            </w:r>
          </w:p>
        </w:tc>
      </w:tr>
      <w:tr>
        <w:trPr>
          <w:trHeight w:val="159"/>
        </w:trPr>
        <w:tc>
          <w:tcPr>
            <w:tcW w:w="1420" w:type="dxa"/>
            <w:vAlign w:val="bottom"/>
          </w:tcPr>
          <w:p>
            <w:pPr>
              <w:spacing w:after="0"/>
              <w:rPr>
                <w:sz w:val="13"/>
                <w:szCs w:val="13"/>
                <w:color w:val="auto"/>
              </w:rPr>
            </w:pPr>
          </w:p>
        </w:tc>
        <w:tc>
          <w:tcPr>
            <w:tcW w:w="3580" w:type="dxa"/>
            <w:vAlign w:val="bottom"/>
            <w:tcBorders>
              <w:top w:val="single" w:sz="8" w:color="0000EE"/>
              <w:bottom w:val="single" w:sz="8" w:color="0000EE"/>
            </w:tcBorders>
            <w:gridSpan w:val="3"/>
          </w:tcPr>
          <w:p>
            <w:pPr>
              <w:spacing w:after="0" w:line="159" w:lineRule="exact"/>
              <w:rPr>
                <w:sz w:val="20"/>
                <w:szCs w:val="20"/>
                <w:color w:val="auto"/>
              </w:rPr>
            </w:pPr>
            <w:r>
              <w:rPr>
                <w:rFonts w:ascii="Times New Roman" w:cs="Times New Roman" w:eastAsia="Times New Roman" w:hAnsi="Times New Roman"/>
                <w:sz w:val="15"/>
                <w:szCs w:val="15"/>
                <w:color w:val="0000EE"/>
                <w:w w:val="99"/>
              </w:rPr>
              <w:t>pursuant to Section 302 of the Sarbanes-Oxley Act of 2002.</w:t>
            </w:r>
          </w:p>
        </w:tc>
        <w:tc>
          <w:tcPr>
            <w:tcW w:w="3500" w:type="dxa"/>
            <w:vAlign w:val="bottom"/>
            <w:tcBorders>
              <w:top w:val="single" w:sz="8" w:color="0000EE"/>
            </w:tcBorders>
            <w:gridSpan w:val="4"/>
          </w:tcPr>
          <w:p>
            <w:pPr>
              <w:spacing w:after="0"/>
              <w:rPr>
                <w:sz w:val="13"/>
                <w:szCs w:val="13"/>
                <w:color w:val="auto"/>
              </w:rPr>
            </w:pPr>
          </w:p>
        </w:tc>
        <w:tc>
          <w:tcPr>
            <w:tcW w:w="420" w:type="dxa"/>
            <w:vAlign w:val="bottom"/>
            <w:gridSpan w:val="5"/>
          </w:tcPr>
          <w:p>
            <w:pPr>
              <w:spacing w:after="0"/>
              <w:rPr>
                <w:sz w:val="13"/>
                <w:szCs w:val="13"/>
                <w:color w:val="auto"/>
              </w:rPr>
            </w:pPr>
          </w:p>
        </w:tc>
      </w:tr>
      <w:tr>
        <w:trPr>
          <w:trHeight w:val="305"/>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w w:val="96"/>
              </w:rPr>
              <w:t>32.1**</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0000EE"/>
              </w:rPr>
              <w:t>Certification of Chief Executive Officer pursuant to 18 USC Section 1350, as adopted pursuant to Section 906 of the</w:t>
            </w:r>
          </w:p>
        </w:tc>
      </w:tr>
      <w:tr>
        <w:trPr>
          <w:trHeight w:val="159"/>
        </w:trPr>
        <w:tc>
          <w:tcPr>
            <w:tcW w:w="1420" w:type="dxa"/>
            <w:vAlign w:val="bottom"/>
          </w:tcPr>
          <w:p>
            <w:pPr>
              <w:spacing w:after="0"/>
              <w:rPr>
                <w:sz w:val="13"/>
                <w:szCs w:val="13"/>
                <w:color w:val="auto"/>
              </w:rPr>
            </w:pPr>
          </w:p>
        </w:tc>
        <w:tc>
          <w:tcPr>
            <w:tcW w:w="6960" w:type="dxa"/>
            <w:vAlign w:val="bottom"/>
            <w:tcBorders>
              <w:top w:val="single" w:sz="8" w:color="0000EE"/>
            </w:tcBorders>
            <w:gridSpan w:val="6"/>
          </w:tcPr>
          <w:p>
            <w:pPr>
              <w:spacing w:after="0" w:line="159" w:lineRule="exact"/>
              <w:rPr>
                <w:sz w:val="20"/>
                <w:szCs w:val="20"/>
                <w:color w:val="auto"/>
              </w:rPr>
            </w:pPr>
            <w:r>
              <w:rPr>
                <w:rFonts w:ascii="Times New Roman" w:cs="Times New Roman" w:eastAsia="Times New Roman" w:hAnsi="Times New Roman"/>
                <w:sz w:val="15"/>
                <w:szCs w:val="15"/>
                <w:color w:val="0000EE"/>
              </w:rPr>
              <w:t>Sarbanes-Oxley Act of 2002.</w:t>
            </w:r>
          </w:p>
        </w:tc>
        <w:tc>
          <w:tcPr>
            <w:tcW w:w="540" w:type="dxa"/>
            <w:vAlign w:val="bottom"/>
            <w:gridSpan w:val="6"/>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20" w:type="dxa"/>
            <w:vAlign w:val="bottom"/>
            <w:tcBorders>
              <w:left w:val="single" w:sz="8" w:color="0000EE"/>
            </w:tcBorders>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r>
      <w:tr>
        <w:trPr>
          <w:trHeight w:val="338"/>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w w:val="96"/>
              </w:rPr>
              <w:t>32.2**</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0000EE"/>
              </w:rPr>
              <w:t>Certification of Chief Financial Officer pursuant to 18 USC Section 1350, as adopted pursuant to Section 906 of the</w:t>
            </w:r>
          </w:p>
        </w:tc>
      </w:tr>
      <w:tr>
        <w:trPr>
          <w:trHeight w:val="159"/>
        </w:trPr>
        <w:tc>
          <w:tcPr>
            <w:tcW w:w="1420" w:type="dxa"/>
            <w:vAlign w:val="bottom"/>
          </w:tcPr>
          <w:p>
            <w:pPr>
              <w:spacing w:after="0"/>
              <w:rPr>
                <w:sz w:val="13"/>
                <w:szCs w:val="13"/>
                <w:color w:val="auto"/>
              </w:rPr>
            </w:pPr>
          </w:p>
        </w:tc>
        <w:tc>
          <w:tcPr>
            <w:tcW w:w="6920" w:type="dxa"/>
            <w:vAlign w:val="bottom"/>
            <w:tcBorders>
              <w:top w:val="single" w:sz="8" w:color="0000EE"/>
            </w:tcBorders>
            <w:gridSpan w:val="5"/>
          </w:tcPr>
          <w:p>
            <w:pPr>
              <w:spacing w:after="0" w:line="159" w:lineRule="exact"/>
              <w:rPr>
                <w:sz w:val="20"/>
                <w:szCs w:val="20"/>
                <w:color w:val="auto"/>
              </w:rPr>
            </w:pPr>
            <w:r>
              <w:rPr>
                <w:rFonts w:ascii="Times New Roman" w:cs="Times New Roman" w:eastAsia="Times New Roman" w:hAnsi="Times New Roman"/>
                <w:sz w:val="15"/>
                <w:szCs w:val="15"/>
                <w:color w:val="0000EE"/>
              </w:rPr>
              <w:t>Sarbanes-Oxley Act of 2002</w:t>
            </w:r>
            <w:r>
              <w:rPr>
                <w:rFonts w:ascii="Times New Roman" w:cs="Times New Roman" w:eastAsia="Times New Roman" w:hAnsi="Times New Roman"/>
                <w:sz w:val="15"/>
                <w:szCs w:val="15"/>
                <w:color w:val="000000"/>
              </w:rPr>
              <w:t>.</w:t>
            </w:r>
          </w:p>
        </w:tc>
        <w:tc>
          <w:tcPr>
            <w:tcW w:w="580" w:type="dxa"/>
            <w:vAlign w:val="bottom"/>
            <w:gridSpan w:val="7"/>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800" w:type="dxa"/>
            <w:vAlign w:val="bottom"/>
            <w:gridSpan w:val="11"/>
          </w:tcPr>
          <w:p>
            <w:pPr>
              <w:spacing w:after="0" w:line="20" w:lineRule="exact"/>
              <w:rPr>
                <w:sz w:val="1"/>
                <w:szCs w:val="1"/>
                <w:color w:val="auto"/>
              </w:rPr>
            </w:pPr>
          </w:p>
        </w:tc>
      </w:tr>
      <w:tr>
        <w:trPr>
          <w:trHeight w:val="357"/>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w w:val="99"/>
              </w:rPr>
              <w:t>101.INS</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w w:val="99"/>
              </w:rPr>
              <w:t>Inline XBRL Instance Document - the instance document does not appear in the Interactive Data File because its XBRL tags</w:t>
            </w:r>
          </w:p>
        </w:tc>
      </w:tr>
      <w:tr>
        <w:trPr>
          <w:trHeight w:val="193"/>
        </w:trPr>
        <w:tc>
          <w:tcPr>
            <w:tcW w:w="1420" w:type="dxa"/>
            <w:vAlign w:val="bottom"/>
          </w:tcPr>
          <w:p>
            <w:pPr>
              <w:spacing w:after="0"/>
              <w:rPr>
                <w:sz w:val="16"/>
                <w:szCs w:val="16"/>
                <w:color w:val="auto"/>
              </w:rPr>
            </w:pP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are embedded within the Inline XBRL document</w:t>
            </w:r>
          </w:p>
        </w:tc>
      </w:tr>
      <w:tr>
        <w:trPr>
          <w:trHeight w:val="325"/>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rPr>
              <w:t>101.SCH*</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325"/>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rPr>
              <w:t>101.CAL*</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325"/>
        </w:trPr>
        <w:tc>
          <w:tcPr>
            <w:tcW w:w="1420" w:type="dxa"/>
            <w:vAlign w:val="bottom"/>
          </w:tcPr>
          <w:p>
            <w:pPr>
              <w:jc w:val="center"/>
              <w:ind w:right="485"/>
              <w:spacing w:after="0"/>
              <w:rPr>
                <w:sz w:val="20"/>
                <w:szCs w:val="20"/>
                <w:color w:val="auto"/>
              </w:rPr>
            </w:pPr>
            <w:r>
              <w:rPr>
                <w:rFonts w:ascii="Times New Roman" w:cs="Times New Roman" w:eastAsia="Times New Roman" w:hAnsi="Times New Roman"/>
                <w:sz w:val="15"/>
                <w:szCs w:val="15"/>
                <w:color w:val="auto"/>
                <w:w w:val="99"/>
              </w:rPr>
              <w:t>101.DEF*</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325"/>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rPr>
              <w:t>101.LAB*</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325"/>
        </w:trPr>
        <w:tc>
          <w:tcPr>
            <w:tcW w:w="1420" w:type="dxa"/>
            <w:vAlign w:val="bottom"/>
          </w:tcPr>
          <w:p>
            <w:pPr>
              <w:jc w:val="center"/>
              <w:ind w:right="465"/>
              <w:spacing w:after="0"/>
              <w:rPr>
                <w:sz w:val="20"/>
                <w:szCs w:val="20"/>
                <w:color w:val="auto"/>
              </w:rPr>
            </w:pPr>
            <w:r>
              <w:rPr>
                <w:rFonts w:ascii="Times New Roman" w:cs="Times New Roman" w:eastAsia="Times New Roman" w:hAnsi="Times New Roman"/>
                <w:sz w:val="15"/>
                <w:szCs w:val="15"/>
                <w:color w:val="auto"/>
                <w:w w:val="97"/>
              </w:rPr>
              <w:t>101.PRE*</w:t>
            </w:r>
          </w:p>
        </w:tc>
        <w:tc>
          <w:tcPr>
            <w:tcW w:w="750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bl>
    <w:p>
      <w:pPr>
        <w:spacing w:after="0" w:line="165" w:lineRule="exact"/>
        <w:rPr>
          <w:sz w:val="20"/>
          <w:szCs w:val="20"/>
          <w:color w:val="auto"/>
        </w:rPr>
      </w:pPr>
    </w:p>
    <w:p>
      <w:pPr>
        <w:ind w:left="1460" w:hanging="1095"/>
        <w:spacing w:after="0"/>
        <w:tabs>
          <w:tab w:leader="none" w:pos="1460"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(formatted as Inline XBRL and embedded within Exhibit 101).</w:t>
      </w:r>
    </w:p>
    <w:p>
      <w:pPr>
        <w:spacing w:after="0" w:line="387" w:lineRule="exact"/>
        <w:rPr>
          <w:rFonts w:ascii="Times New Roman" w:cs="Times New Roman" w:eastAsia="Times New Roman" w:hAnsi="Times New Roman"/>
          <w:sz w:val="15"/>
          <w:szCs w:val="15"/>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Filed herewith.</w:t>
      </w:r>
    </w:p>
    <w:p>
      <w:pPr>
        <w:spacing w:after="0" w:line="185" w:lineRule="exact"/>
        <w:rPr>
          <w:rFonts w:ascii="Times New Roman" w:cs="Times New Roman" w:eastAsia="Times New Roman" w:hAnsi="Times New Roman"/>
          <w:sz w:val="15"/>
          <w:szCs w:val="15"/>
          <w:color w:val="auto"/>
        </w:rPr>
      </w:pPr>
    </w:p>
    <w:p>
      <w:pPr>
        <w:ind w:left="40" w:right="99" w:hanging="4"/>
        <w:spacing w:after="0" w:line="263" w:lineRule="auto"/>
        <w:tabs>
          <w:tab w:leader="none" w:pos="227"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567626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50" w:right="1440" w:bottom="1440" w:gutter="0" w:footer="0" w:header="0"/>
        </w:sectPr>
      </w:pPr>
    </w:p>
    <w:bookmarkStart w:id="75" w:name="page76"/>
    <w:bookmarkEnd w:id="75"/>
    <w:p>
      <w:pPr>
        <w:ind w:left="4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0" w:lineRule="exact"/>
        <w:rPr>
          <w:sz w:val="20"/>
          <w:szCs w:val="20"/>
          <w:color w:val="auto"/>
        </w:rPr>
      </w:pPr>
    </w:p>
    <w:p>
      <w:pPr>
        <w:ind w:left="40" w:right="99" w:firstLine="366"/>
        <w:spacing w:after="0" w:line="277"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ATN International, Inc.</w:t>
            </w:r>
          </w:p>
        </w:tc>
      </w:tr>
      <w:tr>
        <w:trPr>
          <w:trHeight w:val="358"/>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15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Michael T. Prior</w:t>
            </w:r>
          </w:p>
        </w:tc>
      </w:tr>
      <w:tr>
        <w:trPr>
          <w:trHeight w:val="157"/>
        </w:trPr>
        <w:tc>
          <w:tcPr>
            <w:tcW w:w="2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Michael T. Prior</w:t>
            </w:r>
          </w:p>
        </w:tc>
        <w:tc>
          <w:tcPr>
            <w:tcW w:w="20" w:type="dxa"/>
            <w:vAlign w:val="bottom"/>
          </w:tcPr>
          <w:p>
            <w:pPr>
              <w:spacing w:after="0"/>
              <w:rPr>
                <w:sz w:val="13"/>
                <w:szCs w:val="13"/>
                <w:color w:val="auto"/>
              </w:rPr>
            </w:pPr>
          </w:p>
        </w:tc>
      </w:tr>
      <w:tr>
        <w:trPr>
          <w:trHeight w:val="193"/>
        </w:trPr>
        <w:tc>
          <w:tcPr>
            <w:tcW w:w="2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358"/>
        </w:trPr>
        <w:tc>
          <w:tcPr>
            <w:tcW w:w="294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15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 Justin D. Benincasa</w:t>
            </w:r>
          </w:p>
        </w:tc>
      </w:tr>
      <w:tr>
        <w:trPr>
          <w:trHeight w:val="157"/>
        </w:trPr>
        <w:tc>
          <w:tcPr>
            <w:tcW w:w="2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Justin D. Benincasa</w:t>
            </w:r>
          </w:p>
        </w:tc>
        <w:tc>
          <w:tcPr>
            <w:tcW w:w="20" w:type="dxa"/>
            <w:vAlign w:val="bottom"/>
          </w:tcPr>
          <w:p>
            <w:pPr>
              <w:spacing w:after="0"/>
              <w:rPr>
                <w:sz w:val="13"/>
                <w:szCs w:val="13"/>
                <w:color w:val="auto"/>
              </w:rPr>
            </w:pPr>
          </w:p>
        </w:tc>
      </w:tr>
      <w:tr>
        <w:trPr>
          <w:trHeight w:val="193"/>
        </w:trPr>
        <w:tc>
          <w:tcPr>
            <w:tcW w:w="2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907"/>
        </w:trPr>
        <w:tc>
          <w:tcPr>
            <w:tcW w:w="2940" w:type="dxa"/>
            <w:vAlign w:val="bottom"/>
          </w:tcPr>
          <w:p>
            <w:pPr>
              <w:spacing w:after="0"/>
              <w:rPr>
                <w:sz w:val="24"/>
                <w:szCs w:val="24"/>
                <w:color w:val="auto"/>
              </w:rPr>
            </w:pPr>
          </w:p>
        </w:tc>
        <w:tc>
          <w:tcPr>
            <w:tcW w:w="5980" w:type="dxa"/>
            <w:vAlign w:val="bottom"/>
            <w:gridSpan w:val="2"/>
          </w:tcPr>
          <w:p>
            <w:pPr>
              <w:jc w:val="right"/>
              <w:ind w:right="4305"/>
              <w:spacing w:after="0"/>
              <w:rPr>
                <w:sz w:val="20"/>
                <w:szCs w:val="20"/>
                <w:color w:val="auto"/>
              </w:rPr>
            </w:pPr>
            <w:r>
              <w:rPr>
                <w:rFonts w:ascii="Times New Roman" w:cs="Times New Roman" w:eastAsia="Times New Roman" w:hAnsi="Times New Roman"/>
                <w:sz w:val="15"/>
                <w:szCs w:val="15"/>
                <w:color w:val="auto"/>
              </w:rPr>
              <w:t>76</w:t>
            </w:r>
          </w:p>
        </w:tc>
        <w:tc>
          <w:tcPr>
            <w:tcW w:w="20" w:type="dxa"/>
            <w:vAlign w:val="bottom"/>
          </w:tcPr>
          <w:p>
            <w:pPr>
              <w:spacing w:after="0"/>
              <w:rPr>
                <w:sz w:val="24"/>
                <w:szCs w:val="24"/>
                <w:color w:val="auto"/>
              </w:rPr>
            </w:pPr>
          </w:p>
        </w:tc>
      </w:tr>
      <w:tr>
        <w:trPr>
          <w:trHeight w:val="462"/>
        </w:trPr>
        <w:tc>
          <w:tcPr>
            <w:tcW w:w="2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50" w:right="1440" w:bottom="1440" w:gutter="0" w:footer="0" w:header="0"/>
        </w:sectPr>
      </w:pPr>
    </w:p>
    <w:bookmarkStart w:id="76" w:name="page77"/>
    <w:bookmarkEnd w:id="76"/>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99"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u w:val="single" w:color="auto"/>
          <w:color w:val="auto"/>
        </w:rPr>
        <w:t>FOURTH AMENDMENT, CONSENT AND CONFIRMATION AGREEMENT</w:t>
      </w:r>
    </w:p>
    <w:p>
      <w:pPr>
        <w:spacing w:after="0" w:line="174" w:lineRule="exact"/>
        <w:rPr>
          <w:sz w:val="20"/>
          <w:szCs w:val="20"/>
          <w:color w:val="auto"/>
        </w:rPr>
      </w:pPr>
    </w:p>
    <w:p>
      <w:pPr>
        <w:jc w:val="both"/>
        <w:ind w:left="40" w:right="39" w:firstLine="538"/>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FOURTH AMENDMENT, CONSENT AND CONFIRMATION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as of November 7, 2022, among </w:t>
      </w:r>
      <w:r>
        <w:rPr>
          <w:rFonts w:ascii="Times New Roman" w:cs="Times New Roman" w:eastAsia="Times New Roman" w:hAnsi="Times New Roman"/>
          <w:sz w:val="18"/>
          <w:szCs w:val="18"/>
          <w:b w:val="1"/>
          <w:bCs w:val="1"/>
          <w:color w:val="auto"/>
        </w:rPr>
        <w:t>ATN INTERNATIONAL,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each of the subsidiaries of Borrower identified as guarantors on the signature pages hereto (individually, a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together with Borrower, individually a “</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COBANK, ACB</w:t>
      </w:r>
      <w:r>
        <w:rPr>
          <w:rFonts w:ascii="Times New Roman" w:cs="Times New Roman" w:eastAsia="Times New Roman" w:hAnsi="Times New Roman"/>
          <w:sz w:val="18"/>
          <w:szCs w:val="18"/>
          <w:color w:val="auto"/>
        </w:rPr>
        <w:t>, as Administrative Agent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each of the financial institutions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executing this Agreement and identified as a Lender on the signature pages hereto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74" w:lineRule="exact"/>
        <w:rPr>
          <w:sz w:val="20"/>
          <w:szCs w:val="20"/>
          <w:color w:val="auto"/>
        </w:rPr>
      </w:pPr>
    </w:p>
    <w:p>
      <w:pPr>
        <w:jc w:val="both"/>
        <w:ind w:left="40" w:right="39" w:firstLine="53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the Guarantors and the Lenders (as defined therein) have entered into that certain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Credit Agreement, dated as of December 19, 2014, as amended or modified by, as applicable, (i) that certain Amendment, Consent and Confirmation Agreement, dated as of January 11, 2016, by and among Borrower, Administrative Agent, the guarantors party thereto and the lenders party thereto, (ii) that certain Consent Agreement, dated as of February 21, 2017, among Borrower, Administrative Agent, the guarantors party thereto and the lenders party thereto,</w:t>
      </w:r>
    </w:p>
    <w:p>
      <w:pPr>
        <w:spacing w:after="0" w:line="2" w:lineRule="exact"/>
        <w:rPr>
          <w:sz w:val="20"/>
          <w:szCs w:val="20"/>
          <w:color w:val="auto"/>
        </w:rPr>
      </w:pPr>
    </w:p>
    <w:p>
      <w:pPr>
        <w:jc w:val="both"/>
        <w:ind w:left="40" w:right="59" w:hanging="4"/>
        <w:spacing w:after="0" w:line="247" w:lineRule="auto"/>
        <w:tabs>
          <w:tab w:leader="none" w:pos="36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Second Amendment and Confirmation Agreement, dated as of April 14, 2017, by and among Borrower, Administrative Agent, the guarantors party thereto and the lenders party thereto, (iv) that certain Joinder Agreement, dated as of April 10, 2019, among the New Subsidiaries (as defined therein), the Guarantors (as defined therein), the Pledgors (as defined therein), Borrower and Administrative Agent, (v) that certain Third Amendment and Confirmation Agreement, dated as of April 10, 2019, by and among Borrower, Administrative Agent, the guarantors party thereto and the lenders party thereto, (vi) that certain Guarantor Joinder Agreement, dated as of September 30, 2019, among the New Subsidiary (as defined therein), the Guarantors (as defined therein), the Pledgors (as defined therein), Borrower and Administrative Agent,</w:t>
      </w:r>
    </w:p>
    <w:p>
      <w:pPr>
        <w:spacing w:after="0" w:line="3" w:lineRule="exact"/>
        <w:rPr>
          <w:rFonts w:ascii="Times New Roman" w:cs="Times New Roman" w:eastAsia="Times New Roman" w:hAnsi="Times New Roman"/>
          <w:sz w:val="17"/>
          <w:szCs w:val="17"/>
          <w:color w:val="auto"/>
        </w:rPr>
      </w:pPr>
    </w:p>
    <w:p>
      <w:pPr>
        <w:jc w:val="both"/>
        <w:ind w:left="40" w:right="39" w:hanging="4"/>
        <w:spacing w:after="0" w:line="235" w:lineRule="auto"/>
        <w:tabs>
          <w:tab w:leader="none" w:pos="3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Consent and Confirmation Agreement, dated as of February 27, 2020, among Borrower, Administrative Agent, the guarantors party thereto and the lenders party thereto, (viii) that certain Guarantor Joinder Agreement, dated as of February 28, 2020, among the New Subsidiary (as defined therein), the Guarantors, (ix) that certain Consent, Release and Confirmation Agreement, dated as of March 26, 2020, among Borrower, Administrative Agent, the guarantors party thereto and the lenders party thereto, and (x) that certain Consent and Confirmation Agreement, dated as of June 25, 2020, among Borrower, Administrative Agent, the guarantors party thereto and the lenders party thereto, (as so amended and modified, and as amended, modified, supplemented, extended or restated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0" w:right="39" w:firstLine="538"/>
        <w:spacing w:after="0" w:line="25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owns the issued and outstanding membership interests of Commnet Wireless,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b w:val="1"/>
          <w:bCs w:val="1"/>
          <w:color w:val="auto"/>
        </w:rPr>
        <w:t>Commnet</w:t>
      </w:r>
      <w:r>
        <w:rPr>
          <w:rFonts w:ascii="Times New Roman" w:cs="Times New Roman" w:eastAsia="Times New Roman" w:hAnsi="Times New Roman"/>
          <w:sz w:val="18"/>
          <w:szCs w:val="18"/>
          <w:color w:val="auto"/>
        </w:rPr>
        <w:t>”), which is a Guarantor and a Loan Party under the Credit Agreement and a Grantor under the Pledge and Security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286385</wp:posOffset>
            </wp:positionV>
            <wp:extent cx="567626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76265" cy="139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4" w:lineRule="exact"/>
        <w:rPr>
          <w:sz w:val="20"/>
          <w:szCs w:val="20"/>
          <w:color w:val="auto"/>
        </w:rPr>
      </w:pPr>
    </w:p>
    <w:p>
      <w:pPr>
        <w:jc w:val="both"/>
        <w:ind w:left="40" w:right="59" w:firstLine="538"/>
        <w:spacing w:after="0" w:line="25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owns all of the issued and outstanding equity interests of Commnet Broadband,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limited liability company (“</w:t>
      </w:r>
      <w:r>
        <w:rPr>
          <w:rFonts w:ascii="Times New Roman" w:cs="Times New Roman" w:eastAsia="Times New Roman" w:hAnsi="Times New Roman"/>
          <w:sz w:val="18"/>
          <w:szCs w:val="18"/>
          <w:b w:val="1"/>
          <w:bCs w:val="1"/>
          <w:color w:val="auto"/>
        </w:rPr>
        <w:t>Commnet Broadband</w:t>
      </w:r>
      <w:r>
        <w:rPr>
          <w:rFonts w:ascii="Times New Roman" w:cs="Times New Roman" w:eastAsia="Times New Roman" w:hAnsi="Times New Roman"/>
          <w:sz w:val="18"/>
          <w:szCs w:val="18"/>
          <w:color w:val="auto"/>
        </w:rPr>
        <w:t>”), which is currently an Excluded Subsidiary under the Credit Agreement;</w:t>
      </w:r>
    </w:p>
    <w:p>
      <w:pPr>
        <w:spacing w:after="0" w:line="135" w:lineRule="exact"/>
        <w:rPr>
          <w:sz w:val="20"/>
          <w:szCs w:val="20"/>
          <w:color w:val="auto"/>
        </w:rPr>
      </w:pPr>
    </w:p>
    <w:p>
      <w:pPr>
        <w:jc w:val="both"/>
        <w:ind w:left="40" w:right="59" w:firstLine="538"/>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owns all of the issued and outstanding equity interests of Alloy, Inc.,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Alloy</w:t>
      </w:r>
      <w:r>
        <w:rPr>
          <w:rFonts w:ascii="Times New Roman" w:cs="Times New Roman" w:eastAsia="Times New Roman" w:hAnsi="Times New Roman"/>
          <w:sz w:val="18"/>
          <w:szCs w:val="18"/>
          <w:color w:val="auto"/>
        </w:rPr>
        <w:t>”), which is currently an Excluded Subsidiary under the Credit Agreement;</w:t>
      </w:r>
    </w:p>
    <w:p>
      <w:pPr>
        <w:spacing w:after="0" w:line="118" w:lineRule="exact"/>
        <w:rPr>
          <w:sz w:val="20"/>
          <w:szCs w:val="20"/>
          <w:color w:val="auto"/>
        </w:rPr>
      </w:pPr>
    </w:p>
    <w:p>
      <w:pPr>
        <w:jc w:val="both"/>
        <w:ind w:left="40" w:right="59" w:firstLine="538"/>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Borrower desires to contribute 100% of its ownership interests in Commnet and Commnet Broadband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Alloy (the “</w:t>
      </w:r>
      <w:r>
        <w:rPr>
          <w:rFonts w:ascii="Times New Roman" w:cs="Times New Roman" w:eastAsia="Times New Roman" w:hAnsi="Times New Roman"/>
          <w:sz w:val="17"/>
          <w:szCs w:val="17"/>
          <w:b w:val="1"/>
          <w:bCs w:val="1"/>
          <w:color w:val="auto"/>
        </w:rPr>
        <w:t>Alloy Contribution</w:t>
      </w:r>
      <w:r>
        <w:rPr>
          <w:rFonts w:ascii="Times New Roman" w:cs="Times New Roman" w:eastAsia="Times New Roman" w:hAnsi="Times New Roman"/>
          <w:sz w:val="17"/>
          <w:szCs w:val="17"/>
          <w:color w:val="auto"/>
        </w:rPr>
        <w:t>”) within 120 days of the consummation of the Sacred Wind Acquisition (defined below);</w:t>
      </w:r>
    </w:p>
    <w:p>
      <w:pPr>
        <w:spacing w:after="0" w:line="95" w:lineRule="exact"/>
        <w:rPr>
          <w:sz w:val="20"/>
          <w:szCs w:val="20"/>
          <w:color w:val="auto"/>
        </w:rPr>
      </w:pPr>
    </w:p>
    <w:p>
      <w:pPr>
        <w:jc w:val="both"/>
        <w:ind w:left="40" w:right="39" w:firstLine="538"/>
        <w:spacing w:after="0" w:line="25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Alloy has entered into that certain Stock Purchase Agreement, dated as of July 26, 2022 (the “</w:t>
      </w:r>
      <w:r>
        <w:rPr>
          <w:rFonts w:ascii="Times New Roman" w:cs="Times New Roman" w:eastAsia="Times New Roman" w:hAnsi="Times New Roman"/>
          <w:sz w:val="17"/>
          <w:szCs w:val="17"/>
          <w:b w:val="1"/>
          <w:bCs w:val="1"/>
          <w:color w:val="auto"/>
        </w:rPr>
        <w:t>Stock Purchase Agreement</w:t>
      </w:r>
      <w:r>
        <w:rPr>
          <w:rFonts w:ascii="Times New Roman" w:cs="Times New Roman" w:eastAsia="Times New Roman" w:hAnsi="Times New Roman"/>
          <w:sz w:val="17"/>
          <w:szCs w:val="17"/>
          <w:color w:val="auto"/>
        </w:rPr>
        <w:t>”) by and among Alloy, Sacred Wind Enterprises, Inc., a New Mexico corporation (the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SWE Employee Stock Ownership Trust (the “</w:t>
      </w:r>
      <w:r>
        <w:rPr>
          <w:rFonts w:ascii="Times New Roman" w:cs="Times New Roman" w:eastAsia="Times New Roman" w:hAnsi="Times New Roman"/>
          <w:sz w:val="17"/>
          <w:szCs w:val="17"/>
          <w:b w:val="1"/>
          <w:bCs w:val="1"/>
          <w:color w:val="auto"/>
        </w:rPr>
        <w:t>ESOT</w:t>
      </w:r>
      <w:r>
        <w:rPr>
          <w:rFonts w:ascii="Times New Roman" w:cs="Times New Roman" w:eastAsia="Times New Roman" w:hAnsi="Times New Roman"/>
          <w:sz w:val="17"/>
          <w:szCs w:val="17"/>
          <w:color w:val="auto"/>
        </w:rPr>
        <w:t>”), Sacred Wind Holdings, LLC, a Delaware limited liability company (“</w:t>
      </w:r>
      <w:r>
        <w:rPr>
          <w:rFonts w:ascii="Times New Roman" w:cs="Times New Roman" w:eastAsia="Times New Roman" w:hAnsi="Times New Roman"/>
          <w:sz w:val="17"/>
          <w:szCs w:val="17"/>
          <w:b w:val="1"/>
          <w:bCs w:val="1"/>
          <w:color w:val="auto"/>
        </w:rPr>
        <w:t>Unity HoldCo</w:t>
      </w:r>
      <w:r>
        <w:rPr>
          <w:rFonts w:ascii="Times New Roman" w:cs="Times New Roman" w:eastAsia="Times New Roman" w:hAnsi="Times New Roman"/>
          <w:sz w:val="17"/>
          <w:szCs w:val="17"/>
          <w:color w:val="auto"/>
        </w:rPr>
        <w:t>”), the individual sellers named therein (the ESOT, such individual sellers and Unity HoldCo, the “</w:t>
      </w:r>
      <w:r>
        <w:rPr>
          <w:rFonts w:ascii="Times New Roman" w:cs="Times New Roman" w:eastAsia="Times New Roman" w:hAnsi="Times New Roman"/>
          <w:sz w:val="17"/>
          <w:szCs w:val="17"/>
          <w:b w:val="1"/>
          <w:bCs w:val="1"/>
          <w:color w:val="auto"/>
        </w:rPr>
        <w:t>Sellers</w:t>
      </w:r>
      <w:r>
        <w:rPr>
          <w:rFonts w:ascii="Times New Roman" w:cs="Times New Roman" w:eastAsia="Times New Roman" w:hAnsi="Times New Roman"/>
          <w:sz w:val="17"/>
          <w:szCs w:val="17"/>
          <w:color w:val="auto"/>
        </w:rPr>
        <w:t>”) and Joseph Badal, an individual residing in New Mexico, as representative of the Sellers, pursuant to which Alloy will acquire 100% of the issued and outstanding shares of the Target (such acquisition, the “</w:t>
      </w:r>
      <w:r>
        <w:rPr>
          <w:rFonts w:ascii="Times New Roman" w:cs="Times New Roman" w:eastAsia="Times New Roman" w:hAnsi="Times New Roman"/>
          <w:sz w:val="17"/>
          <w:szCs w:val="17"/>
          <w:b w:val="1"/>
          <w:bCs w:val="1"/>
          <w:color w:val="auto"/>
        </w:rPr>
        <w:t>Sacred Wind Acquisition</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40" w:right="39" w:firstLine="538"/>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Sacred Wind Acquisition, the Sellers will collectively receive up to 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and outstanding equity interests of Alloy in the form of Series A Preferred Stock (the “</w:t>
      </w:r>
      <w:r>
        <w:rPr>
          <w:rFonts w:ascii="Times New Roman" w:cs="Times New Roman" w:eastAsia="Times New Roman" w:hAnsi="Times New Roman"/>
          <w:sz w:val="18"/>
          <w:szCs w:val="18"/>
          <w:b w:val="1"/>
          <w:bCs w:val="1"/>
          <w:color w:val="auto"/>
        </w:rPr>
        <w:t>Seller Equity</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40" w:right="39" w:firstLine="538"/>
        <w:spacing w:after="0" w:line="23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Sacred Wind Acquisition, Alloy also desires to (i) implement an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(the “</w:t>
      </w:r>
      <w:r>
        <w:rPr>
          <w:rFonts w:ascii="Times New Roman" w:cs="Times New Roman" w:eastAsia="Times New Roman" w:hAnsi="Times New Roman"/>
          <w:sz w:val="18"/>
          <w:szCs w:val="18"/>
          <w:b w:val="1"/>
          <w:bCs w:val="1"/>
          <w:color w:val="auto"/>
        </w:rPr>
        <w:t>Alloy Incentive Plan</w:t>
      </w:r>
      <w:r>
        <w:rPr>
          <w:rFonts w:ascii="Times New Roman" w:cs="Times New Roman" w:eastAsia="Times New Roman" w:hAnsi="Times New Roman"/>
          <w:sz w:val="18"/>
          <w:szCs w:val="18"/>
          <w:color w:val="auto"/>
        </w:rPr>
        <w:t>”), pursuant to which up to 10% of the common stock of Alloy or common stock equivalents structured as phantom stock grants with cash payments (collectively, the “</w:t>
      </w:r>
      <w:r>
        <w:rPr>
          <w:rFonts w:ascii="Times New Roman" w:cs="Times New Roman" w:eastAsia="Times New Roman" w:hAnsi="Times New Roman"/>
          <w:sz w:val="18"/>
          <w:szCs w:val="18"/>
          <w:b w:val="1"/>
          <w:bCs w:val="1"/>
          <w:color w:val="auto"/>
        </w:rPr>
        <w:t>Incentive Grants</w:t>
      </w:r>
      <w:r>
        <w:rPr>
          <w:rFonts w:ascii="Times New Roman" w:cs="Times New Roman" w:eastAsia="Times New Roman" w:hAnsi="Times New Roman"/>
          <w:sz w:val="18"/>
          <w:szCs w:val="18"/>
          <w:color w:val="auto"/>
        </w:rPr>
        <w:t>”) will be made available to officers and employees of Alloy or its Subsidiaries (any person who holds an equity interest in Alloy pursuant to the Alloy Incentive Plan, together with the Sellers, individually, a “</w:t>
      </w:r>
      <w:r>
        <w:rPr>
          <w:rFonts w:ascii="Times New Roman" w:cs="Times New Roman" w:eastAsia="Times New Roman" w:hAnsi="Times New Roman"/>
          <w:sz w:val="18"/>
          <w:szCs w:val="18"/>
          <w:b w:val="1"/>
          <w:bCs w:val="1"/>
          <w:color w:val="auto"/>
        </w:rPr>
        <w:t>Minority Owner</w:t>
      </w:r>
      <w:r>
        <w:rPr>
          <w:rFonts w:ascii="Times New Roman" w:cs="Times New Roman" w:eastAsia="Times New Roman" w:hAnsi="Times New Roman"/>
          <w:sz w:val="18"/>
          <w:szCs w:val="18"/>
          <w:color w:val="auto"/>
        </w:rPr>
        <w:t>”), and (ii) amend and restate or otherwise modify the governing documents of certain of the Target, Alloy, Commnet and Commnet Broadband to reflect Alloy Contribution, the Seller Equity and the Alloy Incentive Plan (the “</w:t>
      </w:r>
      <w:r>
        <w:rPr>
          <w:rFonts w:ascii="Times New Roman" w:cs="Times New Roman" w:eastAsia="Times New Roman" w:hAnsi="Times New Roman"/>
          <w:sz w:val="18"/>
          <w:szCs w:val="18"/>
          <w:b w:val="1"/>
          <w:bCs w:val="1"/>
          <w:color w:val="auto"/>
        </w:rPr>
        <w:t>Amended and Restated 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left="40" w:right="39" w:firstLine="538"/>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each of Borrower and Commnet are restricted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certain Asset Dispositions, including the issuance of the Seller Equity and the Incentive Grants;</w:t>
      </w:r>
    </w:p>
    <w:p>
      <w:pPr>
        <w:spacing w:after="0" w:line="118" w:lineRule="exact"/>
        <w:rPr>
          <w:sz w:val="20"/>
          <w:szCs w:val="20"/>
          <w:color w:val="auto"/>
        </w:rPr>
      </w:pPr>
    </w:p>
    <w:p>
      <w:pPr>
        <w:jc w:val="both"/>
        <w:ind w:left="40" w:right="59" w:firstLine="538"/>
        <w:spacing w:after="0" w:line="25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Secure and Trusted Communications Networks Act of 2019, Commnet, NTUA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Wireless, LLC, and Vitelcom Cellular, Inc. d/b/a Viya Wireless (collectively, the “</w:t>
      </w:r>
      <w:r>
        <w:rPr>
          <w:rFonts w:ascii="Times New Roman" w:cs="Times New Roman" w:eastAsia="Times New Roman" w:hAnsi="Times New Roman"/>
          <w:sz w:val="18"/>
          <w:szCs w:val="18"/>
          <w:b w:val="1"/>
          <w:bCs w:val="1"/>
          <w:color w:val="auto"/>
        </w:rPr>
        <w:t>Replace and Remove Applicants</w:t>
      </w:r>
      <w:r>
        <w:rPr>
          <w:rFonts w:ascii="Times New Roman" w:cs="Times New Roman" w:eastAsia="Times New Roman" w:hAnsi="Times New Roman"/>
          <w:sz w:val="18"/>
          <w:szCs w:val="18"/>
          <w:color w:val="auto"/>
        </w:rPr>
        <w:t>”) have qualified for an allocation for removal and replacement of certain equipment (the “</w:t>
      </w:r>
      <w:r>
        <w:rPr>
          <w:rFonts w:ascii="Times New Roman" w:cs="Times New Roman" w:eastAsia="Times New Roman" w:hAnsi="Times New Roman"/>
          <w:sz w:val="18"/>
          <w:szCs w:val="18"/>
          <w:b w:val="1"/>
          <w:bCs w:val="1"/>
          <w:color w:val="auto"/>
        </w:rPr>
        <w:t>Replace and Remove Project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40" w:right="39" w:firstLine="538"/>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Replace and Remove Applicants anticipate receiving invoices from applicable equipment vendors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Replace and Remove Project (the “</w:t>
      </w:r>
      <w:r>
        <w:rPr>
          <w:rFonts w:ascii="Times New Roman" w:cs="Times New Roman" w:eastAsia="Times New Roman" w:hAnsi="Times New Roman"/>
          <w:sz w:val="18"/>
          <w:szCs w:val="18"/>
          <w:b w:val="1"/>
          <w:bCs w:val="1"/>
          <w:color w:val="auto"/>
        </w:rPr>
        <w:t>Replace and Remove Invoices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4" w:lineRule="exact"/>
        <w:rPr>
          <w:sz w:val="20"/>
          <w:szCs w:val="20"/>
          <w:color w:val="auto"/>
        </w:rPr>
      </w:pPr>
    </w:p>
    <w:p>
      <w:pPr>
        <w:jc w:val="both"/>
        <w:ind w:left="40" w:right="39" w:firstLine="538"/>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wishes to enter into unsecured guarantees (the “</w:t>
      </w:r>
      <w:r>
        <w:rPr>
          <w:rFonts w:ascii="Times New Roman" w:cs="Times New Roman" w:eastAsia="Times New Roman" w:hAnsi="Times New Roman"/>
          <w:sz w:val="18"/>
          <w:szCs w:val="18"/>
          <w:b w:val="1"/>
          <w:bCs w:val="1"/>
          <w:color w:val="auto"/>
        </w:rPr>
        <w:t>Replace and Remove Guarantees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such applicable equipment vendors for the obligations of the applicable Replace and Remove Applicant in connection with the Replace and Remove Project, in an aggregate maximum amount of $75,000,000 at any time outstanding;</w:t>
      </w:r>
    </w:p>
    <w:p>
      <w:pPr>
        <w:spacing w:after="0" w:line="141" w:lineRule="exact"/>
        <w:rPr>
          <w:sz w:val="20"/>
          <w:szCs w:val="20"/>
          <w:color w:val="auto"/>
        </w:rPr>
      </w:pPr>
    </w:p>
    <w:p>
      <w:pPr>
        <w:jc w:val="both"/>
        <w:ind w:left="40" w:right="59" w:firstLine="538"/>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Credit Agreement, the Borrower is restricted from entering into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Obligations, including the Replace and Remove Guarantees;</w:t>
      </w:r>
    </w:p>
    <w:p>
      <w:pPr>
        <w:spacing w:after="0" w:line="118" w:lineRule="exact"/>
        <w:rPr>
          <w:sz w:val="20"/>
          <w:szCs w:val="20"/>
          <w:color w:val="auto"/>
        </w:rPr>
      </w:pPr>
    </w:p>
    <w:p>
      <w:pPr>
        <w:jc w:val="both"/>
        <w:ind w:left="40" w:right="59" w:firstLine="538"/>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and Administrative Agent and the Lenders (which constitute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have agreed, subject to the terms and conditions provided herein, to consent to Replace and Remove Invoices (to the extent the same constitutes Indebtedness prohibited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Credit Agreement), the Replace and Remove Guarantees, the issuance of the Seller Equity and the issuance of the Incentive Grants pursuant to the Alloy Incentive Plan;</w:t>
      </w:r>
    </w:p>
    <w:p>
      <w:pPr>
        <w:spacing w:after="0" w:line="141" w:lineRule="exact"/>
        <w:rPr>
          <w:sz w:val="20"/>
          <w:szCs w:val="20"/>
          <w:color w:val="auto"/>
        </w:rPr>
      </w:pPr>
    </w:p>
    <w:p>
      <w:pPr>
        <w:jc w:val="both"/>
        <w:ind w:left="40" w:right="59" w:firstLine="538"/>
        <w:spacing w:after="0" w:line="25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and Administrative Agent and the Lenders (which constitute Requisite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have agreed, subject to the terms and conditions provided herein, to amend the definition of Total Net Leverage Ratio in order to accommodate the Replace and Remove Guarantees and the Replace and Remove Invoices;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foregoing and the agreements set forth in this Agreement, each of</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Borrower, the Guarantors, Administrative Agent and the Lenders hereby agrees as follows:</w:t>
      </w:r>
    </w:p>
    <w:p>
      <w:pPr>
        <w:spacing w:after="0" w:line="150" w:lineRule="exact"/>
        <w:rPr>
          <w:sz w:val="20"/>
          <w:szCs w:val="20"/>
          <w:color w:val="auto"/>
        </w:rPr>
      </w:pPr>
    </w:p>
    <w:p>
      <w:pPr>
        <w:jc w:val="both"/>
        <w:ind w:left="40" w:right="59" w:firstLine="1075"/>
        <w:spacing w:after="0" w:line="251" w:lineRule="auto"/>
        <w:rPr>
          <w:sz w:val="20"/>
          <w:szCs w:val="20"/>
          <w:color w:val="auto"/>
        </w:rPr>
      </w:pPr>
      <w:r>
        <w:rPr>
          <w:rFonts w:ascii="Times New Roman" w:cs="Times New Roman" w:eastAsia="Times New Roman" w:hAnsi="Times New Roman"/>
          <w:sz w:val="18"/>
          <w:szCs w:val="18"/>
          <w:b w:val="1"/>
          <w:bCs w:val="1"/>
          <w:color w:val="auto"/>
        </w:rPr>
        <w:t>SECTION 1. Defined Terms; Recitals</w:t>
      </w:r>
      <w:r>
        <w:rPr>
          <w:rFonts w:ascii="Times New Roman" w:cs="Times New Roman" w:eastAsia="Times New Roman" w:hAnsi="Times New Roman"/>
          <w:sz w:val="18"/>
          <w:szCs w:val="18"/>
          <w:color w:val="auto"/>
        </w:rPr>
        <w:t>. Capitalized terms used herein and not otherwise defined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meanings ascribed to them in the Credit Agreement. The recitals set forth above are hereby incorporated into this Amendment as if set forth at length herein.</w:t>
      </w:r>
    </w:p>
    <w:p>
      <w:pPr>
        <w:spacing w:after="0" w:line="135" w:lineRule="exact"/>
        <w:rPr>
          <w:sz w:val="20"/>
          <w:szCs w:val="20"/>
          <w:color w:val="auto"/>
        </w:rPr>
      </w:pPr>
    </w:p>
    <w:p>
      <w:pPr>
        <w:jc w:val="both"/>
        <w:ind w:left="40" w:right="39" w:firstLine="1075"/>
        <w:spacing w:after="0" w:line="236" w:lineRule="auto"/>
        <w:rPr>
          <w:sz w:val="20"/>
          <w:szCs w:val="20"/>
          <w:color w:val="auto"/>
        </w:rPr>
      </w:pPr>
      <w:r>
        <w:rPr>
          <w:rFonts w:ascii="Times New Roman" w:cs="Times New Roman" w:eastAsia="Times New Roman" w:hAnsi="Times New Roman"/>
          <w:sz w:val="18"/>
          <w:szCs w:val="18"/>
          <w:b w:val="1"/>
          <w:bCs w:val="1"/>
          <w:color w:val="auto"/>
        </w:rPr>
        <w:t>SECTION 2. Consents</w:t>
      </w:r>
      <w:r>
        <w:rPr>
          <w:rFonts w:ascii="Times New Roman" w:cs="Times New Roman" w:eastAsia="Times New Roman" w:hAnsi="Times New Roman"/>
          <w:sz w:val="18"/>
          <w:szCs w:val="18"/>
          <w:color w:val="auto"/>
        </w:rPr>
        <w:t>. Borrower has requested the consent of Administrative Agent and the Lenders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 (A) the Replace and Remove Invoices of any Replace and Remove Applicant (to the extent such Replace and Remove Invoices constitute Indebtedness prohibited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Credit Agreement) to the extent the Replace and Remove Invoices relevant to any Replace and Remove Applicant subject to Section 3.1 do not exceed the then applicable Available Approved Prorated Allocation (as defined in Section 3 of the Agreement below) of such Replace and Remove Applicant, (B) the Replace and Remove Guarantees, (C) the issuance of the Seller Equity, and (D) the issuance of the Incentive Grants pursuant to the Alloy Incentive Plan, (the consents to clauses (A), (B), (C) and (D), collectively, the “</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xml:space="preserve">”). In reliance on (a) the representations and warranties of Borrower and the Guarantors contained in this Agreement and in connection with the request of Borrower for the Consents and (b) the agreements of the parties set forth below, Administrative Agent and the Lenders hereby grant the Consents;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(1) the Replace and Remove Guarantees will be in a maximum aggregate amount outstanding at any time not in excess of $75,000,000, (2) the Replace and Remove Guarantees will be unsecured, (3) Alloy is joined as a Guarantor and a Loan Party under the Credit Agreement and Grantor under the Pledge and Security Agreement concurrent with or prior to the consummation of the Alloy Contribution and the Target and its Subsidiaries (other than Excluded Subsidiaries) be joined as Guarantors and Loan Parties under the Credit Agreement and Grantors under the Pledge and Security Agreement pursuant to the terms and conditions of the Loan Documents, (4)</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8" w:lineRule="exact"/>
        <w:rPr>
          <w:sz w:val="20"/>
          <w:szCs w:val="20"/>
          <w:color w:val="auto"/>
        </w:rPr>
      </w:pPr>
    </w:p>
    <w:p>
      <w:pPr>
        <w:jc w:val="both"/>
        <w:ind w:left="40" w:right="39"/>
        <w:spacing w:after="0" w:line="241" w:lineRule="auto"/>
        <w:rPr>
          <w:sz w:val="20"/>
          <w:szCs w:val="20"/>
          <w:color w:val="auto"/>
        </w:rPr>
      </w:pPr>
      <w:r>
        <w:rPr>
          <w:rFonts w:ascii="Times New Roman" w:cs="Times New Roman" w:eastAsia="Times New Roman" w:hAnsi="Times New Roman"/>
          <w:sz w:val="18"/>
          <w:szCs w:val="18"/>
          <w:color w:val="auto"/>
        </w:rPr>
        <w:t>within 120 days of the first issuance of either the Seller Equity or the Incentive Grants pursuant to the Alloy Incentive Plan, Alloy will own 100% of the Equity Interests of Commnet on a fully diluted basis and any options or other rights issued with respect to the Equity Interests of Commnet pursuant to any equity incentive plan shall have been terminated, (5) no additional Equity Interests in Commnet will be issued to any Person other than Alloy, and (6) the Alloy Incentive Plan shall be in a form reasonably acceptable to the Administrative Agent.</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SECTION 3. Amendments.</w:t>
      </w:r>
    </w:p>
    <w:p>
      <w:pPr>
        <w:spacing w:after="0" w:line="178" w:lineRule="exact"/>
        <w:rPr>
          <w:sz w:val="20"/>
          <w:szCs w:val="20"/>
          <w:color w:val="auto"/>
        </w:rPr>
      </w:pPr>
    </w:p>
    <w:p>
      <w:pPr>
        <w:ind w:left="40" w:right="59" w:firstLine="533"/>
        <w:spacing w:after="0" w:line="264" w:lineRule="auto"/>
        <w:tabs>
          <w:tab w:leader="none" w:pos="111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definition of “Available Approved Prorated Allocation” is hereby added to Section 10.1 in the appropriate alphabetical order:</w:t>
      </w:r>
    </w:p>
    <w:p>
      <w:pPr>
        <w:spacing w:after="0" w:line="123" w:lineRule="exact"/>
        <w:rPr>
          <w:sz w:val="20"/>
          <w:szCs w:val="20"/>
          <w:color w:val="auto"/>
        </w:rPr>
      </w:pPr>
    </w:p>
    <w:p>
      <w:pPr>
        <w:jc w:val="both"/>
        <w:ind w:left="580"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Approved Prorated Allocation</w:t>
      </w:r>
      <w:r>
        <w:rPr>
          <w:rFonts w:ascii="Times New Roman" w:cs="Times New Roman" w:eastAsia="Times New Roman" w:hAnsi="Times New Roman"/>
          <w:sz w:val="18"/>
          <w:szCs w:val="18"/>
          <w:color w:val="auto"/>
        </w:rPr>
        <w:t xml:space="preserve">” means, as of any date of determination, the result of (i) the amount of cash funds (a) approved by the FCC to be received by a Replace and Remove Applicant and (b) for which cash funds have been allocated by the U.S. Congress (after giving effect to any applicable budgetary proration), in each case, pursuant to the Secure and Trusted Communications Networks Act of 2019 or similar Applicable Law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amount of cash funds such Replace and Remove Applicant has received pursuant to the Secure and Trusted Communications Networks Act of 2019 or similar Applicable Law.</w:t>
      </w:r>
    </w:p>
    <w:p>
      <w:pPr>
        <w:spacing w:after="0" w:line="151" w:lineRule="exact"/>
        <w:rPr>
          <w:sz w:val="20"/>
          <w:szCs w:val="20"/>
          <w:color w:val="auto"/>
        </w:rPr>
      </w:pPr>
    </w:p>
    <w:p>
      <w:pPr>
        <w:ind w:left="40" w:right="59" w:firstLine="533"/>
        <w:spacing w:after="0" w:line="264" w:lineRule="auto"/>
        <w:tabs>
          <w:tab w:leader="none" w:pos="111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definition of “Replace and Remove Applicants” is hereby added to Section 10.1 in the appropriate alphabetical order:</w:t>
      </w:r>
    </w:p>
    <w:p>
      <w:pPr>
        <w:spacing w:after="0" w:line="123" w:lineRule="exact"/>
        <w:rPr>
          <w:sz w:val="20"/>
          <w:szCs w:val="20"/>
          <w:color w:val="auto"/>
        </w:rPr>
      </w:pPr>
    </w:p>
    <w:p>
      <w:pPr>
        <w:ind w:left="580" w:right="59"/>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 and Remove Applicants</w:t>
      </w:r>
      <w:r>
        <w:rPr>
          <w:rFonts w:ascii="Times New Roman" w:cs="Times New Roman" w:eastAsia="Times New Roman" w:hAnsi="Times New Roman"/>
          <w:sz w:val="18"/>
          <w:szCs w:val="18"/>
          <w:color w:val="auto"/>
        </w:rPr>
        <w:t>” means, collectively, Commnet Wireless, LLC, NTUA Wireless, LLC, and Vitelcom Cellular, Inc. d/b/a Viya Wireless.</w:t>
      </w:r>
    </w:p>
    <w:p>
      <w:pPr>
        <w:spacing w:after="0" w:line="122" w:lineRule="exact"/>
        <w:rPr>
          <w:sz w:val="20"/>
          <w:szCs w:val="20"/>
          <w:color w:val="auto"/>
        </w:rPr>
      </w:pPr>
    </w:p>
    <w:p>
      <w:pPr>
        <w:ind w:left="40" w:right="59" w:firstLine="533"/>
        <w:spacing w:after="0" w:line="264" w:lineRule="auto"/>
        <w:tabs>
          <w:tab w:leader="none" w:pos="111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definition of “Replace and Remove Guarantees” is hereby added to Section 10.1 in the appropriate alphabetical order:</w:t>
      </w:r>
    </w:p>
    <w:p>
      <w:pPr>
        <w:spacing w:after="0" w:line="123" w:lineRule="exact"/>
        <w:rPr>
          <w:sz w:val="20"/>
          <w:szCs w:val="20"/>
          <w:color w:val="auto"/>
        </w:rPr>
      </w:pPr>
    </w:p>
    <w:p>
      <w:pPr>
        <w:jc w:val="both"/>
        <w:ind w:left="580" w:right="5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 and Remove Guarantees</w:t>
      </w:r>
      <w:r>
        <w:rPr>
          <w:rFonts w:ascii="Times New Roman" w:cs="Times New Roman" w:eastAsia="Times New Roman" w:hAnsi="Times New Roman"/>
          <w:sz w:val="18"/>
          <w:szCs w:val="18"/>
          <w:color w:val="auto"/>
        </w:rPr>
        <w:t>” means unsecured guarantees by the Borrower in favor of the applicable equipment vendors for the obligations of a Replace and Remove Applicant in connection with the Replace and Remove Project in a maximum aggregate amount outstanding at any time not to exceed $75,000,000.</w:t>
      </w:r>
    </w:p>
    <w:p>
      <w:pPr>
        <w:spacing w:after="0" w:line="139" w:lineRule="exact"/>
        <w:rPr>
          <w:sz w:val="20"/>
          <w:szCs w:val="20"/>
          <w:color w:val="auto"/>
        </w:rPr>
      </w:pPr>
    </w:p>
    <w:p>
      <w:pPr>
        <w:ind w:left="40" w:right="39" w:firstLine="533"/>
        <w:spacing w:after="0" w:line="264" w:lineRule="auto"/>
        <w:tabs>
          <w:tab w:leader="none" w:pos="116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definition of “Replace and Remove Invoices” is hereby added to Section 10.1 in the appropriate alphabetical order:</w:t>
      </w:r>
    </w:p>
    <w:p>
      <w:pPr>
        <w:spacing w:after="0" w:line="123" w:lineRule="exact"/>
        <w:rPr>
          <w:sz w:val="20"/>
          <w:szCs w:val="20"/>
          <w:color w:val="auto"/>
        </w:rPr>
      </w:pPr>
    </w:p>
    <w:p>
      <w:pPr>
        <w:ind w:left="580" w:right="59"/>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 and Remove Invoices</w:t>
      </w:r>
      <w:r>
        <w:rPr>
          <w:rFonts w:ascii="Times New Roman" w:cs="Times New Roman" w:eastAsia="Times New Roman" w:hAnsi="Times New Roman"/>
          <w:sz w:val="18"/>
          <w:szCs w:val="18"/>
          <w:color w:val="auto"/>
        </w:rPr>
        <w:t>” means invoices owed by a Replace and Remove Applicant to an applicable equipment vendor in connection with the Replace and Remove Project.</w:t>
      </w:r>
    </w:p>
    <w:p>
      <w:pPr>
        <w:spacing w:after="0" w:line="122" w:lineRule="exact"/>
        <w:rPr>
          <w:sz w:val="20"/>
          <w:szCs w:val="20"/>
          <w:color w:val="auto"/>
        </w:rPr>
      </w:pPr>
    </w:p>
    <w:p>
      <w:pPr>
        <w:ind w:left="40" w:right="39" w:firstLine="533"/>
        <w:spacing w:after="0" w:line="264" w:lineRule="auto"/>
        <w:tabs>
          <w:tab w:leader="none" w:pos="116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definition of “Replace and Remove Project” is hereby added to Section 10.1 in the appropriate alphabetical order:</w:t>
      </w:r>
    </w:p>
    <w:p>
      <w:pPr>
        <w:spacing w:after="0" w:line="123" w:lineRule="exact"/>
        <w:rPr>
          <w:sz w:val="20"/>
          <w:szCs w:val="20"/>
          <w:color w:val="auto"/>
        </w:rPr>
      </w:pPr>
    </w:p>
    <w:p>
      <w:pPr>
        <w:ind w:left="580" w:right="59"/>
        <w:spacing w:after="0" w:line="26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 and Remove Project</w:t>
      </w:r>
      <w:r>
        <w:rPr>
          <w:rFonts w:ascii="Times New Roman" w:cs="Times New Roman" w:eastAsia="Times New Roman" w:hAnsi="Times New Roman"/>
          <w:sz w:val="18"/>
          <w:szCs w:val="18"/>
          <w:color w:val="auto"/>
        </w:rPr>
        <w:t>” means the project in connection with the allocation for removal and replacement of certain equipment that the Replace and Remove Applicants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have qualified for pursuant to the Secure and Trusted Communications Networks Act of 2019.</w:t>
      </w:r>
    </w:p>
    <w:p>
      <w:pPr>
        <w:spacing w:after="0" w:line="174" w:lineRule="exact"/>
        <w:rPr>
          <w:sz w:val="20"/>
          <w:szCs w:val="20"/>
          <w:color w:val="auto"/>
        </w:rPr>
      </w:pPr>
    </w:p>
    <w:p>
      <w:pPr>
        <w:ind w:left="1160" w:hanging="587"/>
        <w:spacing w:after="0"/>
        <w:tabs>
          <w:tab w:leader="none" w:pos="11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definition of “Total Net Leverage Ratio”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amended and restated in its entirety to read</w:t>
      </w:r>
    </w:p>
    <w:p>
      <w:pPr>
        <w:spacing w:after="0" w:line="14"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follows:</w:t>
      </w:r>
    </w:p>
    <w:p>
      <w:pPr>
        <w:spacing w:after="0" w:line="150" w:lineRule="exact"/>
        <w:rPr>
          <w:sz w:val="20"/>
          <w:szCs w:val="20"/>
          <w:color w:val="auto"/>
        </w:rPr>
      </w:pPr>
    </w:p>
    <w:p>
      <w:pPr>
        <w:jc w:val="both"/>
        <w:ind w:left="580" w:right="5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Net Leverage Ratio</w:t>
      </w:r>
      <w:r>
        <w:rPr>
          <w:rFonts w:ascii="Times New Roman" w:cs="Times New Roman" w:eastAsia="Times New Roman" w:hAnsi="Times New Roman"/>
          <w:sz w:val="18"/>
          <w:szCs w:val="18"/>
          <w:color w:val="auto"/>
        </w:rPr>
        <w:t xml:space="preserve">” means, as of the date of calculation, the ratio derived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the result of (x) Indebtedness (other than (i) as described in clause (H) of the definition of Indebtedness, (ii) to the extent related to or supporting the Indebtedness described in clause (H) of such definition, as described in clauses (K), (L), (M) and</w:t>
      </w:r>
    </w:p>
    <w:p>
      <w:pPr>
        <w:jc w:val="both"/>
        <w:ind w:left="580" w:right="39" w:hanging="7"/>
        <w:spacing w:after="0" w:line="233" w:lineRule="auto"/>
        <w:tabs>
          <w:tab w:leader="none" w:pos="8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Indebtedness, (iii) excluding for purposes of clause (L) of the definition of Indebtedness, the Replace and Remove Guarantees to the extent that the Replace and Remove Guarantees relevant to any Replace and Remove Applicant do not exceed the then applicable Available Approved Prorated Allocation with respect to such Replace and Remove Applicant, and (iv), without duplication of clause (iii) hereof and to the extent constituting Indebtedness of the Borrower and its Restricted Subsidiaries on a consolidated basis, any Replace and Remove Invoices to the extent the Replace and Remove Invoices relevant to any Replace and Remove Applicant do not exceed the then applicable Available Approved Prorated Allocation of such Replace and Remove Applicant, </w:t>
      </w:r>
      <w:r>
        <w:rPr>
          <w:rFonts w:ascii="Times New Roman" w:cs="Times New Roman" w:eastAsia="Times New Roman" w:hAnsi="Times New Roman"/>
          <w:sz w:val="18"/>
          <w:szCs w:val="18"/>
          <w:u w:val="single" w:color="auto"/>
          <w:color w:val="auto"/>
        </w:rPr>
        <w:t>minus</w:t>
      </w:r>
    </w:p>
    <w:p>
      <w:pPr>
        <w:spacing w:after="0" w:line="4" w:lineRule="exact"/>
        <w:rPr>
          <w:rFonts w:ascii="Times New Roman" w:cs="Times New Roman" w:eastAsia="Times New Roman" w:hAnsi="Times New Roman"/>
          <w:sz w:val="18"/>
          <w:szCs w:val="18"/>
          <w:color w:val="auto"/>
        </w:rPr>
      </w:pPr>
    </w:p>
    <w:p>
      <w:pPr>
        <w:jc w:val="both"/>
        <w:ind w:left="580" w:right="59"/>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the aggregate of the Unrestricted Pledged Cash of Borrower and its Domestic Subsidiaries in excess of $25,000,000;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as of the date of determination, the aggregate amount of any Unrestricted Pledged Cash subtracted under this subclause (y) shall not exceed $125,000,000, by (B) EBITDA.</w:t>
      </w:r>
    </w:p>
    <w:p>
      <w:pPr>
        <w:spacing w:after="0" w:line="148" w:lineRule="exact"/>
        <w:rPr>
          <w:sz w:val="20"/>
          <w:szCs w:val="20"/>
          <w:color w:val="auto"/>
        </w:rPr>
      </w:pPr>
    </w:p>
    <w:p>
      <w:pPr>
        <w:ind w:left="1160" w:hanging="587"/>
        <w:spacing w:after="0"/>
        <w:tabs>
          <w:tab w:leader="none" w:pos="11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Exhibit 4.2(C)</w:t>
      </w:r>
      <w:r>
        <w:rPr>
          <w:rFonts w:ascii="Times New Roman" w:cs="Times New Roman" w:eastAsia="Times New Roman" w:hAnsi="Times New Roman"/>
          <w:sz w:val="18"/>
          <w:szCs w:val="18"/>
          <w:color w:val="auto"/>
        </w:rPr>
        <w:t xml:space="preserve"> is amended and restated in its entirety as set forth on Exhibit 4.2(C) attached hereto.</w:t>
      </w:r>
    </w:p>
    <w:p>
      <w:pPr>
        <w:spacing w:after="0" w:line="170" w:lineRule="exact"/>
        <w:rPr>
          <w:sz w:val="20"/>
          <w:szCs w:val="20"/>
          <w:color w:val="auto"/>
        </w:rPr>
      </w:pPr>
    </w:p>
    <w:p>
      <w:pPr>
        <w:jc w:val="both"/>
        <w:ind w:left="40" w:right="39" w:firstLine="1075"/>
        <w:spacing w:after="0" w:line="239" w:lineRule="auto"/>
        <w:rPr>
          <w:sz w:val="20"/>
          <w:szCs w:val="20"/>
          <w:color w:val="auto"/>
        </w:rPr>
      </w:pPr>
      <w:r>
        <w:rPr>
          <w:rFonts w:ascii="Times New Roman" w:cs="Times New Roman" w:eastAsia="Times New Roman" w:hAnsi="Times New Roman"/>
          <w:sz w:val="18"/>
          <w:szCs w:val="18"/>
          <w:b w:val="1"/>
          <w:bCs w:val="1"/>
          <w:color w:val="auto"/>
        </w:rPr>
        <w:t>SECTION 4. No Novation</w:t>
      </w:r>
      <w:r>
        <w:rPr>
          <w:rFonts w:ascii="Times New Roman" w:cs="Times New Roman" w:eastAsia="Times New Roman" w:hAnsi="Times New Roman"/>
          <w:sz w:val="18"/>
          <w:szCs w:val="18"/>
          <w:color w:val="auto"/>
        </w:rPr>
        <w:t>. This Agreement shall not constitute a novation of the Credit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Except as expressly provided in this Agreement, the execution and delivery of this Agreement does not and will not amend, modify or supplement any provision of, or constitute a consent to or a waiver of any noncompliance with the provisions of, the Loan Documents, and the Loan Documents shall remain in full force and effect. On and after the effectiveness of this Agreement,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Agreement.</w:t>
      </w:r>
    </w:p>
    <w:p>
      <w:pPr>
        <w:spacing w:after="0" w:line="143" w:lineRule="exact"/>
        <w:rPr>
          <w:sz w:val="20"/>
          <w:szCs w:val="20"/>
          <w:color w:val="auto"/>
        </w:rPr>
      </w:pPr>
    </w:p>
    <w:p>
      <w:pPr>
        <w:jc w:val="both"/>
        <w:ind w:left="40" w:right="59" w:firstLine="1075"/>
        <w:spacing w:after="0" w:line="251" w:lineRule="auto"/>
        <w:rPr>
          <w:sz w:val="20"/>
          <w:szCs w:val="20"/>
          <w:color w:val="auto"/>
        </w:rPr>
      </w:pPr>
      <w:r>
        <w:rPr>
          <w:rFonts w:ascii="Times New Roman" w:cs="Times New Roman" w:eastAsia="Times New Roman" w:hAnsi="Times New Roman"/>
          <w:sz w:val="18"/>
          <w:szCs w:val="18"/>
          <w:b w:val="1"/>
          <w:bCs w:val="1"/>
          <w:color w:val="auto"/>
        </w:rPr>
        <w:t>SECTION 5. Representations and Warranties</w:t>
      </w:r>
      <w:r>
        <w:rPr>
          <w:rFonts w:ascii="Times New Roman" w:cs="Times New Roman" w:eastAsia="Times New Roman" w:hAnsi="Times New Roman"/>
          <w:sz w:val="18"/>
          <w:szCs w:val="18"/>
          <w:color w:val="auto"/>
        </w:rPr>
        <w:t>. In order to induce Administrative Agent and the Lenders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the Consents and Amendments contained in this Agreement, each Loan Party hereby jointly and severally represents and warrants as follows:</w:t>
      </w:r>
    </w:p>
    <w:p>
      <w:pPr>
        <w:spacing w:after="0" w:line="139" w:lineRule="exact"/>
        <w:rPr>
          <w:sz w:val="20"/>
          <w:szCs w:val="20"/>
          <w:color w:val="auto"/>
        </w:rPr>
      </w:pPr>
    </w:p>
    <w:p>
      <w:pPr>
        <w:jc w:val="both"/>
        <w:ind w:left="580" w:right="59" w:firstLine="531"/>
        <w:spacing w:after="0" w:line="244" w:lineRule="auto"/>
        <w:tabs>
          <w:tab w:leader="none" w:pos="165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Loan Party has the right and power, and has taken all necessary action to authorize it, to execute, deliver and perform this Agreement in accordance with its terms. This Agreement has been duly executed and delivered by such Loan Party and is a legal, valid and binding obligation of it, enforceable against it in accordance with its terms, except as such enforcement may be limited by bankruptcy, insolvency, reorganization,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1" w:name="page82"/>
    <w:bookmarkEnd w:id="81"/>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8" w:lineRule="exact"/>
        <w:rPr>
          <w:sz w:val="20"/>
          <w:szCs w:val="20"/>
          <w:color w:val="auto"/>
        </w:rPr>
      </w:pPr>
    </w:p>
    <w:p>
      <w:pPr>
        <w:ind w:left="640" w:right="59"/>
        <w:spacing w:after="0" w:line="264" w:lineRule="auto"/>
        <w:rPr>
          <w:sz w:val="20"/>
          <w:szCs w:val="20"/>
          <w:color w:val="auto"/>
        </w:rPr>
      </w:pPr>
      <w:r>
        <w:rPr>
          <w:rFonts w:ascii="Times New Roman" w:cs="Times New Roman" w:eastAsia="Times New Roman" w:hAnsi="Times New Roman"/>
          <w:sz w:val="18"/>
          <w:szCs w:val="18"/>
          <w:color w:val="auto"/>
        </w:rPr>
        <w:t>moratorium or similar state or federal debtor relief laws from time to time in effect which affect the enforcement of creditors’ rights in general and general principles of equity.</w:t>
      </w:r>
    </w:p>
    <w:p>
      <w:pPr>
        <w:spacing w:after="0" w:line="127" w:lineRule="exact"/>
        <w:rPr>
          <w:sz w:val="20"/>
          <w:szCs w:val="20"/>
          <w:color w:val="auto"/>
        </w:rPr>
      </w:pPr>
    </w:p>
    <w:p>
      <w:pPr>
        <w:ind w:left="580" w:right="59" w:firstLine="531"/>
        <w:spacing w:after="0" w:line="264"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delivery and performance of this Agreement in accordance with its terms do not and will not, by the passage of time, the giving of notice or otherwise,</w:t>
      </w:r>
    </w:p>
    <w:p>
      <w:pPr>
        <w:spacing w:after="0" w:line="127" w:lineRule="exact"/>
        <w:rPr>
          <w:rFonts w:ascii="Times New Roman" w:cs="Times New Roman" w:eastAsia="Times New Roman" w:hAnsi="Times New Roman"/>
          <w:sz w:val="18"/>
          <w:szCs w:val="18"/>
          <w:b w:val="1"/>
          <w:bCs w:val="1"/>
          <w:color w:val="auto"/>
        </w:rPr>
      </w:pPr>
    </w:p>
    <w:p>
      <w:pPr>
        <w:ind w:left="1120" w:right="59" w:firstLine="529"/>
        <w:spacing w:after="0" w:line="264" w:lineRule="auto"/>
        <w:tabs>
          <w:tab w:leader="none" w:pos="2195"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any Governmental Approval (except as previously obtained) or violate any Applicable Law relating to such Loan Party;</w:t>
      </w:r>
    </w:p>
    <w:p>
      <w:pPr>
        <w:spacing w:after="0" w:line="127" w:lineRule="exact"/>
        <w:rPr>
          <w:rFonts w:ascii="Times New Roman" w:cs="Times New Roman" w:eastAsia="Times New Roman" w:hAnsi="Times New Roman"/>
          <w:sz w:val="18"/>
          <w:szCs w:val="18"/>
          <w:b w:val="1"/>
          <w:bCs w:val="1"/>
          <w:color w:val="auto"/>
        </w:rPr>
      </w:pPr>
    </w:p>
    <w:p>
      <w:pPr>
        <w:ind w:left="1120" w:right="59" w:firstLine="529"/>
        <w:spacing w:after="0" w:line="264" w:lineRule="auto"/>
        <w:tabs>
          <w:tab w:leader="none" w:pos="2195"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materially conflict with, result in a material breach of or constitute a material default under the organizational documents of such Loan Party;</w:t>
      </w:r>
    </w:p>
    <w:p>
      <w:pPr>
        <w:spacing w:after="0" w:line="127" w:lineRule="exact"/>
        <w:rPr>
          <w:rFonts w:ascii="Times New Roman" w:cs="Times New Roman" w:eastAsia="Times New Roman" w:hAnsi="Times New Roman"/>
          <w:sz w:val="18"/>
          <w:szCs w:val="18"/>
          <w:b w:val="1"/>
          <w:bCs w:val="1"/>
          <w:color w:val="auto"/>
        </w:rPr>
      </w:pPr>
    </w:p>
    <w:p>
      <w:pPr>
        <w:ind w:left="1120" w:right="59" w:firstLine="529"/>
        <w:spacing w:after="0" w:line="264" w:lineRule="auto"/>
        <w:tabs>
          <w:tab w:leader="none" w:pos="2195"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conflict with, result in a breach of or constitute a default under any Governmental Approval relating to such Person except as would not reasonably be expected to have a Material Adverse Effect; or</w:t>
      </w:r>
    </w:p>
    <w:p>
      <w:pPr>
        <w:spacing w:after="0" w:line="127" w:lineRule="exact"/>
        <w:rPr>
          <w:rFonts w:ascii="Times New Roman" w:cs="Times New Roman" w:eastAsia="Times New Roman" w:hAnsi="Times New Roman"/>
          <w:sz w:val="18"/>
          <w:szCs w:val="18"/>
          <w:b w:val="1"/>
          <w:bCs w:val="1"/>
          <w:color w:val="auto"/>
        </w:rPr>
      </w:pPr>
    </w:p>
    <w:p>
      <w:pPr>
        <w:ind w:left="1120" w:right="59" w:firstLine="529"/>
        <w:spacing w:after="0" w:line="264" w:lineRule="auto"/>
        <w:tabs>
          <w:tab w:leader="none" w:pos="2195"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result in or require the creation or imposition of any Lien (except as permitted by the Loan Documents) upon or with respect to any property now owned or hereafter acquired by such Loan Party.</w:t>
      </w:r>
    </w:p>
    <w:p>
      <w:pPr>
        <w:spacing w:after="0" w:line="127" w:lineRule="exact"/>
        <w:rPr>
          <w:rFonts w:ascii="Times New Roman" w:cs="Times New Roman" w:eastAsia="Times New Roman" w:hAnsi="Times New Roman"/>
          <w:sz w:val="18"/>
          <w:szCs w:val="18"/>
          <w:b w:val="1"/>
          <w:bCs w:val="1"/>
          <w:color w:val="auto"/>
        </w:rPr>
      </w:pPr>
    </w:p>
    <w:p>
      <w:pPr>
        <w:jc w:val="both"/>
        <w:ind w:left="580" w:right="39" w:firstLine="531"/>
        <w:spacing w:after="0" w:line="239"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recitals set forth above are true and correct in all material respects. The representations and warranties of such Loan Party set forth in the Loan Documents (after giving effect to the consents and amendments contained in this Agreement) are true, correct and complete in all material respects on and as of the date hereof to the same extent as though made on and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representations and warranties (i) that relate solely to an earlier date are true and correct as of such earlier date and (ii) are true and correct in all respects if they are qualified by a materiality standard.</w:t>
      </w:r>
    </w:p>
    <w:p>
      <w:pPr>
        <w:spacing w:after="0" w:line="152" w:lineRule="exact"/>
        <w:rPr>
          <w:rFonts w:ascii="Times New Roman" w:cs="Times New Roman" w:eastAsia="Times New Roman" w:hAnsi="Times New Roman"/>
          <w:sz w:val="18"/>
          <w:szCs w:val="18"/>
          <w:b w:val="1"/>
          <w:bCs w:val="1"/>
          <w:color w:val="auto"/>
        </w:rPr>
      </w:pPr>
    </w:p>
    <w:p>
      <w:pPr>
        <w:ind w:left="580" w:right="39" w:firstLine="531"/>
        <w:spacing w:after="0" w:line="264"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Default or Event of Default has occurred and is continuing or would be reasonably expected to result after giving effect to the consents and amendments contained in this Agreement.</w:t>
      </w:r>
    </w:p>
    <w:p>
      <w:pPr>
        <w:spacing w:after="0" w:line="127" w:lineRule="exact"/>
        <w:rPr>
          <w:rFonts w:ascii="Times New Roman" w:cs="Times New Roman" w:eastAsia="Times New Roman" w:hAnsi="Times New Roman"/>
          <w:sz w:val="18"/>
          <w:szCs w:val="18"/>
          <w:b w:val="1"/>
          <w:bCs w:val="1"/>
          <w:color w:val="auto"/>
        </w:rPr>
      </w:pPr>
    </w:p>
    <w:p>
      <w:pPr>
        <w:jc w:val="both"/>
        <w:ind w:left="580" w:right="39" w:firstLine="531"/>
        <w:spacing w:after="0" w:line="239"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governing documents of Alloy, including the Stockholder’s Agreement (as such term is defined in the Stock Purchase Agreement and is referred to in this Amendment as, the “</w:t>
      </w:r>
      <w:r>
        <w:rPr>
          <w:rFonts w:ascii="Times New Roman" w:cs="Times New Roman" w:eastAsia="Times New Roman" w:hAnsi="Times New Roman"/>
          <w:sz w:val="18"/>
          <w:szCs w:val="18"/>
          <w:b w:val="1"/>
          <w:bCs w:val="1"/>
          <w:color w:val="auto"/>
        </w:rPr>
        <w:t>Alloy Shareholder Agreement</w:t>
      </w:r>
      <w:r>
        <w:rPr>
          <w:rFonts w:ascii="Times New Roman" w:cs="Times New Roman" w:eastAsia="Times New Roman" w:hAnsi="Times New Roman"/>
          <w:sz w:val="18"/>
          <w:szCs w:val="18"/>
          <w:color w:val="auto"/>
        </w:rPr>
        <w:t>”) and the Alloy Incentive Plan, provide (or will provide once the Alloy Incentive Plan is adopted) that Alloy may sell any or all of its assets, pledge any or all of its assets and merge, in each case, without the consent of any Minority Owner of Alloy (or, if subject to a vote including the Minority Owners of Alloy, such vote is proportional based on relative percentage equity interest ownership).</w:t>
      </w:r>
    </w:p>
    <w:p>
      <w:pPr>
        <w:spacing w:after="0" w:line="152" w:lineRule="exact"/>
        <w:rPr>
          <w:rFonts w:ascii="Times New Roman" w:cs="Times New Roman" w:eastAsia="Times New Roman" w:hAnsi="Times New Roman"/>
          <w:sz w:val="18"/>
          <w:szCs w:val="18"/>
          <w:b w:val="1"/>
          <w:bCs w:val="1"/>
          <w:color w:val="auto"/>
        </w:rPr>
      </w:pPr>
    </w:p>
    <w:p>
      <w:pPr>
        <w:ind w:left="580" w:right="59" w:firstLine="531"/>
        <w:spacing w:after="0" w:line="264"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(or its affiliate) is able to pledge its equity interests in Alloy without the consent of any Minority Owner of Alloy.</w:t>
      </w:r>
    </w:p>
    <w:p>
      <w:pPr>
        <w:spacing w:after="0" w:line="127" w:lineRule="exact"/>
        <w:rPr>
          <w:rFonts w:ascii="Times New Roman" w:cs="Times New Roman" w:eastAsia="Times New Roman" w:hAnsi="Times New Roman"/>
          <w:sz w:val="18"/>
          <w:szCs w:val="18"/>
          <w:b w:val="1"/>
          <w:bCs w:val="1"/>
          <w:color w:val="auto"/>
        </w:rPr>
      </w:pPr>
    </w:p>
    <w:p>
      <w:pPr>
        <w:jc w:val="both"/>
        <w:ind w:left="580" w:right="39" w:firstLine="531"/>
        <w:spacing w:after="0" w:line="249" w:lineRule="auto"/>
        <w:tabs>
          <w:tab w:leader="none" w:pos="165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voting rights of the Minority Owners of Alloy under the governing documents of Alloy including the Alloy Shareholder Agreement and the Alloy Incentive Plan, are no greater than proportional based on relative percentage equity interest ownership.</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2" w:name="page83"/>
    <w:bookmarkEnd w:id="82"/>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8" w:lineRule="exact"/>
        <w:rPr>
          <w:sz w:val="20"/>
          <w:szCs w:val="20"/>
          <w:color w:val="auto"/>
        </w:rPr>
      </w:pPr>
    </w:p>
    <w:p>
      <w:pPr>
        <w:jc w:val="both"/>
        <w:ind w:left="580" w:right="59" w:firstLine="531"/>
        <w:spacing w:after="0" w:line="249" w:lineRule="auto"/>
        <w:tabs>
          <w:tab w:leader="none" w:pos="165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 sale of all of the equity interests of Alloy held by Borrower (or its affiliate), each Minority Owner of Alloy is contractually obligated to sell its equity interests to the purchaser of Borrower’s (or its affiliate’s) equity interests on substantially the same terms as the sale by Borrower (or its affiliate).</w:t>
      </w:r>
    </w:p>
    <w:p>
      <w:pPr>
        <w:spacing w:after="0" w:line="139" w:lineRule="exact"/>
        <w:rPr>
          <w:rFonts w:ascii="Times New Roman" w:cs="Times New Roman" w:eastAsia="Times New Roman" w:hAnsi="Times New Roman"/>
          <w:sz w:val="18"/>
          <w:szCs w:val="18"/>
          <w:b w:val="1"/>
          <w:bCs w:val="1"/>
          <w:color w:val="auto"/>
        </w:rPr>
      </w:pPr>
    </w:p>
    <w:p>
      <w:pPr>
        <w:ind w:left="580" w:right="39" w:firstLine="531"/>
        <w:spacing w:after="0" w:line="264" w:lineRule="auto"/>
        <w:tabs>
          <w:tab w:leader="none" w:pos="165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transactions contemplated by the Stock Purchase Agreement constitute a Permitted Acquisition and Investment under the Credit Agreement.</w:t>
      </w:r>
    </w:p>
    <w:p>
      <w:pPr>
        <w:spacing w:after="0" w:line="123" w:lineRule="exact"/>
        <w:rPr>
          <w:sz w:val="20"/>
          <w:szCs w:val="20"/>
          <w:color w:val="auto"/>
        </w:rPr>
      </w:pPr>
    </w:p>
    <w:p>
      <w:pPr>
        <w:jc w:val="both"/>
        <w:ind w:left="40" w:right="59" w:firstLine="1075"/>
        <w:spacing w:after="0" w:line="251" w:lineRule="auto"/>
        <w:rPr>
          <w:sz w:val="20"/>
          <w:szCs w:val="20"/>
          <w:color w:val="auto"/>
        </w:rPr>
      </w:pPr>
      <w:r>
        <w:rPr>
          <w:rFonts w:ascii="Times New Roman" w:cs="Times New Roman" w:eastAsia="Times New Roman" w:hAnsi="Times New Roman"/>
          <w:sz w:val="18"/>
          <w:szCs w:val="18"/>
          <w:b w:val="1"/>
          <w:bCs w:val="1"/>
          <w:color w:val="auto"/>
        </w:rPr>
        <w:t>SECTION 6. Borrower Confirmations</w:t>
      </w:r>
      <w:r>
        <w:rPr>
          <w:rFonts w:ascii="Times New Roman" w:cs="Times New Roman" w:eastAsia="Times New Roman" w:hAnsi="Times New Roman"/>
          <w:sz w:val="18"/>
          <w:szCs w:val="18"/>
          <w:color w:val="auto"/>
        </w:rPr>
        <w:t>. Borrower hereby confirms and agrees that (a) each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is and shall continue to be in full force and effect, and (b) the obligations secured by each such document include any and all obligations of the Loan Parties to the Secured Parties under the Credit Agreement as modified hereby.</w:t>
      </w:r>
    </w:p>
    <w:p>
      <w:pPr>
        <w:spacing w:after="0" w:line="135" w:lineRule="exact"/>
        <w:rPr>
          <w:sz w:val="20"/>
          <w:szCs w:val="20"/>
          <w:color w:val="auto"/>
        </w:rPr>
      </w:pPr>
    </w:p>
    <w:p>
      <w:pPr>
        <w:jc w:val="both"/>
        <w:ind w:left="40" w:right="59" w:firstLine="1075"/>
        <w:spacing w:after="0" w:line="245" w:lineRule="auto"/>
        <w:rPr>
          <w:sz w:val="20"/>
          <w:szCs w:val="20"/>
          <w:color w:val="auto"/>
        </w:rPr>
      </w:pPr>
      <w:r>
        <w:rPr>
          <w:rFonts w:ascii="Times New Roman" w:cs="Times New Roman" w:eastAsia="Times New Roman" w:hAnsi="Times New Roman"/>
          <w:sz w:val="18"/>
          <w:szCs w:val="18"/>
          <w:b w:val="1"/>
          <w:bCs w:val="1"/>
          <w:color w:val="auto"/>
        </w:rPr>
        <w:t>SECTION 7. Guarantor Confirmations</w:t>
      </w:r>
      <w:r>
        <w:rPr>
          <w:rFonts w:ascii="Times New Roman" w:cs="Times New Roman" w:eastAsia="Times New Roman" w:hAnsi="Times New Roman"/>
          <w:sz w:val="18"/>
          <w:szCs w:val="18"/>
          <w:color w:val="auto"/>
        </w:rPr>
        <w:t>. Each of the Guarantors hereby confirms and agrees that (a)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contained in the Credit Agreement and each Security Document to which it is a party is and shall continue to be in full force and effect, and (b) the obligations guaranteed or secured by each such applicable document include any and all obligations of the Loan Parties to the Secured Parties under the Credit Agreement as modified hereby.</w:t>
      </w:r>
    </w:p>
    <w:p>
      <w:pPr>
        <w:spacing w:after="0" w:line="141" w:lineRule="exact"/>
        <w:rPr>
          <w:sz w:val="20"/>
          <w:szCs w:val="20"/>
          <w:color w:val="auto"/>
        </w:rPr>
      </w:pPr>
    </w:p>
    <w:p>
      <w:pPr>
        <w:jc w:val="both"/>
        <w:ind w:left="40" w:right="59" w:firstLine="1075"/>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SECTION 8. Acknowledgement of Loan Parties. </w:t>
      </w:r>
      <w:r>
        <w:rPr>
          <w:rFonts w:ascii="Times New Roman" w:cs="Times New Roman" w:eastAsia="Times New Roman" w:hAnsi="Times New Roman"/>
          <w:sz w:val="18"/>
          <w:szCs w:val="18"/>
          <w:color w:val="auto"/>
        </w:rPr>
        <w:t>Each of the Loan Parties hereby acknowledges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agrees that any amendment to the Amended and Restated Organizational Documents and the Alloy Incentive Plan, in a manner such that the representations and warranties set forth in Section 5(E), 5(F), 5(G) or 5(H) of this Agreement would not be true and correct after giving effect to such amendment shall be deemed to be materially adverse to the interests of the Lenders for purposes of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 xml:space="preserve"> of the Credit Agreement.</w:t>
      </w:r>
    </w:p>
    <w:p>
      <w:pPr>
        <w:spacing w:after="0" w:line="144" w:lineRule="exact"/>
        <w:rPr>
          <w:sz w:val="20"/>
          <w:szCs w:val="20"/>
          <w:color w:val="auto"/>
        </w:rPr>
      </w:pPr>
    </w:p>
    <w:p>
      <w:pPr>
        <w:jc w:val="both"/>
        <w:ind w:left="40" w:right="59" w:firstLine="1075"/>
        <w:spacing w:after="0" w:line="269" w:lineRule="auto"/>
        <w:rPr>
          <w:sz w:val="20"/>
          <w:szCs w:val="20"/>
          <w:color w:val="auto"/>
        </w:rPr>
      </w:pPr>
      <w:r>
        <w:rPr>
          <w:rFonts w:ascii="Times New Roman" w:cs="Times New Roman" w:eastAsia="Times New Roman" w:hAnsi="Times New Roman"/>
          <w:sz w:val="18"/>
          <w:szCs w:val="18"/>
          <w:b w:val="1"/>
          <w:bCs w:val="1"/>
          <w:color w:val="auto"/>
        </w:rPr>
        <w:t>SECTION 9. Conditions to Effectiveness</w:t>
      </w:r>
      <w:r>
        <w:rPr>
          <w:rFonts w:ascii="Times New Roman" w:cs="Times New Roman" w:eastAsia="Times New Roman" w:hAnsi="Times New Roman"/>
          <w:sz w:val="18"/>
          <w:szCs w:val="18"/>
          <w:color w:val="auto"/>
        </w:rPr>
        <w:t>. This Agreement shall become effective as of such date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the “</w:t>
      </w:r>
      <w:r>
        <w:rPr>
          <w:rFonts w:ascii="Times New Roman" w:cs="Times New Roman" w:eastAsia="Times New Roman" w:hAnsi="Times New Roman"/>
          <w:sz w:val="18"/>
          <w:szCs w:val="18"/>
          <w:b w:val="1"/>
          <w:bCs w:val="1"/>
          <w:color w:val="auto"/>
        </w:rPr>
        <w:t>Agreement Effective Date</w:t>
      </w:r>
      <w:r>
        <w:rPr>
          <w:rFonts w:ascii="Times New Roman" w:cs="Times New Roman" w:eastAsia="Times New Roman" w:hAnsi="Times New Roman"/>
          <w:sz w:val="18"/>
          <w:szCs w:val="18"/>
          <w:color w:val="auto"/>
        </w:rPr>
        <w:t>”) when each of the following conditions shall have been met:</w:t>
      </w:r>
    </w:p>
    <w:p>
      <w:pPr>
        <w:spacing w:after="0" w:line="118" w:lineRule="exact"/>
        <w:rPr>
          <w:sz w:val="20"/>
          <w:szCs w:val="20"/>
          <w:color w:val="auto"/>
        </w:rPr>
      </w:pPr>
    </w:p>
    <w:p>
      <w:pPr>
        <w:jc w:val="both"/>
        <w:ind w:left="580" w:right="59" w:firstLine="531"/>
        <w:spacing w:after="0" w:line="251" w:lineRule="auto"/>
        <w:tabs>
          <w:tab w:leader="none" w:pos="165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Administrative Agent shall have received (1) counterparts of this Agreement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on behalf of each Loan Party, the Administrative Agent and the Requisite Lenders and (2) the documents listed on Exhibit A listed as required to be delivered on or before the Agreement Effective Date.</w:t>
      </w:r>
    </w:p>
    <w:p>
      <w:pPr>
        <w:spacing w:after="0" w:line="134" w:lineRule="exact"/>
        <w:rPr>
          <w:rFonts w:ascii="Times New Roman" w:cs="Times New Roman" w:eastAsia="Times New Roman" w:hAnsi="Times New Roman"/>
          <w:sz w:val="18"/>
          <w:szCs w:val="18"/>
          <w:b w:val="1"/>
          <w:bCs w:val="1"/>
          <w:color w:val="auto"/>
        </w:rPr>
      </w:pPr>
    </w:p>
    <w:p>
      <w:pPr>
        <w:ind w:left="1640" w:hanging="529"/>
        <w:spacing w:after="0"/>
        <w:tabs>
          <w:tab w:leader="none" w:pos="1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No Default or Event of Default shall have occurred and be continuing.</w:t>
      </w:r>
    </w:p>
    <w:p>
      <w:pPr>
        <w:spacing w:after="0" w:line="173" w:lineRule="exact"/>
        <w:rPr>
          <w:rFonts w:ascii="Times New Roman" w:cs="Times New Roman" w:eastAsia="Times New Roman" w:hAnsi="Times New Roman"/>
          <w:sz w:val="18"/>
          <w:szCs w:val="18"/>
          <w:b w:val="1"/>
          <w:bCs w:val="1"/>
          <w:color w:val="auto"/>
        </w:rPr>
      </w:pPr>
    </w:p>
    <w:p>
      <w:pPr>
        <w:ind w:left="580" w:right="59" w:firstLine="531"/>
        <w:spacing w:after="0" w:line="269" w:lineRule="auto"/>
        <w:tabs>
          <w:tab w:leader="none" w:pos="165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 as of the Agreement Effective Date.</w:t>
      </w:r>
    </w:p>
    <w:p>
      <w:pPr>
        <w:spacing w:after="0" w:line="118" w:lineRule="exact"/>
        <w:rPr>
          <w:sz w:val="20"/>
          <w:szCs w:val="20"/>
          <w:color w:val="auto"/>
        </w:rPr>
      </w:pPr>
    </w:p>
    <w:p>
      <w:pPr>
        <w:jc w:val="both"/>
        <w:ind w:left="40" w:right="59" w:firstLine="1075"/>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Costs and Expenses</w:t>
      </w:r>
      <w:r>
        <w:rPr>
          <w:rFonts w:ascii="Times New Roman" w:cs="Times New Roman" w:eastAsia="Times New Roman" w:hAnsi="Times New Roman"/>
          <w:sz w:val="18"/>
          <w:szCs w:val="18"/>
          <w:color w:val="auto"/>
        </w:rPr>
        <w:t>. Borrower agrees to pay to Administrative Agent, on demand,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documented out-of-pocket costs and expenses incurred by Administrative Agent, including, without limitation, the reasonable and documented fees and expenses of one deal counsel and one regulatory counsel retained by Administrative Agent, in connection with the negotiation, preparation, execution and delivery of this Agreement and all other instruments and documents contemplated hereby.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3" w:name="page84"/>
    <w:bookmarkEnd w:id="83"/>
    <w:p>
      <w:pPr>
        <w:ind w:left="40"/>
        <w:spacing w:after="0"/>
        <w:rPr>
          <w:sz w:val="20"/>
          <w:szCs w:val="20"/>
          <w:color w:val="auto"/>
        </w:rPr>
      </w:pPr>
      <w:r>
        <w:rPr>
          <w:rFonts w:ascii="Times New Roman" w:cs="Times New Roman" w:eastAsia="Times New Roman" w:hAnsi="Times New Roman"/>
          <w:sz w:val="18"/>
          <w:szCs w:val="18"/>
          <w:color w:val="auto"/>
        </w:rPr>
        <w:t>Fourth Amendment, Consent and Confirmation Agreement/ATN International, Inc.</w:t>
      </w:r>
    </w:p>
    <w:p>
      <w:pPr>
        <w:spacing w:after="0" w:line="200" w:lineRule="exact"/>
        <w:rPr>
          <w:sz w:val="20"/>
          <w:szCs w:val="20"/>
          <w:color w:val="auto"/>
        </w:rPr>
      </w:pPr>
    </w:p>
    <w:p>
      <w:pPr>
        <w:spacing w:after="0" w:line="384" w:lineRule="exact"/>
        <w:rPr>
          <w:sz w:val="20"/>
          <w:szCs w:val="20"/>
          <w:color w:val="auto"/>
        </w:rPr>
      </w:pPr>
    </w:p>
    <w:p>
      <w:pPr>
        <w:jc w:val="both"/>
        <w:ind w:left="40" w:right="39" w:firstLine="1075"/>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different parties hereto in separate counterparts, each of which when executed shall be deemed to be an original and shall be binding upon all parties and their respective permitted successors and assigns, and all of which taken together shall constitute one and the same agreement. Delivery of an executed counterpart of a signature page of this Agreement by facsimile or in electronic (i.e., “pdf” or “tif”) format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similar state laws based on the Uniform Electronic Transactions Act.</w:t>
      </w:r>
    </w:p>
    <w:p>
      <w:pPr>
        <w:spacing w:after="0" w:line="152" w:lineRule="exact"/>
        <w:rPr>
          <w:sz w:val="20"/>
          <w:szCs w:val="20"/>
          <w:color w:val="auto"/>
        </w:rPr>
      </w:pPr>
    </w:p>
    <w:p>
      <w:pPr>
        <w:jc w:val="both"/>
        <w:ind w:left="40" w:right="59" w:firstLine="1075"/>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Governed under Provisions of Credit Agreement</w:t>
      </w:r>
      <w:r>
        <w:rPr>
          <w:rFonts w:ascii="Times New Roman" w:cs="Times New Roman" w:eastAsia="Times New Roman" w:hAnsi="Times New Roman"/>
          <w:sz w:val="18"/>
          <w:szCs w:val="18"/>
          <w:color w:val="auto"/>
        </w:rPr>
        <w:t>. This Agreement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construed and enforced in accordance with all provisions of the Credit Agreement, including the governing law provisions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278765</wp:posOffset>
            </wp:positionV>
            <wp:extent cx="567626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76265" cy="21590"/>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84" w:name="page85"/>
    <w:bookmarkEnd w:id="84"/>
    <w:p>
      <w:pPr>
        <w:ind w:left="200" w:right="199"/>
        <w:spacing w:after="0" w:line="264" w:lineRule="auto"/>
        <w:rPr>
          <w:sz w:val="20"/>
          <w:szCs w:val="20"/>
          <w:color w:val="auto"/>
        </w:rPr>
      </w:pPr>
      <w:r>
        <w:rPr>
          <w:rFonts w:ascii="Times New Roman" w:cs="Times New Roman" w:eastAsia="Times New Roman" w:hAnsi="Times New Roman"/>
          <w:sz w:val="18"/>
          <w:szCs w:val="18"/>
          <w:color w:val="auto"/>
        </w:rPr>
        <w:t>Witness the due execution hereof by the respective duly authorized officers of the undersigned as of the date first written above.</w:t>
      </w:r>
    </w:p>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BORROWER:</w:t>
      </w:r>
    </w:p>
    <w:p>
      <w:pPr>
        <w:spacing w:after="0" w:line="1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/s/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11430</wp:posOffset>
            </wp:positionV>
            <wp:extent cx="25393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539365" cy="698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color w:val="auto"/>
        </w:rPr>
        <w:t>Justin D. Benincasa</w:t>
      </w:r>
    </w:p>
    <w:p>
      <w:pPr>
        <w:ind w:left="48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3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GUARANTORS:</w:t>
      </w:r>
    </w:p>
    <w:p>
      <w:pPr>
        <w:spacing w:after="0" w:line="1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COMMNET WIRELESS, LLC</w:t>
      </w:r>
    </w:p>
    <w:p>
      <w:pPr>
        <w:spacing w:after="0" w:line="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COMMNET FOUR CORNERS, LLC</w:t>
      </w:r>
    </w:p>
    <w:p>
      <w:pPr>
        <w:ind w:left="4440"/>
        <w:spacing w:after="0" w:line="233" w:lineRule="auto"/>
        <w:rPr>
          <w:sz w:val="20"/>
          <w:szCs w:val="20"/>
          <w:color w:val="auto"/>
        </w:rPr>
      </w:pPr>
      <w:r>
        <w:rPr>
          <w:rFonts w:ascii="Times New Roman" w:cs="Times New Roman" w:eastAsia="Times New Roman" w:hAnsi="Times New Roman"/>
          <w:sz w:val="18"/>
          <w:szCs w:val="18"/>
          <w:b w:val="1"/>
          <w:bCs w:val="1"/>
          <w:color w:val="auto"/>
        </w:rPr>
        <w:t>COMMNET OF ARIZONA,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GILA COUNTY WIRELESS,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EXCOMM,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COMMNET OF NEVADA, LLC</w:t>
      </w:r>
    </w:p>
    <w:p>
      <w:pPr>
        <w:ind w:left="4440"/>
        <w:spacing w:after="0" w:line="233" w:lineRule="auto"/>
        <w:rPr>
          <w:sz w:val="20"/>
          <w:szCs w:val="20"/>
          <w:color w:val="auto"/>
        </w:rPr>
      </w:pPr>
      <w:r>
        <w:rPr>
          <w:rFonts w:ascii="Times New Roman" w:cs="Times New Roman" w:eastAsia="Times New Roman" w:hAnsi="Times New Roman"/>
          <w:sz w:val="18"/>
          <w:szCs w:val="18"/>
          <w:b w:val="1"/>
          <w:bCs w:val="1"/>
          <w:color w:val="auto"/>
        </w:rPr>
        <w:t>TISDALE TELEPHONE COMPANY,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COMMNET OF GEORGIA,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COMMNET NEWCO,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COMMNET OF TEXAS, LLC</w:t>
      </w:r>
    </w:p>
    <w:p>
      <w:pPr>
        <w:ind w:left="4440"/>
        <w:spacing w:after="0" w:line="234" w:lineRule="auto"/>
        <w:rPr>
          <w:sz w:val="20"/>
          <w:szCs w:val="20"/>
          <w:color w:val="auto"/>
        </w:rPr>
      </w:pPr>
      <w:r>
        <w:rPr>
          <w:rFonts w:ascii="Times New Roman" w:cs="Times New Roman" w:eastAsia="Times New Roman" w:hAnsi="Times New Roman"/>
          <w:sz w:val="18"/>
          <w:szCs w:val="18"/>
          <w:b w:val="1"/>
          <w:bCs w:val="1"/>
          <w:color w:val="auto"/>
        </w:rPr>
        <w:t>ESSEXTEL, INC.</w:t>
      </w:r>
    </w:p>
    <w:p>
      <w:pPr>
        <w:ind w:left="4440"/>
        <w:spacing w:after="0"/>
        <w:rPr>
          <w:sz w:val="20"/>
          <w:szCs w:val="20"/>
          <w:color w:val="auto"/>
        </w:rPr>
      </w:pPr>
      <w:r>
        <w:rPr>
          <w:rFonts w:ascii="Times New Roman" w:cs="Times New Roman" w:eastAsia="Times New Roman" w:hAnsi="Times New Roman"/>
          <w:sz w:val="18"/>
          <w:szCs w:val="18"/>
          <w:b w:val="1"/>
          <w:bCs w:val="1"/>
          <w:color w:val="auto"/>
        </w:rPr>
        <w:t>TISDALE NEBRASKA, LLC</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/s/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11430</wp:posOffset>
            </wp:positionV>
            <wp:extent cx="25393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539365" cy="698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color w:val="auto"/>
        </w:rPr>
        <w:t>Justin D. Benincasa</w:t>
      </w:r>
    </w:p>
    <w:p>
      <w:pPr>
        <w:ind w:left="48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[Fourth Amendment, Consent and Confirmation Agreement – ATN International, Inc.]</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278765</wp:posOffset>
            </wp:positionV>
            <wp:extent cx="547687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476875"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[Signatures continued from previous page.]</w:t>
      </w:r>
    </w:p>
    <w:p>
      <w:pPr>
        <w:spacing w:after="0" w:line="3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ATN VI, INC.</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COMMNET WIRELESS SUBCO, LLC</w:t>
      </w:r>
    </w:p>
    <w:p>
      <w:pPr>
        <w:ind w:left="4380"/>
        <w:spacing w:after="0" w:line="233" w:lineRule="auto"/>
        <w:rPr>
          <w:sz w:val="20"/>
          <w:szCs w:val="20"/>
          <w:color w:val="auto"/>
        </w:rPr>
      </w:pPr>
      <w:r>
        <w:rPr>
          <w:rFonts w:ascii="Times New Roman" w:cs="Times New Roman" w:eastAsia="Times New Roman" w:hAnsi="Times New Roman"/>
          <w:sz w:val="18"/>
          <w:szCs w:val="18"/>
          <w:b w:val="1"/>
          <w:bCs w:val="1"/>
          <w:color w:val="auto"/>
        </w:rPr>
        <w:t>COMMNET AZ, LLC</w:t>
      </w:r>
    </w:p>
    <w:p>
      <w:pPr>
        <w:ind w:left="4380"/>
        <w:spacing w:after="0" w:line="234" w:lineRule="auto"/>
        <w:rPr>
          <w:sz w:val="20"/>
          <w:szCs w:val="20"/>
          <w:color w:val="auto"/>
        </w:rPr>
      </w:pPr>
      <w:r>
        <w:rPr>
          <w:rFonts w:ascii="Times New Roman" w:cs="Times New Roman" w:eastAsia="Times New Roman" w:hAnsi="Times New Roman"/>
          <w:sz w:val="18"/>
          <w:szCs w:val="18"/>
          <w:b w:val="1"/>
          <w:bCs w:val="1"/>
          <w:color w:val="auto"/>
        </w:rPr>
        <w:t>COMMNET NM, LLC</w:t>
      </w:r>
    </w:p>
    <w:p>
      <w:pPr>
        <w:ind w:left="4380"/>
        <w:spacing w:after="0" w:line="234" w:lineRule="auto"/>
        <w:rPr>
          <w:sz w:val="20"/>
          <w:szCs w:val="20"/>
          <w:color w:val="auto"/>
        </w:rPr>
      </w:pPr>
      <w:r>
        <w:rPr>
          <w:rFonts w:ascii="Times New Roman" w:cs="Times New Roman" w:eastAsia="Times New Roman" w:hAnsi="Times New Roman"/>
          <w:sz w:val="18"/>
          <w:szCs w:val="18"/>
          <w:b w:val="1"/>
          <w:bCs w:val="1"/>
          <w:color w:val="auto"/>
        </w:rPr>
        <w:t>COMMNET NEVADA SUBCO, LLC</w:t>
      </w:r>
    </w:p>
    <w:p>
      <w:pPr>
        <w:ind w:left="4380"/>
        <w:spacing w:after="0"/>
        <w:rPr>
          <w:sz w:val="20"/>
          <w:szCs w:val="20"/>
          <w:color w:val="auto"/>
        </w:rPr>
      </w:pPr>
      <w:r>
        <w:rPr>
          <w:rFonts w:ascii="Times New Roman" w:cs="Times New Roman" w:eastAsia="Times New Roman" w:hAnsi="Times New Roman"/>
          <w:sz w:val="17"/>
          <w:szCs w:val="17"/>
          <w:b w:val="1"/>
          <w:bCs w:val="1"/>
          <w:color w:val="auto"/>
        </w:rPr>
        <w:t>COMMNET FOUR CORNERS SUBCO, LLC</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CHOICE SPLASH, LLC</w:t>
      </w:r>
    </w:p>
    <w:p>
      <w:pPr>
        <w:ind w:left="4380"/>
        <w:spacing w:after="0" w:line="233" w:lineRule="auto"/>
        <w:rPr>
          <w:sz w:val="20"/>
          <w:szCs w:val="20"/>
          <w:color w:val="auto"/>
        </w:rPr>
      </w:pPr>
      <w:r>
        <w:rPr>
          <w:rFonts w:ascii="Times New Roman" w:cs="Times New Roman" w:eastAsia="Times New Roman" w:hAnsi="Times New Roman"/>
          <w:sz w:val="18"/>
          <w:szCs w:val="18"/>
          <w:b w:val="1"/>
          <w:bCs w:val="1"/>
          <w:color w:val="auto"/>
        </w:rPr>
        <w:t>COMMNET RURAL AMERICA, LLC</w:t>
      </w:r>
    </w:p>
    <w:p>
      <w:pPr>
        <w:ind w:left="4380"/>
        <w:spacing w:after="0" w:line="234" w:lineRule="auto"/>
        <w:rPr>
          <w:sz w:val="20"/>
          <w:szCs w:val="20"/>
          <w:color w:val="auto"/>
        </w:rPr>
      </w:pPr>
      <w:r>
        <w:rPr>
          <w:rFonts w:ascii="Times New Roman" w:cs="Times New Roman" w:eastAsia="Times New Roman" w:hAnsi="Times New Roman"/>
          <w:sz w:val="18"/>
          <w:szCs w:val="18"/>
          <w:b w:val="1"/>
          <w:bCs w:val="1"/>
          <w:color w:val="auto"/>
        </w:rPr>
        <w:t>WESTNET NEVADA, LLC</w:t>
      </w:r>
    </w:p>
    <w:p>
      <w:pPr>
        <w:ind w:left="4380"/>
        <w:spacing w:after="0" w:line="234" w:lineRule="auto"/>
        <w:rPr>
          <w:sz w:val="20"/>
          <w:szCs w:val="20"/>
          <w:color w:val="auto"/>
        </w:rPr>
      </w:pPr>
      <w:r>
        <w:rPr>
          <w:rFonts w:ascii="Times New Roman" w:cs="Times New Roman" w:eastAsia="Times New Roman" w:hAnsi="Times New Roman"/>
          <w:sz w:val="18"/>
          <w:szCs w:val="18"/>
          <w:b w:val="1"/>
          <w:bCs w:val="1"/>
          <w:color w:val="auto"/>
        </w:rPr>
        <w:t>ATN INTERNATIONAL SERVICES, LLC</w:t>
      </w:r>
    </w:p>
    <w:p>
      <w:pPr>
        <w:ind w:left="4380"/>
        <w:spacing w:after="0"/>
        <w:rPr>
          <w:sz w:val="20"/>
          <w:szCs w:val="20"/>
          <w:color w:val="auto"/>
        </w:rPr>
      </w:pPr>
      <w:r>
        <w:rPr>
          <w:rFonts w:ascii="Times New Roman" w:cs="Times New Roman" w:eastAsia="Times New Roman" w:hAnsi="Times New Roman"/>
          <w:sz w:val="18"/>
          <w:szCs w:val="18"/>
          <w:b w:val="1"/>
          <w:bCs w:val="1"/>
          <w:color w:val="auto"/>
        </w:rPr>
        <w:t>ATLANTIC TELE-NETWORK, LLC</w:t>
      </w:r>
    </w:p>
    <w:p>
      <w:pPr>
        <w:spacing w:after="0" w:line="37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11430</wp:posOffset>
            </wp:positionV>
            <wp:extent cx="25749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574925" cy="6985"/>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8"/>
          <w:szCs w:val="18"/>
          <w:color w:val="auto"/>
        </w:rPr>
        <w:t>Justin D. Benincasa</w:t>
      </w:r>
    </w:p>
    <w:p>
      <w:pPr>
        <w:ind w:left="4760"/>
        <w:spacing w:after="0"/>
        <w:rPr>
          <w:sz w:val="20"/>
          <w:szCs w:val="20"/>
          <w:color w:val="auto"/>
        </w:rPr>
      </w:pPr>
      <w:r>
        <w:rPr>
          <w:rFonts w:ascii="Times New Roman" w:cs="Times New Roman" w:eastAsia="Times New Roman" w:hAnsi="Times New Roman"/>
          <w:sz w:val="18"/>
          <w:szCs w:val="18"/>
          <w:color w:val="auto"/>
        </w:rPr>
        <w:t>Treasurer</w:t>
      </w:r>
    </w:p>
    <w:p>
      <w:pPr>
        <w:spacing w:after="0" w:line="3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SAL SPECTRUM LLC</w:t>
      </w:r>
    </w:p>
    <w:p>
      <w:pPr>
        <w:spacing w:after="0" w:line="2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ATN International, Inc., its Sole Member</w:t>
      </w:r>
    </w:p>
    <w:p>
      <w:pPr>
        <w:spacing w:after="0" w:line="19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/s/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11430</wp:posOffset>
            </wp:positionV>
            <wp:extent cx="23399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339975" cy="698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8"/>
          <w:szCs w:val="18"/>
          <w:color w:val="auto"/>
        </w:rPr>
        <w:t>Justin D. Benincasa</w:t>
      </w:r>
    </w:p>
    <w:p>
      <w:pPr>
        <w:ind w:left="5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[Fourth Amendment, Consent and Confirmation Agreement – ATN International, Inc.]</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48036719.13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278765</wp:posOffset>
            </wp:positionV>
            <wp:extent cx="547687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76875"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COBANK, ACB</w:t>
      </w:r>
      <w:r>
        <w:rPr>
          <w:rFonts w:ascii="Times New Roman" w:cs="Times New Roman" w:eastAsia="Times New Roman" w:hAnsi="Times New Roman"/>
          <w:sz w:val="18"/>
          <w:szCs w:val="18"/>
          <w:color w:val="auto"/>
        </w:rPr>
        <w:t>, as Administrative Agent and as a Lender</w:t>
      </w:r>
    </w:p>
    <w:p>
      <w:pPr>
        <w:spacing w:after="0" w:line="200" w:lineRule="exact"/>
        <w:rPr>
          <w:sz w:val="20"/>
          <w:szCs w:val="20"/>
          <w:color w:val="auto"/>
        </w:rPr>
      </w:pP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Gary Franke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11430</wp:posOffset>
            </wp:positionV>
            <wp:extent cx="256095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560955" cy="6985"/>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8"/>
          <w:szCs w:val="18"/>
          <w:color w:val="auto"/>
        </w:rPr>
        <w:t>Gary Franke</w:t>
      </w:r>
    </w:p>
    <w:p>
      <w:pPr>
        <w:ind w:left="47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b w:val="1"/>
          <w:bCs w:val="1"/>
          <w:color w:val="auto"/>
        </w:rPr>
        <w:t>FIFTH THIRD BANK</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Sergey Gevorgyan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Sergey Gevorgyan</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1619"/>
        <w:spacing w:after="0"/>
        <w:rPr>
          <w:sz w:val="20"/>
          <w:szCs w:val="20"/>
          <w:color w:val="auto"/>
        </w:rPr>
      </w:pPr>
      <w:r>
        <w:rPr>
          <w:rFonts w:ascii="Times New Roman" w:cs="Times New Roman" w:eastAsia="Times New Roman" w:hAnsi="Times New Roman"/>
          <w:sz w:val="18"/>
          <w:szCs w:val="18"/>
          <w:b w:val="1"/>
          <w:bCs w:val="1"/>
          <w:color w:val="auto"/>
        </w:rPr>
        <w:t>MUFG UNION BANK, N.A.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Colin Donnarumma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tab/>
        <w:t>Colin Donnarumma</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1279"/>
        <w:spacing w:after="0"/>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18"/>
          <w:szCs w:val="18"/>
          <w:color w:val="auto"/>
        </w:rPr>
        <w:t>, as a Lender</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Michelle C.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Michelle C. Phillips</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NORTHWEST FARM CREDIT SERVICES, FLCA</w:t>
      </w:r>
      <w:r>
        <w:rPr>
          <w:rFonts w:ascii="Times New Roman" w:cs="Times New Roman" w:eastAsia="Times New Roman" w:hAnsi="Times New Roman"/>
          <w:sz w:val="17"/>
          <w:szCs w:val="17"/>
          <w:color w:val="auto"/>
        </w:rPr>
        <w:t>, as a</w:t>
      </w:r>
    </w:p>
    <w:p>
      <w:pPr>
        <w:spacing w:after="0" w:line="3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Voting Participant</w:t>
      </w:r>
    </w:p>
    <w:p>
      <w:pPr>
        <w:spacing w:after="0" w:line="3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Jeremy A. Roewe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Jeremy A. Roewe</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AGFIRST FARM CREDIT BANK</w:t>
      </w:r>
      <w:r>
        <w:rPr>
          <w:rFonts w:ascii="Times New Roman" w:cs="Times New Roman" w:eastAsia="Times New Roman" w:hAnsi="Times New Roman"/>
          <w:sz w:val="18"/>
          <w:szCs w:val="18"/>
          <w:color w:val="auto"/>
        </w:rPr>
        <w:t>, as a Voting Participant</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Christopher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tab/>
        <w:t>Christopher Reynolds</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AMERICAN AGCREDIT, FLCA</w:t>
      </w:r>
      <w:r>
        <w:rPr>
          <w:rFonts w:ascii="Times New Roman" w:cs="Times New Roman" w:eastAsia="Times New Roman" w:hAnsi="Times New Roman"/>
          <w:sz w:val="18"/>
          <w:szCs w:val="18"/>
          <w:color w:val="auto"/>
        </w:rPr>
        <w:t>, as a Voting Participant</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Daniel K.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Daniel K. Hansen</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FARM CREDIT BANK OF TEXAS</w:t>
      </w:r>
      <w:r>
        <w:rPr>
          <w:rFonts w:ascii="Times New Roman" w:cs="Times New Roman" w:eastAsia="Times New Roman" w:hAnsi="Times New Roman"/>
          <w:sz w:val="18"/>
          <w:szCs w:val="18"/>
          <w:color w:val="auto"/>
        </w:rPr>
        <w:t>, as a Voting Participant</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John McCarty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John McCarty</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Director,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FARM CREDIT WEST, FLCA</w:t>
      </w:r>
      <w:r>
        <w:rPr>
          <w:rFonts w:ascii="Times New Roman" w:cs="Times New Roman" w:eastAsia="Times New Roman" w:hAnsi="Times New Roman"/>
          <w:sz w:val="18"/>
          <w:szCs w:val="18"/>
          <w:color w:val="auto"/>
        </w:rPr>
        <w:t>, as a Voting Participant</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Austin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Austin Taylor</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Vice President,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FARM CREDIT OF NEW MEXICO, FLCA</w:t>
      </w:r>
      <w:r>
        <w:rPr>
          <w:rFonts w:ascii="Times New Roman" w:cs="Times New Roman" w:eastAsia="Times New Roman" w:hAnsi="Times New Roman"/>
          <w:sz w:val="18"/>
          <w:szCs w:val="18"/>
          <w:color w:val="auto"/>
        </w:rPr>
        <w:t>, a wholly</w:t>
      </w:r>
    </w:p>
    <w:p>
      <w:pPr>
        <w:spacing w:after="0" w:line="1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owned subsidiary of Farm Credit of New Mexico, ACA, as a</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Voting Participant</w:t>
      </w:r>
    </w:p>
    <w:p>
      <w:pPr>
        <w:spacing w:after="0" w:line="37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Mitch Selking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Mitch Selking</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Director – Corporate Agribusiness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666750</wp:posOffset>
            </wp:positionV>
            <wp:extent cx="543433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[Signatures continued from previous page.]</w:t>
      </w:r>
    </w:p>
    <w:p>
      <w:pPr>
        <w:spacing w:after="0" w:line="372"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FARM CREDIT EAST, ACA</w:t>
      </w:r>
      <w:r>
        <w:rPr>
          <w:rFonts w:ascii="Times New Roman" w:cs="Times New Roman" w:eastAsia="Times New Roman" w:hAnsi="Times New Roman"/>
          <w:sz w:val="18"/>
          <w:szCs w:val="18"/>
          <w:color w:val="auto"/>
        </w:rPr>
        <w:t>, as a Voting Participant</w:t>
      </w:r>
    </w:p>
    <w:p>
      <w:pPr>
        <w:spacing w:after="0" w:line="200" w:lineRule="exact"/>
        <w:rPr>
          <w:sz w:val="20"/>
          <w:szCs w:val="20"/>
          <w:color w:val="auto"/>
        </w:rPr>
      </w:pPr>
    </w:p>
    <w:p>
      <w:pPr>
        <w:spacing w:after="0" w:line="20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Benjamin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11430</wp:posOffset>
            </wp:positionV>
            <wp:extent cx="26174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Name:</w:t>
        <w:tab/>
        <w:t>Benjamin Thompson</w:t>
      </w:r>
    </w:p>
    <w:p>
      <w:pPr>
        <w:ind w:left="466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539115</wp:posOffset>
            </wp:positionV>
            <wp:extent cx="543433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434330" cy="13970"/>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RULE 13a-14(a) OR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Michael T. Prior, certify that:</w:t>
      </w:r>
    </w:p>
    <w:p>
      <w:pPr>
        <w:spacing w:after="0" w:line="186" w:lineRule="exact"/>
        <w:rPr>
          <w:sz w:val="20"/>
          <w:szCs w:val="20"/>
          <w:color w:val="auto"/>
        </w:rPr>
      </w:pPr>
    </w:p>
    <w:p>
      <w:pPr>
        <w:ind w:left="720" w:hanging="368"/>
        <w:spacing w:after="0"/>
        <w:tabs>
          <w:tab w:leader="none" w:pos="7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ATN International, Inc.;</w:t>
      </w:r>
    </w:p>
    <w:p>
      <w:pPr>
        <w:spacing w:after="0" w:line="129" w:lineRule="exact"/>
        <w:rPr>
          <w:rFonts w:ascii="Times New Roman" w:cs="Times New Roman" w:eastAsia="Times New Roman" w:hAnsi="Times New Roman"/>
          <w:sz w:val="15"/>
          <w:szCs w:val="15"/>
          <w:color w:val="auto"/>
        </w:rPr>
      </w:pPr>
    </w:p>
    <w:p>
      <w:pPr>
        <w:ind w:left="720" w:right="200" w:hanging="368"/>
        <w:spacing w:after="0" w:line="277" w:lineRule="auto"/>
        <w:tabs>
          <w:tab w:leader="none" w:pos="7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5"/>
          <w:szCs w:val="15"/>
          <w:color w:val="auto"/>
        </w:rPr>
      </w:pPr>
    </w:p>
    <w:p>
      <w:pPr>
        <w:ind w:left="720" w:right="280" w:hanging="368"/>
        <w:spacing w:after="0" w:line="277" w:lineRule="auto"/>
        <w:tabs>
          <w:tab w:leader="none" w:pos="7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5"/>
          <w:szCs w:val="15"/>
          <w:color w:val="auto"/>
        </w:rPr>
      </w:pPr>
    </w:p>
    <w:p>
      <w:pPr>
        <w:ind w:left="720" w:right="100" w:hanging="368"/>
        <w:spacing w:after="0" w:line="263" w:lineRule="auto"/>
        <w:tabs>
          <w:tab w:leader="none" w:pos="7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5"/>
          <w:szCs w:val="15"/>
          <w:color w:val="auto"/>
        </w:rPr>
      </w:pPr>
    </w:p>
    <w:p>
      <w:pPr>
        <w:ind w:left="1540" w:right="260" w:hanging="359"/>
        <w:spacing w:after="0" w:line="263" w:lineRule="auto"/>
        <w:tabs>
          <w:tab w:leader="none" w:pos="1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5"/>
          <w:szCs w:val="15"/>
          <w:color w:val="auto"/>
        </w:rPr>
      </w:pPr>
    </w:p>
    <w:p>
      <w:pPr>
        <w:ind w:left="1540" w:right="520" w:hanging="359"/>
        <w:spacing w:after="0" w:line="263" w:lineRule="auto"/>
        <w:tabs>
          <w:tab w:leader="none" w:pos="1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5"/>
          <w:szCs w:val="15"/>
          <w:color w:val="auto"/>
        </w:rPr>
      </w:pPr>
    </w:p>
    <w:p>
      <w:pPr>
        <w:jc w:val="both"/>
        <w:ind w:left="1540" w:right="660" w:hanging="359"/>
        <w:spacing w:after="0" w:line="314" w:lineRule="auto"/>
        <w:tabs>
          <w:tab w:leader="none" w:pos="154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540" w:hanging="359"/>
        <w:spacing w:after="0" w:line="263" w:lineRule="auto"/>
        <w:tabs>
          <w:tab w:leader="none" w:pos="1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5"/>
          <w:szCs w:val="15"/>
          <w:color w:val="auto"/>
        </w:rPr>
      </w:pPr>
    </w:p>
    <w:p>
      <w:pPr>
        <w:ind w:left="720" w:right="620" w:hanging="368"/>
        <w:spacing w:after="0" w:line="277" w:lineRule="auto"/>
        <w:tabs>
          <w:tab w:leader="none" w:pos="7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5"/>
          <w:szCs w:val="15"/>
          <w:color w:val="auto"/>
        </w:rPr>
      </w:pPr>
    </w:p>
    <w:p>
      <w:pPr>
        <w:ind w:left="1540" w:right="160" w:hanging="359"/>
        <w:spacing w:after="0" w:line="277" w:lineRule="auto"/>
        <w:tabs>
          <w:tab w:leader="none" w:pos="1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5"/>
          <w:szCs w:val="15"/>
          <w:color w:val="auto"/>
        </w:rPr>
      </w:pPr>
    </w:p>
    <w:p>
      <w:pPr>
        <w:ind w:left="1540" w:right="140" w:hanging="359"/>
        <w:spacing w:after="0" w:line="277" w:lineRule="auto"/>
        <w:tabs>
          <w:tab w:leader="none" w:pos="1540"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ATN International, Inc.</w:t>
            </w:r>
          </w:p>
        </w:tc>
      </w:tr>
      <w:tr>
        <w:trPr>
          <w:trHeight w:val="359"/>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Michael T. Prior</w:t>
            </w:r>
          </w:p>
        </w:tc>
      </w:tr>
      <w:tr>
        <w:trPr>
          <w:trHeight w:val="156"/>
        </w:trPr>
        <w:tc>
          <w:tcPr>
            <w:tcW w:w="5460" w:type="dxa"/>
            <w:vAlign w:val="bottom"/>
          </w:tcPr>
          <w:p>
            <w:pPr>
              <w:spacing w:after="0"/>
              <w:rPr>
                <w:sz w:val="13"/>
                <w:szCs w:val="13"/>
                <w:color w:val="auto"/>
              </w:rPr>
            </w:pPr>
          </w:p>
        </w:tc>
        <w:tc>
          <w:tcPr>
            <w:tcW w:w="4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Michael T. Prior</w:t>
            </w:r>
          </w:p>
        </w:tc>
      </w:tr>
      <w:tr>
        <w:trPr>
          <w:trHeight w:val="193"/>
        </w:trPr>
        <w:tc>
          <w:tcPr>
            <w:tcW w:w="5460" w:type="dxa"/>
            <w:vAlign w:val="bottom"/>
          </w:tcPr>
          <w:p>
            <w:pPr>
              <w:spacing w:after="0"/>
              <w:rPr>
                <w:sz w:val="16"/>
                <w:szCs w:val="16"/>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664"/>
        </w:trPr>
        <w:tc>
          <w:tcPr>
            <w:tcW w:w="54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121" w:right="8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RULE 13a-14(a) OR RULE 15d-14(a),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OF 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Justin D. Benincasa, certify that:</w:t>
      </w:r>
    </w:p>
    <w:p>
      <w:pPr>
        <w:spacing w:after="0" w:line="186" w:lineRule="exact"/>
        <w:rPr>
          <w:sz w:val="20"/>
          <w:szCs w:val="20"/>
          <w:color w:val="auto"/>
        </w:rPr>
      </w:pPr>
    </w:p>
    <w:p>
      <w:pPr>
        <w:ind w:left="720" w:hanging="368"/>
        <w:spacing w:after="0"/>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quarterly report on Form 10-Q of ATN International, Inc.;</w:t>
      </w:r>
    </w:p>
    <w:p>
      <w:pPr>
        <w:spacing w:after="0" w:line="129" w:lineRule="exact"/>
        <w:rPr>
          <w:rFonts w:ascii="Times New Roman" w:cs="Times New Roman" w:eastAsia="Times New Roman" w:hAnsi="Times New Roman"/>
          <w:sz w:val="15"/>
          <w:szCs w:val="15"/>
          <w:color w:val="auto"/>
        </w:rPr>
      </w:pPr>
    </w:p>
    <w:p>
      <w:pPr>
        <w:ind w:left="720" w:right="200" w:hanging="368"/>
        <w:spacing w:after="0" w:line="277" w:lineRule="auto"/>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5"/>
          <w:szCs w:val="15"/>
          <w:color w:val="auto"/>
        </w:rPr>
      </w:pPr>
    </w:p>
    <w:p>
      <w:pPr>
        <w:ind w:left="720" w:right="280" w:hanging="368"/>
        <w:spacing w:after="0" w:line="277" w:lineRule="auto"/>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5"/>
          <w:szCs w:val="15"/>
          <w:color w:val="auto"/>
        </w:rPr>
      </w:pPr>
    </w:p>
    <w:p>
      <w:pPr>
        <w:ind w:left="720" w:right="100" w:hanging="368"/>
        <w:spacing w:after="0" w:line="263" w:lineRule="auto"/>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Times New Roman" w:cs="Times New Roman" w:eastAsia="Times New Roman" w:hAnsi="Times New Roman"/>
          <w:sz w:val="15"/>
          <w:szCs w:val="15"/>
          <w:color w:val="auto"/>
        </w:rPr>
      </w:pPr>
    </w:p>
    <w:p>
      <w:pPr>
        <w:ind w:left="1540" w:right="260" w:hanging="359"/>
        <w:spacing w:after="0" w:line="263" w:lineRule="auto"/>
        <w:tabs>
          <w:tab w:leader="none" w:pos="1540" w:val="left"/>
        </w:tabs>
        <w:numPr>
          <w:ilvl w:val="2"/>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5"/>
          <w:szCs w:val="15"/>
          <w:color w:val="auto"/>
        </w:rPr>
      </w:pPr>
    </w:p>
    <w:p>
      <w:pPr>
        <w:ind w:left="1540" w:right="520" w:hanging="359"/>
        <w:spacing w:after="0" w:line="263" w:lineRule="auto"/>
        <w:tabs>
          <w:tab w:leader="none" w:pos="1540" w:val="left"/>
        </w:tabs>
        <w:numPr>
          <w:ilvl w:val="2"/>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5"/>
          <w:szCs w:val="15"/>
          <w:color w:val="auto"/>
        </w:rPr>
      </w:pPr>
    </w:p>
    <w:p>
      <w:pPr>
        <w:jc w:val="both"/>
        <w:ind w:left="1540" w:right="660" w:hanging="359"/>
        <w:spacing w:after="0" w:line="314" w:lineRule="auto"/>
        <w:tabs>
          <w:tab w:leader="none" w:pos="1540" w:val="left"/>
        </w:tabs>
        <w:numPr>
          <w:ilvl w:val="2"/>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520" w:right="20" w:hanging="351"/>
        <w:spacing w:after="0" w:line="263" w:lineRule="auto"/>
        <w:tabs>
          <w:tab w:leader="none" w:pos="1520" w:val="left"/>
        </w:tabs>
        <w:numPr>
          <w:ilvl w:val="2"/>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5"/>
          <w:szCs w:val="15"/>
          <w:color w:val="auto"/>
        </w:rPr>
      </w:pPr>
    </w:p>
    <w:p>
      <w:pPr>
        <w:ind w:left="720" w:right="620" w:hanging="368"/>
        <w:spacing w:after="0" w:line="277" w:lineRule="auto"/>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5"/>
          <w:szCs w:val="15"/>
          <w:color w:val="auto"/>
        </w:rPr>
      </w:pPr>
    </w:p>
    <w:p>
      <w:pPr>
        <w:ind w:left="1520" w:right="180" w:hanging="351"/>
        <w:spacing w:after="0" w:line="277" w:lineRule="auto"/>
        <w:tabs>
          <w:tab w:leader="none" w:pos="152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5"/>
          <w:szCs w:val="15"/>
          <w:color w:val="auto"/>
        </w:rPr>
      </w:pPr>
    </w:p>
    <w:p>
      <w:pPr>
        <w:ind w:left="1540" w:right="140" w:hanging="359"/>
        <w:spacing w:after="0" w:line="277" w:lineRule="auto"/>
        <w:tabs>
          <w:tab w:leader="none" w:pos="1540" w:val="left"/>
        </w:tabs>
        <w:numPr>
          <w:ilvl w:val="2"/>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6960" w:type="dxa"/>
            <w:vAlign w:val="bottom"/>
            <w:gridSpan w:val="2"/>
          </w:tcPr>
          <w:p>
            <w:pPr>
              <w:ind w:left="1840"/>
              <w:spacing w:after="0"/>
              <w:rPr>
                <w:sz w:val="20"/>
                <w:szCs w:val="20"/>
                <w:color w:val="auto"/>
              </w:rPr>
            </w:pPr>
            <w:r>
              <w:rPr>
                <w:rFonts w:ascii="Times New Roman" w:cs="Times New Roman" w:eastAsia="Times New Roman" w:hAnsi="Times New Roman"/>
                <w:sz w:val="15"/>
                <w:szCs w:val="15"/>
                <w:color w:val="auto"/>
              </w:rPr>
              <w:t>ATN International, Inc.</w:t>
            </w:r>
          </w:p>
        </w:tc>
      </w:tr>
      <w:tr>
        <w:trPr>
          <w:trHeight w:val="359"/>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6960" w:type="dxa"/>
            <w:vAlign w:val="bottom"/>
            <w:gridSpan w:val="2"/>
          </w:tcPr>
          <w:p>
            <w:pPr>
              <w:ind w:left="1840"/>
              <w:spacing w:after="0"/>
              <w:rPr>
                <w:sz w:val="20"/>
                <w:szCs w:val="20"/>
                <w:color w:val="auto"/>
              </w:rPr>
            </w:pPr>
            <w:r>
              <w:rPr>
                <w:rFonts w:ascii="Times New Roman" w:cs="Times New Roman" w:eastAsia="Times New Roman" w:hAnsi="Times New Roman"/>
                <w:sz w:val="15"/>
                <w:szCs w:val="15"/>
                <w:color w:val="auto"/>
              </w:rPr>
              <w:t>By:   /s/ Justin D. Benincasa</w:t>
            </w:r>
          </w:p>
        </w:tc>
      </w:tr>
      <w:tr>
        <w:trPr>
          <w:trHeight w:val="156"/>
        </w:trPr>
        <w:tc>
          <w:tcPr>
            <w:tcW w:w="33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68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Justin D. Benincasa</w:t>
            </w:r>
          </w:p>
        </w:tc>
      </w:tr>
      <w:tr>
        <w:trPr>
          <w:trHeight w:val="193"/>
        </w:trPr>
        <w:tc>
          <w:tcPr>
            <w:tcW w:w="3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664"/>
        </w:trPr>
        <w:tc>
          <w:tcPr>
            <w:tcW w:w="3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121" w:right="819" w:bottom="1440" w:gutter="0" w:footer="0" w:header="0"/>
        </w:sectPr>
      </w:pPr>
    </w:p>
    <w:bookmarkStart w:id="99" w:name="page100"/>
    <w:bookmarkEnd w:id="99"/>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2" w:lineRule="exact"/>
        <w:rPr>
          <w:sz w:val="20"/>
          <w:szCs w:val="20"/>
          <w:color w:val="auto"/>
        </w:rPr>
      </w:pPr>
    </w:p>
    <w:p>
      <w:pPr>
        <w:ind w:left="20" w:right="119" w:firstLine="366"/>
        <w:spacing w:after="0" w:line="263" w:lineRule="auto"/>
        <w:rPr>
          <w:sz w:val="20"/>
          <w:szCs w:val="20"/>
          <w:color w:val="auto"/>
        </w:rPr>
      </w:pPr>
      <w:r>
        <w:rPr>
          <w:rFonts w:ascii="Times New Roman" w:cs="Times New Roman" w:eastAsia="Times New Roman" w:hAnsi="Times New Roman"/>
          <w:sz w:val="15"/>
          <w:szCs w:val="15"/>
          <w:color w:val="auto"/>
        </w:rPr>
        <w:t>In connection with the quarterly report on Form 10-Q of ATN International, Inc. (the “Company”) for the period ended September 30, 2022 as filed with the Securities and Exchange Commission on the date hereof (the “Report”), I, Michael T. Prior, President and Chief Executive Officer of the Company, certify, pursuant to 18 U.S.C. § 1350, as adopted pursuant to § 906 of the Sarbanes-Oxley Act of 2002, that:</w:t>
      </w:r>
    </w:p>
    <w:p>
      <w:pPr>
        <w:spacing w:after="0" w:line="150" w:lineRule="exact"/>
        <w:rPr>
          <w:sz w:val="20"/>
          <w:szCs w:val="20"/>
          <w:color w:val="auto"/>
        </w:rPr>
      </w:pPr>
    </w:p>
    <w:p>
      <w:pPr>
        <w:ind w:left="740" w:hanging="352"/>
        <w:spacing w:after="0"/>
        <w:tabs>
          <w:tab w:leader="none" w:pos="7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5" w:lineRule="exact"/>
        <w:rPr>
          <w:rFonts w:ascii="Times New Roman" w:cs="Times New Roman" w:eastAsia="Times New Roman" w:hAnsi="Times New Roman"/>
          <w:sz w:val="15"/>
          <w:szCs w:val="15"/>
          <w:color w:val="auto"/>
        </w:rPr>
      </w:pPr>
    </w:p>
    <w:p>
      <w:pPr>
        <w:ind w:left="740" w:right="259" w:hanging="352"/>
        <w:spacing w:after="0" w:line="277" w:lineRule="auto"/>
        <w:tabs>
          <w:tab w:leader="none" w:pos="7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ATN International, Inc.</w:t>
            </w:r>
          </w:p>
        </w:tc>
      </w:tr>
      <w:tr>
        <w:trPr>
          <w:trHeight w:val="359"/>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By: /s/ Michael T. Prior</w:t>
            </w: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1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Michael T. Prior</w:t>
            </w:r>
          </w:p>
        </w:tc>
      </w:tr>
      <w:tr>
        <w:trPr>
          <w:trHeight w:val="193"/>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664"/>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0" w:name="page101"/>
    <w:bookmarkEnd w:id="100"/>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72" w:lineRule="exact"/>
        <w:rPr>
          <w:sz w:val="20"/>
          <w:szCs w:val="20"/>
          <w:color w:val="auto"/>
        </w:rPr>
      </w:pPr>
    </w:p>
    <w:p>
      <w:pPr>
        <w:ind w:left="20" w:right="119" w:firstLine="366"/>
        <w:spacing w:after="0" w:line="263" w:lineRule="auto"/>
        <w:rPr>
          <w:sz w:val="20"/>
          <w:szCs w:val="20"/>
          <w:color w:val="auto"/>
        </w:rPr>
      </w:pPr>
      <w:r>
        <w:rPr>
          <w:rFonts w:ascii="Times New Roman" w:cs="Times New Roman" w:eastAsia="Times New Roman" w:hAnsi="Times New Roman"/>
          <w:sz w:val="15"/>
          <w:szCs w:val="15"/>
          <w:color w:val="auto"/>
        </w:rPr>
        <w:t>In connection with the quarterly report on Form 10-Q of ATN International, Inc. (the “Company”) for the period ended September 30, 2022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50" w:lineRule="exact"/>
        <w:rPr>
          <w:sz w:val="20"/>
          <w:szCs w:val="20"/>
          <w:color w:val="auto"/>
        </w:rPr>
      </w:pPr>
    </w:p>
    <w:p>
      <w:pPr>
        <w:ind w:left="740" w:hanging="352"/>
        <w:spacing w:after="0"/>
        <w:tabs>
          <w:tab w:leader="none" w:pos="7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5" w:lineRule="exact"/>
        <w:rPr>
          <w:rFonts w:ascii="Times New Roman" w:cs="Times New Roman" w:eastAsia="Times New Roman" w:hAnsi="Times New Roman"/>
          <w:sz w:val="15"/>
          <w:szCs w:val="15"/>
          <w:color w:val="auto"/>
        </w:rPr>
      </w:pPr>
    </w:p>
    <w:p>
      <w:pPr>
        <w:ind w:left="740" w:right="259" w:hanging="352"/>
        <w:spacing w:after="0" w:line="277" w:lineRule="auto"/>
        <w:tabs>
          <w:tab w:leader="none" w:pos="7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ATN International, Inc.</w:t>
            </w:r>
          </w:p>
        </w:tc>
      </w:tr>
      <w:tr>
        <w:trPr>
          <w:trHeight w:val="359"/>
        </w:trPr>
        <w:tc>
          <w:tcPr>
            <w:tcW w:w="3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Date: November 9, 2022</w:t>
            </w: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5"/>
                <w:szCs w:val="15"/>
                <w:color w:val="auto"/>
              </w:rPr>
              <w:t>By: /s/ Justin D. Benincasa</w:t>
            </w: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10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Justin D. Benincasa</w:t>
            </w:r>
          </w:p>
        </w:tc>
      </w:tr>
      <w:tr>
        <w:trPr>
          <w:trHeight w:val="193"/>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664"/>
        </w:trPr>
        <w:tc>
          <w:tcPr>
            <w:tcW w:w="20" w:type="dxa"/>
            <w:vAlign w:val="bottom"/>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3"/>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lvl w:ilvl="1">
      <w:lvlJc w:val="left"/>
      <w:lvlText w:val="(%2)"/>
      <w:numFmt w:val="decimal"/>
      <w:start w:val="1"/>
    </w:lvl>
  </w:abstractNum>
  <w:abstractNum w:abstractNumId="11">
    <w:nsid w:val="22221A70"/>
    <w:multiLevelType w:val="hybridMultilevel"/>
    <w:lvl w:ilvl="0">
      <w:lvlJc w:val="left"/>
      <w:lvlText w:val="%1."/>
      <w:numFmt w:val="decimal"/>
      <w:start w:val="14"/>
    </w:lvl>
    <w:lvl w:ilvl="1">
      <w:lvlJc w:val="left"/>
      <w:lvlText w:val="%2"/>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upperLetter"/>
      <w:start w:val="35"/>
    </w:lvl>
    <w:lvl w:ilvl="1">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lvl w:ilvl="1">
      <w:lvlJc w:val="left"/>
      <w:lvlText w:val="%2"/>
      <w:numFmt w:val="decimal"/>
      <w:start w:val="104"/>
    </w:lvl>
  </w:abstractNum>
  <w:abstractNum w:abstractNumId="33">
    <w:nsid w:val="1D4ED43B"/>
    <w:multiLevelType w:val="hybridMultilevel"/>
    <w:lvl w:ilvl="0">
      <w:lvlJc w:val="left"/>
      <w:lvlText w:val="**"/>
      <w:numFmt w:val="bullet"/>
      <w:start w:val="1"/>
    </w:lvl>
    <w:lvl w:ilvl="1">
      <w:lvlJc w:val="left"/>
      <w:lvlText w:val="%2"/>
      <w:numFmt w:val="decimal"/>
      <w:start w:val="1"/>
    </w:lvl>
  </w:abstractNum>
  <w:abstractNum w:abstractNumId="34">
    <w:nsid w:val="725A06FB"/>
    <w:multiLevelType w:val="hybridMultilevel"/>
    <w:lvl w:ilvl="0">
      <w:lvlJc w:val="left"/>
      <w:lvlText w:val="(%1)"/>
      <w:numFmt w:val="lowerRoman"/>
      <w:start w:val="3"/>
    </w:lvl>
  </w:abstractNum>
  <w:abstractNum w:abstractNumId="35">
    <w:nsid w:val="2CD89A32"/>
    <w:multiLevelType w:val="hybridMultilevel"/>
    <w:lvl w:ilvl="0">
      <w:lvlJc w:val="left"/>
      <w:lvlText w:val="(%1)"/>
      <w:numFmt w:val="lowerRoman"/>
      <w:start w:val="7"/>
    </w:lvl>
  </w:abstractNum>
  <w:abstractNum w:abstractNumId="36">
    <w:nsid w:val="57E4CCAF"/>
    <w:multiLevelType w:val="hybridMultilevel"/>
    <w:lvl w:ilvl="0">
      <w:lvlJc w:val="left"/>
      <w:lvlText w:val="(%1)"/>
      <w:numFmt w:val="upperLetter"/>
      <w:start w:val="1"/>
    </w:lvl>
  </w:abstractNum>
  <w:abstractNum w:abstractNumId="37">
    <w:nsid w:val="7A6D8D3C"/>
    <w:multiLevelType w:val="hybridMultilevel"/>
    <w:lvl w:ilvl="0">
      <w:lvlJc w:val="left"/>
      <w:lvlText w:val="(%1)"/>
      <w:numFmt w:val="upperLetter"/>
      <w:start w:val="2"/>
    </w:lvl>
  </w:abstractNum>
  <w:abstractNum w:abstractNumId="38">
    <w:nsid w:val="4B588F54"/>
    <w:multiLevelType w:val="hybridMultilevel"/>
    <w:lvl w:ilvl="0">
      <w:lvlJc w:val="left"/>
      <w:lvlText w:val="(%1)"/>
      <w:numFmt w:val="upperLetter"/>
      <w:start w:val="3"/>
    </w:lvl>
  </w:abstractNum>
  <w:abstractNum w:abstractNumId="39">
    <w:nsid w:val="542289EC"/>
    <w:multiLevelType w:val="hybridMultilevel"/>
    <w:lvl w:ilvl="0">
      <w:lvlJc w:val="left"/>
      <w:lvlText w:val="(%1)"/>
      <w:numFmt w:val="upperLetter"/>
      <w:start w:val="4"/>
    </w:lvl>
  </w:abstractNum>
  <w:abstractNum w:abstractNumId="40">
    <w:nsid w:val="6DE91B18"/>
    <w:multiLevelType w:val="hybridMultilevel"/>
    <w:lvl w:ilvl="0">
      <w:lvlJc w:val="left"/>
      <w:lvlText w:val="(%1)"/>
      <w:numFmt w:val="upperLetter"/>
      <w:start w:val="5"/>
    </w:lvl>
  </w:abstractNum>
  <w:abstractNum w:abstractNumId="41">
    <w:nsid w:val="38437FDB"/>
    <w:multiLevelType w:val="hybridMultilevel"/>
    <w:lvl w:ilvl="0">
      <w:lvlJc w:val="left"/>
      <w:lvlText w:val="(%1)"/>
      <w:numFmt w:val="upperLetter"/>
      <w:start w:val="6"/>
    </w:lvl>
  </w:abstractNum>
  <w:abstractNum w:abstractNumId="42">
    <w:nsid w:val="7644A45C"/>
    <w:multiLevelType w:val="hybridMultilevel"/>
    <w:lvl w:ilvl="0">
      <w:lvlJc w:val="left"/>
      <w:lvlText w:val="(%1)"/>
      <w:numFmt w:val="upperLetter"/>
      <w:start w:val="14"/>
    </w:lvl>
  </w:abstractNum>
  <w:abstractNum w:abstractNumId="43">
    <w:nsid w:val="32FFF902"/>
    <w:multiLevelType w:val="hybridMultilevel"/>
    <w:lvl w:ilvl="0">
      <w:lvlJc w:val="left"/>
      <w:lvlText w:val="(%1)"/>
      <w:numFmt w:val="upperLetter"/>
      <w:start w:val="7"/>
    </w:lvl>
  </w:abstractNum>
  <w:abstractNum w:abstractNumId="44">
    <w:nsid w:val="684A481A"/>
    <w:multiLevelType w:val="hybridMultilevel"/>
    <w:lvl w:ilvl="0">
      <w:lvlJc w:val="left"/>
      <w:lvlText w:val="(%1)"/>
      <w:numFmt w:val="upperLetter"/>
      <w:start w:val="1"/>
    </w:lvl>
  </w:abstractNum>
  <w:abstractNum w:abstractNumId="45">
    <w:nsid w:val="579478FE"/>
    <w:multiLevelType w:val="hybridMultilevel"/>
    <w:lvl w:ilvl="0">
      <w:lvlJc w:val="left"/>
      <w:lvlText w:val="(%1)"/>
      <w:numFmt w:val="upperLetter"/>
      <w:start w:val="2"/>
    </w:lvl>
    <w:lvl w:ilvl="1">
      <w:lvlJc w:val="left"/>
      <w:lvlText w:val="(%2)"/>
      <w:numFmt w:val="decimal"/>
      <w:start w:val="1"/>
    </w:lvl>
  </w:abstractNum>
  <w:abstractNum w:abstractNumId="46">
    <w:nsid w:val="749ABB43"/>
    <w:multiLevelType w:val="hybridMultilevel"/>
    <w:lvl w:ilvl="0">
      <w:lvlJc w:val="left"/>
      <w:lvlText w:val="(%1)"/>
      <w:numFmt w:val="upperLetter"/>
      <w:start w:val="8"/>
    </w:lvl>
  </w:abstractNum>
  <w:abstractNum w:abstractNumId="47">
    <w:nsid w:val="3DC240FB"/>
    <w:multiLevelType w:val="hybridMultilevel"/>
    <w:lvl w:ilvl="0">
      <w:lvlJc w:val="left"/>
      <w:lvlText w:val="(%1)"/>
      <w:numFmt w:val="upp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99" Type="http://schemas.openxmlformats.org/officeDocument/2006/relationships/hyperlink" Target="https://www.sec.gov/Archives/edgar/data/879585/000155837022012620/atni-202206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2022-11-09T12:25:08Z</dcterms:created>
  <dcterms:modified xsi:type="dcterms:W3CDTF">2022-11-09T12:25:08Z</dcterms:modified>
</cp:coreProperties>
</file>