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651700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005" cy="292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5170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005" cy="6985"/>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133985</wp:posOffset>
            </wp:positionV>
            <wp:extent cx="16275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364" w:lineRule="exact"/>
        <w:rPr>
          <w:sz w:val="24"/>
          <w:szCs w:val="24"/>
          <w:color w:val="auto"/>
        </w:rPr>
      </w:pPr>
    </w:p>
    <w:p>
      <w:pPr>
        <w:jc w:val="center"/>
        <w:ind w:right="-99"/>
        <w:spacing w:after="0"/>
        <w:rPr>
          <w:sz w:val="20"/>
          <w:szCs w:val="20"/>
          <w:color w:val="auto"/>
        </w:rPr>
      </w:pPr>
      <w:r>
        <w:rPr>
          <w:rFonts w:ascii="Arial" w:cs="Arial" w:eastAsia="Arial" w:hAnsi="Arial"/>
          <w:sz w:val="26"/>
          <w:szCs w:val="26"/>
          <w:b w:val="1"/>
          <w:bCs w:val="1"/>
          <w:color w:val="auto"/>
        </w:rPr>
        <w:t>Form 10-Q</w:t>
      </w:r>
    </w:p>
    <w:p>
      <w:pPr>
        <w:spacing w:after="0" w:line="147" w:lineRule="exact"/>
        <w:rPr>
          <w:sz w:val="24"/>
          <w:szCs w:val="24"/>
          <w:color w:val="auto"/>
        </w:rPr>
      </w:pPr>
    </w:p>
    <w:p>
      <w:pPr>
        <w:ind w:left="680" w:hanging="414"/>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127" w:lineRule="exact"/>
        <w:rPr>
          <w:sz w:val="24"/>
          <w:szCs w:val="24"/>
          <w:color w:val="auto"/>
        </w:rPr>
      </w:pPr>
    </w:p>
    <w:p>
      <w:pPr>
        <w:ind w:left="680" w:hanging="441"/>
        <w:spacing w:after="0"/>
        <w:tabs>
          <w:tab w:leader="none" w:pos="6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21590" cy="11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90" cy="115570"/>
                    </a:xfrm>
                    <a:prstGeom prst="rect">
                      <a:avLst/>
                    </a:prstGeom>
                    <a:noFill/>
                  </pic:spPr>
                </pic:pic>
              </a:graphicData>
            </a:graphic>
          </wp:anchor>
        </w:drawing>
      </w:r>
    </w:p>
    <w:p>
      <w:pPr>
        <w:spacing w:after="0" w:line="109" w:lineRule="exact"/>
        <w:rPr>
          <w:sz w:val="24"/>
          <w:szCs w:val="24"/>
          <w:color w:val="auto"/>
        </w:rPr>
      </w:pPr>
    </w:p>
    <w:tbl>
      <w:tblPr>
        <w:tblLayout w:type="fixed"/>
        <w:tblInd w:w="344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w w:val="91"/>
              </w:rPr>
              <w:t>For the transition period from</w:t>
            </w:r>
          </w:p>
        </w:tc>
        <w:tc>
          <w:tcPr>
            <w:tcW w:w="460" w:type="dxa"/>
            <w:vAlign w:val="bottom"/>
            <w:tcBorders>
              <w:bottom w:val="single" w:sz="8" w:color="auto"/>
            </w:tcBorders>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4"/>
                <w:szCs w:val="14"/>
                <w:b w:val="1"/>
                <w:bCs w:val="1"/>
                <w:color w:val="auto"/>
              </w:rPr>
              <w:t>to</w:t>
            </w:r>
          </w:p>
        </w:tc>
        <w:tc>
          <w:tcPr>
            <w:tcW w:w="440" w:type="dxa"/>
            <w:vAlign w:val="bottom"/>
            <w:tcBorders>
              <w:bottom w:val="single" w:sz="8" w:color="auto"/>
            </w:tcBorders>
          </w:tcPr>
          <w:p>
            <w:pPr>
              <w:spacing w:after="0"/>
              <w:rPr>
                <w:sz w:val="14"/>
                <w:szCs w:val="14"/>
                <w:color w:val="auto"/>
              </w:rPr>
            </w:pPr>
          </w:p>
        </w:tc>
      </w:tr>
      <w:tr>
        <w:trPr>
          <w:trHeight w:val="305"/>
        </w:trPr>
        <w:tc>
          <w:tcPr>
            <w:tcW w:w="3000" w:type="dxa"/>
            <w:vAlign w:val="bottom"/>
            <w:gridSpan w:val="4"/>
          </w:tcPr>
          <w:p>
            <w:pPr>
              <w:ind w:left="620"/>
              <w:spacing w:after="0"/>
              <w:rPr>
                <w:sz w:val="20"/>
                <w:szCs w:val="20"/>
                <w:color w:val="auto"/>
              </w:rPr>
            </w:pPr>
            <w:r>
              <w:rPr>
                <w:rFonts w:ascii="Arial" w:cs="Arial" w:eastAsia="Arial" w:hAnsi="Arial"/>
                <w:sz w:val="14"/>
                <w:szCs w:val="14"/>
                <w:b w:val="1"/>
                <w:bCs w:val="1"/>
                <w:color w:val="auto"/>
                <w:w w:val="98"/>
              </w:rPr>
              <w:t>Commission File Number 001-12593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140970</wp:posOffset>
            </wp:positionV>
            <wp:extent cx="16275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7505" cy="698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ATN INTERNATIONAL,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40"/>
          </w:cols>
          <w:pgMar w:left="820" w:top="585" w:right="939" w:bottom="1440" w:gutter="0" w:footer="0" w:header="0"/>
        </w:sectPr>
      </w:pPr>
    </w:p>
    <w:p>
      <w:pPr>
        <w:spacing w:after="0" w:line="116" w:lineRule="exact"/>
        <w:rPr>
          <w:sz w:val="24"/>
          <w:szCs w:val="24"/>
          <w:color w:val="auto"/>
        </w:rPr>
      </w:pPr>
    </w:p>
    <w:p>
      <w:pPr>
        <w:ind w:left="2340"/>
        <w:spacing w:after="0"/>
        <w:rPr>
          <w:sz w:val="20"/>
          <w:szCs w:val="20"/>
          <w:color w:val="auto"/>
        </w:rPr>
      </w:pPr>
      <w:r>
        <w:rPr>
          <w:rFonts w:ascii="Arial" w:cs="Arial" w:eastAsia="Arial" w:hAnsi="Arial"/>
          <w:sz w:val="11"/>
          <w:szCs w:val="11"/>
          <w:b w:val="1"/>
          <w:bCs w:val="1"/>
          <w:color w:val="auto"/>
        </w:rPr>
        <w:t>Delaware</w:t>
      </w:r>
    </w:p>
    <w:p>
      <w:pPr>
        <w:ind w:left="2020"/>
        <w:spacing w:after="0" w:line="237" w:lineRule="auto"/>
        <w:rPr>
          <w:sz w:val="20"/>
          <w:szCs w:val="20"/>
          <w:color w:val="auto"/>
        </w:rPr>
      </w:pPr>
      <w:r>
        <w:rPr>
          <w:rFonts w:ascii="Arial" w:cs="Arial" w:eastAsia="Arial" w:hAnsi="Arial"/>
          <w:sz w:val="10"/>
          <w:szCs w:val="10"/>
          <w:color w:val="auto"/>
        </w:rPr>
        <w:t>(State or other jurisdiction of</w:t>
      </w:r>
    </w:p>
    <w:p>
      <w:pPr>
        <w:ind w:left="2000"/>
        <w:spacing w:after="0"/>
        <w:rPr>
          <w:sz w:val="20"/>
          <w:szCs w:val="20"/>
          <w:color w:val="auto"/>
        </w:rPr>
      </w:pPr>
      <w:r>
        <w:rPr>
          <w:rFonts w:ascii="Arial" w:cs="Arial" w:eastAsia="Arial" w:hAnsi="Arial"/>
          <w:sz w:val="9"/>
          <w:szCs w:val="9"/>
          <w:color w:val="auto"/>
        </w:rPr>
        <w:t>incorporation or organization)</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60"/>
        <w:spacing w:after="0"/>
        <w:rPr>
          <w:sz w:val="20"/>
          <w:szCs w:val="20"/>
          <w:color w:val="auto"/>
        </w:rPr>
      </w:pPr>
      <w:r>
        <w:rPr>
          <w:rFonts w:ascii="Arial" w:cs="Arial" w:eastAsia="Arial" w:hAnsi="Arial"/>
          <w:sz w:val="11"/>
          <w:szCs w:val="11"/>
          <w:b w:val="1"/>
          <w:bCs w:val="1"/>
          <w:color w:val="auto"/>
        </w:rPr>
        <w:t>47-0728886</w:t>
      </w:r>
    </w:p>
    <w:p>
      <w:pPr>
        <w:jc w:val="center"/>
        <w:ind w:right="2060"/>
        <w:spacing w:after="0" w:line="237" w:lineRule="auto"/>
        <w:rPr>
          <w:sz w:val="20"/>
          <w:szCs w:val="20"/>
          <w:color w:val="auto"/>
        </w:rPr>
      </w:pPr>
      <w:r>
        <w:rPr>
          <w:rFonts w:ascii="Arial" w:cs="Arial" w:eastAsia="Arial" w:hAnsi="Arial"/>
          <w:sz w:val="10"/>
          <w:szCs w:val="10"/>
          <w:color w:val="auto"/>
        </w:rPr>
        <w:t>(I.R.S. Employer</w:t>
      </w:r>
    </w:p>
    <w:p>
      <w:pPr>
        <w:jc w:val="center"/>
        <w:ind w:right="2060"/>
        <w:spacing w:after="0"/>
        <w:rPr>
          <w:sz w:val="20"/>
          <w:szCs w:val="20"/>
          <w:color w:val="auto"/>
        </w:rPr>
      </w:pPr>
      <w:r>
        <w:rPr>
          <w:rFonts w:ascii="Arial" w:cs="Arial" w:eastAsia="Arial" w:hAnsi="Arial"/>
          <w:sz w:val="10"/>
          <w:szCs w:val="10"/>
          <w:color w:val="auto"/>
        </w:rPr>
        <w:t>Identification No.)</w:t>
      </w:r>
    </w:p>
    <w:p>
      <w:pPr>
        <w:spacing w:after="0" w:line="12" w:lineRule="exact"/>
        <w:rPr>
          <w:sz w:val="24"/>
          <w:szCs w:val="24"/>
          <w:color w:val="auto"/>
        </w:rPr>
      </w:pPr>
    </w:p>
    <w:p>
      <w:pPr>
        <w:sectPr>
          <w:pgSz w:w="11900" w:h="16838" w:orient="portrait"/>
          <w:cols w:equalWidth="0" w:num="2">
            <w:col w:w="6580" w:space="720"/>
            <w:col w:w="2840"/>
          </w:cols>
          <w:pgMar w:left="820" w:top="585" w:right="939" w:bottom="1440" w:gutter="0" w:footer="0" w:header="0"/>
          <w:type w:val="continuous"/>
        </w:sectPr>
      </w:pPr>
    </w:p>
    <w:p>
      <w:pPr>
        <w:ind w:left="1780"/>
        <w:spacing w:after="0"/>
        <w:rPr>
          <w:sz w:val="20"/>
          <w:szCs w:val="20"/>
          <w:color w:val="auto"/>
        </w:rPr>
      </w:pPr>
      <w:r>
        <w:rPr>
          <w:rFonts w:ascii="Arial" w:cs="Arial" w:eastAsia="Arial" w:hAnsi="Arial"/>
          <w:sz w:val="9"/>
          <w:szCs w:val="9"/>
          <w:b w:val="1"/>
          <w:bCs w:val="1"/>
          <w:color w:val="auto"/>
        </w:rPr>
        <w:t>500 Cummings Center, Suite 2450</w:t>
      </w:r>
    </w:p>
    <w:p>
      <w:pPr>
        <w:sectPr>
          <w:pgSz w:w="11900" w:h="16838" w:orient="portrait"/>
          <w:cols w:equalWidth="0" w:num="1">
            <w:col w:w="10140"/>
          </w:cols>
          <w:pgMar w:left="820" w:top="585" w:right="939" w:bottom="1440" w:gutter="0" w:footer="0" w:header="0"/>
          <w:type w:val="continuous"/>
        </w:sectPr>
      </w:pPr>
    </w:p>
    <w:p>
      <w:pPr>
        <w:jc w:val="center"/>
        <w:ind w:right="1460"/>
        <w:spacing w:after="0" w:line="211" w:lineRule="auto"/>
        <w:rPr>
          <w:sz w:val="20"/>
          <w:szCs w:val="20"/>
          <w:color w:val="auto"/>
        </w:rPr>
      </w:pPr>
      <w:r>
        <w:rPr>
          <w:rFonts w:ascii="Arial" w:cs="Arial" w:eastAsia="Arial" w:hAnsi="Arial"/>
          <w:sz w:val="11"/>
          <w:szCs w:val="11"/>
          <w:b w:val="1"/>
          <w:bCs w:val="1"/>
          <w:color w:val="auto"/>
        </w:rPr>
        <w:t>Beverly, Massachusetts</w:t>
      </w:r>
    </w:p>
    <w:p>
      <w:pPr>
        <w:jc w:val="center"/>
        <w:ind w:right="1460"/>
        <w:spacing w:after="0"/>
        <w:rPr>
          <w:sz w:val="20"/>
          <w:szCs w:val="20"/>
          <w:color w:val="auto"/>
        </w:rPr>
      </w:pPr>
      <w:r>
        <w:rPr>
          <w:rFonts w:ascii="Arial" w:cs="Arial" w:eastAsia="Arial" w:hAnsi="Arial"/>
          <w:sz w:val="9"/>
          <w:szCs w:val="9"/>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line="211" w:lineRule="auto"/>
        <w:rPr>
          <w:sz w:val="20"/>
          <w:szCs w:val="20"/>
          <w:color w:val="auto"/>
        </w:rPr>
      </w:pPr>
      <w:r>
        <w:rPr>
          <w:rFonts w:ascii="Arial" w:cs="Arial" w:eastAsia="Arial" w:hAnsi="Arial"/>
          <w:sz w:val="11"/>
          <w:szCs w:val="11"/>
          <w:b w:val="1"/>
          <w:bCs w:val="1"/>
          <w:color w:val="auto"/>
        </w:rPr>
        <w:t>01915</w:t>
      </w:r>
    </w:p>
    <w:p>
      <w:pPr>
        <w:jc w:val="center"/>
        <w:ind w:right="2220"/>
        <w:spacing w:after="0"/>
        <w:rPr>
          <w:sz w:val="20"/>
          <w:szCs w:val="20"/>
          <w:color w:val="auto"/>
        </w:rPr>
      </w:pPr>
      <w:r>
        <w:rPr>
          <w:rFonts w:ascii="Arial" w:cs="Arial" w:eastAsia="Arial" w:hAnsi="Arial"/>
          <w:sz w:val="9"/>
          <w:szCs w:val="9"/>
          <w:color w:val="auto"/>
        </w:rPr>
        <w:t>(Zip Code)</w:t>
      </w:r>
    </w:p>
    <w:p>
      <w:pPr>
        <w:spacing w:after="0" w:line="49" w:lineRule="exact"/>
        <w:rPr>
          <w:sz w:val="24"/>
          <w:szCs w:val="24"/>
          <w:color w:val="auto"/>
        </w:rPr>
      </w:pPr>
    </w:p>
    <w:p>
      <w:pPr>
        <w:sectPr>
          <w:pgSz w:w="11900" w:h="16838" w:orient="portrait"/>
          <w:cols w:equalWidth="0" w:num="2">
            <w:col w:w="6740" w:space="720"/>
            <w:col w:w="2680"/>
          </w:cols>
          <w:pgMar w:left="820" w:top="585" w:right="9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(978) 619-1300</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(Registrant’s telephone number, including area code)</w:t>
      </w:r>
    </w:p>
    <w:p>
      <w:pPr>
        <w:sectPr>
          <w:pgSz w:w="11900" w:h="16838" w:orient="portrait"/>
          <w:cols w:equalWidth="0" w:num="1">
            <w:col w:w="10140"/>
          </w:cols>
          <w:pgMar w:left="820" w:top="585" w:right="939" w:bottom="1440" w:gutter="0" w:footer="0" w:header="0"/>
          <w:type w:val="continuous"/>
        </w:sectPr>
      </w:pPr>
    </w:p>
    <w:p>
      <w:pPr>
        <w:spacing w:after="0" w:line="87"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1" w:lineRule="exact"/>
        <w:rPr>
          <w:sz w:val="24"/>
          <w:szCs w:val="24"/>
          <w:color w:val="auto"/>
        </w:rPr>
      </w:pPr>
    </w:p>
    <w:tbl>
      <w:tblPr>
        <w:tblLayout w:type="fixed"/>
        <w:tblInd w:w="1500" w:type="dxa"/>
        <w:tblCellMar>
          <w:top w:w="0" w:type="dxa"/>
          <w:left w:w="0" w:type="dxa"/>
          <w:bottom w:w="0" w:type="dxa"/>
          <w:right w:w="0" w:type="dxa"/>
        </w:tblCellMar>
      </w:tblPr>
      <w:tr>
        <w:trPr>
          <w:trHeight w:val="139"/>
        </w:trPr>
        <w:tc>
          <w:tcPr>
            <w:tcW w:w="2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Title of Each Class</w:t>
            </w:r>
          </w:p>
        </w:tc>
        <w:tc>
          <w:tcPr>
            <w:tcW w:w="25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Trading Symbol(s)</w:t>
            </w:r>
          </w:p>
        </w:tc>
        <w:tc>
          <w:tcPr>
            <w:tcW w:w="226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71"/>
        </w:trPr>
        <w:tc>
          <w:tcPr>
            <w:tcW w:w="22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r>
      <w:tr>
        <w:trPr>
          <w:trHeight w:val="194"/>
        </w:trPr>
        <w:tc>
          <w:tcPr>
            <w:tcW w:w="2440" w:type="dxa"/>
            <w:vAlign w:val="bottom"/>
            <w:gridSpan w:val="2"/>
          </w:tcPr>
          <w:p>
            <w:pPr>
              <w:jc w:val="center"/>
              <w:ind w:right="180"/>
              <w:spacing w:after="0"/>
              <w:rPr>
                <w:sz w:val="20"/>
                <w:szCs w:val="20"/>
                <w:color w:val="auto"/>
              </w:rPr>
            </w:pPr>
            <w:r>
              <w:rPr>
                <w:rFonts w:ascii="Arial" w:cs="Arial" w:eastAsia="Arial" w:hAnsi="Arial"/>
                <w:sz w:val="11"/>
                <w:szCs w:val="11"/>
                <w:color w:val="auto"/>
                <w:w w:val="86"/>
              </w:rPr>
              <w:t>Common Stock, par value $.01 per share</w:t>
            </w:r>
          </w:p>
        </w:tc>
        <w:tc>
          <w:tcPr>
            <w:tcW w:w="2560" w:type="dxa"/>
            <w:vAlign w:val="bottom"/>
            <w:gridSpan w:val="2"/>
          </w:tcPr>
          <w:p>
            <w:pPr>
              <w:jc w:val="center"/>
              <w:ind w:right="320"/>
              <w:spacing w:after="0"/>
              <w:rPr>
                <w:sz w:val="20"/>
                <w:szCs w:val="20"/>
                <w:color w:val="auto"/>
              </w:rPr>
            </w:pPr>
            <w:r>
              <w:rPr>
                <w:rFonts w:ascii="Arial" w:cs="Arial" w:eastAsia="Arial" w:hAnsi="Arial"/>
                <w:sz w:val="11"/>
                <w:szCs w:val="11"/>
                <w:color w:val="auto"/>
                <w:w w:val="95"/>
              </w:rPr>
              <w:t>ATNI</w:t>
            </w:r>
          </w:p>
        </w:tc>
        <w:tc>
          <w:tcPr>
            <w:tcW w:w="2260" w:type="dxa"/>
            <w:vAlign w:val="bottom"/>
          </w:tcPr>
          <w:p>
            <w:pPr>
              <w:jc w:val="center"/>
              <w:spacing w:after="0"/>
              <w:rPr>
                <w:sz w:val="20"/>
                <w:szCs w:val="20"/>
                <w:color w:val="auto"/>
              </w:rPr>
            </w:pPr>
            <w:r>
              <w:rPr>
                <w:rFonts w:ascii="Arial" w:cs="Arial" w:eastAsia="Arial" w:hAnsi="Arial"/>
                <w:sz w:val="11"/>
                <w:szCs w:val="11"/>
                <w:color w:val="auto"/>
                <w:w w:val="89"/>
              </w:rPr>
              <w:t>The Nasdaq Stock Market LLC</w:t>
            </w:r>
          </w:p>
        </w:tc>
      </w:tr>
    </w:tbl>
    <w:p>
      <w:pPr>
        <w:spacing w:after="0" w:line="51" w:lineRule="exact"/>
        <w:rPr>
          <w:sz w:val="24"/>
          <w:szCs w:val="24"/>
          <w:color w:val="auto"/>
        </w:rPr>
      </w:pPr>
    </w:p>
    <w:p>
      <w:pPr>
        <w:ind w:right="220" w:firstLine="273"/>
        <w:spacing w:after="0" w:line="177"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firstLine="273"/>
        <w:spacing w:after="0" w:line="17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140"/>
          </w:cols>
          <w:pgMar w:left="820" w:top="585" w:right="939" w:bottom="1440" w:gutter="0" w:footer="0" w:header="0"/>
          <w:type w:val="continuous"/>
        </w:sectPr>
      </w:pPr>
    </w:p>
    <w:p>
      <w:pPr>
        <w:spacing w:after="0" w:line="107" w:lineRule="exact"/>
        <w:rPr>
          <w:sz w:val="24"/>
          <w:szCs w:val="24"/>
          <w:color w:val="auto"/>
        </w:rPr>
      </w:pPr>
    </w:p>
    <w:p>
      <w:pPr>
        <w:ind w:left="1820"/>
        <w:spacing w:after="0" w:line="148" w:lineRule="exact"/>
        <w:rPr>
          <w:sz w:val="20"/>
          <w:szCs w:val="20"/>
          <w:color w:val="auto"/>
        </w:rPr>
      </w:pPr>
      <w:r>
        <w:rPr>
          <w:rFonts w:ascii="Arial" w:cs="Arial" w:eastAsia="Arial" w:hAnsi="Arial"/>
          <w:sz w:val="11"/>
          <w:szCs w:val="11"/>
          <w:color w:val="auto"/>
        </w:rPr>
        <w:t xml:space="preserve">Large accelerated filer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68" w:lineRule="exact"/>
        <w:rPr>
          <w:sz w:val="24"/>
          <w:szCs w:val="24"/>
          <w:color w:val="auto"/>
        </w:rPr>
      </w:pPr>
    </w:p>
    <w:p>
      <w:pPr>
        <w:sectPr>
          <w:pgSz w:w="11900" w:h="16838" w:orient="portrait"/>
          <w:cols w:equalWidth="0" w:num="2">
            <w:col w:w="6460" w:space="720"/>
            <w:col w:w="2960"/>
          </w:cols>
          <w:pgMar w:left="820" w:top="585" w:right="939" w:bottom="1440" w:gutter="0" w:footer="0" w:header="0"/>
          <w:type w:val="continuous"/>
        </w:sectPr>
      </w:pPr>
    </w:p>
    <w:p>
      <w:pPr>
        <w:ind w:left="1860"/>
        <w:spacing w:after="0" w:line="148" w:lineRule="exact"/>
        <w:rPr>
          <w:sz w:val="20"/>
          <w:szCs w:val="20"/>
          <w:color w:val="auto"/>
        </w:rPr>
      </w:pPr>
      <w:r>
        <w:rPr>
          <w:rFonts w:ascii="Arial" w:cs="Arial" w:eastAsia="Arial" w:hAnsi="Arial"/>
          <w:sz w:val="11"/>
          <w:szCs w:val="11"/>
          <w:color w:val="auto"/>
        </w:rPr>
        <w:t xml:space="preserve">Non-accelerated filer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Arial" w:cs="Arial" w:eastAsia="Arial" w:hAnsi="Arial"/>
          <w:sz w:val="11"/>
          <w:szCs w:val="11"/>
          <w:color w:val="auto"/>
        </w:rPr>
        <w:t xml:space="preserve">Smaller reporting company </w:t>
      </w:r>
      <w:r>
        <w:rPr>
          <w:rFonts w:ascii="Arial Unicode MS" w:cs="Arial Unicode MS" w:eastAsia="Arial Unicode MS" w:hAnsi="Arial Unicode MS"/>
          <w:sz w:val="11"/>
          <w:szCs w:val="11"/>
          <w:color w:val="auto"/>
        </w:rPr>
        <w:t>☐</w:t>
      </w:r>
    </w:p>
    <w:p>
      <w:pPr>
        <w:spacing w:after="0" w:line="200" w:lineRule="exact"/>
        <w:rPr>
          <w:sz w:val="24"/>
          <w:szCs w:val="24"/>
          <w:color w:val="auto"/>
        </w:rPr>
      </w:pPr>
    </w:p>
    <w:p>
      <w:pPr>
        <w:sectPr>
          <w:pgSz w:w="11900" w:h="16838" w:orient="portrait"/>
          <w:cols w:equalWidth="0" w:num="2">
            <w:col w:w="6180" w:space="720"/>
            <w:col w:w="3240"/>
          </w:cols>
          <w:pgMar w:left="820" w:top="585" w:right="939" w:bottom="1440" w:gutter="0" w:footer="0" w:header="0"/>
          <w:type w:val="continuous"/>
        </w:sectPr>
      </w:pPr>
    </w:p>
    <w:p>
      <w:pPr>
        <w:spacing w:after="0" w:line="6" w:lineRule="exact"/>
        <w:rPr>
          <w:sz w:val="24"/>
          <w:szCs w:val="24"/>
          <w:color w:val="auto"/>
        </w:rPr>
      </w:pPr>
    </w:p>
    <w:p>
      <w:pPr>
        <w:ind w:left="6900"/>
        <w:spacing w:after="0" w:line="148" w:lineRule="exact"/>
        <w:rPr>
          <w:sz w:val="20"/>
          <w:szCs w:val="20"/>
          <w:color w:val="auto"/>
        </w:rPr>
      </w:pPr>
      <w:r>
        <w:rPr>
          <w:rFonts w:ascii="Arial" w:cs="Arial" w:eastAsia="Arial" w:hAnsi="Arial"/>
          <w:sz w:val="11"/>
          <w:szCs w:val="11"/>
          <w:color w:val="auto"/>
        </w:rPr>
        <w:t xml:space="preserve">Emerging growth company </w:t>
      </w:r>
      <w:r>
        <w:rPr>
          <w:rFonts w:ascii="Arial Unicode MS" w:cs="Arial Unicode MS" w:eastAsia="Arial Unicode MS" w:hAnsi="Arial Unicode MS"/>
          <w:sz w:val="11"/>
          <w:szCs w:val="11"/>
          <w:color w:val="auto"/>
        </w:rPr>
        <w:t>☐</w:t>
      </w:r>
    </w:p>
    <w:p>
      <w:pPr>
        <w:sectPr>
          <w:pgSz w:w="11900" w:h="16838" w:orient="portrait"/>
          <w:cols w:equalWidth="0" w:num="1">
            <w:col w:w="10140"/>
          </w:cols>
          <w:pgMar w:left="820" w:top="585" w:right="939" w:bottom="1440" w:gutter="0" w:footer="0" w:header="0"/>
          <w:type w:val="continuous"/>
        </w:sectPr>
      </w:pPr>
    </w:p>
    <w:p>
      <w:pPr>
        <w:spacing w:after="0" w:line="219" w:lineRule="exact"/>
        <w:rPr>
          <w:sz w:val="24"/>
          <w:szCs w:val="24"/>
          <w:color w:val="auto"/>
        </w:rPr>
      </w:pPr>
    </w:p>
    <w:p>
      <w:pPr>
        <w:ind w:right="380" w:firstLine="273"/>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left="260"/>
        <w:spacing w:after="0" w:line="184" w:lineRule="exact"/>
        <w:tabs>
          <w:tab w:leader="none" w:pos="70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15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August 8, 2022, the registrant had outstanding 15,763,341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778510</wp:posOffset>
            </wp:positionV>
            <wp:extent cx="65170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005"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6517005"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005" cy="292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65170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005" cy="6985"/>
                    </a:xfrm>
                    <a:prstGeom prst="rect">
                      <a:avLst/>
                    </a:prstGeom>
                    <a:noFill/>
                  </pic:spPr>
                </pic:pic>
              </a:graphicData>
            </a:graphic>
          </wp:anchor>
        </w:drawing>
      </w:r>
    </w:p>
    <w:p>
      <w:pPr>
        <w:sectPr>
          <w:pgSz w:w="11900" w:h="16838" w:orient="portrait"/>
          <w:cols w:equalWidth="0" w:num="1">
            <w:col w:w="10140"/>
          </w:cols>
          <w:pgMar w:left="820" w:top="585" w:right="939" w:bottom="1440" w:gutter="0" w:footer="0" w:header="0"/>
          <w:type w:val="continuous"/>
        </w:sectPr>
      </w:pPr>
    </w:p>
    <w:bookmarkStart w:id="1" w:name="page2"/>
    <w:bookmarkEnd w:id="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ATN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Quarter Ended June 30, 2022</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340" w:type="dxa"/>
            <w:vAlign w:val="bottom"/>
            <w:tcBorders>
              <w:bottom w:val="single" w:sz="8" w:color="0000EE"/>
            </w:tcBorders>
            <w:gridSpan w:val="17"/>
          </w:tcPr>
          <w:p>
            <w:pPr>
              <w:spacing w:after="0"/>
              <w:rPr>
                <w:rFonts w:ascii="Arial" w:cs="Arial" w:eastAsia="Arial" w:hAnsi="Arial"/>
                <w:sz w:val="15"/>
                <w:szCs w:val="15"/>
                <w:color w:val="0000EE"/>
                <w:w w:val="97"/>
              </w:rPr>
            </w:pPr>
            <w:hyperlink w:anchor="page3">
              <w:r>
                <w:rPr>
                  <w:rFonts w:ascii="Arial" w:cs="Arial" w:eastAsia="Arial" w:hAnsi="Arial"/>
                  <w:sz w:val="15"/>
                  <w:szCs w:val="15"/>
                  <w:color w:val="0000EE"/>
                  <w:w w:val="97"/>
                </w:rPr>
                <w:t>CAUTIONARY STATEMENT REGARDING FORWARD LOOKING STATEMENTS</w:t>
              </w:r>
            </w:hyperlink>
          </w:p>
        </w:tc>
        <w:tc>
          <w:tcPr>
            <w:tcW w:w="2960" w:type="dxa"/>
            <w:vAlign w:val="bottom"/>
            <w:gridSpan w:val="7"/>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PART I—FINANCIAL INFORMATION</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Item 1   Unaudited Condensed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20"/>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Condensed Consolidated Balance Sheets at June 30, 2022 and December 31, 2021</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20" w:type="dxa"/>
            <w:vAlign w:val="bottom"/>
            <w:tcBorders>
              <w:bottom w:val="single" w:sz="8" w:color="0000EE"/>
            </w:tcBorders>
            <w:gridSpan w:val="18"/>
          </w:tcPr>
          <w:p>
            <w:pPr>
              <w:spacing w:after="0"/>
              <w:rPr>
                <w:rFonts w:ascii="Arial" w:cs="Arial" w:eastAsia="Arial" w:hAnsi="Arial"/>
                <w:sz w:val="15"/>
                <w:szCs w:val="15"/>
                <w:color w:val="0000EE"/>
                <w:w w:val="90"/>
              </w:rPr>
            </w:pPr>
            <w:hyperlink w:anchor="page5">
              <w:r>
                <w:rPr>
                  <w:rFonts w:ascii="Arial" w:cs="Arial" w:eastAsia="Arial" w:hAnsi="Arial"/>
                  <w:sz w:val="15"/>
                  <w:szCs w:val="15"/>
                  <w:color w:val="0000EE"/>
                  <w:w w:val="90"/>
                </w:rPr>
                <w:t>Condensed Consolidated Statements of Operations for the Three and Six Months Ended June 30, 2022 and 2021</w:t>
              </w:r>
            </w:hyperlink>
          </w:p>
        </w:tc>
        <w:tc>
          <w:tcPr>
            <w:tcW w:w="8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20"/>
          </w:tcPr>
          <w:p>
            <w:pPr>
              <w:spacing w:after="0"/>
              <w:rPr>
                <w:rFonts w:ascii="Arial" w:cs="Arial" w:eastAsia="Arial" w:hAnsi="Arial"/>
                <w:sz w:val="15"/>
                <w:szCs w:val="15"/>
                <w:color w:val="0000EE"/>
                <w:w w:val="93"/>
              </w:rPr>
            </w:pPr>
            <w:hyperlink w:anchor="page6">
              <w:r>
                <w:rPr>
                  <w:rFonts w:ascii="Arial" w:cs="Arial" w:eastAsia="Arial" w:hAnsi="Arial"/>
                  <w:sz w:val="15"/>
                  <w:szCs w:val="15"/>
                  <w:color w:val="0000EE"/>
                  <w:w w:val="93"/>
                </w:rPr>
                <w:t>Condensed Consolidated Statements of Comprehensive Income (Loss) for the Three and Six Months Ended June 30, 2022</w:t>
              </w:r>
            </w:hyperlink>
          </w:p>
        </w:tc>
        <w:tc>
          <w:tcPr>
            <w:tcW w:w="640" w:type="dxa"/>
            <w:vAlign w:val="bottom"/>
          </w:tcPr>
          <w:p>
            <w:pPr>
              <w:spacing w:after="0"/>
              <w:rPr>
                <w:sz w:val="24"/>
                <w:szCs w:val="24"/>
                <w:color w:val="auto"/>
              </w:rPr>
            </w:pPr>
          </w:p>
        </w:tc>
      </w:tr>
      <w:tr>
        <w:trPr>
          <w:trHeight w:val="162"/>
        </w:trPr>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0000EE"/>
              <w:bottom w:val="single" w:sz="8" w:color="0000EE"/>
            </w:tcBorders>
            <w:gridSpan w:val="4"/>
          </w:tcPr>
          <w:p>
            <w:pPr>
              <w:spacing w:after="0" w:line="162" w:lineRule="exact"/>
              <w:rPr>
                <w:rFonts w:ascii="Arial" w:cs="Arial" w:eastAsia="Arial" w:hAnsi="Arial"/>
                <w:sz w:val="15"/>
                <w:szCs w:val="15"/>
                <w:color w:val="0000EE"/>
                <w:w w:val="86"/>
              </w:rPr>
            </w:pPr>
            <w:hyperlink w:anchor="page6">
              <w:r>
                <w:rPr>
                  <w:rFonts w:ascii="Arial" w:cs="Arial" w:eastAsia="Arial" w:hAnsi="Arial"/>
                  <w:sz w:val="15"/>
                  <w:szCs w:val="15"/>
                  <w:color w:val="0000EE"/>
                  <w:w w:val="86"/>
                </w:rPr>
                <w:t>and 2021</w:t>
              </w:r>
            </w:hyperlink>
          </w:p>
        </w:tc>
        <w:tc>
          <w:tcPr>
            <w:tcW w:w="6860" w:type="dxa"/>
            <w:vAlign w:val="bottom"/>
            <w:tcBorders>
              <w:top w:val="single" w:sz="8" w:color="0000EE"/>
            </w:tcBorders>
            <w:gridSpan w:val="15"/>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Arial" w:cs="Arial" w:eastAsia="Arial" w:hAnsi="Arial"/>
                <w:sz w:val="15"/>
                <w:szCs w:val="15"/>
                <w:color w:val="0000EE"/>
                <w:w w:val="90"/>
              </w:rPr>
            </w:pPr>
            <w:hyperlink w:anchor="page7">
              <w:r>
                <w:rPr>
                  <w:rFonts w:ascii="Arial" w:cs="Arial" w:eastAsia="Arial" w:hAnsi="Arial"/>
                  <w:sz w:val="15"/>
                  <w:szCs w:val="15"/>
                  <w:color w:val="0000EE"/>
                  <w:w w:val="90"/>
                </w:rPr>
                <w:t>Condensed Consolidated Statements of Equity for the Three and Six Months Ended June 30, 2022 and 2021</w:t>
              </w:r>
            </w:hyperlink>
          </w:p>
        </w:tc>
        <w:tc>
          <w:tcPr>
            <w:tcW w:w="112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16"/>
          </w:tcPr>
          <w:p>
            <w:pPr>
              <w:spacing w:after="0"/>
              <w:rPr>
                <w:rFonts w:ascii="Arial" w:cs="Arial" w:eastAsia="Arial" w:hAnsi="Arial"/>
                <w:sz w:val="15"/>
                <w:szCs w:val="15"/>
                <w:color w:val="0000EE"/>
                <w:w w:val="90"/>
              </w:rPr>
            </w:pPr>
            <w:hyperlink w:anchor="page9">
              <w:r>
                <w:rPr>
                  <w:rFonts w:ascii="Arial" w:cs="Arial" w:eastAsia="Arial" w:hAnsi="Arial"/>
                  <w:sz w:val="15"/>
                  <w:szCs w:val="15"/>
                  <w:color w:val="0000EE"/>
                  <w:w w:val="90"/>
                </w:rPr>
                <w:t>Condensed Consolidated Statements of Cash Flows for Six Months Ended June 30, 2022 and 2021</w:t>
              </w:r>
            </w:hyperlink>
          </w:p>
        </w:tc>
        <w:tc>
          <w:tcPr>
            <w:tcW w:w="16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345"/>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EE"/>
            </w:tcBorders>
            <w:gridSpan w:val="12"/>
          </w:tcPr>
          <w:p>
            <w:pPr>
              <w:spacing w:after="0"/>
              <w:rPr>
                <w:rFonts w:ascii="Arial" w:cs="Arial" w:eastAsia="Arial" w:hAnsi="Arial"/>
                <w:sz w:val="15"/>
                <w:szCs w:val="15"/>
                <w:color w:val="0000EE"/>
                <w:w w:val="90"/>
              </w:rPr>
            </w:pPr>
            <w:hyperlink w:anchor="page10">
              <w:r>
                <w:rPr>
                  <w:rFonts w:ascii="Arial" w:cs="Arial" w:eastAsia="Arial" w:hAnsi="Arial"/>
                  <w:sz w:val="15"/>
                  <w:szCs w:val="15"/>
                  <w:color w:val="0000EE"/>
                  <w:w w:val="90"/>
                </w:rPr>
                <w:t>Notes to Unaudited Condensed Consolidated Financial Statements</w:t>
              </w:r>
            </w:hyperlink>
          </w:p>
        </w:tc>
        <w:tc>
          <w:tcPr>
            <w:tcW w:w="36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42">
              <w:r>
                <w:rPr>
                  <w:rFonts w:ascii="Arial" w:cs="Arial" w:eastAsia="Arial" w:hAnsi="Arial"/>
                  <w:sz w:val="15"/>
                  <w:szCs w:val="15"/>
                  <w:color w:val="0000EE"/>
                </w:rPr>
                <w:t>Item 2   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42-70</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780" w:type="dxa"/>
            <w:vAlign w:val="bottom"/>
            <w:tcBorders>
              <w:left w:val="single" w:sz="8" w:color="0000EE"/>
            </w:tcBorders>
            <w:gridSpan w:val="4"/>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Item 3   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20" w:type="dxa"/>
            <w:vAlign w:val="bottom"/>
            <w:tcBorders>
              <w:left w:val="single" w:sz="8" w:color="0000EE"/>
            </w:tcBorders>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Item 4   Controls and Procedures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PART II—OTHER INFORMATION</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345"/>
        </w:trPr>
        <w:tc>
          <w:tcPr>
            <w:tcW w:w="400" w:type="dxa"/>
            <w:vAlign w:val="bottom"/>
            <w:tcBorders>
              <w:top w:val="single" w:sz="8" w:color="0000EE"/>
            </w:tcBorders>
            <w:gridSpan w:val="2"/>
          </w:tcPr>
          <w:p>
            <w:pPr>
              <w:spacing w:after="0"/>
              <w:rPr>
                <w:rFonts w:ascii="Arial" w:cs="Arial" w:eastAsia="Arial" w:hAnsi="Arial"/>
                <w:sz w:val="15"/>
                <w:szCs w:val="15"/>
                <w:color w:val="0000EE"/>
                <w:w w:val="91"/>
              </w:rPr>
            </w:pPr>
            <w:hyperlink w:anchor="page70">
              <w:r>
                <w:rPr>
                  <w:rFonts w:ascii="Arial" w:cs="Arial" w:eastAsia="Arial" w:hAnsi="Arial"/>
                  <w:sz w:val="15"/>
                  <w:szCs w:val="15"/>
                  <w:color w:val="0000EE"/>
                  <w:w w:val="91"/>
                </w:rPr>
                <w:t>Item 1</w:t>
              </w:r>
            </w:hyperlink>
          </w:p>
        </w:tc>
        <w:tc>
          <w:tcPr>
            <w:tcW w:w="220" w:type="dxa"/>
            <w:vAlign w:val="bottom"/>
            <w:tcBorders>
              <w:top w:val="single" w:sz="8" w:color="0000EE"/>
            </w:tcBorders>
            <w:gridSpan w:val="2"/>
          </w:tcPr>
          <w:p>
            <w:pPr>
              <w:spacing w:after="0"/>
              <w:rPr>
                <w:sz w:val="24"/>
                <w:szCs w:val="24"/>
                <w:color w:val="auto"/>
              </w:rPr>
            </w:pPr>
          </w:p>
        </w:tc>
        <w:tc>
          <w:tcPr>
            <w:tcW w:w="1620" w:type="dxa"/>
            <w:vAlign w:val="bottom"/>
            <w:tcBorders>
              <w:top w:val="single" w:sz="8" w:color="0000EE"/>
            </w:tcBorders>
            <w:gridSpan w:val="8"/>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Legal Proceedings</w:t>
              </w:r>
            </w:hyperlink>
          </w:p>
        </w:tc>
        <w:tc>
          <w:tcPr>
            <w:tcW w:w="606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60" w:type="dxa"/>
            <w:vAlign w:val="bottom"/>
            <w:tcBorders>
              <w:left w:val="single" w:sz="8" w:color="0000EE"/>
            </w:tcBorders>
            <w:gridSpan w:val="5"/>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500" w:type="dxa"/>
            <w:vAlign w:val="bottom"/>
            <w:tcBorders>
              <w:bottom w:val="single" w:sz="8" w:color="0000EE"/>
            </w:tcBorders>
            <w:gridSpan w:val="3"/>
          </w:tcPr>
          <w:p>
            <w:pPr>
              <w:spacing w:after="0"/>
              <w:rPr>
                <w:rFonts w:ascii="Arial" w:cs="Arial" w:eastAsia="Arial" w:hAnsi="Arial"/>
                <w:sz w:val="15"/>
                <w:szCs w:val="15"/>
                <w:color w:val="0000EE"/>
                <w:w w:val="92"/>
              </w:rPr>
            </w:pPr>
            <w:hyperlink w:anchor="page71">
              <w:r>
                <w:rPr>
                  <w:rFonts w:ascii="Arial" w:cs="Arial" w:eastAsia="Arial" w:hAnsi="Arial"/>
                  <w:sz w:val="15"/>
                  <w:szCs w:val="15"/>
                  <w:color w:val="0000EE"/>
                  <w:w w:val="92"/>
                </w:rPr>
                <w:t>Item 1A</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bottom w:val="single" w:sz="8" w:color="0000EE"/>
            </w:tcBorders>
            <w:gridSpan w:val="4"/>
          </w:tcPr>
          <w:p>
            <w:pPr>
              <w:spacing w:after="0"/>
              <w:rPr>
                <w:rFonts w:ascii="Arial" w:cs="Arial" w:eastAsia="Arial" w:hAnsi="Arial"/>
                <w:sz w:val="15"/>
                <w:szCs w:val="15"/>
                <w:color w:val="0000EE"/>
                <w:w w:val="91"/>
              </w:rPr>
            </w:pPr>
            <w:hyperlink w:anchor="page71">
              <w:r>
                <w:rPr>
                  <w:rFonts w:ascii="Arial" w:cs="Arial" w:eastAsia="Arial" w:hAnsi="Arial"/>
                  <w:sz w:val="15"/>
                  <w:szCs w:val="15"/>
                  <w:color w:val="0000EE"/>
                  <w:w w:val="91"/>
                </w:rPr>
                <w:t>Risk Factors</w:t>
              </w:r>
            </w:hyperlink>
          </w:p>
        </w:tc>
        <w:tc>
          <w:tcPr>
            <w:tcW w:w="684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560" w:type="dxa"/>
            <w:vAlign w:val="bottom"/>
            <w:tcBorders>
              <w:left w:val="single" w:sz="8" w:color="0000EE"/>
            </w:tcBorders>
            <w:gridSpan w:val="5"/>
            <w:shd w:val="clear" w:color="auto" w:fill="0000EE"/>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400" w:type="dxa"/>
            <w:vAlign w:val="bottom"/>
            <w:gridSpan w:val="2"/>
          </w:tcPr>
          <w:p>
            <w:pPr>
              <w:spacing w:after="0"/>
              <w:rPr>
                <w:rFonts w:ascii="Arial" w:cs="Arial" w:eastAsia="Arial" w:hAnsi="Arial"/>
                <w:sz w:val="15"/>
                <w:szCs w:val="15"/>
                <w:color w:val="0000EE"/>
                <w:w w:val="91"/>
              </w:rPr>
            </w:pPr>
            <w:hyperlink w:anchor="page73">
              <w:r>
                <w:rPr>
                  <w:rFonts w:ascii="Arial" w:cs="Arial" w:eastAsia="Arial" w:hAnsi="Arial"/>
                  <w:sz w:val="15"/>
                  <w:szCs w:val="15"/>
                  <w:color w:val="0000EE"/>
                  <w:w w:val="91"/>
                </w:rPr>
                <w:t>Item 5</w:t>
              </w:r>
            </w:hyperlink>
          </w:p>
        </w:tc>
        <w:tc>
          <w:tcPr>
            <w:tcW w:w="220" w:type="dxa"/>
            <w:vAlign w:val="bottom"/>
            <w:gridSpan w:val="2"/>
          </w:tcPr>
          <w:p>
            <w:pPr>
              <w:spacing w:after="0"/>
              <w:rPr>
                <w:sz w:val="24"/>
                <w:szCs w:val="24"/>
                <w:color w:val="auto"/>
              </w:rPr>
            </w:pPr>
          </w:p>
        </w:tc>
        <w:tc>
          <w:tcPr>
            <w:tcW w:w="7680" w:type="dxa"/>
            <w:vAlign w:val="bottom"/>
            <w:gridSpan w:val="20"/>
          </w:tcPr>
          <w:p>
            <w:pPr>
              <w:spacing w:after="0"/>
              <w:rPr>
                <w:rFonts w:ascii="Arial" w:cs="Arial" w:eastAsia="Arial" w:hAnsi="Arial"/>
                <w:sz w:val="15"/>
                <w:szCs w:val="15"/>
                <w:color w:val="0000EE"/>
              </w:rPr>
            </w:pPr>
            <w:hyperlink w:anchor="page73">
              <w:r>
                <w:rPr>
                  <w:rFonts w:ascii="Arial" w:cs="Arial" w:eastAsia="Arial" w:hAnsi="Arial"/>
                  <w:sz w:val="15"/>
                  <w:szCs w:val="15"/>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400" w:type="dxa"/>
            <w:vAlign w:val="bottom"/>
            <w:gridSpan w:val="2"/>
          </w:tcPr>
          <w:p>
            <w:pPr>
              <w:spacing w:after="0"/>
              <w:rPr>
                <w:rFonts w:ascii="Arial" w:cs="Arial" w:eastAsia="Arial" w:hAnsi="Arial"/>
                <w:sz w:val="15"/>
                <w:szCs w:val="15"/>
                <w:color w:val="0000EE"/>
                <w:w w:val="91"/>
              </w:rPr>
            </w:pPr>
            <w:hyperlink w:anchor="page74">
              <w:r>
                <w:rPr>
                  <w:rFonts w:ascii="Arial" w:cs="Arial" w:eastAsia="Arial" w:hAnsi="Arial"/>
                  <w:sz w:val="15"/>
                  <w:szCs w:val="15"/>
                  <w:color w:val="0000EE"/>
                  <w:w w:val="91"/>
                </w:rPr>
                <w:t>Item 6</w:t>
              </w:r>
            </w:hyperlink>
          </w:p>
        </w:tc>
        <w:tc>
          <w:tcPr>
            <w:tcW w:w="220" w:type="dxa"/>
            <w:vAlign w:val="bottom"/>
            <w:gridSpan w:val="2"/>
          </w:tcPr>
          <w:p>
            <w:pPr>
              <w:spacing w:after="0"/>
              <w:rPr>
                <w:sz w:val="24"/>
                <w:szCs w:val="24"/>
                <w:color w:val="auto"/>
              </w:rPr>
            </w:pPr>
          </w:p>
        </w:tc>
        <w:tc>
          <w:tcPr>
            <w:tcW w:w="7680" w:type="dxa"/>
            <w:vAlign w:val="bottom"/>
            <w:gridSpan w:val="20"/>
          </w:tcPr>
          <w:p>
            <w:pPr>
              <w:spacing w:after="0"/>
              <w:rPr>
                <w:rFonts w:ascii="Arial" w:cs="Arial" w:eastAsia="Arial" w:hAnsi="Arial"/>
                <w:sz w:val="15"/>
                <w:szCs w:val="15"/>
                <w:color w:val="0000EE"/>
              </w:rPr>
            </w:pPr>
            <w:hyperlink w:anchor="page74">
              <w:r>
                <w:rPr>
                  <w:rFonts w:ascii="Arial" w:cs="Arial" w:eastAsia="Arial" w:hAnsi="Arial"/>
                  <w:sz w:val="15"/>
                  <w:szCs w:val="15"/>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8300" w:type="dxa"/>
            <w:vAlign w:val="bottom"/>
            <w:gridSpan w:val="24"/>
          </w:tcPr>
          <w:p>
            <w:pPr>
              <w:spacing w:after="0"/>
              <w:rPr>
                <w:rFonts w:ascii="Arial" w:cs="Arial" w:eastAsia="Arial" w:hAnsi="Arial"/>
                <w:sz w:val="15"/>
                <w:szCs w:val="15"/>
                <w:color w:val="0000EE"/>
              </w:rPr>
            </w:pPr>
            <w:hyperlink w:anchor="page75">
              <w:r>
                <w:rPr>
                  <w:rFonts w:ascii="Arial" w:cs="Arial" w:eastAsia="Arial" w:hAnsi="Arial"/>
                  <w:sz w:val="15"/>
                  <w:szCs w:val="15"/>
                  <w:color w:val="0000EE"/>
                </w:rPr>
                <w:t>SIGNATURES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0"/>
        </w:trPr>
        <w:tc>
          <w:tcPr>
            <w:tcW w:w="920" w:type="dxa"/>
            <w:vAlign w:val="bottom"/>
            <w:gridSpan w:val="6"/>
            <w:shd w:val="clear" w:color="auto" w:fill="0000EE"/>
          </w:tcPr>
          <w:p>
            <w:pPr>
              <w:spacing w:after="0" w:line="20" w:lineRule="exact"/>
              <w:rPr>
                <w:sz w:val="1"/>
                <w:szCs w:val="1"/>
                <w:color w:val="auto"/>
              </w:rPr>
            </w:pPr>
          </w:p>
        </w:tc>
        <w:tc>
          <w:tcPr>
            <w:tcW w:w="738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7"/>
        </w:trPr>
        <w:tc>
          <w:tcPr>
            <w:tcW w:w="8300" w:type="dxa"/>
            <w:vAlign w:val="bottom"/>
            <w:gridSpan w:val="24"/>
          </w:tcPr>
          <w:p>
            <w:pPr>
              <w:spacing w:after="0"/>
              <w:rPr>
                <w:sz w:val="20"/>
                <w:szCs w:val="20"/>
                <w:color w:val="auto"/>
              </w:rPr>
            </w:pPr>
            <w:r>
              <w:rPr>
                <w:rFonts w:ascii="Arial" w:cs="Arial" w:eastAsia="Arial" w:hAnsi="Arial"/>
                <w:sz w:val="15"/>
                <w:szCs w:val="15"/>
                <w:color w:val="auto"/>
              </w:rPr>
              <w:t>CERTIFICATIONS</w:t>
            </w:r>
          </w:p>
        </w:tc>
        <w:tc>
          <w:tcPr>
            <w:tcW w:w="640" w:type="dxa"/>
            <w:vAlign w:val="bottom"/>
          </w:tcPr>
          <w:p>
            <w:pPr>
              <w:spacing w:after="0"/>
              <w:rPr>
                <w:sz w:val="24"/>
                <w:szCs w:val="24"/>
                <w:color w:val="auto"/>
              </w:rPr>
            </w:pPr>
          </w:p>
        </w:tc>
      </w:tr>
      <w:tr>
        <w:trPr>
          <w:trHeight w:val="923"/>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12"/>
          </w:tcPr>
          <w:p>
            <w:pPr>
              <w:ind w:left="3800"/>
              <w:spacing w:after="0"/>
              <w:rPr>
                <w:sz w:val="20"/>
                <w:szCs w:val="20"/>
                <w:color w:val="auto"/>
              </w:rPr>
            </w:pPr>
            <w:r>
              <w:rPr>
                <w:rFonts w:ascii="Arial" w:cs="Arial" w:eastAsia="Arial" w:hAnsi="Arial"/>
                <w:sz w:val="15"/>
                <w:szCs w:val="15"/>
                <w:color w:val="auto"/>
              </w:rPr>
              <w:t>2</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1"/>
        </w:trPr>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2" w:name="page3"/>
    <w:bookmarkEnd w:id="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96" w:lineRule="exact"/>
        <w:rPr>
          <w:sz w:val="20"/>
          <w:szCs w:val="20"/>
          <w:color w:val="auto"/>
        </w:rPr>
      </w:pPr>
    </w:p>
    <w:p>
      <w:pPr>
        <w:jc w:val="both"/>
        <w:ind w:left="40" w:right="39" w:firstLine="547"/>
        <w:spacing w:after="0" w:line="273" w:lineRule="auto"/>
        <w:rPr>
          <w:sz w:val="20"/>
          <w:szCs w:val="20"/>
          <w:color w:val="auto"/>
        </w:rPr>
      </w:pPr>
      <w:r>
        <w:rPr>
          <w:rFonts w:ascii="Arial" w:cs="Arial" w:eastAsia="Arial" w:hAnsi="Arial"/>
          <w:sz w:val="14"/>
          <w:szCs w:val="14"/>
          <w:color w:val="auto"/>
        </w:rPr>
        <w:t>This Quarterly Report on Form 10-Q (or the “Report”) contains forward-looking statements relating to, among other matters, our future financial performance and results of operations, including our expectations regarding the benefits of our acquisition of Alaska Communications; the impact of federal support program revenues; expectations regarding future revenue, operating income, EBITDA and capital expenditures; the competitive environment in our key markets, demand for our services and industry trends; our expectations regarding construction progress under our agreement as part of the FirstNet Transaction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successfully transition our U.S. Telecom business away from wholesale wireless to other carrier and consumer-based services; (2) our ability to replace and remove all ZTE equipment in our U.S. network, as required by the FCC in a timely and cost-effective manner; (3) the general performance of our operations, including operating margins, revenues, capital expenditures, and the retention of and future growth of our subscriber base and average revenue per user; (4) our ability to realize cost synergies and expansion plans for our newly acquired Alaska Communications business; (5) our ability to satisfy the needs and demands of our major carrier customers; (6) our ability to efficiently and cost-effectively upgrade our networks and IT platforms to address rapid and significant technological changes in the telecommunications industry; (7) government funding and subsidy program availability and regulation of our businesses, which may impact our revenue, expansion plans and operating costs; (8) our reliance on a limited number of key suppliers and vendors for timely supply of equipment and services relating to our network infrastructure; (9) economic, political and other risks and opportunities facing our operations, including those resulting from the pandemic, geopolitical tensions, including the invasion of Ukraine, and from inflation, including increased costs and supply chain disruptions; (10) the loss of or an inability to recruit skilled personnel in our various jurisdictions, including key members of management; (11) our ability to find investment or acquisition or disposition opportunities that fit our strategic goals; (12) the occurrence of weather events and natural catastrophes and our ability to secure the appropriate level of insurance coverage for these assets; (13) increased competition; (14) the adequacy and expansion capabilities of our network capacity and customer service system to support our customer growth; (15) our continued access to capital and credit markets; and (16) our ability to successfully complete our pending acquisition of Sacred Wind Enterprises and recognize the expected benefits of such acquisition.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2021, filed with the SEC on March 16, 2022, and the other reports we file from time to time with the SEC. We undertake no obligation and have no intention to update these forward-looking statements to reflect actual results, changes in assumptions or changes in other factors that may affect such forward-looking statements, except as required by law.</w:t>
      </w:r>
    </w:p>
    <w:p>
      <w:pPr>
        <w:spacing w:after="0" w:line="158" w:lineRule="exact"/>
        <w:rPr>
          <w:sz w:val="20"/>
          <w:szCs w:val="20"/>
          <w:color w:val="auto"/>
        </w:rPr>
      </w:pPr>
    </w:p>
    <w:p>
      <w:pPr>
        <w:ind w:left="40" w:right="139" w:firstLine="547"/>
        <w:spacing w:after="0" w:line="316" w:lineRule="auto"/>
        <w:rPr>
          <w:sz w:val="20"/>
          <w:szCs w:val="20"/>
          <w:color w:val="auto"/>
        </w:rPr>
      </w:pPr>
      <w:r>
        <w:rPr>
          <w:rFonts w:ascii="Arial" w:cs="Arial" w:eastAsia="Arial" w:hAnsi="Arial"/>
          <w:sz w:val="14"/>
          <w:szCs w:val="14"/>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 w:name="page4"/>
    <w:bookmarkEnd w:id="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 Unaudited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ATN INTERNATIONAL, INC.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Data)</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80"/>
              <w:spacing w:after="0"/>
              <w:rPr>
                <w:sz w:val="20"/>
                <w:szCs w:val="20"/>
                <w:color w:val="auto"/>
              </w:rPr>
            </w:pPr>
            <w:r>
              <w:rPr>
                <w:rFonts w:ascii="Arial" w:cs="Arial" w:eastAsia="Arial" w:hAnsi="Arial"/>
                <w:sz w:val="11"/>
                <w:szCs w:val="11"/>
                <w:b w:val="1"/>
                <w:bCs w:val="1"/>
                <w:color w:val="auto"/>
                <w:w w:val="95"/>
              </w:rPr>
              <w:t>June 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ind w:right="60"/>
              <w:spacing w:after="0"/>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9"/>
        </w:trPr>
        <w:tc>
          <w:tcPr>
            <w:tcW w:w="68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2022</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ind w:left="3260"/>
              <w:spacing w:after="0" w:line="117" w:lineRule="exact"/>
              <w:rPr>
                <w:sz w:val="20"/>
                <w:szCs w:val="20"/>
                <w:color w:val="auto"/>
              </w:rPr>
            </w:pPr>
            <w:r>
              <w:rPr>
                <w:rFonts w:ascii="Arial" w:cs="Arial" w:eastAsia="Arial" w:hAnsi="Arial"/>
                <w:sz w:val="12"/>
                <w:szCs w:val="12"/>
                <w:b w:val="1"/>
                <w:bCs w:val="1"/>
                <w:color w:val="auto"/>
              </w:rPr>
              <w:t>ASSETS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spacing w:after="0" w:line="125" w:lineRule="exact"/>
              <w:rPr>
                <w:sz w:val="20"/>
                <w:szCs w:val="20"/>
                <w:color w:val="auto"/>
              </w:rPr>
            </w:pPr>
            <w:r>
              <w:rPr>
                <w:rFonts w:ascii="Arial" w:cs="Arial" w:eastAsia="Arial" w:hAnsi="Arial"/>
                <w:sz w:val="12"/>
                <w:szCs w:val="12"/>
                <w:color w:val="auto"/>
              </w:rPr>
              <w:t>Current Assets: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Cash and cash equivalents</w:t>
            </w:r>
          </w:p>
        </w:tc>
        <w:tc>
          <w:tcPr>
            <w:tcW w:w="480" w:type="dxa"/>
            <w:vAlign w:val="bottom"/>
            <w:gridSpan w:val="2"/>
            <w:shd w:val="clear" w:color="auto" w:fill="CCEEFF"/>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71,061</w:t>
            </w:r>
          </w:p>
        </w:tc>
        <w:tc>
          <w:tcPr>
            <w:tcW w:w="22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79,601</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Restricted cash</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1,099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1,096</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Short-term investments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300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Accounts receivable, net of allowances for credit losses of $15.7 million and $13.9 million, respectively</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70,627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73,701</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Customer receivable</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6,239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4,145</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Inventory, materials and supplies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9,238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10,177</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Prepayments and other current assets</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65,716</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63,597</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tcPr>
          <w:p>
            <w:pPr>
              <w:ind w:left="180"/>
              <w:spacing w:after="0" w:line="117" w:lineRule="exact"/>
              <w:rPr>
                <w:sz w:val="20"/>
                <w:szCs w:val="20"/>
                <w:color w:val="auto"/>
              </w:rPr>
            </w:pPr>
            <w:r>
              <w:rPr>
                <w:rFonts w:ascii="Arial" w:cs="Arial" w:eastAsia="Arial" w:hAnsi="Arial"/>
                <w:sz w:val="12"/>
                <w:szCs w:val="12"/>
                <w:color w:val="auto"/>
              </w:rPr>
              <w:t>Total current assets</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224,280</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232,617</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Fixed Assets: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Property, plant and equipment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1,801,867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1,748,092</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Less accumulated depreciation</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(861,594)</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(804,883)</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tcPr>
          <w:p>
            <w:pPr>
              <w:ind w:left="180"/>
              <w:spacing w:after="0" w:line="117" w:lineRule="exact"/>
              <w:rPr>
                <w:sz w:val="20"/>
                <w:szCs w:val="20"/>
                <w:color w:val="auto"/>
              </w:rPr>
            </w:pPr>
            <w:r>
              <w:rPr>
                <w:rFonts w:ascii="Arial" w:cs="Arial" w:eastAsia="Arial" w:hAnsi="Arial"/>
                <w:sz w:val="12"/>
                <w:szCs w:val="12"/>
                <w:color w:val="auto"/>
              </w:rPr>
              <w:t>Net fixed assets</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940,273</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943,209</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Telecommunication licenses, net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113,766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113,766</w:t>
            </w:r>
          </w:p>
        </w:tc>
        <w:tc>
          <w:tcPr>
            <w:tcW w:w="0" w:type="dxa"/>
            <w:vAlign w:val="bottom"/>
          </w:tcPr>
          <w:p>
            <w:pPr>
              <w:spacing w:after="0"/>
              <w:rPr>
                <w:sz w:val="1"/>
                <w:szCs w:val="1"/>
                <w:color w:val="auto"/>
              </w:rPr>
            </w:pPr>
          </w:p>
        </w:tc>
      </w:tr>
      <w:tr>
        <w:trPr>
          <w:trHeight w:val="125"/>
        </w:trPr>
        <w:tc>
          <w:tcPr>
            <w:tcW w:w="6800" w:type="dxa"/>
            <w:vAlign w:val="bottom"/>
          </w:tcPr>
          <w:p>
            <w:pPr>
              <w:spacing w:after="0" w:line="125" w:lineRule="exact"/>
              <w:rPr>
                <w:sz w:val="20"/>
                <w:szCs w:val="20"/>
                <w:color w:val="auto"/>
              </w:rPr>
            </w:pPr>
            <w:r>
              <w:rPr>
                <w:rFonts w:ascii="Arial" w:cs="Arial" w:eastAsia="Arial" w:hAnsi="Arial"/>
                <w:sz w:val="12"/>
                <w:szCs w:val="12"/>
                <w:color w:val="auto"/>
              </w:rPr>
              <w:t>Goodwill</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40,104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40,104</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Intangible assets, net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37,847</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44,294</w:t>
            </w:r>
          </w:p>
        </w:tc>
        <w:tc>
          <w:tcPr>
            <w:tcW w:w="0" w:type="dxa"/>
            <w:vAlign w:val="bottom"/>
          </w:tcPr>
          <w:p>
            <w:pPr>
              <w:spacing w:after="0"/>
              <w:rPr>
                <w:sz w:val="1"/>
                <w:szCs w:val="1"/>
                <w:color w:val="auto"/>
              </w:rPr>
            </w:pPr>
          </w:p>
        </w:tc>
      </w:tr>
      <w:tr>
        <w:trPr>
          <w:trHeight w:val="125"/>
        </w:trPr>
        <w:tc>
          <w:tcPr>
            <w:tcW w:w="6800" w:type="dxa"/>
            <w:vAlign w:val="bottom"/>
          </w:tcPr>
          <w:p>
            <w:pPr>
              <w:spacing w:after="0" w:line="125" w:lineRule="exact"/>
              <w:rPr>
                <w:sz w:val="20"/>
                <w:szCs w:val="20"/>
                <w:color w:val="auto"/>
              </w:rPr>
            </w:pPr>
            <w:r>
              <w:rPr>
                <w:rFonts w:ascii="Arial" w:cs="Arial" w:eastAsia="Arial" w:hAnsi="Arial"/>
                <w:sz w:val="12"/>
                <w:szCs w:val="12"/>
                <w:color w:val="auto"/>
              </w:rPr>
              <w:t>Operating lease right-of-use assets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115,103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118,843</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Customer receivable - long term</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39,855</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39,652</w:t>
            </w:r>
          </w:p>
        </w:tc>
        <w:tc>
          <w:tcPr>
            <w:tcW w:w="0" w:type="dxa"/>
            <w:vAlign w:val="bottom"/>
          </w:tcPr>
          <w:p>
            <w:pPr>
              <w:spacing w:after="0"/>
              <w:rPr>
                <w:sz w:val="1"/>
                <w:szCs w:val="1"/>
                <w:color w:val="auto"/>
              </w:rPr>
            </w:pPr>
          </w:p>
        </w:tc>
      </w:tr>
      <w:tr>
        <w:trPr>
          <w:trHeight w:val="125"/>
        </w:trPr>
        <w:tc>
          <w:tcPr>
            <w:tcW w:w="6800" w:type="dxa"/>
            <w:vAlign w:val="bottom"/>
            <w:tcBorders>
              <w:bottom w:val="single" w:sz="8" w:color="CCEEFF"/>
            </w:tcBorders>
          </w:tcPr>
          <w:p>
            <w:pPr>
              <w:spacing w:after="0" w:line="125" w:lineRule="exact"/>
              <w:rPr>
                <w:sz w:val="20"/>
                <w:szCs w:val="20"/>
                <w:color w:val="auto"/>
              </w:rPr>
            </w:pPr>
            <w:r>
              <w:rPr>
                <w:rFonts w:ascii="Arial" w:cs="Arial" w:eastAsia="Arial" w:hAnsi="Arial"/>
                <w:sz w:val="12"/>
                <w:szCs w:val="12"/>
                <w:color w:val="auto"/>
              </w:rPr>
              <w:t>Other assets</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84,526</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76,119</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shd w:val="clear" w:color="auto" w:fill="CCEEFF"/>
          </w:tcPr>
          <w:p>
            <w:pPr>
              <w:ind w:left="180"/>
              <w:spacing w:after="0" w:line="117" w:lineRule="exact"/>
              <w:rPr>
                <w:sz w:val="20"/>
                <w:szCs w:val="20"/>
                <w:color w:val="auto"/>
              </w:rPr>
            </w:pPr>
            <w:r>
              <w:rPr>
                <w:rFonts w:ascii="Arial" w:cs="Arial" w:eastAsia="Arial" w:hAnsi="Arial"/>
                <w:sz w:val="12"/>
                <w:szCs w:val="12"/>
                <w:color w:val="auto"/>
              </w:rPr>
              <w:t>Total assets</w:t>
            </w:r>
          </w:p>
        </w:tc>
        <w:tc>
          <w:tcPr>
            <w:tcW w:w="3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1,595,754</w:t>
            </w: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1,608,604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300"/>
              <w:spacing w:after="0"/>
              <w:rPr>
                <w:sz w:val="20"/>
                <w:szCs w:val="20"/>
                <w:color w:val="auto"/>
              </w:rPr>
            </w:pPr>
            <w:r>
              <w:rPr>
                <w:rFonts w:ascii="Arial" w:cs="Arial" w:eastAsia="Arial" w:hAnsi="Arial"/>
                <w:sz w:val="12"/>
                <w:szCs w:val="12"/>
                <w:b w:val="1"/>
                <w:bCs w:val="1"/>
                <w:color w:val="auto"/>
              </w:rPr>
              <w:t>LIABILITIES, REDEEMABLE NONCONTROLLING INTERESTS AND EQUITY</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8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Current Liabilities: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Current portion of long-term debt</w:t>
            </w:r>
          </w:p>
        </w:tc>
        <w:tc>
          <w:tcPr>
            <w:tcW w:w="480" w:type="dxa"/>
            <w:vAlign w:val="bottom"/>
            <w:gridSpan w:val="2"/>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3,759</w:t>
            </w:r>
          </w:p>
        </w:tc>
        <w:tc>
          <w:tcPr>
            <w:tcW w:w="2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4,665</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Current portion of customer receivable credit facility</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5,326</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4,620</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Accounts payable and accrued liabilities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129,140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151,463</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Dividends payable</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2,680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2,672</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Accrued taxes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9,261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5,681</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Current portion of lease liabilities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16,779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16,201</w:t>
            </w:r>
          </w:p>
        </w:tc>
        <w:tc>
          <w:tcPr>
            <w:tcW w:w="0" w:type="dxa"/>
            <w:vAlign w:val="bottom"/>
          </w:tcPr>
          <w:p>
            <w:pPr>
              <w:spacing w:after="0"/>
              <w:rPr>
                <w:sz w:val="1"/>
                <w:szCs w:val="1"/>
                <w:color w:val="auto"/>
              </w:rPr>
            </w:pPr>
          </w:p>
        </w:tc>
      </w:tr>
      <w:tr>
        <w:trPr>
          <w:trHeight w:val="125"/>
        </w:trPr>
        <w:tc>
          <w:tcPr>
            <w:tcW w:w="6800" w:type="dxa"/>
            <w:vAlign w:val="bottom"/>
            <w:tcBorders>
              <w:bottom w:val="single" w:sz="8" w:color="CCEEFF"/>
            </w:tcBorders>
          </w:tcPr>
          <w:p>
            <w:pPr>
              <w:ind w:left="180"/>
              <w:spacing w:after="0" w:line="125" w:lineRule="exact"/>
              <w:rPr>
                <w:sz w:val="20"/>
                <w:szCs w:val="20"/>
                <w:color w:val="auto"/>
              </w:rPr>
            </w:pPr>
            <w:r>
              <w:rPr>
                <w:rFonts w:ascii="Arial" w:cs="Arial" w:eastAsia="Arial" w:hAnsi="Arial"/>
                <w:sz w:val="12"/>
                <w:szCs w:val="12"/>
                <w:color w:val="auto"/>
              </w:rPr>
              <w:t>Advance payments and deposits</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36,839</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35,642</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ind w:left="180"/>
              <w:spacing w:after="0" w:line="117" w:lineRule="exact"/>
              <w:rPr>
                <w:sz w:val="20"/>
                <w:szCs w:val="20"/>
                <w:color w:val="auto"/>
              </w:rPr>
            </w:pPr>
            <w:r>
              <w:rPr>
                <w:rFonts w:ascii="Arial" w:cs="Arial" w:eastAsia="Arial" w:hAnsi="Arial"/>
                <w:sz w:val="12"/>
                <w:szCs w:val="12"/>
                <w:color w:val="auto"/>
              </w:rPr>
              <w:t>Total current liabilities</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203,784</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220,944</w:t>
            </w:r>
          </w:p>
        </w:tc>
        <w:tc>
          <w:tcPr>
            <w:tcW w:w="0" w:type="dxa"/>
            <w:vAlign w:val="bottom"/>
          </w:tcPr>
          <w:p>
            <w:pPr>
              <w:spacing w:after="0"/>
              <w:rPr>
                <w:sz w:val="1"/>
                <w:szCs w:val="1"/>
                <w:color w:val="auto"/>
              </w:rPr>
            </w:pPr>
          </w:p>
        </w:tc>
      </w:tr>
      <w:tr>
        <w:trPr>
          <w:trHeight w:val="117"/>
        </w:trPr>
        <w:tc>
          <w:tcPr>
            <w:tcW w:w="6800" w:type="dxa"/>
            <w:vAlign w:val="bottom"/>
          </w:tcPr>
          <w:p>
            <w:pPr>
              <w:spacing w:after="0" w:line="117" w:lineRule="exact"/>
              <w:rPr>
                <w:sz w:val="20"/>
                <w:szCs w:val="20"/>
                <w:color w:val="auto"/>
              </w:rPr>
            </w:pPr>
            <w:r>
              <w:rPr>
                <w:rFonts w:ascii="Arial" w:cs="Arial" w:eastAsia="Arial" w:hAnsi="Arial"/>
                <w:sz w:val="12"/>
                <w:szCs w:val="12"/>
                <w:color w:val="auto"/>
              </w:rPr>
              <w:t>Deferred income taxes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Arial" w:cs="Arial" w:eastAsia="Arial" w:hAnsi="Arial"/>
                <w:sz w:val="12"/>
                <w:szCs w:val="12"/>
                <w:color w:val="auto"/>
              </w:rPr>
              <w:t>18,400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17" w:lineRule="exact"/>
              <w:rPr>
                <w:sz w:val="20"/>
                <w:szCs w:val="20"/>
                <w:color w:val="auto"/>
              </w:rPr>
            </w:pPr>
            <w:r>
              <w:rPr>
                <w:rFonts w:ascii="Arial" w:cs="Arial" w:eastAsia="Arial" w:hAnsi="Arial"/>
                <w:sz w:val="12"/>
                <w:szCs w:val="12"/>
                <w:color w:val="auto"/>
              </w:rPr>
              <w:t>21,460</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Lease liabilities, excluding current portion</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88,828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91,719</w:t>
            </w:r>
          </w:p>
        </w:tc>
        <w:tc>
          <w:tcPr>
            <w:tcW w:w="0" w:type="dxa"/>
            <w:vAlign w:val="bottom"/>
          </w:tcPr>
          <w:p>
            <w:pPr>
              <w:spacing w:after="0"/>
              <w:rPr>
                <w:sz w:val="1"/>
                <w:szCs w:val="1"/>
                <w:color w:val="auto"/>
              </w:rPr>
            </w:pPr>
          </w:p>
        </w:tc>
      </w:tr>
      <w:tr>
        <w:trPr>
          <w:trHeight w:val="125"/>
        </w:trPr>
        <w:tc>
          <w:tcPr>
            <w:tcW w:w="6800" w:type="dxa"/>
            <w:vAlign w:val="bottom"/>
          </w:tcPr>
          <w:p>
            <w:pPr>
              <w:spacing w:after="0" w:line="125" w:lineRule="exact"/>
              <w:rPr>
                <w:sz w:val="20"/>
                <w:szCs w:val="20"/>
                <w:color w:val="auto"/>
              </w:rPr>
            </w:pPr>
            <w:r>
              <w:rPr>
                <w:rFonts w:ascii="Arial" w:cs="Arial" w:eastAsia="Arial" w:hAnsi="Arial"/>
                <w:sz w:val="12"/>
                <w:szCs w:val="12"/>
                <w:color w:val="auto"/>
              </w:rPr>
              <w:t>Other liabilities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135,103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142,033</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Customer receivable credit facility, net of current portion</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35,243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30,148</w:t>
            </w:r>
          </w:p>
        </w:tc>
        <w:tc>
          <w:tcPr>
            <w:tcW w:w="0" w:type="dxa"/>
            <w:vAlign w:val="bottom"/>
          </w:tcPr>
          <w:p>
            <w:pPr>
              <w:spacing w:after="0"/>
              <w:rPr>
                <w:sz w:val="1"/>
                <w:szCs w:val="1"/>
                <w:color w:val="auto"/>
              </w:rPr>
            </w:pPr>
          </w:p>
        </w:tc>
      </w:tr>
      <w:tr>
        <w:trPr>
          <w:trHeight w:val="125"/>
        </w:trPr>
        <w:tc>
          <w:tcPr>
            <w:tcW w:w="6800" w:type="dxa"/>
            <w:vAlign w:val="bottom"/>
            <w:tcBorders>
              <w:bottom w:val="single" w:sz="8" w:color="CCEEFF"/>
            </w:tcBorders>
          </w:tcPr>
          <w:p>
            <w:pPr>
              <w:spacing w:after="0" w:line="125" w:lineRule="exact"/>
              <w:rPr>
                <w:sz w:val="20"/>
                <w:szCs w:val="20"/>
                <w:color w:val="auto"/>
              </w:rPr>
            </w:pPr>
            <w:r>
              <w:rPr>
                <w:rFonts w:ascii="Arial" w:cs="Arial" w:eastAsia="Arial" w:hAnsi="Arial"/>
                <w:sz w:val="12"/>
                <w:szCs w:val="12"/>
                <w:color w:val="auto"/>
              </w:rPr>
              <w:t>Long-term debt, excluding current portion</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352,319</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327,111</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ind w:left="180"/>
              <w:spacing w:after="0" w:line="117" w:lineRule="exact"/>
              <w:rPr>
                <w:sz w:val="20"/>
                <w:szCs w:val="20"/>
                <w:color w:val="auto"/>
              </w:rPr>
            </w:pPr>
            <w:r>
              <w:rPr>
                <w:rFonts w:ascii="Arial" w:cs="Arial" w:eastAsia="Arial" w:hAnsi="Arial"/>
                <w:sz w:val="12"/>
                <w:szCs w:val="12"/>
                <w:color w:val="auto"/>
              </w:rPr>
              <w:t>Total liabilities</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833,677</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833,415</w:t>
            </w:r>
          </w:p>
        </w:tc>
        <w:tc>
          <w:tcPr>
            <w:tcW w:w="0" w:type="dxa"/>
            <w:vAlign w:val="bottom"/>
          </w:tcPr>
          <w:p>
            <w:pPr>
              <w:spacing w:after="0"/>
              <w:rPr>
                <w:sz w:val="1"/>
                <w:szCs w:val="1"/>
                <w:color w:val="auto"/>
              </w:rPr>
            </w:pPr>
          </w:p>
        </w:tc>
      </w:tr>
      <w:tr>
        <w:trPr>
          <w:trHeight w:val="117"/>
        </w:trPr>
        <w:tc>
          <w:tcPr>
            <w:tcW w:w="6800" w:type="dxa"/>
            <w:vAlign w:val="bottom"/>
          </w:tcPr>
          <w:p>
            <w:pPr>
              <w:spacing w:after="0" w:line="117" w:lineRule="exact"/>
              <w:rPr>
                <w:sz w:val="20"/>
                <w:szCs w:val="20"/>
                <w:color w:val="auto"/>
              </w:rPr>
            </w:pPr>
            <w:r>
              <w:rPr>
                <w:rFonts w:ascii="Arial" w:cs="Arial" w:eastAsia="Arial" w:hAnsi="Arial"/>
                <w:sz w:val="12"/>
                <w:szCs w:val="12"/>
                <w:color w:val="auto"/>
              </w:rPr>
              <w:t>Commitments and contingencies (Note 14)</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Redeemable noncontrolling interests:</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Preferred redeemable noncontrolling interests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52,566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50,296</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Common redeemable noncontrolling interests</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22,640</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22,640</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tcPr>
          <w:p>
            <w:pPr>
              <w:ind w:left="180"/>
              <w:spacing w:after="0" w:line="117" w:lineRule="exact"/>
              <w:rPr>
                <w:sz w:val="20"/>
                <w:szCs w:val="20"/>
                <w:color w:val="auto"/>
              </w:rPr>
            </w:pPr>
            <w:r>
              <w:rPr>
                <w:rFonts w:ascii="Arial" w:cs="Arial" w:eastAsia="Arial" w:hAnsi="Arial"/>
                <w:sz w:val="12"/>
                <w:szCs w:val="12"/>
                <w:color w:val="auto"/>
              </w:rPr>
              <w:t>Total redeemable noncontrolling interests</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75,206</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72,936</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ATN International, Inc. Stockholders’ Equity:</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Preferred stock, $0.01 par value per share; 10,000,000 shares authorized, none issued and outstanding</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0"/>
        </w:trPr>
        <w:tc>
          <w:tcPr>
            <w:tcW w:w="6800" w:type="dxa"/>
            <w:vAlign w:val="bottom"/>
            <w:shd w:val="clear" w:color="auto" w:fill="CCEEFF"/>
          </w:tcPr>
          <w:p>
            <w:pPr>
              <w:ind w:left="180"/>
              <w:spacing w:after="0" w:line="110" w:lineRule="exact"/>
              <w:rPr>
                <w:sz w:val="20"/>
                <w:szCs w:val="20"/>
                <w:color w:val="auto"/>
              </w:rPr>
            </w:pPr>
            <w:r>
              <w:rPr>
                <w:rFonts w:ascii="Arial" w:cs="Arial" w:eastAsia="Arial" w:hAnsi="Arial"/>
                <w:sz w:val="12"/>
                <w:szCs w:val="12"/>
                <w:color w:val="auto"/>
                <w:w w:val="95"/>
              </w:rPr>
              <w:t>Common stock, $0.01 par value per share; 50,000,000 shares authorized; 17,584,058 and 17,476,542 shares issued, respectively,</w:t>
            </w: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15,763,341 and 15,712,941 shares outstanding, respectively</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Treasury stock, at cost; 1,820,716 and 1,763,601 shares, respectively</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(73,828)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(71,714)</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Additional paid-in capital</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195,432</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192,132</w:t>
            </w:r>
          </w:p>
        </w:tc>
        <w:tc>
          <w:tcPr>
            <w:tcW w:w="0" w:type="dxa"/>
            <w:vAlign w:val="bottom"/>
          </w:tcPr>
          <w:p>
            <w:pPr>
              <w:spacing w:after="0"/>
              <w:rPr>
                <w:sz w:val="1"/>
                <w:szCs w:val="1"/>
                <w:color w:val="auto"/>
              </w:rPr>
            </w:pPr>
          </w:p>
        </w:tc>
      </w:tr>
      <w:tr>
        <w:trPr>
          <w:trHeight w:val="125"/>
        </w:trPr>
        <w:tc>
          <w:tcPr>
            <w:tcW w:w="6800" w:type="dxa"/>
            <w:vAlign w:val="bottom"/>
          </w:tcPr>
          <w:p>
            <w:pPr>
              <w:ind w:left="180"/>
              <w:spacing w:after="0" w:line="125" w:lineRule="exact"/>
              <w:rPr>
                <w:sz w:val="20"/>
                <w:szCs w:val="20"/>
                <w:color w:val="auto"/>
              </w:rPr>
            </w:pPr>
            <w:r>
              <w:rPr>
                <w:rFonts w:ascii="Arial" w:cs="Arial" w:eastAsia="Arial" w:hAnsi="Arial"/>
                <w:sz w:val="12"/>
                <w:szCs w:val="12"/>
                <w:color w:val="auto"/>
              </w:rPr>
              <w:t>Retained earnings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465,112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5" w:lineRule="exact"/>
              <w:rPr>
                <w:sz w:val="20"/>
                <w:szCs w:val="20"/>
                <w:color w:val="auto"/>
              </w:rPr>
            </w:pPr>
            <w:r>
              <w:rPr>
                <w:rFonts w:ascii="Arial" w:cs="Arial" w:eastAsia="Arial" w:hAnsi="Arial"/>
                <w:sz w:val="12"/>
                <w:szCs w:val="12"/>
                <w:color w:val="auto"/>
              </w:rPr>
              <w:t>475,887</w:t>
            </w:r>
          </w:p>
        </w:tc>
        <w:tc>
          <w:tcPr>
            <w:tcW w:w="0" w:type="dxa"/>
            <w:vAlign w:val="bottom"/>
          </w:tcPr>
          <w:p>
            <w:pPr>
              <w:spacing w:after="0"/>
              <w:rPr>
                <w:sz w:val="1"/>
                <w:szCs w:val="1"/>
                <w:color w:val="auto"/>
              </w:rPr>
            </w:pPr>
          </w:p>
        </w:tc>
      </w:tr>
      <w:tr>
        <w:trPr>
          <w:trHeight w:val="125"/>
        </w:trPr>
        <w:tc>
          <w:tcPr>
            <w:tcW w:w="680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Accumulated other comprehensive income</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4,231</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4,773</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tcPr>
          <w:p>
            <w:pPr>
              <w:ind w:left="180"/>
              <w:spacing w:after="0" w:line="117" w:lineRule="exact"/>
              <w:rPr>
                <w:sz w:val="20"/>
                <w:szCs w:val="20"/>
                <w:color w:val="auto"/>
              </w:rPr>
            </w:pPr>
            <w:r>
              <w:rPr>
                <w:rFonts w:ascii="Arial" w:cs="Arial" w:eastAsia="Arial" w:hAnsi="Arial"/>
                <w:sz w:val="12"/>
                <w:szCs w:val="12"/>
                <w:color w:val="auto"/>
              </w:rPr>
              <w:t>Total ATN International, Inc. stockholders’ equity</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591,119</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601,250</w:t>
            </w:r>
          </w:p>
        </w:tc>
        <w:tc>
          <w:tcPr>
            <w:tcW w:w="0" w:type="dxa"/>
            <w:vAlign w:val="bottom"/>
          </w:tcPr>
          <w:p>
            <w:pPr>
              <w:spacing w:after="0"/>
              <w:rPr>
                <w:sz w:val="1"/>
                <w:szCs w:val="1"/>
                <w:color w:val="auto"/>
              </w:rPr>
            </w:pPr>
          </w:p>
        </w:tc>
      </w:tr>
      <w:tr>
        <w:trPr>
          <w:trHeight w:val="117"/>
        </w:trPr>
        <w:tc>
          <w:tcPr>
            <w:tcW w:w="68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Noncontrolling interests</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95,752</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101,003</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tcPr>
          <w:p>
            <w:pPr>
              <w:spacing w:after="0" w:line="117" w:lineRule="exact"/>
              <w:rPr>
                <w:sz w:val="20"/>
                <w:szCs w:val="20"/>
                <w:color w:val="auto"/>
              </w:rPr>
            </w:pPr>
            <w:r>
              <w:rPr>
                <w:rFonts w:ascii="Arial" w:cs="Arial" w:eastAsia="Arial" w:hAnsi="Arial"/>
                <w:sz w:val="12"/>
                <w:szCs w:val="12"/>
                <w:color w:val="auto"/>
              </w:rPr>
              <w:t>Total equity</w:t>
            </w:r>
          </w:p>
        </w:tc>
        <w:tc>
          <w:tcPr>
            <w:tcW w:w="3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686,871</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702,253</w:t>
            </w:r>
          </w:p>
        </w:tc>
        <w:tc>
          <w:tcPr>
            <w:tcW w:w="0" w:type="dxa"/>
            <w:vAlign w:val="bottom"/>
          </w:tcPr>
          <w:p>
            <w:pPr>
              <w:spacing w:after="0"/>
              <w:rPr>
                <w:sz w:val="1"/>
                <w:szCs w:val="1"/>
                <w:color w:val="auto"/>
              </w:rPr>
            </w:pPr>
          </w:p>
        </w:tc>
      </w:tr>
      <w:tr>
        <w:trPr>
          <w:trHeight w:val="117"/>
        </w:trPr>
        <w:tc>
          <w:tcPr>
            <w:tcW w:w="680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Total liabilities, redeemable noncontrolling interests and equity</w:t>
            </w:r>
          </w:p>
        </w:tc>
        <w:tc>
          <w:tcPr>
            <w:tcW w:w="3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1,595,754</w:t>
            </w: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1,608,604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condensed notes are an integral part of these condensed consolidated financial statements</w:t>
      </w:r>
      <w:r>
        <w:rPr>
          <w:rFonts w:ascii="Arial" w:cs="Arial" w:eastAsia="Arial" w:hAnsi="Arial"/>
          <w:sz w:val="12"/>
          <w:szCs w:val="12"/>
          <w:color w:val="auto"/>
        </w:rPr>
        <w: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 w:name="page5"/>
    <w:bookmarkEnd w:id="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ATN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SIX MONTHS ENDED JUNE 30, 2022 AND 2021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Data)</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88"/>
              </w:rPr>
              <w:t>Three months ended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spacing w:after="0"/>
              <w:rPr>
                <w:sz w:val="20"/>
                <w:szCs w:val="20"/>
                <w:color w:val="auto"/>
              </w:rPr>
            </w:pPr>
            <w:r>
              <w:rPr>
                <w:rFonts w:ascii="Arial" w:cs="Arial" w:eastAsia="Arial" w:hAnsi="Arial"/>
                <w:sz w:val="11"/>
                <w:szCs w:val="11"/>
                <w:b w:val="1"/>
                <w:bCs w:val="1"/>
                <w:color w:val="auto"/>
                <w:w w:val="94"/>
              </w:rPr>
              <w:t>Six months ended June 30,</w:t>
            </w:r>
          </w:p>
        </w:tc>
        <w:tc>
          <w:tcPr>
            <w:tcW w:w="0" w:type="dxa"/>
            <w:vAlign w:val="bottom"/>
          </w:tcPr>
          <w:p>
            <w:pPr>
              <w:spacing w:after="0"/>
              <w:rPr>
                <w:sz w:val="1"/>
                <w:szCs w:val="1"/>
                <w:color w:val="auto"/>
              </w:rPr>
            </w:pPr>
          </w:p>
        </w:tc>
      </w:tr>
      <w:tr>
        <w:trPr>
          <w:trHeight w:val="105"/>
        </w:trPr>
        <w:tc>
          <w:tcPr>
            <w:tcW w:w="58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61"/>
              <w:spacing w:after="0" w:line="105" w:lineRule="exact"/>
              <w:rPr>
                <w:sz w:val="20"/>
                <w:szCs w:val="20"/>
                <w:color w:val="auto"/>
              </w:rPr>
            </w:pPr>
            <w:r>
              <w:rPr>
                <w:rFonts w:ascii="Arial" w:cs="Arial" w:eastAsia="Arial" w:hAnsi="Arial"/>
                <w:sz w:val="11"/>
                <w:szCs w:val="11"/>
                <w:b w:val="1"/>
                <w:bCs w:val="1"/>
                <w:color w:val="auto"/>
              </w:rPr>
              <w:t>2022</w:t>
            </w:r>
          </w:p>
        </w:tc>
        <w:tc>
          <w:tcPr>
            <w:tcW w:w="120" w:type="dxa"/>
            <w:vAlign w:val="bottom"/>
            <w:tcBorders>
              <w:top w:val="single" w:sz="8" w:color="auto"/>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40"/>
              <w:spacing w:after="0" w:line="105" w:lineRule="exact"/>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60"/>
              <w:spacing w:after="0" w:line="105" w:lineRule="exact"/>
              <w:rPr>
                <w:sz w:val="20"/>
                <w:szCs w:val="20"/>
                <w:color w:val="auto"/>
              </w:rPr>
            </w:pPr>
            <w:r>
              <w:rPr>
                <w:rFonts w:ascii="Arial" w:cs="Arial" w:eastAsia="Arial" w:hAnsi="Arial"/>
                <w:sz w:val="11"/>
                <w:szCs w:val="11"/>
                <w:b w:val="1"/>
                <w:bCs w:val="1"/>
                <w:color w:val="auto"/>
              </w:rPr>
              <w:t>2022</w:t>
            </w:r>
          </w:p>
        </w:tc>
        <w:tc>
          <w:tcPr>
            <w:tcW w:w="12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60"/>
              <w:spacing w:after="0" w:line="105" w:lineRule="exact"/>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REVENUE:</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ind w:left="180"/>
              <w:spacing w:after="0" w:line="125" w:lineRule="exact"/>
              <w:rPr>
                <w:sz w:val="20"/>
                <w:szCs w:val="20"/>
                <w:color w:val="auto"/>
              </w:rPr>
            </w:pPr>
            <w:r>
              <w:rPr>
                <w:rFonts w:ascii="Arial" w:cs="Arial" w:eastAsia="Arial" w:hAnsi="Arial"/>
                <w:sz w:val="12"/>
                <w:szCs w:val="12"/>
                <w:color w:val="auto"/>
              </w:rPr>
              <w:t>Communication services</w:t>
            </w:r>
          </w:p>
        </w:tc>
        <w:tc>
          <w:tcPr>
            <w:tcW w:w="300" w:type="dxa"/>
            <w:vAlign w:val="bottom"/>
            <w:gridSpan w:val="2"/>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171,795</w:t>
            </w:r>
          </w:p>
        </w:tc>
        <w:tc>
          <w:tcPr>
            <w:tcW w:w="260" w:type="dxa"/>
            <w:vAlign w:val="bottom"/>
            <w:gridSpan w:val="2"/>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w w:val="96"/>
              </w:rPr>
              <w:t>112,964</w:t>
            </w:r>
          </w:p>
        </w:tc>
        <w:tc>
          <w:tcPr>
            <w:tcW w:w="20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338,338</w:t>
            </w:r>
          </w:p>
        </w:tc>
        <w:tc>
          <w:tcPr>
            <w:tcW w:w="120" w:type="dxa"/>
            <w:vAlign w:val="bottom"/>
          </w:tcPr>
          <w:p>
            <w:pPr>
              <w:spacing w:after="0"/>
              <w:rPr>
                <w:sz w:val="10"/>
                <w:szCs w:val="10"/>
                <w:color w:val="auto"/>
              </w:rPr>
            </w:pPr>
          </w:p>
        </w:tc>
        <w:tc>
          <w:tcPr>
            <w:tcW w:w="140" w:type="dxa"/>
            <w:vAlign w:val="bottom"/>
            <w:gridSpan w:val="2"/>
          </w:tcPr>
          <w:p>
            <w:pPr>
              <w:jc w:val="right"/>
              <w:ind w:right="55"/>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223,599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Construction</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3,297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9,325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5,283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21,632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Borders>
              <w:bottom w:val="single" w:sz="8" w:color="CCEEFF"/>
            </w:tcBorders>
          </w:tcPr>
          <w:p>
            <w:pPr>
              <w:ind w:left="180"/>
              <w:spacing w:after="0" w:line="125" w:lineRule="exact"/>
              <w:rPr>
                <w:sz w:val="20"/>
                <w:szCs w:val="20"/>
                <w:color w:val="auto"/>
              </w:rPr>
            </w:pPr>
            <w:r>
              <w:rPr>
                <w:rFonts w:ascii="Arial" w:cs="Arial" w:eastAsia="Arial" w:hAnsi="Arial"/>
                <w:sz w:val="12"/>
                <w:szCs w:val="12"/>
                <w:color w:val="auto"/>
              </w:rPr>
              <w:t>Other</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4,405</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1,576</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7,896</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3,144</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ind w:left="280"/>
              <w:spacing w:after="0" w:line="117" w:lineRule="exact"/>
              <w:rPr>
                <w:sz w:val="20"/>
                <w:szCs w:val="20"/>
                <w:color w:val="auto"/>
              </w:rPr>
            </w:pPr>
            <w:r>
              <w:rPr>
                <w:rFonts w:ascii="Arial" w:cs="Arial" w:eastAsia="Arial" w:hAnsi="Arial"/>
                <w:sz w:val="12"/>
                <w:szCs w:val="12"/>
                <w:color w:val="auto"/>
              </w:rPr>
              <w:t>Total revenue</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179,497</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w w:val="96"/>
              </w:rPr>
              <w:t>123,865</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351,517</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248,375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line="117" w:lineRule="exact"/>
              <w:rPr>
                <w:sz w:val="20"/>
                <w:szCs w:val="20"/>
                <w:color w:val="auto"/>
              </w:rPr>
            </w:pPr>
            <w:r>
              <w:rPr>
                <w:rFonts w:ascii="Arial" w:cs="Arial" w:eastAsia="Arial" w:hAnsi="Arial"/>
                <w:sz w:val="12"/>
                <w:szCs w:val="12"/>
                <w:b w:val="1"/>
                <w:bCs w:val="1"/>
                <w:color w:val="auto"/>
              </w:rPr>
              <w:t xml:space="preserve">OPERATING EXPENSES </w:t>
            </w:r>
            <w:r>
              <w:rPr>
                <w:rFonts w:ascii="Arial" w:cs="Arial" w:eastAsia="Arial" w:hAnsi="Arial"/>
                <w:sz w:val="12"/>
                <w:szCs w:val="12"/>
                <w:i w:val="1"/>
                <w:iCs w:val="1"/>
                <w:color w:val="auto"/>
              </w:rPr>
              <w:t>(excluding depreciation and amortization unless otherwise indicated)</w:t>
            </w:r>
            <w:r>
              <w:rPr>
                <w:rFonts w:ascii="Arial" w:cs="Arial" w:eastAsia="Arial" w:hAnsi="Arial"/>
                <w:sz w:val="12"/>
                <w:szCs w:val="12"/>
                <w:b w:val="1"/>
                <w:bCs w:val="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Cost of communication services and other</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77,860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48,479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150,871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97,986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ind w:left="180"/>
              <w:spacing w:after="0" w:line="125" w:lineRule="exact"/>
              <w:rPr>
                <w:sz w:val="20"/>
                <w:szCs w:val="20"/>
                <w:color w:val="auto"/>
              </w:rPr>
            </w:pPr>
            <w:r>
              <w:rPr>
                <w:rFonts w:ascii="Arial" w:cs="Arial" w:eastAsia="Arial" w:hAnsi="Arial"/>
                <w:sz w:val="12"/>
                <w:szCs w:val="12"/>
                <w:color w:val="auto"/>
              </w:rPr>
              <w:t>Cost of construction revenue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3,286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9,535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5,319</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22,142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Selling, general and administrative</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59,178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40,652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115,519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78,344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ind w:left="180"/>
              <w:spacing w:after="0" w:line="125" w:lineRule="exact"/>
              <w:rPr>
                <w:sz w:val="20"/>
                <w:szCs w:val="20"/>
                <w:color w:val="auto"/>
              </w:rPr>
            </w:pPr>
            <w:r>
              <w:rPr>
                <w:rFonts w:ascii="Arial" w:cs="Arial" w:eastAsia="Arial" w:hAnsi="Arial"/>
                <w:sz w:val="12"/>
                <w:szCs w:val="12"/>
                <w:color w:val="auto"/>
              </w:rPr>
              <w:t>Transaction-related charges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412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1,396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966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2,126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Depreciation and amortization</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33,817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19,739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67,109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39,849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ind w:left="180"/>
              <w:spacing w:after="0" w:line="125" w:lineRule="exact"/>
              <w:rPr>
                <w:sz w:val="20"/>
                <w:szCs w:val="20"/>
                <w:color w:val="auto"/>
              </w:rPr>
            </w:pPr>
            <w:r>
              <w:rPr>
                <w:rFonts w:ascii="Arial" w:cs="Arial" w:eastAsia="Arial" w:hAnsi="Arial"/>
                <w:sz w:val="12"/>
                <w:szCs w:val="12"/>
                <w:color w:val="auto"/>
              </w:rPr>
              <w:t>Amortization of intangibles from acquisitions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3,250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416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6,508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813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(Gain) Loss on disposition of long-lived assets</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(28)</w:t>
            </w:r>
          </w:p>
        </w:tc>
        <w:tc>
          <w:tcPr>
            <w:tcW w:w="1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743</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3,392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861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tcBorders>
              <w:bottom w:val="single" w:sz="8" w:color="CCEEFF"/>
            </w:tcBorders>
          </w:tcPr>
          <w:p>
            <w:pPr>
              <w:ind w:left="180"/>
              <w:spacing w:after="0" w:line="117" w:lineRule="exact"/>
              <w:rPr>
                <w:sz w:val="20"/>
                <w:szCs w:val="20"/>
                <w:color w:val="auto"/>
              </w:rPr>
            </w:pPr>
            <w:r>
              <w:rPr>
                <w:rFonts w:ascii="Arial" w:cs="Arial" w:eastAsia="Arial" w:hAnsi="Arial"/>
                <w:sz w:val="12"/>
                <w:szCs w:val="12"/>
                <w:color w:val="auto"/>
              </w:rPr>
              <w:t>Total operating expenses</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177,775</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w w:val="96"/>
              </w:rPr>
              <w:t>120,960</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349,684</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242,121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ind w:left="280"/>
              <w:spacing w:after="0" w:line="117" w:lineRule="exact"/>
              <w:rPr>
                <w:sz w:val="20"/>
                <w:szCs w:val="20"/>
                <w:color w:val="auto"/>
              </w:rPr>
            </w:pPr>
            <w:r>
              <w:rPr>
                <w:rFonts w:ascii="Arial" w:cs="Arial" w:eastAsia="Arial" w:hAnsi="Arial"/>
                <w:sz w:val="12"/>
                <w:szCs w:val="12"/>
                <w:color w:val="auto"/>
              </w:rPr>
              <w:t>Income from operations</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1,722</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2,905</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1,833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6,254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line="117" w:lineRule="exact"/>
              <w:rPr>
                <w:sz w:val="20"/>
                <w:szCs w:val="20"/>
                <w:color w:val="auto"/>
              </w:rPr>
            </w:pPr>
            <w:r>
              <w:rPr>
                <w:rFonts w:ascii="Arial" w:cs="Arial" w:eastAsia="Arial" w:hAnsi="Arial"/>
                <w:sz w:val="12"/>
                <w:szCs w:val="12"/>
                <w:b w:val="1"/>
                <w:bCs w:val="1"/>
                <w:color w:val="auto"/>
              </w:rPr>
              <w:t>OTHER INCOME (EXPENSE)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Interest income</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40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Pr>
          <w:p>
            <w:pPr>
              <w:ind w:left="180"/>
              <w:spacing w:after="0" w:line="125" w:lineRule="exact"/>
              <w:rPr>
                <w:sz w:val="20"/>
                <w:szCs w:val="20"/>
                <w:color w:val="auto"/>
              </w:rPr>
            </w:pPr>
            <w:r>
              <w:rPr>
                <w:rFonts w:ascii="Arial" w:cs="Arial" w:eastAsia="Arial" w:hAnsi="Arial"/>
                <w:sz w:val="12"/>
                <w:szCs w:val="12"/>
                <w:color w:val="auto"/>
              </w:rPr>
              <w:t>Interest expense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(4,278)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2"/>
                <w:szCs w:val="12"/>
                <w:color w:val="auto"/>
              </w:rPr>
              <w:t>(1,137)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(7,593)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2"/>
                <w:szCs w:val="12"/>
                <w:color w:val="auto"/>
              </w:rPr>
              <w:t>(2,285)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Other income</w:t>
            </w:r>
          </w:p>
        </w:tc>
        <w:tc>
          <w:tcPr>
            <w:tcW w:w="1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(2,724)</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(66)</w:t>
            </w:r>
          </w:p>
        </w:tc>
        <w:tc>
          <w:tcPr>
            <w:tcW w:w="1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1,474</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2"/>
                <w:szCs w:val="12"/>
                <w:color w:val="auto"/>
              </w:rPr>
              <w:t>2,309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tcBorders>
              <w:bottom w:val="single" w:sz="8" w:color="CCEEFF"/>
            </w:tcBorders>
          </w:tcPr>
          <w:p>
            <w:pPr>
              <w:ind w:left="280"/>
              <w:spacing w:after="0" w:line="117" w:lineRule="exact"/>
              <w:rPr>
                <w:sz w:val="20"/>
                <w:szCs w:val="20"/>
                <w:color w:val="auto"/>
              </w:rPr>
            </w:pPr>
            <w:r>
              <w:rPr>
                <w:rFonts w:ascii="Arial" w:cs="Arial" w:eastAsia="Arial" w:hAnsi="Arial"/>
                <w:sz w:val="12"/>
                <w:szCs w:val="12"/>
                <w:color w:val="auto"/>
              </w:rPr>
              <w:t>Other income (expense), net</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(7,002)</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(1,157)</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(6,116)</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64</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INCOME BEFORE INCOME TAXES</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(5,280)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1,748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(4,283)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6,318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840" w:type="dxa"/>
            <w:vAlign w:val="bottom"/>
            <w:tcBorders>
              <w:bottom w:val="single" w:sz="8" w:color="CCEEFF"/>
            </w:tcBorders>
          </w:tcPr>
          <w:p>
            <w:pPr>
              <w:ind w:left="180"/>
              <w:spacing w:after="0" w:line="125" w:lineRule="exact"/>
              <w:rPr>
                <w:sz w:val="20"/>
                <w:szCs w:val="20"/>
                <w:color w:val="auto"/>
              </w:rPr>
            </w:pPr>
            <w:r>
              <w:rPr>
                <w:rFonts w:ascii="Arial" w:cs="Arial" w:eastAsia="Arial" w:hAnsi="Arial"/>
                <w:sz w:val="12"/>
                <w:szCs w:val="12"/>
                <w:color w:val="auto"/>
              </w:rPr>
              <w:t>Income tax provision</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(3,971)</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(1,542)</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(1,018)</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(1,247)</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NET INCOME (LOSS)</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(1,309)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3,290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(3,265)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7,565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840" w:type="dxa"/>
            <w:vAlign w:val="bottom"/>
          </w:tcPr>
          <w:p>
            <w:pPr>
              <w:ind w:left="180"/>
              <w:spacing w:after="0" w:line="110" w:lineRule="exact"/>
              <w:rPr>
                <w:sz w:val="20"/>
                <w:szCs w:val="20"/>
                <w:color w:val="auto"/>
              </w:rPr>
            </w:pPr>
            <w:r>
              <w:rPr>
                <w:rFonts w:ascii="Arial" w:cs="Arial" w:eastAsia="Arial" w:hAnsi="Arial"/>
                <w:sz w:val="12"/>
                <w:szCs w:val="12"/>
                <w:color w:val="auto"/>
                <w:w w:val="96"/>
              </w:rPr>
              <w:t>Net income (loss) attributable to noncontrolling interests, net of tax expense (benefit) of $0 million, $0.3 million,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$(0.5) million, and $0.4 million, respectively.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784</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(1,271)</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4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2"/>
                <w:szCs w:val="12"/>
                <w:b w:val="1"/>
                <w:bCs w:val="1"/>
                <w:color w:val="auto"/>
              </w:rPr>
              <w:t>NET INCOME (LOSS) ATTRIBUTABLE TO ATN INTERNATIONAL, INC. STOCKHOLDERS</w:t>
            </w:r>
          </w:p>
        </w:tc>
        <w:tc>
          <w:tcPr>
            <w:tcW w:w="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(525)</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2,019</w:t>
            </w: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(1,471)</w:t>
            </w: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2"/>
                <w:szCs w:val="12"/>
                <w:color w:val="auto"/>
              </w:rPr>
              <w:t>4,723</w:t>
            </w: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line="97" w:lineRule="exact"/>
              <w:rPr>
                <w:sz w:val="20"/>
                <w:szCs w:val="20"/>
                <w:color w:val="auto"/>
              </w:rPr>
            </w:pPr>
            <w:r>
              <w:rPr>
                <w:rFonts w:ascii="Arial" w:cs="Arial" w:eastAsia="Arial" w:hAnsi="Arial"/>
                <w:sz w:val="11"/>
                <w:szCs w:val="11"/>
                <w:b w:val="1"/>
                <w:bCs w:val="1"/>
                <w:color w:val="auto"/>
              </w:rPr>
              <w:t>NET INCOME (LOSS) PER WEIGHTED AVERAGE SHARE ATTRIBUTABLE TO ATN</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58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5840" w:type="dxa"/>
            <w:vAlign w:val="bottom"/>
          </w:tcPr>
          <w:p>
            <w:pPr>
              <w:spacing w:after="0"/>
              <w:rPr>
                <w:sz w:val="20"/>
                <w:szCs w:val="20"/>
                <w:color w:val="auto"/>
              </w:rPr>
            </w:pPr>
            <w:r>
              <w:rPr>
                <w:rFonts w:ascii="Arial" w:cs="Arial" w:eastAsia="Arial" w:hAnsi="Arial"/>
                <w:sz w:val="12"/>
                <w:szCs w:val="12"/>
                <w:b w:val="1"/>
                <w:bCs w:val="1"/>
                <w:color w:val="auto"/>
              </w:rPr>
              <w:t>INTERNATIONAL, INC. STOCKHOLDERS: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5840" w:type="dxa"/>
            <w:vAlign w:val="bottom"/>
            <w:shd w:val="clear" w:color="auto" w:fill="CCEEFF"/>
          </w:tcPr>
          <w:p>
            <w:pPr>
              <w:ind w:left="180"/>
              <w:spacing w:after="0" w:line="125" w:lineRule="exact"/>
              <w:rPr>
                <w:sz w:val="20"/>
                <w:szCs w:val="20"/>
                <w:color w:val="auto"/>
              </w:rPr>
            </w:pPr>
            <w:r>
              <w:rPr>
                <w:rFonts w:ascii="Arial" w:cs="Arial" w:eastAsia="Arial" w:hAnsi="Arial"/>
                <w:sz w:val="12"/>
                <w:szCs w:val="12"/>
                <w:color w:val="auto"/>
              </w:rPr>
              <w:t>Basic</w:t>
            </w:r>
          </w:p>
        </w:tc>
        <w:tc>
          <w:tcPr>
            <w:tcW w:w="300" w:type="dxa"/>
            <w:vAlign w:val="bottom"/>
            <w:gridSpan w:val="2"/>
            <w:shd w:val="clear" w:color="auto" w:fill="CCEEFF"/>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(0.11)</w:t>
            </w:r>
          </w:p>
        </w:tc>
        <w:tc>
          <w:tcPr>
            <w:tcW w:w="260" w:type="dxa"/>
            <w:vAlign w:val="bottom"/>
            <w:gridSpan w:val="2"/>
            <w:shd w:val="clear" w:color="auto" w:fill="CCEEFF"/>
          </w:tcPr>
          <w:p>
            <w:pPr>
              <w:jc w:val="right"/>
              <w:ind w:right="29"/>
              <w:spacing w:after="0" w:line="125"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0.13</w:t>
            </w:r>
          </w:p>
        </w:tc>
        <w:tc>
          <w:tcPr>
            <w:tcW w:w="20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(0.24)</w:t>
            </w:r>
          </w:p>
        </w:tc>
        <w:tc>
          <w:tcPr>
            <w:tcW w:w="1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rPr>
              <w:t>0.30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2"/>
                <w:szCs w:val="12"/>
                <w:color w:val="auto"/>
              </w:rPr>
              <w:t>Diluted</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8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jc w:val="right"/>
              <w:ind w:right="29"/>
              <w:spacing w:after="0" w:line="100"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(0.11)</w:t>
            </w:r>
          </w:p>
        </w:tc>
        <w:tc>
          <w:tcPr>
            <w:tcW w:w="1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jc w:val="right"/>
              <w:ind w:right="29"/>
              <w:spacing w:after="0" w:line="100"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0.13</w:t>
            </w:r>
          </w:p>
        </w:tc>
        <w:tc>
          <w:tcPr>
            <w:tcW w:w="1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(0.24)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0.30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840" w:type="dxa"/>
            <w:vAlign w:val="bottom"/>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WEIGHTED AVERAGE COMMON SHARES OUTSTANDING:</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5840" w:type="dxa"/>
            <w:vAlign w:val="bottom"/>
            <w:tcBorders>
              <w:bottom w:val="single" w:sz="8" w:color="CCEEFF"/>
            </w:tcBorders>
          </w:tcPr>
          <w:p>
            <w:pPr>
              <w:ind w:left="180"/>
              <w:spacing w:after="0" w:line="125" w:lineRule="exact"/>
              <w:rPr>
                <w:sz w:val="20"/>
                <w:szCs w:val="20"/>
                <w:color w:val="auto"/>
              </w:rPr>
            </w:pPr>
            <w:r>
              <w:rPr>
                <w:rFonts w:ascii="Arial" w:cs="Arial" w:eastAsia="Arial" w:hAnsi="Arial"/>
                <w:sz w:val="12"/>
                <w:szCs w:val="12"/>
                <w:color w:val="auto"/>
              </w:rPr>
              <w:t>Basic</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15,749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15,912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15,736</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2"/>
                <w:szCs w:val="12"/>
                <w:color w:val="auto"/>
              </w:rPr>
              <w:t>15,907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5840" w:type="dxa"/>
            <w:vAlign w:val="bottom"/>
            <w:tcBorders>
              <w:bottom w:val="single" w:sz="8" w:color="CCEEFF"/>
            </w:tcBorders>
            <w:shd w:val="clear" w:color="auto" w:fill="CCEEFF"/>
          </w:tcPr>
          <w:p>
            <w:pPr>
              <w:ind w:left="180"/>
              <w:spacing w:after="0" w:line="100" w:lineRule="exact"/>
              <w:rPr>
                <w:sz w:val="20"/>
                <w:szCs w:val="20"/>
                <w:color w:val="auto"/>
              </w:rPr>
            </w:pPr>
            <w:r>
              <w:rPr>
                <w:rFonts w:ascii="Arial" w:cs="Arial" w:eastAsia="Arial" w:hAnsi="Arial"/>
                <w:sz w:val="11"/>
                <w:szCs w:val="11"/>
                <w:color w:val="auto"/>
              </w:rPr>
              <w:t>Diluted</w:t>
            </w:r>
          </w:p>
        </w:tc>
        <w:tc>
          <w:tcPr>
            <w:tcW w:w="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15,749</w:t>
            </w: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15,921</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15,736</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15,930</w:t>
            </w:r>
          </w:p>
        </w:tc>
        <w:tc>
          <w:tcPr>
            <w:tcW w:w="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2"/>
                <w:szCs w:val="12"/>
                <w:b w:val="1"/>
                <w:bCs w:val="1"/>
                <w:color w:val="auto"/>
              </w:rPr>
              <w:t>DIVIDENDS PER SHARE APPLICABLE TO COMMON STOCK</w:t>
            </w: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8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tcBorders>
              <w:bottom w:val="single" w:sz="8" w:color="auto"/>
            </w:tcBorders>
          </w:tcPr>
          <w:p>
            <w:pPr>
              <w:jc w:val="right"/>
              <w:ind w:right="29"/>
              <w:spacing w:after="0" w:line="100"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0.17</w:t>
            </w:r>
          </w:p>
        </w:tc>
        <w:tc>
          <w:tcPr>
            <w:tcW w:w="120" w:type="dxa"/>
            <w:vAlign w:val="bottom"/>
            <w:vMerge w:val="continue"/>
          </w:tcPr>
          <w:p>
            <w:pPr>
              <w:spacing w:after="0"/>
              <w:rPr>
                <w:sz w:val="8"/>
                <w:szCs w:val="8"/>
                <w:color w:val="auto"/>
              </w:rPr>
            </w:pPr>
          </w:p>
        </w:tc>
        <w:tc>
          <w:tcPr>
            <w:tcW w:w="140" w:type="dxa"/>
            <w:vAlign w:val="bottom"/>
            <w:tcBorders>
              <w:bottom w:val="single" w:sz="8" w:color="auto"/>
            </w:tcBorders>
          </w:tcPr>
          <w:p>
            <w:pPr>
              <w:jc w:val="right"/>
              <w:ind w:right="29"/>
              <w:spacing w:after="0" w:line="100"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0.17</w:t>
            </w:r>
          </w:p>
        </w:tc>
        <w:tc>
          <w:tcPr>
            <w:tcW w:w="140" w:type="dxa"/>
            <w:vAlign w:val="bottom"/>
            <w:vMerge w:val="continue"/>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0.34</w:t>
            </w:r>
          </w:p>
        </w:tc>
        <w:tc>
          <w:tcPr>
            <w:tcW w:w="120" w:type="dxa"/>
            <w:vAlign w:val="bottom"/>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0.34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condensed notes are an integral part of these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 w:name="page6"/>
    <w:bookmarkEnd w:id="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ATN INTERNATIONAL,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THREE AND SIX MONTHS ENDED JUNE 30, 2022 AND 2021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4"/>
          </w:tcPr>
          <w:p>
            <w:pPr>
              <w:jc w:val="right"/>
              <w:ind w:right="226"/>
              <w:spacing w:after="0"/>
              <w:rPr>
                <w:sz w:val="20"/>
                <w:szCs w:val="20"/>
                <w:color w:val="auto"/>
              </w:rPr>
            </w:pPr>
            <w:r>
              <w:rPr>
                <w:rFonts w:ascii="Arial" w:cs="Arial" w:eastAsia="Arial" w:hAnsi="Arial"/>
                <w:sz w:val="11"/>
                <w:szCs w:val="11"/>
                <w:b w:val="1"/>
                <w:bCs w:val="1"/>
                <w:color w:val="auto"/>
                <w:w w:val="94"/>
              </w:rPr>
              <w:t>Three months ended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4"/>
          </w:tcPr>
          <w:p>
            <w:pPr>
              <w:jc w:val="right"/>
              <w:ind w:right="306"/>
              <w:spacing w:after="0"/>
              <w:rPr>
                <w:sz w:val="20"/>
                <w:szCs w:val="20"/>
                <w:color w:val="auto"/>
              </w:rPr>
            </w:pPr>
            <w:r>
              <w:rPr>
                <w:rFonts w:ascii="Arial" w:cs="Arial" w:eastAsia="Arial" w:hAnsi="Arial"/>
                <w:sz w:val="11"/>
                <w:szCs w:val="11"/>
                <w:b w:val="1"/>
                <w:bCs w:val="1"/>
                <w:color w:val="auto"/>
              </w:rPr>
              <w:t>Six months ended</w:t>
            </w:r>
          </w:p>
        </w:tc>
      </w:tr>
      <w:tr>
        <w:trPr>
          <w:trHeight w:val="129"/>
        </w:trPr>
        <w:tc>
          <w:tcPr>
            <w:tcW w:w="5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540" w:type="dxa"/>
            <w:vAlign w:val="bottom"/>
            <w:tcBorders>
              <w:bottom w:val="single" w:sz="8" w:color="auto"/>
            </w:tcBorders>
          </w:tcPr>
          <w:p>
            <w:pPr>
              <w:spacing w:after="0"/>
              <w:rPr>
                <w:sz w:val="11"/>
                <w:szCs w:val="11"/>
                <w:color w:val="auto"/>
              </w:rPr>
            </w:pPr>
          </w:p>
        </w:tc>
      </w:tr>
      <w:tr>
        <w:trPr>
          <w:trHeight w:val="151"/>
        </w:trPr>
        <w:tc>
          <w:tcPr>
            <w:tcW w:w="52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6"/>
              <w:spacing w:after="0"/>
              <w:rPr>
                <w:sz w:val="20"/>
                <w:szCs w:val="20"/>
                <w:color w:val="auto"/>
              </w:rPr>
            </w:pPr>
            <w:r>
              <w:rPr>
                <w:rFonts w:ascii="Arial" w:cs="Arial" w:eastAsia="Arial" w:hAnsi="Arial"/>
                <w:sz w:val="12"/>
                <w:szCs w:val="12"/>
                <w:b w:val="1"/>
                <w:bCs w:val="1"/>
                <w:color w:val="auto"/>
              </w:rPr>
              <w:t>2021</w:t>
            </w:r>
          </w:p>
        </w:tc>
      </w:tr>
      <w:tr>
        <w:trPr>
          <w:trHeight w:val="174"/>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7,565</w:t>
            </w:r>
          </w:p>
        </w:tc>
      </w:tr>
      <w:tr>
        <w:trPr>
          <w:trHeight w:val="182"/>
        </w:trPr>
        <w:tc>
          <w:tcPr>
            <w:tcW w:w="528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2"/>
        </w:trPr>
        <w:tc>
          <w:tcPr>
            <w:tcW w:w="5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Foreign currency translation adjustment</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w:t>
            </w:r>
          </w:p>
        </w:tc>
      </w:tr>
      <w:tr>
        <w:trPr>
          <w:trHeight w:val="182"/>
        </w:trPr>
        <w:tc>
          <w:tcPr>
            <w:tcW w:w="5280" w:type="dxa"/>
            <w:vAlign w:val="bottom"/>
          </w:tcPr>
          <w:p>
            <w:pPr>
              <w:ind w:left="180"/>
              <w:spacing w:after="0"/>
              <w:rPr>
                <w:sz w:val="20"/>
                <w:szCs w:val="20"/>
                <w:color w:val="auto"/>
              </w:rPr>
            </w:pPr>
            <w:r>
              <w:rPr>
                <w:rFonts w:ascii="Arial" w:cs="Arial" w:eastAsia="Arial" w:hAnsi="Arial"/>
                <w:sz w:val="15"/>
                <w:szCs w:val="15"/>
                <w:color w:val="auto"/>
              </w:rPr>
              <w:t>Reclassification of loss on pension settlement, net of $(0.8) million of tax</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915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5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Unrealized gain (loss) on derivatives</w:t>
            </w:r>
          </w:p>
        </w:tc>
        <w:tc>
          <w:tcPr>
            <w:tcW w:w="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74"/>
        </w:trPr>
        <w:tc>
          <w:tcPr>
            <w:tcW w:w="5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comprehensive income (loss), net of tax</w:t>
            </w: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w:t>
            </w:r>
          </w:p>
        </w:tc>
      </w:tr>
      <w:tr>
        <w:trPr>
          <w:trHeight w:val="174"/>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Comprehensive income (loss)</w:t>
            </w: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(3,807)</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7,215</w:t>
            </w:r>
          </w:p>
        </w:tc>
      </w:tr>
      <w:tr>
        <w:trPr>
          <w:trHeight w:val="182"/>
        </w:trPr>
        <w:tc>
          <w:tcPr>
            <w:tcW w:w="5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Comprehensive income (loss) attributable to noncontrolling interests</w:t>
            </w: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(1,271)</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(2,842)</w:t>
            </w:r>
          </w:p>
        </w:tc>
      </w:tr>
      <w:tr>
        <w:trPr>
          <w:trHeight w:val="174"/>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Comprehensive income (loss) attributable to ATN International, Inc.</w:t>
            </w:r>
          </w:p>
        </w:tc>
        <w:tc>
          <w:tcPr>
            <w:tcW w:w="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1,678</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(2,013)</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4,373</w:t>
            </w:r>
          </w:p>
        </w:tc>
      </w:tr>
      <w:tr>
        <w:trPr>
          <w:trHeight w:val="20"/>
        </w:trPr>
        <w:tc>
          <w:tcPr>
            <w:tcW w:w="5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accompanying condensed notes are an integral part of these condensed consolidated financial statements</w:t>
      </w:r>
      <w:r>
        <w:rPr>
          <w:rFonts w:ascii="Arial" w:cs="Arial" w:eastAsia="Arial" w:hAnsi="Arial"/>
          <w:sz w:val="12"/>
          <w:szCs w:val="12"/>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 w:name="page7"/>
    <w:bookmarkEnd w:id="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12"/>
          <w:szCs w:val="12"/>
          <w:b w:val="1"/>
          <w:bCs w:val="1"/>
          <w:color w:val="auto"/>
        </w:rPr>
        <w:t>CONDENSED CONSOLIDATED STATEMENTS OF EQUITY</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12"/>
          <w:szCs w:val="12"/>
          <w:b w:val="1"/>
          <w:bCs w:val="1"/>
          <w:color w:val="auto"/>
        </w:rPr>
        <w:t>FOR THE THREE MONTHS ENDED JUNE 30, 2022 AND 2021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jc w:val="right"/>
              <w:ind w:right="238"/>
              <w:spacing w:after="0"/>
              <w:rPr>
                <w:sz w:val="20"/>
                <w:szCs w:val="20"/>
                <w:color w:val="auto"/>
              </w:rPr>
            </w:pPr>
            <w:r>
              <w:rPr>
                <w:rFonts w:ascii="Arial" w:cs="Arial" w:eastAsia="Arial" w:hAnsi="Arial"/>
                <w:sz w:val="8"/>
                <w:szCs w:val="8"/>
                <w:b w:val="1"/>
                <w:bCs w:val="1"/>
                <w:color w:val="auto"/>
              </w:rPr>
              <w:t>Total Redeemable Noncontrolling Interests</w:t>
            </w: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8"/>
                <w:szCs w:val="8"/>
                <w:b w:val="1"/>
                <w:bCs w:val="1"/>
                <w:color w:val="auto"/>
              </w:rPr>
              <w:t>Total Equity</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w w:val="93"/>
              </w:rPr>
              <w:t>Redeemable</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w w:val="93"/>
              </w:rPr>
              <w:t>Redeemable</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b w:val="1"/>
                <w:bCs w:val="1"/>
                <w:color w:val="auto"/>
                <w:w w:val="94"/>
              </w:rPr>
              <w:t>Treasury</w:t>
            </w: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w w:val="97"/>
              </w:rPr>
              <w:t>Additional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b w:val="1"/>
                <w:bCs w:val="1"/>
                <w:color w:val="auto"/>
                <w:w w:val="93"/>
              </w:rPr>
              <w:t>Redeemable</w:t>
            </w: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Other</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ATNI</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rPr>
              <w:t>Non-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Preferred</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Common</w:t>
            </w:r>
          </w:p>
        </w:tc>
        <w:tc>
          <w:tcPr>
            <w:tcW w:w="8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Redeemable</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w w:val="92"/>
              </w:rPr>
              <w:t>Common</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b w:val="1"/>
                <w:bCs w:val="1"/>
                <w:color w:val="auto"/>
              </w:rPr>
              <w:t>Stock,</w:t>
            </w: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rPr>
              <w:t>Paid In</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w w:val="94"/>
              </w:rPr>
              <w:t>Retained</w:t>
            </w: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b w:val="1"/>
                <w:bCs w:val="1"/>
                <w:color w:val="auto"/>
              </w:rPr>
              <w:t>Common</w:t>
            </w: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w w:val="93"/>
              </w:rPr>
              <w:t>Comprehensive</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w w:val="94"/>
              </w:rPr>
              <w:t>Stockholders’</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w w:val="98"/>
              </w:rPr>
              <w:t>Controlling</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Units</w:t>
            </w: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Units</w:t>
            </w: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5"/>
              </w:rPr>
              <w:t>Noncontrolling Interests</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Stock</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at cost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Capital</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3"/>
              </w:rPr>
              <w:t>Earnings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Units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Income/(Loss)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Equity</w:t>
            </w: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Interests</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Balance, March 31, 2022</w:t>
            </w: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51,412</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22,640</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74,052</w:t>
            </w: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(73,795)$</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193,164</w:t>
            </w: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470,056</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5,195</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594,792</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98,768</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693,560</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Purchase of 831 shares of common stock</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(33)</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(33)</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Stock-based compensation</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2,435</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2,435</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133</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2,568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Dividends declared on common stock ($0.17 per common share)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(2,678)</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(2,678)</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(1,113)</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(3,791)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w w:val="95"/>
              </w:rPr>
              <w:t>Investments made by minority shareholders in consolidated affiliates</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Repurchase of noncontrolling interests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(167)</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(167)</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(1,850)</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(2,017)</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Accrued dividend - redeemable preferred units</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1,154</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1,154</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(1,154)</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(1,154)</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(1,154)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Deemed dividend - redeemable common units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587</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587</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(587)</w:t>
            </w: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color w:val="auto"/>
              </w:rPr>
              <w:t>587</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i w:val="1"/>
                <w:iCs w:val="1"/>
                <w:color w:val="auto"/>
              </w:rPr>
              <w:t>Comprehensive income:</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Arial" w:cs="Arial" w:eastAsia="Arial" w:hAnsi="Arial"/>
                <w:sz w:val="8"/>
                <w:szCs w:val="8"/>
                <w:color w:val="auto"/>
              </w:rPr>
              <w:t>Net income (loss)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(587)</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(587)</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(525)</w:t>
            </w:r>
          </w:p>
        </w:tc>
        <w:tc>
          <w:tcPr>
            <w:tcW w:w="6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(587)</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(1,112)</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(197)</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(1,309)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8"/>
                <w:szCs w:val="8"/>
                <w:color w:val="auto"/>
              </w:rPr>
              <w:t>Other comprehensive income</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(964)</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(964)</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(964)</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Total comprehensive income (loss)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(587)</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(587)</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(525)</w:t>
            </w:r>
          </w:p>
        </w:tc>
        <w:tc>
          <w:tcPr>
            <w:tcW w:w="6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(587)</w:t>
            </w:r>
          </w:p>
        </w:tc>
        <w:tc>
          <w:tcPr>
            <w:tcW w:w="600" w:type="dxa"/>
            <w:vAlign w:val="bottom"/>
          </w:tcPr>
          <w:p>
            <w:pPr>
              <w:jc w:val="right"/>
              <w:spacing w:after="0"/>
              <w:rPr>
                <w:sz w:val="20"/>
                <w:szCs w:val="20"/>
                <w:color w:val="auto"/>
              </w:rPr>
            </w:pPr>
            <w:r>
              <w:rPr>
                <w:rFonts w:ascii="Arial" w:cs="Arial" w:eastAsia="Arial" w:hAnsi="Arial"/>
                <w:sz w:val="8"/>
                <w:szCs w:val="8"/>
                <w:color w:val="auto"/>
              </w:rPr>
              <w:t>(964)</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(2,076)</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(197)</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(2,273)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June 30, 2022</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52,566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22,640</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75,206</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(73,828)$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195,432</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465,112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4,231</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591,119</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95,752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686,871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vMerge w:val="restart"/>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Balance, March 31, 2021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 $</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8"/>
                <w:szCs w:val="8"/>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(61,677)$</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186,930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516,897</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269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642,591</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99,678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w w:val="96"/>
              </w:rPr>
              <w:t>742,269</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Purchase of 37,428 shares of common stock</w:t>
            </w:r>
          </w:p>
        </w:tc>
        <w:tc>
          <w:tcPr>
            <w:tcW w:w="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(1,711)</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(1,711)</w:t>
            </w: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(1,711)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Stock-based compensation</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2,150</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2,150</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2,175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Dividends declared on common stock ($0.17 per common share)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(2,708)</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(2,708)</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(958)</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(3,666)</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w w:val="95"/>
              </w:rPr>
              <w:t>Investments made by minority shareholders in consolidated affiliates</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329</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329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Repurchase of noncontrolling interests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(74)</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(74)</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(1,085)</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(1,159)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i w:val="1"/>
                <w:iCs w:val="1"/>
                <w:color w:val="auto"/>
              </w:rPr>
              <w:t>Comprehensive income:</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Arial" w:cs="Arial" w:eastAsia="Arial" w:hAnsi="Arial"/>
                <w:sz w:val="8"/>
                <w:szCs w:val="8"/>
                <w:color w:val="auto"/>
              </w:rPr>
              <w:t>Net income</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2,019</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2,019</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1,271</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3,290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8"/>
                <w:szCs w:val="8"/>
                <w:color w:val="auto"/>
              </w:rPr>
              <w:t>Other comprehensive income (loss)</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(341)</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(341)</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(341)</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Total comprehensive income (loss)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2,019</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(341)</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1,678</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1,271</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2,949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June 30, 2021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color w:val="auto"/>
              </w:rPr>
              <w:t>— $</w:t>
            </w:r>
          </w:p>
        </w:tc>
        <w:tc>
          <w:tcPr>
            <w:tcW w:w="56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8"/>
                <w:szCs w:val="8"/>
                <w:color w:val="auto"/>
              </w:rPr>
              <w:t>— $</w:t>
            </w:r>
          </w:p>
        </w:tc>
        <w:tc>
          <w:tcPr>
            <w:tcW w:w="9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(63,388)$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189,006</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516,208</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color w:val="auto"/>
              </w:rPr>
              <w:t>(72)$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641,926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99,260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741,186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accompanying condensed notes are an integral part of these condensed consolidated financial statements</w:t>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 w:name="page8"/>
    <w:bookmarkEnd w:id="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00"/>
        <w:spacing w:after="0"/>
        <w:rPr>
          <w:sz w:val="20"/>
          <w:szCs w:val="20"/>
          <w:color w:val="auto"/>
        </w:rPr>
      </w:pPr>
      <w:r>
        <w:rPr>
          <w:rFonts w:ascii="Arial" w:cs="Arial" w:eastAsia="Arial" w:hAnsi="Arial"/>
          <w:sz w:val="12"/>
          <w:szCs w:val="12"/>
          <w:b w:val="1"/>
          <w:bCs w:val="1"/>
          <w:color w:val="auto"/>
        </w:rPr>
        <w:t>ATN INTERNATIONAL, INC. AND SUBSIDIARIES</w:t>
      </w:r>
    </w:p>
    <w:p>
      <w:pPr>
        <w:spacing w:after="0" w:line="56" w:lineRule="exact"/>
        <w:rPr>
          <w:sz w:val="20"/>
          <w:szCs w:val="20"/>
          <w:color w:val="auto"/>
        </w:rPr>
      </w:pPr>
    </w:p>
    <w:p>
      <w:pPr>
        <w:ind w:left="2840"/>
        <w:spacing w:after="0"/>
        <w:rPr>
          <w:sz w:val="20"/>
          <w:szCs w:val="20"/>
          <w:color w:val="auto"/>
        </w:rPr>
      </w:pPr>
      <w:r>
        <w:rPr>
          <w:rFonts w:ascii="Arial" w:cs="Arial" w:eastAsia="Arial" w:hAnsi="Arial"/>
          <w:sz w:val="12"/>
          <w:szCs w:val="12"/>
          <w:b w:val="1"/>
          <w:bCs w:val="1"/>
          <w:color w:val="auto"/>
        </w:rPr>
        <w:t>CONDENSED CONSOLIDATED STATEMENTS OF EQUITY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SIX MONTHS ENDED JUNE 30, 2022 AND 2021</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jc w:val="right"/>
              <w:ind w:right="238"/>
              <w:spacing w:after="0"/>
              <w:rPr>
                <w:sz w:val="20"/>
                <w:szCs w:val="20"/>
                <w:color w:val="auto"/>
              </w:rPr>
            </w:pPr>
            <w:r>
              <w:rPr>
                <w:rFonts w:ascii="Arial" w:cs="Arial" w:eastAsia="Arial" w:hAnsi="Arial"/>
                <w:sz w:val="8"/>
                <w:szCs w:val="8"/>
                <w:b w:val="1"/>
                <w:bCs w:val="1"/>
                <w:color w:val="auto"/>
              </w:rPr>
              <w:t>Total Redeemable Noncontrolling Interests</w:t>
            </w: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8"/>
                <w:szCs w:val="8"/>
                <w:b w:val="1"/>
                <w:bCs w:val="1"/>
                <w:color w:val="auto"/>
              </w:rPr>
              <w:t>Total Equity</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w w:val="89"/>
              </w:rPr>
              <w:t>Redeemable</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w w:val="93"/>
              </w:rPr>
              <w:t>Redeemable</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b w:val="1"/>
                <w:bCs w:val="1"/>
                <w:color w:val="auto"/>
              </w:rPr>
              <w:t>Total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b w:val="1"/>
                <w:bCs w:val="1"/>
                <w:color w:val="auto"/>
                <w:w w:val="94"/>
              </w:rPr>
              <w:t>Treasury</w:t>
            </w: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w w:val="97"/>
              </w:rPr>
              <w:t>Additional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b w:val="1"/>
                <w:bCs w:val="1"/>
                <w:color w:val="auto"/>
                <w:w w:val="93"/>
              </w:rPr>
              <w:t>Redeemable</w:t>
            </w: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rPr>
              <w:t>Other</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ATNI</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rPr>
              <w:t>Non-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rPr>
              <w:t>Preferred</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Common</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b w:val="1"/>
                <w:bCs w:val="1"/>
                <w:color w:val="auto"/>
              </w:rPr>
              <w:t>Redeemable</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w w:val="92"/>
              </w:rPr>
              <w:t>Common</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b w:val="1"/>
                <w:bCs w:val="1"/>
                <w:color w:val="auto"/>
              </w:rPr>
              <w:t>Stock,</w:t>
            </w:r>
          </w:p>
        </w:tc>
        <w:tc>
          <w:tcPr>
            <w:tcW w:w="420" w:type="dxa"/>
            <w:vAlign w:val="bottom"/>
          </w:tcPr>
          <w:p>
            <w:pPr>
              <w:jc w:val="right"/>
              <w:spacing w:after="0"/>
              <w:rPr>
                <w:sz w:val="20"/>
                <w:szCs w:val="20"/>
                <w:color w:val="auto"/>
              </w:rPr>
            </w:pPr>
            <w:r>
              <w:rPr>
                <w:rFonts w:ascii="Arial" w:cs="Arial" w:eastAsia="Arial" w:hAnsi="Arial"/>
                <w:sz w:val="8"/>
                <w:szCs w:val="8"/>
                <w:b w:val="1"/>
                <w:bCs w:val="1"/>
                <w:color w:val="auto"/>
              </w:rPr>
              <w:t>Paid In</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b w:val="1"/>
                <w:bCs w:val="1"/>
                <w:color w:val="auto"/>
                <w:w w:val="94"/>
              </w:rPr>
              <w:t>Retained</w:t>
            </w: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b w:val="1"/>
                <w:bCs w:val="1"/>
                <w:color w:val="auto"/>
              </w:rPr>
              <w:t>Common</w:t>
            </w:r>
          </w:p>
        </w:tc>
        <w:tc>
          <w:tcPr>
            <w:tcW w:w="600" w:type="dxa"/>
            <w:vAlign w:val="bottom"/>
          </w:tcPr>
          <w:p>
            <w:pPr>
              <w:jc w:val="right"/>
              <w:spacing w:after="0"/>
              <w:rPr>
                <w:sz w:val="20"/>
                <w:szCs w:val="20"/>
                <w:color w:val="auto"/>
              </w:rPr>
            </w:pPr>
            <w:r>
              <w:rPr>
                <w:rFonts w:ascii="Arial" w:cs="Arial" w:eastAsia="Arial" w:hAnsi="Arial"/>
                <w:sz w:val="8"/>
                <w:szCs w:val="8"/>
                <w:b w:val="1"/>
                <w:bCs w:val="1"/>
                <w:color w:val="auto"/>
                <w:w w:val="93"/>
              </w:rPr>
              <w:t>Comprehensive</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w w:val="94"/>
              </w:rPr>
              <w:t>Stockholders’</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b w:val="1"/>
                <w:bCs w:val="1"/>
                <w:color w:val="auto"/>
                <w:w w:val="98"/>
              </w:rPr>
              <w:t>Controlling</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Units</w:t>
            </w: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Units</w:t>
            </w: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8"/>
                <w:szCs w:val="8"/>
                <w:b w:val="1"/>
                <w:bCs w:val="1"/>
                <w:color w:val="auto"/>
                <w:w w:val="95"/>
              </w:rPr>
              <w:t>Noncontrolling Interests</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Stock</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at cost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Capital</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93"/>
              </w:rPr>
              <w:t>Earnings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Units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Income/(Loss)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Equity</w:t>
            </w: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Interests</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Balance, December 31, 2021</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50,296</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22,640</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72,936</w:t>
            </w: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(71,714)$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192,132</w:t>
            </w: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475,887</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4,773</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601,250</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101,003</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702,253</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Purchase of 57,115 shares of common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(2,114)</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(2,114)</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(2,114)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Stock-based compensation</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3,743</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3,743</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285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4,028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Dividends declared on common stock ($0.34 per common share)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(5,356)</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(5,356)</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(1,374)</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(6,730)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w w:val="95"/>
              </w:rPr>
              <w:t>Investments made by minority shareholders in consolidated affiliates</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Repurchase of noncontrolling interests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(443)</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(443)</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(4,057)</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(4,500)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Accrued dividend - redeemable preferred units</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2,270</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2,270</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(2,270)</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(2,270)</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(2,270)</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Deemed dividend - redeemable common units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1,678</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1,678</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(1,678)</w:t>
            </w:r>
          </w:p>
        </w:tc>
        <w:tc>
          <w:tcPr>
            <w:tcW w:w="60" w:type="dxa"/>
            <w:vAlign w:val="bottom"/>
          </w:tcPr>
          <w:p>
            <w:pPr>
              <w:spacing w:after="0"/>
              <w:rPr>
                <w:sz w:val="8"/>
                <w:szCs w:val="8"/>
                <w:color w:val="auto"/>
              </w:rPr>
            </w:pPr>
          </w:p>
        </w:tc>
        <w:tc>
          <w:tcPr>
            <w:tcW w:w="540" w:type="dxa"/>
            <w:vAlign w:val="bottom"/>
          </w:tcPr>
          <w:p>
            <w:pPr>
              <w:jc w:val="right"/>
              <w:ind w:right="38"/>
              <w:spacing w:after="0"/>
              <w:rPr>
                <w:sz w:val="20"/>
                <w:szCs w:val="20"/>
                <w:color w:val="auto"/>
              </w:rPr>
            </w:pPr>
            <w:r>
              <w:rPr>
                <w:rFonts w:ascii="Arial" w:cs="Arial" w:eastAsia="Arial" w:hAnsi="Arial"/>
                <w:sz w:val="8"/>
                <w:szCs w:val="8"/>
                <w:color w:val="auto"/>
              </w:rPr>
              <w:t>1,678</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i w:val="1"/>
                <w:iCs w:val="1"/>
                <w:color w:val="auto"/>
              </w:rPr>
              <w:t>Comprehensive income:</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Arial" w:cs="Arial" w:eastAsia="Arial" w:hAnsi="Arial"/>
                <w:sz w:val="8"/>
                <w:szCs w:val="8"/>
                <w:color w:val="auto"/>
              </w:rPr>
              <w:t>Net income (loss)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(1,678)</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(1,678)</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(1,471)</w:t>
            </w:r>
          </w:p>
        </w:tc>
        <w:tc>
          <w:tcPr>
            <w:tcW w:w="6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(1,678)</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(3,149)</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(116)</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(3,265)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8"/>
                <w:szCs w:val="8"/>
                <w:color w:val="auto"/>
              </w:rPr>
              <w:t>Other comprehensive income (loss)</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(542)</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(542)</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(542)</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Total comprehensive income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(1,678)</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(1,678)</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(1,471)</w:t>
            </w:r>
          </w:p>
        </w:tc>
        <w:tc>
          <w:tcPr>
            <w:tcW w:w="6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(1,678)</w:t>
            </w:r>
          </w:p>
        </w:tc>
        <w:tc>
          <w:tcPr>
            <w:tcW w:w="600" w:type="dxa"/>
            <w:vAlign w:val="bottom"/>
          </w:tcPr>
          <w:p>
            <w:pPr>
              <w:jc w:val="right"/>
              <w:spacing w:after="0"/>
              <w:rPr>
                <w:sz w:val="20"/>
                <w:szCs w:val="20"/>
                <w:color w:val="auto"/>
              </w:rPr>
            </w:pPr>
            <w:r>
              <w:rPr>
                <w:rFonts w:ascii="Arial" w:cs="Arial" w:eastAsia="Arial" w:hAnsi="Arial"/>
                <w:sz w:val="8"/>
                <w:szCs w:val="8"/>
                <w:color w:val="auto"/>
              </w:rPr>
              <w:t>(542)</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(3,691)</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(116)</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(3,807)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June 30, 2022</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52,566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22,640</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75,206</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(73,828)$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195,432</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465,112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4,231</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591,119</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95,752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686,871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0" w:type="dxa"/>
            <w:vAlign w:val="bottom"/>
            <w:vMerge w:val="restart"/>
          </w:tcPr>
          <w:p>
            <w:pPr>
              <w:spacing w:after="0"/>
              <w:rPr>
                <w:sz w:val="6"/>
                <w:szCs w:val="6"/>
                <w:color w:val="auto"/>
              </w:rPr>
            </w:pPr>
          </w:p>
        </w:tc>
        <w:tc>
          <w:tcPr>
            <w:tcW w:w="2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vMerge w:val="continue"/>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Balance, December 31,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 $</w:t>
            </w:r>
          </w:p>
        </w:tc>
        <w:tc>
          <w:tcPr>
            <w:tcW w:w="560" w:type="dxa"/>
            <w:vAlign w:val="bottom"/>
            <w:gridSpan w:val="2"/>
            <w:shd w:val="clear" w:color="auto" w:fill="CCEEFF"/>
          </w:tcPr>
          <w:p>
            <w:pPr>
              <w:jc w:val="right"/>
              <w:ind w:right="14"/>
              <w:spacing w:after="0"/>
              <w:rPr>
                <w:sz w:val="20"/>
                <w:szCs w:val="20"/>
                <w:color w:val="auto"/>
              </w:rPr>
            </w:pPr>
            <w:r>
              <w:rPr>
                <w:rFonts w:ascii="Arial" w:cs="Arial" w:eastAsia="Arial" w:hAnsi="Arial"/>
                <w:sz w:val="8"/>
                <w:szCs w:val="8"/>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(59,456)$</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187,754</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516,901</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278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645,649</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108,687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w w:val="96"/>
              </w:rPr>
              <w:t>754,336</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Purchase of 81,406 shares of common stock</w:t>
            </w: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(3,932)</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(3,932)</w:t>
            </w: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(3,932)</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Stock-based compensation</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3,413</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3,413</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98</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3,511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Investments made by minority shareholders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329</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329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color w:val="auto"/>
              </w:rPr>
              <w:t>Dividends declared on common stock ($0.34 per common share)</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(5,416)</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8"/>
                <w:szCs w:val="8"/>
                <w:color w:val="auto"/>
              </w:rPr>
              <w:t>(5,416)</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(2,488)</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(7,904)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Arial" w:cs="Arial" w:eastAsia="Arial" w:hAnsi="Arial"/>
                <w:sz w:val="8"/>
                <w:szCs w:val="8"/>
                <w:color w:val="auto"/>
              </w:rPr>
              <w:t>Repurchase of noncontrolling interests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(2,161)</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(2,161)</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(10,208)</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(12,369)</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8"/>
                <w:szCs w:val="8"/>
                <w:i w:val="1"/>
                <w:iCs w:val="1"/>
                <w:color w:val="auto"/>
              </w:rPr>
              <w:t>Comprehensive income:</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Arial" w:cs="Arial" w:eastAsia="Arial" w:hAnsi="Arial"/>
                <w:sz w:val="8"/>
                <w:szCs w:val="8"/>
                <w:color w:val="auto"/>
              </w:rPr>
              <w:t>Net income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4,723</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4,723</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2,842</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7,565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8"/>
                <w:szCs w:val="8"/>
                <w:color w:val="auto"/>
              </w:rPr>
              <w:t>Other comprehensive income</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(350)</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(350)</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(350)</w:t>
            </w:r>
          </w:p>
        </w:tc>
        <w:tc>
          <w:tcPr>
            <w:tcW w:w="0" w:type="dxa"/>
            <w:vAlign w:val="bottom"/>
          </w:tcPr>
          <w:p>
            <w:pPr>
              <w:spacing w:after="0"/>
              <w:rPr>
                <w:sz w:val="1"/>
                <w:szCs w:val="1"/>
                <w:color w:val="auto"/>
              </w:rPr>
            </w:pPr>
          </w:p>
        </w:tc>
      </w:tr>
      <w:tr>
        <w:trPr>
          <w:trHeight w:val="94"/>
        </w:trPr>
        <w:tc>
          <w:tcPr>
            <w:tcW w:w="2360" w:type="dxa"/>
            <w:vAlign w:val="bottom"/>
            <w:gridSpan w:val="2"/>
          </w:tcPr>
          <w:p>
            <w:pPr>
              <w:spacing w:after="0"/>
              <w:rPr>
                <w:sz w:val="20"/>
                <w:szCs w:val="20"/>
                <w:color w:val="auto"/>
              </w:rPr>
            </w:pPr>
            <w:r>
              <w:rPr>
                <w:rFonts w:ascii="Arial" w:cs="Arial" w:eastAsia="Arial" w:hAnsi="Arial"/>
                <w:sz w:val="8"/>
                <w:szCs w:val="8"/>
                <w:color w:val="auto"/>
              </w:rPr>
              <w:t>Total comprehensive income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8"/>
              <w:spacing w:after="0"/>
              <w:rPr>
                <w:sz w:val="20"/>
                <w:szCs w:val="20"/>
                <w:color w:val="auto"/>
              </w:rPr>
            </w:pPr>
            <w:r>
              <w:rPr>
                <w:rFonts w:ascii="Arial" w:cs="Arial" w:eastAsia="Arial" w:hAnsi="Arial"/>
                <w:sz w:val="8"/>
                <w:szCs w:val="8"/>
                <w:color w:val="auto"/>
              </w:rPr>
              <w:t>—</w:t>
            </w:r>
          </w:p>
        </w:tc>
        <w:tc>
          <w:tcPr>
            <w:tcW w:w="420" w:type="dxa"/>
            <w:vAlign w:val="bottom"/>
          </w:tcPr>
          <w:p>
            <w:pPr>
              <w:jc w:val="right"/>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4,723</w:t>
            </w:r>
          </w:p>
        </w:tc>
        <w:tc>
          <w:tcPr>
            <w:tcW w:w="60" w:type="dxa"/>
            <w:vAlign w:val="bottom"/>
          </w:tcPr>
          <w:p>
            <w:pPr>
              <w:spacing w:after="0"/>
              <w:rPr>
                <w:sz w:val="8"/>
                <w:szCs w:val="8"/>
                <w:color w:val="auto"/>
              </w:rPr>
            </w:pPr>
          </w:p>
        </w:tc>
        <w:tc>
          <w:tcPr>
            <w:tcW w:w="540" w:type="dxa"/>
            <w:vAlign w:val="bottom"/>
          </w:tcPr>
          <w:p>
            <w:pPr>
              <w:ind w:left="380"/>
              <w:spacing w:after="0"/>
              <w:rPr>
                <w:sz w:val="20"/>
                <w:szCs w:val="20"/>
                <w:color w:val="auto"/>
              </w:rPr>
            </w:pPr>
            <w:r>
              <w:rPr>
                <w:rFonts w:ascii="Arial" w:cs="Arial" w:eastAsia="Arial" w:hAnsi="Arial"/>
                <w:sz w:val="8"/>
                <w:szCs w:val="8"/>
                <w:color w:val="auto"/>
              </w:rPr>
              <w:t>—</w:t>
            </w:r>
          </w:p>
        </w:tc>
        <w:tc>
          <w:tcPr>
            <w:tcW w:w="600" w:type="dxa"/>
            <w:vAlign w:val="bottom"/>
          </w:tcPr>
          <w:p>
            <w:pPr>
              <w:jc w:val="right"/>
              <w:spacing w:after="0"/>
              <w:rPr>
                <w:sz w:val="20"/>
                <w:szCs w:val="20"/>
                <w:color w:val="auto"/>
              </w:rPr>
            </w:pPr>
            <w:r>
              <w:rPr>
                <w:rFonts w:ascii="Arial" w:cs="Arial" w:eastAsia="Arial" w:hAnsi="Arial"/>
                <w:sz w:val="8"/>
                <w:szCs w:val="8"/>
                <w:color w:val="auto"/>
              </w:rPr>
              <w:t>(350)</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4,373</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Arial" w:cs="Arial" w:eastAsia="Arial" w:hAnsi="Arial"/>
                <w:sz w:val="8"/>
                <w:szCs w:val="8"/>
                <w:color w:val="auto"/>
              </w:rPr>
              <w:t>2,842</w:t>
            </w:r>
          </w:p>
        </w:tc>
        <w:tc>
          <w:tcPr>
            <w:tcW w:w="6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7,215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8"/>
                <w:szCs w:val="8"/>
                <w:color w:val="auto"/>
              </w:rPr>
              <w:t>Balance, June 30, 2021</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color w:val="auto"/>
              </w:rPr>
              <w:t>— $</w:t>
            </w:r>
          </w:p>
        </w:tc>
        <w:tc>
          <w:tcPr>
            <w:tcW w:w="56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8"/>
                <w:szCs w:val="8"/>
                <w:color w:val="auto"/>
              </w:rPr>
              <w:t>— $</w:t>
            </w:r>
          </w:p>
        </w:tc>
        <w:tc>
          <w:tcPr>
            <w:tcW w:w="9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(63,388)$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189,006</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516,208</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8"/>
                <w:szCs w:val="8"/>
                <w:color w:val="auto"/>
                <w:w w:val="95"/>
              </w:rPr>
              <w:t>— $</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color w:val="auto"/>
              </w:rPr>
              <w:t>(72)$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641,926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99,260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96"/>
              </w:rPr>
              <w:t>741,186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8" w:name="page9"/>
    <w:bookmarkEnd w:id="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0" w:right="59"/>
        <w:spacing w:after="0" w:line="267" w:lineRule="auto"/>
        <w:rPr>
          <w:sz w:val="20"/>
          <w:szCs w:val="20"/>
          <w:color w:val="auto"/>
        </w:rPr>
      </w:pPr>
      <w:r>
        <w:rPr>
          <w:rFonts w:ascii="Arial" w:cs="Arial" w:eastAsia="Arial" w:hAnsi="Arial"/>
          <w:sz w:val="15"/>
          <w:szCs w:val="15"/>
          <w:b w:val="1"/>
          <w:bCs w:val="1"/>
          <w:color w:val="auto"/>
        </w:rPr>
        <w:t>ATN INTERNATIONAL, INC. AND SUBSIDIARIES CONDENSED CONSOLIDATED STATEMENTS OF CASH FLOWS FOR SIX MONTHS ENDED JUNE 30, 2022 AND 2021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14"/>
        </w:trPr>
        <w:tc>
          <w:tcPr>
            <w:tcW w:w="5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20" w:type="dxa"/>
            <w:vAlign w:val="bottom"/>
            <w:tcBorders>
              <w:bottom w:val="single" w:sz="8" w:color="auto"/>
            </w:tcBorders>
            <w:gridSpan w:val="5"/>
          </w:tcPr>
          <w:p>
            <w:pPr>
              <w:ind w:left="360"/>
              <w:spacing w:after="0"/>
              <w:rPr>
                <w:sz w:val="20"/>
                <w:szCs w:val="20"/>
                <w:color w:val="auto"/>
              </w:rPr>
            </w:pPr>
            <w:r>
              <w:rPr>
                <w:rFonts w:ascii="Arial" w:cs="Arial" w:eastAsia="Arial" w:hAnsi="Arial"/>
                <w:sz w:val="9"/>
                <w:szCs w:val="9"/>
                <w:b w:val="1"/>
                <w:bCs w:val="1"/>
                <w:color w:val="auto"/>
              </w:rPr>
              <w:t>Six Months Ended June 30,</w:t>
            </w:r>
          </w:p>
        </w:tc>
        <w:tc>
          <w:tcPr>
            <w:tcW w:w="0" w:type="dxa"/>
            <w:vAlign w:val="bottom"/>
          </w:tcPr>
          <w:p>
            <w:pPr>
              <w:spacing w:after="0"/>
              <w:rPr>
                <w:sz w:val="1"/>
                <w:szCs w:val="1"/>
                <w:color w:val="auto"/>
              </w:rPr>
            </w:pPr>
          </w:p>
        </w:tc>
      </w:tr>
      <w:tr>
        <w:trPr>
          <w:trHeight w:val="94"/>
        </w:trPr>
        <w:tc>
          <w:tcPr>
            <w:tcW w:w="5840" w:type="dxa"/>
            <w:vAlign w:val="bottom"/>
            <w:tcBorders>
              <w:bottom w:val="single" w:sz="8" w:color="CCEEFF"/>
            </w:tcBorders>
          </w:tcPr>
          <w:p>
            <w:pPr>
              <w:spacing w:after="0"/>
              <w:rPr>
                <w:sz w:val="8"/>
                <w:szCs w:val="8"/>
                <w:color w:val="auto"/>
              </w:rPr>
            </w:pPr>
          </w:p>
        </w:tc>
        <w:tc>
          <w:tcPr>
            <w:tcW w:w="128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tcPr>
          <w:p>
            <w:pPr>
              <w:ind w:left="360"/>
              <w:spacing w:after="0" w:line="94" w:lineRule="exact"/>
              <w:rPr>
                <w:sz w:val="20"/>
                <w:szCs w:val="20"/>
                <w:color w:val="auto"/>
              </w:rPr>
            </w:pPr>
            <w:r>
              <w:rPr>
                <w:rFonts w:ascii="Arial" w:cs="Arial" w:eastAsia="Arial" w:hAnsi="Arial"/>
                <w:sz w:val="9"/>
                <w:szCs w:val="9"/>
                <w:b w:val="1"/>
                <w:bCs w:val="1"/>
                <w:color w:val="auto"/>
                <w:w w:val="79"/>
              </w:rPr>
              <w:t>2022</w:t>
            </w: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7"/>
              <w:spacing w:after="0" w:line="94" w:lineRule="exact"/>
              <w:rPr>
                <w:sz w:val="20"/>
                <w:szCs w:val="20"/>
                <w:color w:val="auto"/>
              </w:rPr>
            </w:pPr>
            <w:r>
              <w:rPr>
                <w:rFonts w:ascii="Arial" w:cs="Arial" w:eastAsia="Arial" w:hAnsi="Arial"/>
                <w:sz w:val="9"/>
                <w:szCs w:val="9"/>
                <w:b w:val="1"/>
                <w:bCs w:val="1"/>
                <w:color w:val="auto"/>
              </w:rPr>
              <w:t>2021</w:t>
            </w:r>
          </w:p>
        </w:tc>
        <w:tc>
          <w:tcPr>
            <w:tcW w:w="0" w:type="dxa"/>
            <w:vAlign w:val="bottom"/>
          </w:tcPr>
          <w:p>
            <w:pPr>
              <w:spacing w:after="0"/>
              <w:rPr>
                <w:sz w:val="1"/>
                <w:szCs w:val="1"/>
                <w:color w:val="auto"/>
              </w:rPr>
            </w:pPr>
          </w:p>
        </w:tc>
      </w:tr>
      <w:tr>
        <w:trPr>
          <w:trHeight w:val="105"/>
        </w:trPr>
        <w:tc>
          <w:tcPr>
            <w:tcW w:w="584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rPr>
              <w:t>Cash flows from operating activities: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Net income</w:t>
            </w:r>
          </w:p>
        </w:tc>
        <w:tc>
          <w:tcPr>
            <w:tcW w:w="1820" w:type="dxa"/>
            <w:vAlign w:val="bottom"/>
            <w:gridSpan w:val="2"/>
          </w:tcPr>
          <w:p>
            <w:pPr>
              <w:jc w:val="right"/>
              <w:ind w:right="464"/>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(3,265)</w:t>
            </w:r>
          </w:p>
        </w:tc>
        <w:tc>
          <w:tcPr>
            <w:tcW w:w="360" w:type="dxa"/>
            <w:vAlign w:val="bottom"/>
            <w:gridSpan w:val="2"/>
          </w:tcPr>
          <w:p>
            <w:pPr>
              <w:jc w:val="right"/>
              <w:ind w:right="73"/>
              <w:spacing w:after="0" w:line="114"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7,565</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Adjustments to reconcile net income to net cash flows provided by operating activities: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Depreciation</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4"/>
              </w:rPr>
              <w:t>67,109</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39,849</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Amortization of acquisition intangibles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6,508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813</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Provision for doubtful accounts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3,153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2,299</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Amortization of debt discount and debt issuance costs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1,004</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Loss on disposition of long-lived assets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3,392</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861</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Stock-based compensation</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4,028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3,511</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Deferred income taxes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(3,871)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(3,236)</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Gain on equity investments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(3,401)</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(1,793)</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Loss on pension settlement</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1,725</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Unrealized gain on foreign currency</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Changes in operating assets and liabilities, excluding the effects of acquisitions and dispositions: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280"/>
              <w:spacing w:after="0" w:line="114" w:lineRule="exact"/>
              <w:rPr>
                <w:sz w:val="20"/>
                <w:szCs w:val="20"/>
                <w:color w:val="auto"/>
              </w:rPr>
            </w:pPr>
            <w:r>
              <w:rPr>
                <w:rFonts w:ascii="Arial" w:cs="Arial" w:eastAsia="Arial" w:hAnsi="Arial"/>
                <w:sz w:val="11"/>
                <w:szCs w:val="11"/>
                <w:color w:val="auto"/>
              </w:rPr>
              <w:t>Accounts receivable</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(81)</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1,226</w:t>
            </w:r>
          </w:p>
        </w:tc>
        <w:tc>
          <w:tcPr>
            <w:tcW w:w="0" w:type="dxa"/>
            <w:vAlign w:val="bottom"/>
          </w:tcPr>
          <w:p>
            <w:pPr>
              <w:spacing w:after="0"/>
              <w:rPr>
                <w:sz w:val="1"/>
                <w:szCs w:val="1"/>
                <w:color w:val="auto"/>
              </w:rPr>
            </w:pPr>
          </w:p>
        </w:tc>
      </w:tr>
      <w:tr>
        <w:trPr>
          <w:trHeight w:val="114"/>
        </w:trPr>
        <w:tc>
          <w:tcPr>
            <w:tcW w:w="5840" w:type="dxa"/>
            <w:vAlign w:val="bottom"/>
          </w:tcPr>
          <w:p>
            <w:pPr>
              <w:ind w:left="280"/>
              <w:spacing w:after="0" w:line="114" w:lineRule="exact"/>
              <w:rPr>
                <w:sz w:val="20"/>
                <w:szCs w:val="20"/>
                <w:color w:val="auto"/>
              </w:rPr>
            </w:pPr>
            <w:r>
              <w:rPr>
                <w:rFonts w:ascii="Arial" w:cs="Arial" w:eastAsia="Arial" w:hAnsi="Arial"/>
                <w:sz w:val="11"/>
                <w:szCs w:val="11"/>
                <w:color w:val="auto"/>
              </w:rPr>
              <w:t>Customer receivable</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(2,298)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(21,586)</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280"/>
              <w:spacing w:after="0" w:line="114" w:lineRule="exact"/>
              <w:rPr>
                <w:sz w:val="20"/>
                <w:szCs w:val="20"/>
                <w:color w:val="auto"/>
              </w:rPr>
            </w:pPr>
            <w:r>
              <w:rPr>
                <w:rFonts w:ascii="Arial" w:cs="Arial" w:eastAsia="Arial" w:hAnsi="Arial"/>
                <w:sz w:val="11"/>
                <w:szCs w:val="11"/>
                <w:color w:val="auto"/>
              </w:rPr>
              <w:t>Prepaid income taxes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6,206</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tcPr>
          <w:p>
            <w:pPr>
              <w:ind w:left="280"/>
              <w:spacing w:after="0" w:line="114" w:lineRule="exact"/>
              <w:rPr>
                <w:sz w:val="20"/>
                <w:szCs w:val="20"/>
                <w:color w:val="auto"/>
              </w:rPr>
            </w:pPr>
            <w:r>
              <w:rPr>
                <w:rFonts w:ascii="Arial" w:cs="Arial" w:eastAsia="Arial" w:hAnsi="Arial"/>
                <w:sz w:val="11"/>
                <w:szCs w:val="11"/>
                <w:color w:val="auto"/>
              </w:rPr>
              <w:t>Accrued taxes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3,227</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(1,360)</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280"/>
              <w:spacing w:after="0" w:line="114" w:lineRule="exact"/>
              <w:rPr>
                <w:sz w:val="20"/>
                <w:szCs w:val="20"/>
                <w:color w:val="auto"/>
              </w:rPr>
            </w:pPr>
            <w:r>
              <w:rPr>
                <w:rFonts w:ascii="Arial" w:cs="Arial" w:eastAsia="Arial" w:hAnsi="Arial"/>
                <w:sz w:val="11"/>
                <w:szCs w:val="11"/>
                <w:color w:val="auto"/>
              </w:rPr>
              <w:t>Materials and supplies, prepayments, and other current assets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82"/>
              </w:rPr>
              <w:t>(12,868)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14"/>
        </w:trPr>
        <w:tc>
          <w:tcPr>
            <w:tcW w:w="5840" w:type="dxa"/>
            <w:vAlign w:val="bottom"/>
          </w:tcPr>
          <w:p>
            <w:pPr>
              <w:ind w:left="280"/>
              <w:spacing w:after="0" w:line="114" w:lineRule="exact"/>
              <w:rPr>
                <w:sz w:val="20"/>
                <w:szCs w:val="20"/>
                <w:color w:val="auto"/>
              </w:rPr>
            </w:pPr>
            <w:r>
              <w:rPr>
                <w:rFonts w:ascii="Arial" w:cs="Arial" w:eastAsia="Arial" w:hAnsi="Arial"/>
                <w:sz w:val="11"/>
                <w:szCs w:val="11"/>
                <w:color w:val="auto"/>
              </w:rPr>
              <w:t>Accounts payable and accrued liabilities, advance payments and deposits and other current liabilities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(9,970)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(1,745)</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280"/>
              <w:spacing w:after="0" w:line="114" w:lineRule="exact"/>
              <w:rPr>
                <w:sz w:val="20"/>
                <w:szCs w:val="20"/>
                <w:color w:val="auto"/>
              </w:rPr>
            </w:pPr>
            <w:r>
              <w:rPr>
                <w:rFonts w:ascii="Arial" w:cs="Arial" w:eastAsia="Arial" w:hAnsi="Arial"/>
                <w:sz w:val="11"/>
                <w:szCs w:val="11"/>
                <w:color w:val="auto"/>
              </w:rPr>
              <w:t>Other assets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(3,291)</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782</w:t>
            </w:r>
          </w:p>
        </w:tc>
        <w:tc>
          <w:tcPr>
            <w:tcW w:w="0" w:type="dxa"/>
            <w:vAlign w:val="bottom"/>
          </w:tcPr>
          <w:p>
            <w:pPr>
              <w:spacing w:after="0"/>
              <w:rPr>
                <w:sz w:val="1"/>
                <w:szCs w:val="1"/>
                <w:color w:val="auto"/>
              </w:rPr>
            </w:pPr>
          </w:p>
        </w:tc>
      </w:tr>
      <w:tr>
        <w:trPr>
          <w:trHeight w:val="114"/>
        </w:trPr>
        <w:tc>
          <w:tcPr>
            <w:tcW w:w="5840" w:type="dxa"/>
            <w:vAlign w:val="bottom"/>
            <w:tcBorders>
              <w:bottom w:val="single" w:sz="8" w:color="CCEEFF"/>
            </w:tcBorders>
          </w:tcPr>
          <w:p>
            <w:pPr>
              <w:ind w:left="280"/>
              <w:spacing w:after="0" w:line="114" w:lineRule="exact"/>
              <w:rPr>
                <w:sz w:val="20"/>
                <w:szCs w:val="20"/>
                <w:color w:val="auto"/>
              </w:rPr>
            </w:pPr>
            <w:r>
              <w:rPr>
                <w:rFonts w:ascii="Arial" w:cs="Arial" w:eastAsia="Arial" w:hAnsi="Arial"/>
                <w:sz w:val="11"/>
                <w:szCs w:val="11"/>
                <w:color w:val="auto"/>
              </w:rPr>
              <w:t>Other liabilities</w:t>
            </w:r>
          </w:p>
        </w:tc>
        <w:tc>
          <w:tcPr>
            <w:tcW w:w="12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w w:val="97"/>
              </w:rPr>
              <w:t>(6,587)</w:t>
            </w: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05"/>
        </w:trPr>
        <w:tc>
          <w:tcPr>
            <w:tcW w:w="5840" w:type="dxa"/>
            <w:vAlign w:val="bottom"/>
            <w:shd w:val="clear" w:color="auto" w:fill="CCEEFF"/>
          </w:tcPr>
          <w:p>
            <w:pPr>
              <w:ind w:left="280"/>
              <w:spacing w:after="0" w:line="105" w:lineRule="exact"/>
              <w:rPr>
                <w:sz w:val="20"/>
                <w:szCs w:val="20"/>
                <w:color w:val="auto"/>
              </w:rPr>
            </w:pPr>
            <w:r>
              <w:rPr>
                <w:rFonts w:ascii="Arial" w:cs="Arial" w:eastAsia="Arial" w:hAnsi="Arial"/>
                <w:sz w:val="11"/>
                <w:szCs w:val="11"/>
                <w:color w:val="auto"/>
              </w:rPr>
              <w:t>Net cash provided by operating activities</w:t>
            </w:r>
          </w:p>
        </w:tc>
        <w:tc>
          <w:tcPr>
            <w:tcW w:w="1280" w:type="dxa"/>
            <w:vAlign w:val="bottom"/>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w w:val="94"/>
              </w:rPr>
              <w:t>50,720</w:t>
            </w:r>
          </w:p>
        </w:tc>
        <w:tc>
          <w:tcPr>
            <w:tcW w:w="2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27,460</w:t>
            </w:r>
          </w:p>
        </w:tc>
        <w:tc>
          <w:tcPr>
            <w:tcW w:w="0" w:type="dxa"/>
            <w:vAlign w:val="bottom"/>
          </w:tcPr>
          <w:p>
            <w:pPr>
              <w:spacing w:after="0"/>
              <w:rPr>
                <w:sz w:val="1"/>
                <w:szCs w:val="1"/>
                <w:color w:val="auto"/>
              </w:rPr>
            </w:pPr>
          </w:p>
        </w:tc>
      </w:tr>
      <w:tr>
        <w:trPr>
          <w:trHeight w:val="105"/>
        </w:trPr>
        <w:tc>
          <w:tcPr>
            <w:tcW w:w="5840" w:type="dxa"/>
            <w:vAlign w:val="bottom"/>
          </w:tcPr>
          <w:p>
            <w:pPr>
              <w:spacing w:after="0" w:line="105" w:lineRule="exact"/>
              <w:rPr>
                <w:sz w:val="20"/>
                <w:szCs w:val="20"/>
                <w:color w:val="auto"/>
              </w:rPr>
            </w:pPr>
            <w:r>
              <w:rPr>
                <w:rFonts w:ascii="Arial" w:cs="Arial" w:eastAsia="Arial" w:hAnsi="Arial"/>
                <w:sz w:val="11"/>
                <w:szCs w:val="11"/>
                <w:color w:val="auto"/>
              </w:rPr>
              <w:t>Cash flows from investing activities: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Capital expenditures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82"/>
              </w:rPr>
              <w:t>(71,204)</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(35,424)</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Reimbursable capital expenditures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(3,894)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(6,508)</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Purchases of strategic investments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(1,400)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(5,242)</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Receipt of capital government grants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3,292</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Sale of businesses, net of transferred cash of $0 and $0.9 million, respectively</w:t>
            </w:r>
          </w:p>
        </w:tc>
        <w:tc>
          <w:tcPr>
            <w:tcW w:w="1280" w:type="dxa"/>
            <w:vAlign w:val="bottom"/>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1,835</w:t>
            </w:r>
          </w:p>
        </w:tc>
        <w:tc>
          <w:tcPr>
            <w:tcW w:w="2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18,597</w:t>
            </w:r>
          </w:p>
        </w:tc>
        <w:tc>
          <w:tcPr>
            <w:tcW w:w="0" w:type="dxa"/>
            <w:vAlign w:val="bottom"/>
          </w:tcPr>
          <w:p>
            <w:pPr>
              <w:spacing w:after="0"/>
              <w:rPr>
                <w:sz w:val="1"/>
                <w:szCs w:val="1"/>
                <w:color w:val="auto"/>
              </w:rPr>
            </w:pPr>
          </w:p>
        </w:tc>
      </w:tr>
      <w:tr>
        <w:trPr>
          <w:trHeight w:val="105"/>
        </w:trPr>
        <w:tc>
          <w:tcPr>
            <w:tcW w:w="5840" w:type="dxa"/>
            <w:vAlign w:val="bottom"/>
            <w:tcBorders>
              <w:bottom w:val="single" w:sz="8" w:color="CCEEFF"/>
            </w:tcBorders>
          </w:tcPr>
          <w:p>
            <w:pPr>
              <w:ind w:left="180"/>
              <w:spacing w:after="0" w:line="105" w:lineRule="exact"/>
              <w:rPr>
                <w:sz w:val="20"/>
                <w:szCs w:val="20"/>
                <w:color w:val="auto"/>
              </w:rPr>
            </w:pPr>
            <w:r>
              <w:rPr>
                <w:rFonts w:ascii="Arial" w:cs="Arial" w:eastAsia="Arial" w:hAnsi="Arial"/>
                <w:sz w:val="11"/>
                <w:szCs w:val="11"/>
                <w:color w:val="auto"/>
              </w:rPr>
              <w:t>Net cash used in investing activities</w:t>
            </w:r>
          </w:p>
        </w:tc>
        <w:tc>
          <w:tcPr>
            <w:tcW w:w="12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1"/>
                <w:szCs w:val="11"/>
                <w:color w:val="auto"/>
                <w:w w:val="82"/>
              </w:rPr>
              <w:t>(74,663)</w:t>
            </w: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1"/>
                <w:szCs w:val="11"/>
                <w:color w:val="auto"/>
              </w:rPr>
              <w:t>(25,285)</w:t>
            </w:r>
          </w:p>
        </w:tc>
        <w:tc>
          <w:tcPr>
            <w:tcW w:w="0" w:type="dxa"/>
            <w:vAlign w:val="bottom"/>
          </w:tcPr>
          <w:p>
            <w:pPr>
              <w:spacing w:after="0"/>
              <w:rPr>
                <w:sz w:val="1"/>
                <w:szCs w:val="1"/>
                <w:color w:val="auto"/>
              </w:rPr>
            </w:pPr>
          </w:p>
        </w:tc>
      </w:tr>
      <w:tr>
        <w:trPr>
          <w:trHeight w:val="105"/>
        </w:trPr>
        <w:tc>
          <w:tcPr>
            <w:tcW w:w="584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rPr>
              <w:t>Cash flows from financing activities: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Dividends paid on common stock</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(5,348)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Distributions to noncontrolling interests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(1,375)</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(4,488)</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Finance lease payment</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(574)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Term loan - repayments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(938)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(1,883)</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Revolving credit facility – borrowings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4"/>
              </w:rPr>
              <w:t>49,000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Revolving credit facility – repayments</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82"/>
              </w:rPr>
              <w:t>(24,500)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Proceeds from customer receivable credit facility</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8,000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17,582</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Repayment of customer receivable credit facility</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(2,258)</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Purchases of common stock – stock- based compensation</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w w:val="97"/>
              </w:rPr>
              <w:t>(1,169)</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(1,713)</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Purchases of common stock – share repurchase plan</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(941)</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auto"/>
              </w:rPr>
              <w:t>(2,219)</w:t>
            </w:r>
          </w:p>
        </w:tc>
        <w:tc>
          <w:tcPr>
            <w:tcW w:w="0" w:type="dxa"/>
            <w:vAlign w:val="bottom"/>
          </w:tcPr>
          <w:p>
            <w:pPr>
              <w:spacing w:after="0"/>
              <w:rPr>
                <w:sz w:val="1"/>
                <w:szCs w:val="1"/>
                <w:color w:val="auto"/>
              </w:rPr>
            </w:pPr>
          </w:p>
        </w:tc>
      </w:tr>
      <w:tr>
        <w:trPr>
          <w:trHeight w:val="114"/>
        </w:trPr>
        <w:tc>
          <w:tcPr>
            <w:tcW w:w="5840" w:type="dxa"/>
            <w:vAlign w:val="bottom"/>
          </w:tcPr>
          <w:p>
            <w:pPr>
              <w:ind w:left="180"/>
              <w:spacing w:after="0" w:line="114" w:lineRule="exact"/>
              <w:rPr>
                <w:sz w:val="20"/>
                <w:szCs w:val="20"/>
                <w:color w:val="auto"/>
              </w:rPr>
            </w:pPr>
            <w:r>
              <w:rPr>
                <w:rFonts w:ascii="Arial" w:cs="Arial" w:eastAsia="Arial" w:hAnsi="Arial"/>
                <w:sz w:val="11"/>
                <w:szCs w:val="11"/>
                <w:color w:val="auto"/>
              </w:rPr>
              <w:t>Investments made by minority shareholders in consolidated affiliates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1"/>
                <w:szCs w:val="11"/>
                <w:color w:val="auto"/>
              </w:rPr>
              <w:t>11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4"/>
        </w:trPr>
        <w:tc>
          <w:tcPr>
            <w:tcW w:w="58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auto"/>
              </w:rPr>
              <w:t>Repurchases of noncontrolling interests</w:t>
            </w:r>
          </w:p>
        </w:tc>
        <w:tc>
          <w:tcPr>
            <w:tcW w:w="1280" w:type="dxa"/>
            <w:vAlign w:val="bottom"/>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w w:val="97"/>
              </w:rPr>
              <w:t>(4,502)</w:t>
            </w:r>
          </w:p>
        </w:tc>
        <w:tc>
          <w:tcPr>
            <w:tcW w:w="2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auto"/>
              </w:rPr>
              <w:t>(12,699)</w:t>
            </w:r>
          </w:p>
        </w:tc>
        <w:tc>
          <w:tcPr>
            <w:tcW w:w="0" w:type="dxa"/>
            <w:vAlign w:val="bottom"/>
          </w:tcPr>
          <w:p>
            <w:pPr>
              <w:spacing w:after="0"/>
              <w:rPr>
                <w:sz w:val="1"/>
                <w:szCs w:val="1"/>
                <w:color w:val="auto"/>
              </w:rPr>
            </w:pPr>
          </w:p>
        </w:tc>
      </w:tr>
      <w:tr>
        <w:trPr>
          <w:trHeight w:val="105"/>
        </w:trPr>
        <w:tc>
          <w:tcPr>
            <w:tcW w:w="5840" w:type="dxa"/>
            <w:vAlign w:val="bottom"/>
            <w:tcBorders>
              <w:bottom w:val="single" w:sz="8" w:color="CCEEFF"/>
            </w:tcBorders>
          </w:tcPr>
          <w:p>
            <w:pPr>
              <w:ind w:left="180"/>
              <w:spacing w:after="0" w:line="105" w:lineRule="exact"/>
              <w:rPr>
                <w:sz w:val="20"/>
                <w:szCs w:val="20"/>
                <w:color w:val="auto"/>
              </w:rPr>
            </w:pPr>
            <w:r>
              <w:rPr>
                <w:rFonts w:ascii="Arial" w:cs="Arial" w:eastAsia="Arial" w:hAnsi="Arial"/>
                <w:sz w:val="11"/>
                <w:szCs w:val="11"/>
                <w:color w:val="auto"/>
              </w:rPr>
              <w:t>Net cash provided by (used in) financing activities</w:t>
            </w:r>
          </w:p>
        </w:tc>
        <w:tc>
          <w:tcPr>
            <w:tcW w:w="12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1"/>
                <w:szCs w:val="11"/>
                <w:color w:val="auto"/>
                <w:w w:val="94"/>
              </w:rPr>
              <w:t>15,406</w:t>
            </w: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1"/>
                <w:szCs w:val="11"/>
                <w:color w:val="auto"/>
              </w:rPr>
              <w:t>(11,215)</w:t>
            </w:r>
          </w:p>
        </w:tc>
        <w:tc>
          <w:tcPr>
            <w:tcW w:w="0" w:type="dxa"/>
            <w:vAlign w:val="bottom"/>
          </w:tcPr>
          <w:p>
            <w:pPr>
              <w:spacing w:after="0"/>
              <w:rPr>
                <w:sz w:val="1"/>
                <w:szCs w:val="1"/>
                <w:color w:val="auto"/>
              </w:rPr>
            </w:pPr>
          </w:p>
        </w:tc>
      </w:tr>
      <w:tr>
        <w:trPr>
          <w:trHeight w:val="105"/>
        </w:trPr>
        <w:tc>
          <w:tcPr>
            <w:tcW w:w="584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rPr>
              <w:t>Net change in cash, cash equivalents, and restricted cash</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5" w:lineRule="exact"/>
              <w:rPr>
                <w:sz w:val="20"/>
                <w:szCs w:val="20"/>
                <w:color w:val="auto"/>
              </w:rPr>
            </w:pPr>
            <w:r>
              <w:rPr>
                <w:rFonts w:ascii="Arial" w:cs="Arial" w:eastAsia="Arial" w:hAnsi="Arial"/>
                <w:sz w:val="11"/>
                <w:szCs w:val="11"/>
                <w:color w:val="auto"/>
                <w:w w:val="97"/>
              </w:rPr>
              <w:t>(8,537)</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5" w:lineRule="exact"/>
              <w:rPr>
                <w:sz w:val="20"/>
                <w:szCs w:val="20"/>
                <w:color w:val="auto"/>
              </w:rPr>
            </w:pPr>
            <w:r>
              <w:rPr>
                <w:rFonts w:ascii="Arial" w:cs="Arial" w:eastAsia="Arial" w:hAnsi="Arial"/>
                <w:sz w:val="11"/>
                <w:szCs w:val="11"/>
                <w:color w:val="auto"/>
              </w:rPr>
              <w:t>(9,040)</w:t>
            </w:r>
          </w:p>
        </w:tc>
        <w:tc>
          <w:tcPr>
            <w:tcW w:w="0" w:type="dxa"/>
            <w:vAlign w:val="bottom"/>
          </w:tcPr>
          <w:p>
            <w:pPr>
              <w:spacing w:after="0"/>
              <w:rPr>
                <w:sz w:val="1"/>
                <w:szCs w:val="1"/>
                <w:color w:val="auto"/>
              </w:rPr>
            </w:pPr>
          </w:p>
        </w:tc>
      </w:tr>
      <w:tr>
        <w:trPr>
          <w:trHeight w:val="114"/>
        </w:trPr>
        <w:tc>
          <w:tcPr>
            <w:tcW w:w="5840" w:type="dxa"/>
            <w:vAlign w:val="bottom"/>
            <w:tcBorders>
              <w:bottom w:val="single" w:sz="8" w:color="CCEEFF"/>
            </w:tcBorders>
          </w:tcPr>
          <w:p>
            <w:pPr>
              <w:spacing w:after="0" w:line="114" w:lineRule="exact"/>
              <w:rPr>
                <w:sz w:val="20"/>
                <w:szCs w:val="20"/>
                <w:color w:val="auto"/>
              </w:rPr>
            </w:pPr>
            <w:r>
              <w:rPr>
                <w:rFonts w:ascii="Arial" w:cs="Arial" w:eastAsia="Arial" w:hAnsi="Arial"/>
                <w:sz w:val="11"/>
                <w:szCs w:val="11"/>
                <w:color w:val="auto"/>
              </w:rPr>
              <w:t>Total cash, cash equivalents, and restricted cash, beginning of period</w:t>
            </w:r>
          </w:p>
        </w:tc>
        <w:tc>
          <w:tcPr>
            <w:tcW w:w="12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w w:val="94"/>
              </w:rPr>
              <w:t>80,697</w:t>
            </w: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104,997</w:t>
            </w:r>
          </w:p>
        </w:tc>
        <w:tc>
          <w:tcPr>
            <w:tcW w:w="0" w:type="dxa"/>
            <w:vAlign w:val="bottom"/>
          </w:tcPr>
          <w:p>
            <w:pPr>
              <w:spacing w:after="0"/>
              <w:rPr>
                <w:sz w:val="1"/>
                <w:szCs w:val="1"/>
                <w:color w:val="auto"/>
              </w:rPr>
            </w:pPr>
          </w:p>
        </w:tc>
      </w:tr>
      <w:tr>
        <w:trPr>
          <w:trHeight w:val="105"/>
        </w:trPr>
        <w:tc>
          <w:tcPr>
            <w:tcW w:w="5840" w:type="dxa"/>
            <w:vAlign w:val="bottom"/>
            <w:tcBorders>
              <w:bottom w:val="single" w:sz="8" w:color="CCEEFF"/>
            </w:tcBorders>
            <w:shd w:val="clear" w:color="auto" w:fill="CCEEFF"/>
          </w:tcPr>
          <w:p>
            <w:pPr>
              <w:spacing w:after="0" w:line="105" w:lineRule="exact"/>
              <w:rPr>
                <w:sz w:val="20"/>
                <w:szCs w:val="20"/>
                <w:color w:val="auto"/>
              </w:rPr>
            </w:pPr>
            <w:r>
              <w:rPr>
                <w:rFonts w:ascii="Arial" w:cs="Arial" w:eastAsia="Arial" w:hAnsi="Arial"/>
                <w:sz w:val="11"/>
                <w:szCs w:val="11"/>
                <w:color w:val="auto"/>
              </w:rPr>
              <w:t>Total cash, cash equivalents, and restricted cash, end of period</w:t>
            </w:r>
          </w:p>
        </w:tc>
        <w:tc>
          <w:tcPr>
            <w:tcW w:w="12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w w:val="94"/>
              </w:rPr>
              <w:t>72,160</w:t>
            </w:r>
          </w:p>
        </w:tc>
        <w:tc>
          <w:tcPr>
            <w:tcW w:w="2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95,957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1"/>
                <w:szCs w:val="11"/>
                <w:color w:val="auto"/>
              </w:rPr>
              <w:t>Purchases of property, plant and equipment included in accounts payable and accrued expenses</w:t>
            </w:r>
          </w:p>
        </w:tc>
        <w:tc>
          <w:tcPr>
            <w:tcW w:w="12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84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jc w:val="right"/>
              <w:ind w:right="464"/>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13,303</w:t>
            </w:r>
          </w:p>
        </w:tc>
        <w:tc>
          <w:tcPr>
            <w:tcW w:w="22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jc w:val="right"/>
              <w:ind w:right="7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color w:val="auto"/>
              </w:rPr>
              <w:t>11,990</w:t>
            </w:r>
          </w:p>
        </w:tc>
        <w:tc>
          <w:tcPr>
            <w:tcW w:w="0" w:type="dxa"/>
            <w:vAlign w:val="bottom"/>
          </w:tcPr>
          <w:p>
            <w:pPr>
              <w:spacing w:after="0"/>
              <w:rPr>
                <w:sz w:val="1"/>
                <w:szCs w:val="1"/>
                <w:color w:val="auto"/>
              </w:rPr>
            </w:pPr>
          </w:p>
        </w:tc>
      </w:tr>
      <w:tr>
        <w:trPr>
          <w:trHeight w:val="156"/>
        </w:trPr>
        <w:tc>
          <w:tcPr>
            <w:tcW w:w="58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5"/>
          <w:szCs w:val="15"/>
          <w:color w:val="auto"/>
        </w:rPr>
        <w:t>The accompanying condensed notes are an integral part of these condensed consolidated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9" w:name="page10"/>
    <w:bookmarkEnd w:id="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ATN INTERNATIONAL,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UNAUDITED CONDENSED CONSOLIDATED FINANCIAL STATEMENTS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 ORGANIZATION AND BUSINESS OPERATIONS</w:t>
      </w:r>
    </w:p>
    <w:p>
      <w:pPr>
        <w:spacing w:after="0" w:line="196" w:lineRule="exact"/>
        <w:rPr>
          <w:sz w:val="20"/>
          <w:szCs w:val="20"/>
          <w:color w:val="auto"/>
        </w:rPr>
      </w:pPr>
    </w:p>
    <w:p>
      <w:pPr>
        <w:ind w:left="40" w:right="99" w:firstLine="432"/>
        <w:spacing w:after="0" w:line="282" w:lineRule="auto"/>
        <w:rPr>
          <w:sz w:val="20"/>
          <w:szCs w:val="20"/>
          <w:color w:val="auto"/>
        </w:rPr>
      </w:pPr>
      <w:r>
        <w:rPr>
          <w:rFonts w:ascii="Arial" w:cs="Arial" w:eastAsia="Arial" w:hAnsi="Arial"/>
          <w:sz w:val="14"/>
          <w:szCs w:val="14"/>
          <w:color w:val="auto"/>
        </w:rPr>
        <w:t>The Company is a provider of digital infrastructure and communications services in the United States and internationally, including the Caribbean region, with a focus on rural and remote markets with a growing demand for infrastructure investments. The Company’s operating subsidiaries today primarily provide: (i) advanced wireless and wireline connectivity to residential, business and government customers, including a range of high-speed Internet and data services, fixed and mobile wireless solutions, and video and voice services; and (ii) carrier and enterprise communications services, such as terrestrial and submarine fiber optic transport, and communications tower facilities.</w:t>
      </w:r>
    </w:p>
    <w:p>
      <w:pPr>
        <w:spacing w:after="0" w:line="148" w:lineRule="exact"/>
        <w:rPr>
          <w:sz w:val="20"/>
          <w:szCs w:val="20"/>
          <w:color w:val="auto"/>
        </w:rPr>
      </w:pPr>
    </w:p>
    <w:p>
      <w:pPr>
        <w:jc w:val="both"/>
        <w:ind w:left="60" w:right="239" w:firstLine="402"/>
        <w:spacing w:after="0" w:line="255" w:lineRule="auto"/>
        <w:rPr>
          <w:sz w:val="20"/>
          <w:szCs w:val="20"/>
          <w:color w:val="auto"/>
        </w:rPr>
      </w:pPr>
      <w:r>
        <w:rPr>
          <w:rFonts w:ascii="Arial" w:cs="Arial" w:eastAsia="Arial" w:hAnsi="Arial"/>
          <w:sz w:val="15"/>
          <w:szCs w:val="15"/>
          <w:color w:val="auto"/>
        </w:rPr>
        <w:t>At the holding company level, the Company oversees the allocation of capital within and among its subsidiaries, affiliates, new investments, and stockholders. The Company also has developed significant operational expertise and resources that it uses to augment the capabilities of its individual operating subsidiaries in its local markets. Over the past 10 years, the Company has built a platform of resources and expertise to support its operating subsidiaries and to improve their quality of service with greater economies of scale and expertise than would typically be available at the operating subsidiary level. The Company also provides management, technical, financial, regulatory, and marketing services to its operating subsidiaries and typically receives a management fee calculated as a percentage of their revenues, which is eliminated in consolidation. The Company also actively evaluates potential acquisitions, investment opportunities and other strategic transactions, both domestic and international, and generally looks for those that it believes fit the Company’s profile of telecommunications businesses and have the potential to complement its “Glass and Steel” and “fiber first”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2022, the Company offered the following types of services to its customers:</w:t>
      </w:r>
    </w:p>
    <w:p>
      <w:pPr>
        <w:spacing w:after="0" w:line="192" w:lineRule="exact"/>
        <w:rPr>
          <w:sz w:val="20"/>
          <w:szCs w:val="20"/>
          <w:color w:val="auto"/>
        </w:rPr>
      </w:pPr>
    </w:p>
    <w:p>
      <w:pPr>
        <w:ind w:left="1020" w:right="139" w:hanging="265"/>
        <w:spacing w:after="0" w:line="279"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Mobility Telecommunications Services</w:t>
      </w:r>
      <w:r>
        <w:rPr>
          <w:rFonts w:ascii="Arial" w:cs="Arial" w:eastAsia="Arial" w:hAnsi="Arial"/>
          <w:sz w:val="15"/>
          <w:szCs w:val="15"/>
          <w:color w:val="auto"/>
        </w:rPr>
        <w:t>. The Company offers mobile communications services and equipment over its wireless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networks to both its business and consumer subscribers.</w:t>
      </w:r>
    </w:p>
    <w:p>
      <w:pPr>
        <w:spacing w:after="0" w:line="145" w:lineRule="exact"/>
        <w:rPr>
          <w:rFonts w:ascii="Arial" w:cs="Arial" w:eastAsia="Arial" w:hAnsi="Arial"/>
          <w:sz w:val="15"/>
          <w:szCs w:val="15"/>
          <w:color w:val="auto"/>
        </w:rPr>
      </w:pPr>
    </w:p>
    <w:p>
      <w:pPr>
        <w:jc w:val="both"/>
        <w:ind w:left="1020" w:right="139" w:hanging="265"/>
        <w:spacing w:after="0" w:line="262"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Fixed Telecommunications Services</w:t>
      </w:r>
      <w:r>
        <w:rPr>
          <w:rFonts w:ascii="Arial" w:cs="Arial" w:eastAsia="Arial" w:hAnsi="Arial"/>
          <w:sz w:val="15"/>
          <w:szCs w:val="15"/>
          <w:color w:val="auto"/>
        </w:rPr>
        <w:t>. The Company provides fixed data and voice telecommunications services to both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and consumer subscribers in all of its markets. These services include consumer broadband and high speed data solutions for businesses. For some markets, fixed services also include video services and revenue derived from support under certain government programs.</w:t>
      </w:r>
    </w:p>
    <w:p>
      <w:pPr>
        <w:spacing w:after="0" w:line="158" w:lineRule="exact"/>
        <w:rPr>
          <w:rFonts w:ascii="Arial" w:cs="Arial" w:eastAsia="Arial" w:hAnsi="Arial"/>
          <w:sz w:val="15"/>
          <w:szCs w:val="15"/>
          <w:color w:val="auto"/>
        </w:rPr>
      </w:pPr>
    </w:p>
    <w:p>
      <w:pPr>
        <w:jc w:val="both"/>
        <w:ind w:left="1020" w:right="139" w:hanging="265"/>
        <w:spacing w:after="0" w:line="266" w:lineRule="auto"/>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Carrier Telecommunication Services</w:t>
      </w:r>
      <w:r>
        <w:rPr>
          <w:rFonts w:ascii="Arial" w:cs="Arial" w:eastAsia="Arial" w:hAnsi="Arial"/>
          <w:sz w:val="15"/>
          <w:szCs w:val="15"/>
          <w:color w:val="auto"/>
        </w:rPr>
        <w:t>. The Company delivers services to other telecommunications providers such as wholesale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roaming, the leasing of critical network infrastructure such as tower and transport facilities, site maintenance and international long-distance services.</w:t>
      </w:r>
    </w:p>
    <w:p>
      <w:pPr>
        <w:spacing w:after="0" w:line="155" w:lineRule="exact"/>
        <w:rPr>
          <w:rFonts w:ascii="Arial" w:cs="Arial" w:eastAsia="Arial" w:hAnsi="Arial"/>
          <w:sz w:val="15"/>
          <w:szCs w:val="15"/>
          <w:color w:val="auto"/>
        </w:rPr>
      </w:pPr>
    </w:p>
    <w:p>
      <w:pPr>
        <w:ind w:left="1020" w:right="439" w:hanging="265"/>
        <w:spacing w:after="0" w:line="359" w:lineRule="auto"/>
        <w:tabs>
          <w:tab w:leader="none" w:pos="1020" w:val="left"/>
        </w:tabs>
        <w:numPr>
          <w:ilvl w:val="0"/>
          <w:numId w:val="3"/>
        </w:numPr>
        <w:rPr>
          <w:rFonts w:ascii="Arial" w:cs="Arial" w:eastAsia="Arial" w:hAnsi="Arial"/>
          <w:sz w:val="13"/>
          <w:szCs w:val="13"/>
          <w:color w:val="auto"/>
        </w:rPr>
      </w:pPr>
      <w:r>
        <w:rPr>
          <w:rFonts w:ascii="Arial" w:cs="Arial" w:eastAsia="Arial" w:hAnsi="Arial"/>
          <w:sz w:val="13"/>
          <w:szCs w:val="13"/>
          <w:b w:val="1"/>
          <w:bCs w:val="1"/>
          <w:i w:val="1"/>
          <w:iCs w:val="1"/>
          <w:color w:val="auto"/>
        </w:rPr>
        <w:t>Managed Services</w:t>
      </w:r>
      <w:r>
        <w:rPr>
          <w:rFonts w:ascii="Arial" w:cs="Arial" w:eastAsia="Arial" w:hAnsi="Arial"/>
          <w:sz w:val="13"/>
          <w:szCs w:val="13"/>
          <w:color w:val="auto"/>
        </w:rPr>
        <w:t>. The Company provides information technology services such as network, application, infrastructure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hosting services to both its business and consumer customers to complement its fixed services in its existing markets.</w:t>
      </w:r>
    </w:p>
    <w:p>
      <w:pPr>
        <w:spacing w:after="0" w:line="100" w:lineRule="exact"/>
        <w:rPr>
          <w:sz w:val="20"/>
          <w:szCs w:val="20"/>
          <w:color w:val="auto"/>
        </w:rPr>
      </w:pPr>
    </w:p>
    <w:p>
      <w:pPr>
        <w:ind w:left="40" w:right="519" w:firstLine="547"/>
        <w:spacing w:after="0" w:line="279" w:lineRule="auto"/>
        <w:rPr>
          <w:sz w:val="20"/>
          <w:szCs w:val="20"/>
          <w:color w:val="auto"/>
        </w:rPr>
      </w:pPr>
      <w:r>
        <w:rPr>
          <w:rFonts w:ascii="Arial" w:cs="Arial" w:eastAsia="Arial" w:hAnsi="Arial"/>
          <w:sz w:val="15"/>
          <w:szCs w:val="15"/>
          <w:color w:val="auto"/>
        </w:rPr>
        <w:t>Through June 30, 2022, the Company has identified three operating segments to manage and review its operations and to facilitate investor presentations of its results. These three operating segments are as follows:</w:t>
      </w:r>
    </w:p>
    <w:p>
      <w:pPr>
        <w:spacing w:after="0" w:line="146" w:lineRule="exact"/>
        <w:rPr>
          <w:sz w:val="20"/>
          <w:szCs w:val="20"/>
          <w:color w:val="auto"/>
        </w:rPr>
      </w:pPr>
    </w:p>
    <w:p>
      <w:pPr>
        <w:ind w:left="1040" w:right="279" w:hanging="274"/>
        <w:spacing w:after="0" w:line="279" w:lineRule="auto"/>
        <w:tabs>
          <w:tab w:leader="none" w:pos="104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International Telecom. </w:t>
      </w:r>
      <w:r>
        <w:rPr>
          <w:rFonts w:ascii="Arial" w:cs="Arial" w:eastAsia="Arial" w:hAnsi="Arial"/>
          <w:sz w:val="15"/>
          <w:szCs w:val="15"/>
          <w:color w:val="auto"/>
        </w:rPr>
        <w:t>In the Company’s international markets, it offers fixed services, mobility services, carrier services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managed services to customers in Bermuda, the Cayman Islands, Guyana and the US Virgin Islands.</w:t>
      </w:r>
    </w:p>
    <w:p>
      <w:pPr>
        <w:spacing w:after="0" w:line="145" w:lineRule="exact"/>
        <w:rPr>
          <w:rFonts w:ascii="Arial" w:cs="Arial" w:eastAsia="Arial" w:hAnsi="Arial"/>
          <w:sz w:val="15"/>
          <w:szCs w:val="15"/>
          <w:color w:val="auto"/>
        </w:rPr>
      </w:pPr>
    </w:p>
    <w:p>
      <w:pPr>
        <w:ind w:left="1040" w:right="419" w:hanging="274"/>
        <w:spacing w:after="0" w:line="279" w:lineRule="auto"/>
        <w:tabs>
          <w:tab w:leader="none" w:pos="104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US Telecom. </w:t>
      </w:r>
      <w:r>
        <w:rPr>
          <w:rFonts w:ascii="Arial" w:cs="Arial" w:eastAsia="Arial" w:hAnsi="Arial"/>
          <w:sz w:val="15"/>
          <w:szCs w:val="15"/>
          <w:color w:val="auto"/>
        </w:rPr>
        <w:t>In the United States, the Company offers fixed services, carrier services, and managed services to business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consumer customers in Alaska and the western United States. In the western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0" w:name="page11"/>
    <w:bookmarkEnd w:id="1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United States, the Company also provides mobility services to enterprise and consumer customers.</w:t>
      </w:r>
    </w:p>
    <w:p>
      <w:pPr>
        <w:spacing w:after="0" w:line="192" w:lineRule="exact"/>
        <w:rPr>
          <w:sz w:val="20"/>
          <w:szCs w:val="20"/>
          <w:color w:val="auto"/>
        </w:rPr>
      </w:pPr>
    </w:p>
    <w:p>
      <w:pPr>
        <w:ind w:left="1040" w:right="199" w:hanging="274"/>
        <w:spacing w:after="0" w:line="279" w:lineRule="auto"/>
        <w:tabs>
          <w:tab w:leader="none" w:pos="104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Renewable Energy. </w:t>
      </w:r>
      <w:r>
        <w:rPr>
          <w:rFonts w:ascii="Arial" w:cs="Arial" w:eastAsia="Arial" w:hAnsi="Arial"/>
          <w:sz w:val="15"/>
          <w:szCs w:val="15"/>
          <w:color w:val="auto"/>
        </w:rPr>
        <w:t>In India, the Company provided distributed generation solar power to commercial and industrial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through January 27, 2021. See </w:t>
      </w:r>
      <w:r>
        <w:rPr>
          <w:rFonts w:ascii="Arial" w:cs="Arial" w:eastAsia="Arial" w:hAnsi="Arial"/>
          <w:sz w:val="15"/>
          <w:szCs w:val="15"/>
          <w:i w:val="1"/>
          <w:iCs w:val="1"/>
          <w:color w:val="auto"/>
        </w:rPr>
        <w:t>Disposition of International Solar Business</w:t>
      </w:r>
      <w:r>
        <w:rPr>
          <w:rFonts w:ascii="Arial" w:cs="Arial" w:eastAsia="Arial" w:hAnsi="Arial"/>
          <w:sz w:val="15"/>
          <w:szCs w:val="15"/>
          <w:color w:val="auto"/>
        </w:rPr>
        <w:t xml:space="preserve"> for further details.</w:t>
      </w:r>
    </w:p>
    <w:p>
      <w:pPr>
        <w:spacing w:after="0" w:line="146" w:lineRule="exact"/>
        <w:rPr>
          <w:sz w:val="20"/>
          <w:szCs w:val="20"/>
          <w:color w:val="auto"/>
        </w:rPr>
      </w:pPr>
    </w:p>
    <w:p>
      <w:pPr>
        <w:ind w:left="40" w:right="399" w:firstLine="547"/>
        <w:spacing w:after="0" w:line="279" w:lineRule="auto"/>
        <w:rPr>
          <w:sz w:val="20"/>
          <w:szCs w:val="20"/>
          <w:color w:val="auto"/>
        </w:rPr>
      </w:pPr>
      <w:r>
        <w:rPr>
          <w:rFonts w:ascii="Arial" w:cs="Arial" w:eastAsia="Arial" w:hAnsi="Arial"/>
          <w:sz w:val="15"/>
          <w:szCs w:val="15"/>
          <w:color w:val="auto"/>
        </w:rPr>
        <w:t>The following chart summarizes the operating activities of the Company’s principal subsidiaries, the segments in which it reports its revenue and the markets it served during the three months ended June 30,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Segment</w:t>
            </w:r>
          </w:p>
        </w:tc>
        <w:tc>
          <w:tcPr>
            <w:tcW w:w="140" w:type="dxa"/>
            <w:vAlign w:val="bottom"/>
            <w:tcBorders>
              <w:bottom w:val="single" w:sz="8" w:color="CCEEFF"/>
            </w:tcBorders>
          </w:tcPr>
          <w:p>
            <w:pPr>
              <w:spacing w:after="0"/>
              <w:rPr>
                <w:sz w:val="12"/>
                <w:szCs w:val="12"/>
                <w:color w:val="auto"/>
              </w:rPr>
            </w:pPr>
          </w:p>
        </w:tc>
        <w:tc>
          <w:tcPr>
            <w:tcW w:w="234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Services</w:t>
            </w:r>
          </w:p>
        </w:tc>
        <w:tc>
          <w:tcPr>
            <w:tcW w:w="140" w:type="dxa"/>
            <w:vAlign w:val="bottom"/>
            <w:tcBorders>
              <w:bottom w:val="single" w:sz="8" w:color="CCEEFF"/>
            </w:tcBorders>
          </w:tcPr>
          <w:p>
            <w:pPr>
              <w:spacing w:after="0"/>
              <w:rPr>
                <w:sz w:val="12"/>
                <w:szCs w:val="12"/>
                <w:color w:val="auto"/>
              </w:rPr>
            </w:pPr>
          </w:p>
        </w:tc>
        <w:tc>
          <w:tcPr>
            <w:tcW w:w="246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Markets</w:t>
            </w:r>
          </w:p>
        </w:tc>
        <w:tc>
          <w:tcPr>
            <w:tcW w:w="14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Tradenames</w:t>
            </w:r>
          </w:p>
        </w:tc>
      </w:tr>
      <w:tr>
        <w:trPr>
          <w:trHeight w:val="174"/>
        </w:trPr>
        <w:tc>
          <w:tcPr>
            <w:tcW w:w="2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International Telecom</w:t>
            </w:r>
          </w:p>
        </w:tc>
        <w:tc>
          <w:tcPr>
            <w:tcW w:w="1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5"/>
                <w:szCs w:val="15"/>
                <w:color w:val="auto"/>
              </w:rPr>
              <w:t>Mobility Services</w:t>
            </w: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5"/>
                <w:szCs w:val="15"/>
                <w:color w:val="auto"/>
                <w:w w:val="99"/>
              </w:rPr>
              <w:t>Bermuda, Guyana, US Virgin Islands</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5"/>
                <w:szCs w:val="15"/>
                <w:color w:val="auto"/>
              </w:rPr>
              <w:t>One, GTT+, Viya</w:t>
            </w:r>
          </w:p>
        </w:tc>
      </w:tr>
      <w:tr>
        <w:trPr>
          <w:trHeight w:val="172"/>
        </w:trPr>
        <w:tc>
          <w:tcPr>
            <w:tcW w:w="2220" w:type="dxa"/>
            <w:vAlign w:val="bottom"/>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color w:val="auto"/>
              </w:rPr>
              <w:t>Fixed Services</w:t>
            </w: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w w:val="92"/>
              </w:rPr>
              <w:t>Bermuda, Cayman Islands, Guyana, US</w:t>
            </w: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One, Logic, GTT, Viya</w:t>
            </w:r>
          </w:p>
        </w:tc>
      </w:tr>
      <w:tr>
        <w:trPr>
          <w:trHeight w:val="192"/>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rPr>
              <w:t>Virgin Islands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2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Carrier Services</w:t>
            </w: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Bermuda, Guyana, US Virgin Islands</w:t>
            </w: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One, GTT+, Viya</w:t>
            </w:r>
          </w:p>
        </w:tc>
      </w:tr>
      <w:tr>
        <w:trPr>
          <w:trHeight w:val="172"/>
        </w:trPr>
        <w:tc>
          <w:tcPr>
            <w:tcW w:w="2220" w:type="dxa"/>
            <w:vAlign w:val="bottom"/>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color w:val="auto"/>
              </w:rPr>
              <w:t>Managed Services</w:t>
            </w: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w w:val="99"/>
              </w:rPr>
              <w:t>Bermuda, Cayman Islands, US Virgin</w:t>
            </w: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w w:val="99"/>
              </w:rPr>
              <w:t>Fireminds, One, Logic,</w:t>
            </w:r>
          </w:p>
        </w:tc>
      </w:tr>
      <w:tr>
        <w:trPr>
          <w:trHeight w:val="191"/>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rPr>
              <w:t>Islands, Guyana</w:t>
            </w: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GTT, Viya</w:t>
            </w:r>
          </w:p>
        </w:tc>
      </w:tr>
      <w:tr>
        <w:trPr>
          <w:trHeight w:val="165"/>
        </w:trPr>
        <w:tc>
          <w:tcPr>
            <w:tcW w:w="222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US Telecom</w:t>
            </w:r>
          </w:p>
        </w:tc>
        <w:tc>
          <w:tcPr>
            <w:tcW w:w="14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auto"/>
              </w:rPr>
              <w:t>Mobility Services</w:t>
            </w:r>
          </w:p>
        </w:tc>
        <w:tc>
          <w:tcPr>
            <w:tcW w:w="14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auto"/>
              </w:rPr>
              <w:t>United States (rural markets)</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line="165" w:lineRule="exact"/>
              <w:rPr>
                <w:sz w:val="20"/>
                <w:szCs w:val="20"/>
                <w:color w:val="auto"/>
              </w:rPr>
            </w:pPr>
            <w:r>
              <w:rPr>
                <w:rFonts w:ascii="Arial" w:cs="Arial" w:eastAsia="Arial" w:hAnsi="Arial"/>
                <w:sz w:val="15"/>
                <w:szCs w:val="15"/>
                <w:color w:val="auto"/>
              </w:rPr>
              <w:t>Choice, Choice NTUA</w:t>
            </w:r>
          </w:p>
        </w:tc>
      </w:tr>
      <w:tr>
        <w:trPr>
          <w:trHeight w:val="193"/>
        </w:trPr>
        <w:tc>
          <w:tcPr>
            <w:tcW w:w="2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Wireless, Geoverse</w:t>
            </w:r>
          </w:p>
        </w:tc>
      </w:tr>
      <w:tr>
        <w:trPr>
          <w:trHeight w:val="172"/>
        </w:trPr>
        <w:tc>
          <w:tcPr>
            <w:tcW w:w="2220" w:type="dxa"/>
            <w:vAlign w:val="bottom"/>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color w:val="auto"/>
              </w:rPr>
              <w:t>Fixed Services</w:t>
            </w: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rPr>
              <w:t>United States</w:t>
            </w: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Alaska</w:t>
            </w:r>
          </w:p>
        </w:tc>
      </w:tr>
      <w:tr>
        <w:trPr>
          <w:trHeight w:val="182"/>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Communications,</w:t>
            </w:r>
          </w:p>
        </w:tc>
      </w:tr>
      <w:tr>
        <w:trPr>
          <w:trHeight w:val="182"/>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Commnet, Choice,</w:t>
            </w:r>
          </w:p>
        </w:tc>
      </w:tr>
      <w:tr>
        <w:trPr>
          <w:trHeight w:val="192"/>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w w:val="97"/>
              </w:rPr>
              <w:t>Choice NTUA Wireless</w:t>
            </w:r>
          </w:p>
        </w:tc>
      </w:tr>
      <w:tr>
        <w:trPr>
          <w:trHeight w:val="172"/>
        </w:trPr>
        <w:tc>
          <w:tcPr>
            <w:tcW w:w="22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Carrier Services</w:t>
            </w: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United States</w:t>
            </w: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Alaska</w:t>
            </w:r>
          </w:p>
        </w:tc>
      </w:tr>
      <w:tr>
        <w:trPr>
          <w:trHeight w:val="182"/>
        </w:trPr>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Communications,</w:t>
            </w:r>
          </w:p>
        </w:tc>
      </w:tr>
      <w:tr>
        <w:trPr>
          <w:trHeight w:val="193"/>
        </w:trPr>
        <w:tc>
          <w:tcPr>
            <w:tcW w:w="2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Commnet, Essextel</w:t>
            </w:r>
          </w:p>
        </w:tc>
      </w:tr>
      <w:tr>
        <w:trPr>
          <w:trHeight w:val="172"/>
        </w:trPr>
        <w:tc>
          <w:tcPr>
            <w:tcW w:w="2220" w:type="dxa"/>
            <w:vAlign w:val="bottom"/>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5"/>
                <w:szCs w:val="15"/>
                <w:color w:val="auto"/>
              </w:rPr>
              <w:t>Managed Services</w:t>
            </w:r>
          </w:p>
        </w:tc>
        <w:tc>
          <w:tcPr>
            <w:tcW w:w="2600" w:type="dxa"/>
            <w:vAlign w:val="bottom"/>
            <w:gridSpan w:val="2"/>
          </w:tcPr>
          <w:p>
            <w:pPr>
              <w:ind w:left="120"/>
              <w:spacing w:after="0"/>
              <w:rPr>
                <w:sz w:val="20"/>
                <w:szCs w:val="20"/>
                <w:color w:val="auto"/>
              </w:rPr>
            </w:pPr>
            <w:r>
              <w:rPr>
                <w:rFonts w:ascii="Arial" w:cs="Arial" w:eastAsia="Arial" w:hAnsi="Arial"/>
                <w:sz w:val="15"/>
                <w:szCs w:val="15"/>
                <w:color w:val="auto"/>
              </w:rPr>
              <w:t>United States</w:t>
            </w: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Alaska</w:t>
            </w:r>
          </w:p>
        </w:tc>
      </w:tr>
      <w:tr>
        <w:trPr>
          <w:trHeight w:val="182"/>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Communications,</w:t>
            </w:r>
          </w:p>
        </w:tc>
      </w:tr>
      <w:tr>
        <w:trPr>
          <w:trHeight w:val="191"/>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color w:val="auto"/>
              </w:rPr>
              <w:t>Choice</w:t>
            </w:r>
          </w:p>
        </w:tc>
      </w:tr>
      <w:tr>
        <w:trPr>
          <w:trHeight w:val="175"/>
        </w:trPr>
        <w:tc>
          <w:tcPr>
            <w:tcW w:w="2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Renewable Energy (1)</w:t>
            </w:r>
          </w:p>
        </w:tc>
        <w:tc>
          <w:tcPr>
            <w:tcW w:w="140" w:type="dxa"/>
            <w:vAlign w:val="bottom"/>
            <w:tcBorders>
              <w:top w:val="single" w:sz="8" w:color="CCEEFF"/>
            </w:tcBorders>
            <w:shd w:val="clear" w:color="auto" w:fill="CCEEFF"/>
          </w:tcPr>
          <w:p>
            <w:pPr>
              <w:spacing w:after="0"/>
              <w:rPr>
                <w:sz w:val="15"/>
                <w:szCs w:val="15"/>
                <w:color w:val="auto"/>
              </w:rPr>
            </w:pPr>
          </w:p>
        </w:tc>
        <w:tc>
          <w:tcPr>
            <w:tcW w:w="2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Solar</w:t>
            </w:r>
          </w:p>
        </w:tc>
        <w:tc>
          <w:tcPr>
            <w:tcW w:w="14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India</w:t>
            </w: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Vibrant Energy</w:t>
            </w:r>
          </w:p>
        </w:tc>
      </w:tr>
    </w:tbl>
    <w:p>
      <w:pPr>
        <w:spacing w:after="0" w:line="172" w:lineRule="exact"/>
        <w:rPr>
          <w:sz w:val="20"/>
          <w:szCs w:val="20"/>
          <w:color w:val="auto"/>
        </w:rPr>
      </w:pPr>
    </w:p>
    <w:p>
      <w:pPr>
        <w:ind w:left="880" w:hanging="273"/>
        <w:spacing w:after="0"/>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Disposition of International Solar Business</w:t>
      </w:r>
      <w:r>
        <w:rPr>
          <w:rFonts w:ascii="Arial" w:cs="Arial" w:eastAsia="Arial" w:hAnsi="Arial"/>
          <w:sz w:val="15"/>
          <w:szCs w:val="15"/>
          <w:color w:val="auto"/>
        </w:rPr>
        <w:t xml:space="preserve"> for further details.</w:t>
      </w:r>
    </w:p>
    <w:p>
      <w:pPr>
        <w:spacing w:after="0" w:line="192" w:lineRule="exact"/>
        <w:rPr>
          <w:sz w:val="20"/>
          <w:szCs w:val="20"/>
          <w:color w:val="auto"/>
        </w:rPr>
      </w:pPr>
    </w:p>
    <w:p>
      <w:pPr>
        <w:ind w:left="40" w:right="219" w:firstLine="585"/>
        <w:spacing w:after="0" w:line="279" w:lineRule="auto"/>
        <w:rPr>
          <w:sz w:val="20"/>
          <w:szCs w:val="20"/>
          <w:color w:val="auto"/>
        </w:rPr>
      </w:pPr>
      <w:r>
        <w:rPr>
          <w:rFonts w:ascii="Arial" w:cs="Arial" w:eastAsia="Arial" w:hAnsi="Arial"/>
          <w:sz w:val="15"/>
          <w:szCs w:val="15"/>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COVID-19</w:t>
      </w:r>
    </w:p>
    <w:p>
      <w:pPr>
        <w:spacing w:after="0" w:line="192" w:lineRule="exact"/>
        <w:rPr>
          <w:sz w:val="20"/>
          <w:szCs w:val="20"/>
          <w:color w:val="auto"/>
        </w:rPr>
      </w:pPr>
    </w:p>
    <w:p>
      <w:pPr>
        <w:jc w:val="both"/>
        <w:ind w:left="40" w:right="59" w:firstLine="547"/>
        <w:spacing w:after="0" w:line="279" w:lineRule="auto"/>
        <w:rPr>
          <w:sz w:val="20"/>
          <w:szCs w:val="20"/>
          <w:color w:val="auto"/>
        </w:rPr>
      </w:pPr>
      <w:r>
        <w:rPr>
          <w:rFonts w:ascii="Arial" w:cs="Arial" w:eastAsia="Arial" w:hAnsi="Arial"/>
          <w:sz w:val="15"/>
          <w:szCs w:val="15"/>
          <w:color w:val="auto"/>
        </w:rPr>
        <w:t>The Company continues to monitor and assess the effects of the ongoing COVID-19 pandemic on its commercial operations, the safety of its employees and their families, its sales force and customers.</w:t>
      </w:r>
    </w:p>
    <w:p>
      <w:pPr>
        <w:spacing w:after="0" w:line="146" w:lineRule="exact"/>
        <w:rPr>
          <w:sz w:val="20"/>
          <w:szCs w:val="20"/>
          <w:color w:val="auto"/>
        </w:rPr>
      </w:pPr>
    </w:p>
    <w:p>
      <w:pPr>
        <w:jc w:val="both"/>
        <w:ind w:left="40" w:right="39" w:firstLine="547"/>
        <w:spacing w:after="0" w:line="257" w:lineRule="auto"/>
        <w:rPr>
          <w:sz w:val="20"/>
          <w:szCs w:val="20"/>
          <w:color w:val="auto"/>
        </w:rPr>
      </w:pPr>
      <w:r>
        <w:rPr>
          <w:rFonts w:ascii="Arial" w:cs="Arial" w:eastAsia="Arial" w:hAnsi="Arial"/>
          <w:sz w:val="15"/>
          <w:szCs w:val="15"/>
          <w:color w:val="auto"/>
        </w:rPr>
        <w:t>The preparation of the condensed consolidated financial statements requires the Company to make estimates, judgments and assumptions, which are evaluated on an ongoing basis, which may affect the reported amounts of assets, liabilities, equity, revenues and expenses and related disclosure of contingent assets and liabilities. The Company assessed certain accounting matters and estimates that generally require consideration of forecasted financial information in context with the information and estimates reasonably available to the Company and the unknown future impacts of COVID-19 as of June 30, 2022 and through the date of this report. The accounting matters assessed included, but were not limited to, the allowance for credit losses, the carrying value of goodwill and other long-lived assets, financial assets, valuation allowances for tax assets and revenue recognition.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1" w:name="page12"/>
    <w:bookmarkEnd w:id="1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40" w:right="39" w:firstLine="585"/>
        <w:spacing w:after="0" w:line="280" w:lineRule="auto"/>
        <w:rPr>
          <w:sz w:val="20"/>
          <w:szCs w:val="20"/>
          <w:color w:val="auto"/>
        </w:rPr>
      </w:pPr>
      <w:r>
        <w:rPr>
          <w:rFonts w:ascii="Arial" w:cs="Arial" w:eastAsia="Arial" w:hAnsi="Arial"/>
          <w:sz w:val="14"/>
          <w:szCs w:val="14"/>
          <w:color w:val="auto"/>
        </w:rPr>
        <w:t>The Company’s assessment of the impact of COVID-19 on its operations did not indicate that there was a material adverse impact to its consolidated financial statements as of and for the three and six months ended June 30, 2022. However, future assessments of the impacts of COVID-19, as well as other factors, including the possible reinstatement of certain COVID-19 travel-related and stay-at-home restrictions, could result in material adverse impacts to its consolidated financial statements in future reporting periods. For example, the Company may experience difficulty in procuring network or retail equipment, such as handsets for subscribers, as a result of COVID-19 restrictions and related supply chain challenges. In addition, there is increased uncertainty related to predicting subscribers’ procurement behavior for services.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2. BASIS OF PRESENTATION</w:t>
      </w:r>
    </w:p>
    <w:p>
      <w:pPr>
        <w:spacing w:after="0" w:line="196" w:lineRule="exact"/>
        <w:rPr>
          <w:sz w:val="20"/>
          <w:szCs w:val="20"/>
          <w:color w:val="auto"/>
        </w:rPr>
      </w:pPr>
    </w:p>
    <w:p>
      <w:pPr>
        <w:ind w:left="40" w:right="159" w:firstLine="547"/>
        <w:spacing w:after="0" w:line="302" w:lineRule="auto"/>
        <w:rPr>
          <w:sz w:val="20"/>
          <w:szCs w:val="20"/>
          <w:color w:val="auto"/>
        </w:rPr>
      </w:pPr>
      <w:r>
        <w:rPr>
          <w:rFonts w:ascii="Arial" w:cs="Arial" w:eastAsia="Arial" w:hAnsi="Arial"/>
          <w:sz w:val="13"/>
          <w:szCs w:val="13"/>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2021, filed with the SEC on March 16, 2022.</w:t>
      </w:r>
    </w:p>
    <w:p>
      <w:pPr>
        <w:spacing w:after="0" w:line="135" w:lineRule="exact"/>
        <w:rPr>
          <w:sz w:val="20"/>
          <w:szCs w:val="20"/>
          <w:color w:val="auto"/>
        </w:rPr>
      </w:pPr>
    </w:p>
    <w:p>
      <w:pPr>
        <w:ind w:left="40" w:right="179" w:firstLine="547"/>
        <w:spacing w:after="0" w:line="262" w:lineRule="auto"/>
        <w:rPr>
          <w:sz w:val="20"/>
          <w:szCs w:val="20"/>
          <w:color w:val="auto"/>
        </w:rPr>
      </w:pPr>
      <w:r>
        <w:rPr>
          <w:rFonts w:ascii="Arial" w:cs="Arial" w:eastAsia="Arial" w:hAnsi="Arial"/>
          <w:sz w:val="15"/>
          <w:szCs w:val="15"/>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2" w:name="page13"/>
    <w:bookmarkEnd w:id="1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Presentation of Revenue</w:t>
      </w:r>
    </w:p>
    <w:p>
      <w:pPr>
        <w:spacing w:after="0" w:line="181" w:lineRule="exact"/>
        <w:rPr>
          <w:sz w:val="20"/>
          <w:szCs w:val="20"/>
          <w:color w:val="auto"/>
        </w:rPr>
      </w:pPr>
    </w:p>
    <w:p>
      <w:pPr>
        <w:ind w:left="40" w:right="239" w:firstLine="547"/>
        <w:spacing w:after="0" w:line="279" w:lineRule="auto"/>
        <w:rPr>
          <w:sz w:val="20"/>
          <w:szCs w:val="20"/>
          <w:color w:val="auto"/>
        </w:rPr>
      </w:pPr>
      <w:r>
        <w:rPr>
          <w:rFonts w:ascii="Arial" w:cs="Arial" w:eastAsia="Arial" w:hAnsi="Arial"/>
          <w:sz w:val="15"/>
          <w:szCs w:val="15"/>
          <w:color w:val="auto"/>
        </w:rPr>
        <w:t>Effective October 1, 2021, the Company’s statement of operations separately reflects Construction revenue. All periods presented have been adjusted to conform to these presentation updates.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Presentation of Operating Expenses</w:t>
      </w:r>
    </w:p>
    <w:p>
      <w:pPr>
        <w:spacing w:after="0" w:line="192" w:lineRule="exact"/>
        <w:rPr>
          <w:sz w:val="20"/>
          <w:szCs w:val="20"/>
          <w:color w:val="auto"/>
        </w:rPr>
      </w:pPr>
    </w:p>
    <w:p>
      <w:pPr>
        <w:ind w:left="40" w:right="139" w:firstLine="547"/>
        <w:spacing w:after="0" w:line="280" w:lineRule="auto"/>
        <w:rPr>
          <w:sz w:val="20"/>
          <w:szCs w:val="20"/>
          <w:color w:val="auto"/>
        </w:rPr>
      </w:pPr>
      <w:r>
        <w:rPr>
          <w:rFonts w:ascii="Arial" w:cs="Arial" w:eastAsia="Arial" w:hAnsi="Arial"/>
          <w:sz w:val="14"/>
          <w:szCs w:val="14"/>
          <w:color w:val="auto"/>
        </w:rPr>
        <w:t>Effective January 1, 2021, the Company changed its presentation of operating expenses in the Condensed Consolidated Statements of Operations by combining the previously disclosed Termination and Access Fees with Engineering and Operations as the newly represented Costs of Communication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the Company’s results with industry standards. Cost of construction services continues to be broken out separately and all depreciation and amortization continues to be shown separately.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92" w:lineRule="exact"/>
        <w:rPr>
          <w:sz w:val="20"/>
          <w:szCs w:val="20"/>
          <w:color w:val="auto"/>
        </w:rPr>
      </w:pPr>
    </w:p>
    <w:p>
      <w:pPr>
        <w:ind w:left="40" w:right="59" w:firstLine="547"/>
        <w:spacing w:after="0" w:line="282" w:lineRule="auto"/>
        <w:rPr>
          <w:sz w:val="20"/>
          <w:szCs w:val="20"/>
          <w:color w:val="auto"/>
        </w:rPr>
      </w:pPr>
      <w:r>
        <w:rPr>
          <w:rFonts w:ascii="Arial" w:cs="Arial" w:eastAsia="Arial" w:hAnsi="Arial"/>
          <w:sz w:val="14"/>
          <w:szCs w:val="14"/>
          <w:color w:val="auto"/>
        </w:rPr>
        <w:t>In October 2021, the Financial Accounting Standards Board (FASB) issued Accounting Standards Update (ASU) ASU 2021-08, Business Combinations (Topic 805): Accounting for Contract Assets and Contract Liabilities from Contracts with Customers, which requires entities to apply Topic 606 to recognize and measure contract assets and contract liabilities in a business combination. ASU 2021-08 is effective for fiscal years beginning after December 15, 2022, with early adoption permitted. The Company prospectively adopted this accounting standard in 2021. The adoption of ASC 2021-08 will result in the recognition of larger deferred revenue balances in future acquisitions.</w:t>
      </w:r>
    </w:p>
    <w:p>
      <w:pPr>
        <w:spacing w:after="0" w:line="148" w:lineRule="exact"/>
        <w:rPr>
          <w:sz w:val="20"/>
          <w:szCs w:val="20"/>
          <w:color w:val="auto"/>
        </w:rPr>
      </w:pPr>
    </w:p>
    <w:p>
      <w:pPr>
        <w:ind w:left="40" w:right="239" w:firstLine="547"/>
        <w:spacing w:after="0" w:line="314" w:lineRule="auto"/>
        <w:rPr>
          <w:sz w:val="20"/>
          <w:szCs w:val="20"/>
          <w:color w:val="auto"/>
        </w:rPr>
      </w:pPr>
      <w:r>
        <w:rPr>
          <w:rFonts w:ascii="Arial" w:cs="Arial" w:eastAsia="Arial" w:hAnsi="Arial"/>
          <w:sz w:val="13"/>
          <w:szCs w:val="13"/>
          <w:color w:val="auto"/>
        </w:rPr>
        <w:t>In November 2021, the FASB issued ASU 2021-10, Government Assistance (Topic 832): Disclosures by Business Entities about Government Assistance, which required entities to make specific annual disclosures about transactions with a government. The new standard is effective for fiscal years beginning after December 15, 2021. The adoption of ASU 2021-10 did not have a material impact on the Company’s disclosures. Going forward the Company will evaluate the disclosure requirements based on its participation in government programs.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3. REVENUE RECOGNITION AND RECEIVABLES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Revenue Accounted for in Accordance with Other Guidance</w:t>
      </w:r>
    </w:p>
    <w:p>
      <w:pPr>
        <w:spacing w:after="0" w:line="192" w:lineRule="exact"/>
        <w:rPr>
          <w:sz w:val="20"/>
          <w:szCs w:val="20"/>
          <w:color w:val="auto"/>
        </w:rPr>
      </w:pPr>
    </w:p>
    <w:p>
      <w:pPr>
        <w:ind w:left="40" w:right="139" w:firstLine="547"/>
        <w:spacing w:after="0" w:line="359" w:lineRule="auto"/>
        <w:rPr>
          <w:sz w:val="20"/>
          <w:szCs w:val="20"/>
          <w:color w:val="auto"/>
        </w:rPr>
      </w:pPr>
      <w:r>
        <w:rPr>
          <w:rFonts w:ascii="Arial" w:cs="Arial" w:eastAsia="Arial" w:hAnsi="Arial"/>
          <w:sz w:val="13"/>
          <w:szCs w:val="13"/>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Timing of Revenue Recognition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 accounted for in accordance with ASC 606 consisted of the following for the periods presented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ind w:left="480"/>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2000" w:type="dxa"/>
            <w:vAlign w:val="bottom"/>
            <w:gridSpan w:val="4"/>
          </w:tcPr>
          <w:p>
            <w:pPr>
              <w:jc w:val="right"/>
              <w:ind w:right="508"/>
              <w:spacing w:after="0"/>
              <w:rPr>
                <w:sz w:val="20"/>
                <w:szCs w:val="20"/>
                <w:color w:val="auto"/>
              </w:rPr>
            </w:pPr>
            <w:r>
              <w:rPr>
                <w:rFonts w:ascii="Arial" w:cs="Arial" w:eastAsia="Arial" w:hAnsi="Arial"/>
                <w:sz w:val="12"/>
                <w:szCs w:val="12"/>
                <w:b w:val="1"/>
                <w:bCs w:val="1"/>
                <w:color w:val="auto"/>
              </w:rPr>
              <w:t>Six months ended</w:t>
            </w:r>
          </w:p>
        </w:tc>
      </w:tr>
      <w:tr>
        <w:trPr>
          <w:trHeight w:val="158"/>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June 30, 2022</w:t>
            </w:r>
          </w:p>
        </w:tc>
        <w:tc>
          <w:tcPr>
            <w:tcW w:w="1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June 30, 2021</w:t>
            </w: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June 30, 2022</w:t>
            </w:r>
          </w:p>
        </w:tc>
        <w:tc>
          <w:tcPr>
            <w:tcW w:w="140" w:type="dxa"/>
            <w:vAlign w:val="bottom"/>
          </w:tcPr>
          <w:p>
            <w:pPr>
              <w:spacing w:after="0"/>
              <w:rPr>
                <w:sz w:val="13"/>
                <w:szCs w:val="13"/>
                <w:color w:val="auto"/>
              </w:rPr>
            </w:pPr>
          </w:p>
        </w:tc>
        <w:tc>
          <w:tcPr>
            <w:tcW w:w="900" w:type="dxa"/>
            <w:vAlign w:val="bottom"/>
          </w:tcPr>
          <w:p>
            <w:pPr>
              <w:jc w:val="right"/>
              <w:ind w:right="88"/>
              <w:spacing w:after="0"/>
              <w:rPr>
                <w:sz w:val="20"/>
                <w:szCs w:val="20"/>
                <w:color w:val="auto"/>
              </w:rPr>
            </w:pPr>
            <w:r>
              <w:rPr>
                <w:rFonts w:ascii="Arial" w:cs="Arial" w:eastAsia="Arial" w:hAnsi="Arial"/>
                <w:sz w:val="12"/>
                <w:szCs w:val="12"/>
                <w:b w:val="1"/>
                <w:bCs w:val="1"/>
                <w:color w:val="auto"/>
                <w:w w:val="92"/>
              </w:rPr>
              <w:t>June 30, 2021</w:t>
            </w:r>
          </w:p>
        </w:tc>
      </w:tr>
      <w:tr>
        <w:trPr>
          <w:trHeight w:val="21"/>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4"/>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4480" w:type="dxa"/>
            <w:vAlign w:val="bottom"/>
            <w:shd w:val="clear" w:color="auto" w:fill="CCEEFF"/>
          </w:tcPr>
          <w:p>
            <w:pPr>
              <w:spacing w:after="0"/>
              <w:rPr>
                <w:sz w:val="20"/>
                <w:szCs w:val="20"/>
                <w:color w:val="auto"/>
              </w:rPr>
            </w:pPr>
            <w:r>
              <w:rPr>
                <w:rFonts w:ascii="Arial" w:cs="Arial" w:eastAsia="Arial" w:hAnsi="Arial"/>
                <w:sz w:val="15"/>
                <w:szCs w:val="15"/>
                <w:color w:val="auto"/>
              </w:rPr>
              <w:t>Services transferred over time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154,680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104,488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308,272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206,520</w:t>
            </w:r>
          </w:p>
        </w:tc>
      </w:tr>
      <w:tr>
        <w:trPr>
          <w:trHeight w:val="182"/>
        </w:trPr>
        <w:tc>
          <w:tcPr>
            <w:tcW w:w="44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Goods and services transferred at a point in time</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11,867</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11,876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18,188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27,272</w:t>
            </w:r>
          </w:p>
        </w:tc>
      </w:tr>
      <w:tr>
        <w:trPr>
          <w:trHeight w:val="17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 accounted for under ASC 606</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166,547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116,364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326,460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233,792</w:t>
            </w: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Contract Assets and Liabilities</w:t>
      </w:r>
    </w:p>
    <w:p>
      <w:pPr>
        <w:spacing w:after="0" w:line="192" w:lineRule="exact"/>
        <w:rPr>
          <w:sz w:val="20"/>
          <w:szCs w:val="20"/>
          <w:color w:val="auto"/>
        </w:rPr>
      </w:pPr>
    </w:p>
    <w:p>
      <w:pPr>
        <w:ind w:left="40" w:right="79" w:firstLine="547"/>
        <w:spacing w:after="0" w:line="266" w:lineRule="auto"/>
        <w:rPr>
          <w:sz w:val="20"/>
          <w:szCs w:val="20"/>
          <w:color w:val="auto"/>
        </w:rPr>
      </w:pPr>
      <w:r>
        <w:rPr>
          <w:rFonts w:ascii="Arial" w:cs="Arial" w:eastAsia="Arial" w:hAnsi="Arial"/>
          <w:sz w:val="15"/>
          <w:szCs w:val="15"/>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3" w:name="page14"/>
    <w:bookmarkEnd w:id="1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399"/>
        <w:spacing w:after="0" w:line="279" w:lineRule="auto"/>
        <w:rPr>
          <w:sz w:val="20"/>
          <w:szCs w:val="20"/>
          <w:color w:val="auto"/>
        </w:rPr>
      </w:pPr>
      <w:r>
        <w:rPr>
          <w:rFonts w:ascii="Arial" w:cs="Arial" w:eastAsia="Arial" w:hAnsi="Arial"/>
          <w:sz w:val="15"/>
          <w:szCs w:val="15"/>
          <w:color w:val="auto"/>
        </w:rPr>
        <w:t>the contract asset is recorded in prepayments and other current assets and the noncurrent portion is included in other assets on the Company’s balance sheets.</w:t>
      </w:r>
    </w:p>
    <w:p>
      <w:pPr>
        <w:spacing w:after="0" w:line="146" w:lineRule="exact"/>
        <w:rPr>
          <w:sz w:val="20"/>
          <w:szCs w:val="20"/>
          <w:color w:val="auto"/>
        </w:rPr>
      </w:pPr>
    </w:p>
    <w:p>
      <w:pPr>
        <w:ind w:left="40" w:right="119" w:firstLine="547"/>
        <w:spacing w:after="0" w:line="260" w:lineRule="auto"/>
        <w:rPr>
          <w:sz w:val="20"/>
          <w:szCs w:val="20"/>
          <w:color w:val="auto"/>
        </w:rPr>
      </w:pPr>
      <w:r>
        <w:rPr>
          <w:rFonts w:ascii="Arial" w:cs="Arial" w:eastAsia="Arial" w:hAnsi="Arial"/>
          <w:sz w:val="15"/>
          <w:szCs w:val="15"/>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are recorded in advanced payments and deposits and other liabilities on the Company’s balance sheets.</w:t>
      </w:r>
    </w:p>
    <w:p>
      <w:pPr>
        <w:spacing w:after="0" w:line="159" w:lineRule="exact"/>
        <w:rPr>
          <w:sz w:val="20"/>
          <w:szCs w:val="20"/>
          <w:color w:val="auto"/>
        </w:rPr>
      </w:pPr>
    </w:p>
    <w:p>
      <w:pPr>
        <w:ind w:left="40" w:right="79" w:firstLine="547"/>
        <w:spacing w:after="0" w:line="256" w:lineRule="auto"/>
        <w:rPr>
          <w:sz w:val="20"/>
          <w:szCs w:val="20"/>
          <w:color w:val="auto"/>
        </w:rPr>
      </w:pPr>
      <w:r>
        <w:rPr>
          <w:rFonts w:ascii="Arial" w:cs="Arial" w:eastAsia="Arial" w:hAnsi="Arial"/>
          <w:sz w:val="15"/>
          <w:szCs w:val="15"/>
          <w:color w:val="auto"/>
        </w:rPr>
        <w:t>In July 2019, the Company entered into a Network Build and Maintenance Agreement with AT&amp;T Mobility, LLC (“AT&amp;T”) and subsequently entered into amendments in August 2020, May 2021 and August 2022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current portion of receivables under this agreement is recorded in customer receivable and the long-term portion is recorded in customer receivable long-term on the Company’s balance sheet.</w:t>
      </w:r>
    </w:p>
    <w:p>
      <w:pPr>
        <w:spacing w:after="0" w:line="167" w:lineRule="exact"/>
        <w:rPr>
          <w:sz w:val="20"/>
          <w:szCs w:val="20"/>
          <w:color w:val="auto"/>
        </w:rPr>
      </w:pPr>
    </w:p>
    <w:p>
      <w:pPr>
        <w:ind w:left="40" w:right="99" w:firstLine="547"/>
        <w:spacing w:after="0" w:line="286" w:lineRule="auto"/>
        <w:rPr>
          <w:sz w:val="20"/>
          <w:szCs w:val="20"/>
          <w:color w:val="auto"/>
        </w:rPr>
      </w:pPr>
      <w:r>
        <w:rPr>
          <w:rFonts w:ascii="Arial" w:cs="Arial" w:eastAsia="Arial" w:hAnsi="Arial"/>
          <w:sz w:val="14"/>
          <w:szCs w:val="14"/>
          <w:color w:val="auto"/>
        </w:rPr>
        <w:t>The Company has certain Carrier Services roaming agreements that contain stand-ready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Contract assets and liabilities consisted of the following (amounts in thousands)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June 30, 2022</w:t>
            </w: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w:t>
            </w:r>
          </w:p>
        </w:tc>
        <w:tc>
          <w:tcPr>
            <w:tcW w:w="3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0"/>
              </w:rPr>
              <w:t>Change</w:t>
            </w:r>
          </w:p>
        </w:tc>
        <w:tc>
          <w:tcPr>
            <w:tcW w:w="100" w:type="dxa"/>
            <w:vAlign w:val="bottom"/>
          </w:tcPr>
          <w:p>
            <w:pPr>
              <w:spacing w:after="0"/>
              <w:rPr>
                <w:sz w:val="12"/>
                <w:szCs w:val="12"/>
                <w:color w:val="auto"/>
              </w:rPr>
            </w:pPr>
          </w:p>
        </w:tc>
        <w:tc>
          <w:tcPr>
            <w:tcW w:w="820" w:type="dxa"/>
            <w:vAlign w:val="bottom"/>
            <w:gridSpan w:val="2"/>
            <w:vMerge w:val="restart"/>
          </w:tcPr>
          <w:p>
            <w:pPr>
              <w:jc w:val="right"/>
              <w:ind w:right="64"/>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0"/>
        </w:trPr>
        <w:tc>
          <w:tcPr>
            <w:tcW w:w="35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5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5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Contract asset – current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(1,303)</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2"/>
        </w:trPr>
        <w:tc>
          <w:tcPr>
            <w:tcW w:w="3560" w:type="dxa"/>
            <w:vAlign w:val="bottom"/>
          </w:tcPr>
          <w:p>
            <w:pPr>
              <w:spacing w:after="0"/>
              <w:rPr>
                <w:sz w:val="20"/>
                <w:szCs w:val="20"/>
                <w:color w:val="auto"/>
              </w:rPr>
            </w:pPr>
            <w:r>
              <w:rPr>
                <w:rFonts w:ascii="Arial" w:cs="Arial" w:eastAsia="Arial" w:hAnsi="Arial"/>
                <w:sz w:val="15"/>
                <w:szCs w:val="15"/>
                <w:color w:val="auto"/>
              </w:rPr>
              <w:t>Contract asset – noncurrent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Contract liability – current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(25,181)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(25,332)</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5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3560" w:type="dxa"/>
            <w:vAlign w:val="bottom"/>
          </w:tcPr>
          <w:p>
            <w:pPr>
              <w:spacing w:after="0"/>
              <w:rPr>
                <w:sz w:val="20"/>
                <w:szCs w:val="20"/>
                <w:color w:val="auto"/>
              </w:rPr>
            </w:pPr>
            <w:r>
              <w:rPr>
                <w:rFonts w:ascii="Arial" w:cs="Arial" w:eastAsia="Arial" w:hAnsi="Arial"/>
                <w:sz w:val="15"/>
                <w:szCs w:val="15"/>
                <w:color w:val="auto"/>
              </w:rPr>
              <w:t>Contract liability – noncurrent</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(75,919)</w:t>
            </w:r>
          </w:p>
        </w:tc>
        <w:tc>
          <w:tcPr>
            <w:tcW w:w="10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(81,391)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5,472</w:t>
            </w:r>
          </w:p>
        </w:tc>
        <w:tc>
          <w:tcPr>
            <w:tcW w:w="400" w:type="dxa"/>
            <w:vAlign w:val="bottom"/>
            <w:gridSpan w:val="2"/>
          </w:tcPr>
          <w:p>
            <w:pPr>
              <w:jc w:val="right"/>
              <w:spacing w:after="0"/>
              <w:rPr>
                <w:sz w:val="20"/>
                <w:szCs w:val="20"/>
                <w:color w:val="auto"/>
              </w:rPr>
            </w:pPr>
            <w:r>
              <w:rPr>
                <w:rFonts w:ascii="Arial" w:cs="Arial" w:eastAsia="Arial" w:hAnsi="Arial"/>
                <w:sz w:val="15"/>
                <w:szCs w:val="15"/>
                <w:color w:val="auto"/>
              </w:rPr>
              <w:t>7</w:t>
            </w:r>
          </w:p>
        </w:tc>
        <w:tc>
          <w:tcPr>
            <w:tcW w:w="520" w:type="dxa"/>
            <w:vAlign w:val="bottom"/>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contract liability</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(96,692)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(101,018)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4,326</w:t>
            </w:r>
          </w:p>
        </w:tc>
        <w:tc>
          <w:tcPr>
            <w:tcW w:w="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520" w:type="dxa"/>
            <w:vAlign w:val="bottom"/>
            <w:tcBorders>
              <w:top w:val="single" w:sz="8" w:color="CCEEFF"/>
              <w:bottom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right="59" w:firstLine="547"/>
        <w:spacing w:after="0" w:line="258" w:lineRule="auto"/>
        <w:rPr>
          <w:sz w:val="20"/>
          <w:szCs w:val="20"/>
          <w:color w:val="auto"/>
        </w:rPr>
      </w:pPr>
      <w:r>
        <w:rPr>
          <w:rFonts w:ascii="Arial" w:cs="Arial" w:eastAsia="Arial" w:hAnsi="Arial"/>
          <w:sz w:val="15"/>
          <w:szCs w:val="15"/>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six months ended June 30, 2022, the Company recognized revenue of $20.4 million related to its December 31, 2021 contract liability and amortized $1.4 million of the December 31, 2021 contract asset into revenue.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Contract Acquisition Costs</w:t>
      </w:r>
    </w:p>
    <w:p>
      <w:pPr>
        <w:spacing w:after="0" w:line="192" w:lineRule="exact"/>
        <w:rPr>
          <w:sz w:val="20"/>
          <w:szCs w:val="20"/>
          <w:color w:val="auto"/>
        </w:rPr>
      </w:pPr>
    </w:p>
    <w:p>
      <w:pPr>
        <w:ind w:left="40" w:right="259" w:firstLine="547"/>
        <w:spacing w:after="0" w:line="294" w:lineRule="auto"/>
        <w:rPr>
          <w:sz w:val="20"/>
          <w:szCs w:val="20"/>
          <w:color w:val="auto"/>
        </w:rPr>
      </w:pPr>
      <w:r>
        <w:rPr>
          <w:rFonts w:ascii="Arial" w:cs="Arial" w:eastAsia="Arial" w:hAnsi="Arial"/>
          <w:sz w:val="14"/>
          <w:szCs w:val="14"/>
          <w:color w:val="auto"/>
        </w:rPr>
        <w:t>The June 30, 2022 balance sheet includes contract acquisition costs of $5.9 million in other assets. During the three and six months ended June 30, 2022, the Company amortized $0.8 million and $1.6 million, respectively, of contract acquisition costs. During the three and six months ended June 30, 2021, the Company amortized $0.6 million and $1.2 million, respectively, of contract acquisition costs.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4" w:name="page15"/>
    <w:bookmarkEnd w:id="1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Remaining Performance Obligations</w:t>
      </w:r>
    </w:p>
    <w:p>
      <w:pPr>
        <w:spacing w:after="0" w:line="192" w:lineRule="exact"/>
        <w:rPr>
          <w:sz w:val="20"/>
          <w:szCs w:val="20"/>
          <w:color w:val="auto"/>
        </w:rPr>
      </w:pPr>
    </w:p>
    <w:p>
      <w:pPr>
        <w:ind w:left="40" w:right="159" w:firstLine="547"/>
        <w:spacing w:after="0" w:line="260" w:lineRule="auto"/>
        <w:rPr>
          <w:sz w:val="20"/>
          <w:szCs w:val="20"/>
          <w:color w:val="auto"/>
        </w:rPr>
      </w:pPr>
      <w:r>
        <w:rPr>
          <w:rFonts w:ascii="Arial" w:cs="Arial" w:eastAsia="Arial" w:hAnsi="Arial"/>
          <w:sz w:val="15"/>
          <w:szCs w:val="15"/>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$332 million and $369 million at June 30, 2022 and December 31, 2021, respectively. The Company expects to satisfy approximately 51% of the remaining performance obligations and recognize the transaction price within 24 months and the remainder thereafter.</w:t>
      </w:r>
    </w:p>
    <w:p>
      <w:pPr>
        <w:spacing w:after="0" w:line="159" w:lineRule="exact"/>
        <w:rPr>
          <w:sz w:val="20"/>
          <w:szCs w:val="20"/>
          <w:color w:val="auto"/>
        </w:rPr>
      </w:pPr>
    </w:p>
    <w:p>
      <w:pPr>
        <w:ind w:left="40" w:right="199" w:firstLine="547"/>
        <w:spacing w:after="0" w:line="266" w:lineRule="auto"/>
        <w:rPr>
          <w:sz w:val="20"/>
          <w:szCs w:val="20"/>
          <w:color w:val="auto"/>
        </w:rPr>
      </w:pPr>
      <w:r>
        <w:rPr>
          <w:rFonts w:ascii="Arial" w:cs="Arial" w:eastAsia="Arial" w:hAnsi="Arial"/>
          <w:sz w:val="15"/>
          <w:szCs w:val="15"/>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Disaggregation</w:t>
      </w:r>
    </w:p>
    <w:p>
      <w:pPr>
        <w:spacing w:after="0" w:line="192" w:lineRule="exact"/>
        <w:rPr>
          <w:sz w:val="20"/>
          <w:szCs w:val="20"/>
          <w:color w:val="auto"/>
        </w:rPr>
      </w:pPr>
    </w:p>
    <w:p>
      <w:pPr>
        <w:ind w:left="40" w:right="119" w:firstLine="547"/>
        <w:spacing w:after="0" w:line="257" w:lineRule="auto"/>
        <w:rPr>
          <w:sz w:val="20"/>
          <w:szCs w:val="20"/>
          <w:color w:val="auto"/>
        </w:rPr>
      </w:pPr>
      <w:r>
        <w:rPr>
          <w:rFonts w:ascii="Arial" w:cs="Arial" w:eastAsia="Arial" w:hAnsi="Arial"/>
          <w:sz w:val="15"/>
          <w:szCs w:val="15"/>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Renewable Energy and Managed Services revenue. This disaggregation of revenue depicts how the nature, amount, timing and uncertainty of revenue and cash flows are affected by economic factors.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Receivables</w:t>
      </w:r>
    </w:p>
    <w:p>
      <w:pPr>
        <w:spacing w:after="0" w:line="192" w:lineRule="exact"/>
        <w:rPr>
          <w:sz w:val="20"/>
          <w:szCs w:val="20"/>
          <w:color w:val="auto"/>
        </w:rPr>
      </w:pPr>
    </w:p>
    <w:p>
      <w:pPr>
        <w:ind w:left="40" w:right="139" w:firstLine="547"/>
        <w:spacing w:after="0" w:line="262" w:lineRule="auto"/>
        <w:rPr>
          <w:sz w:val="20"/>
          <w:szCs w:val="20"/>
          <w:color w:val="auto"/>
        </w:rPr>
      </w:pPr>
      <w:r>
        <w:rPr>
          <w:rFonts w:ascii="Arial" w:cs="Arial" w:eastAsia="Arial" w:hAnsi="Arial"/>
          <w:sz w:val="15"/>
          <w:szCs w:val="15"/>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 accounts receivable is based on management’s assessment of the collectability of assets pooled together with similar risk characteristics.</w:t>
      </w:r>
    </w:p>
    <w:p>
      <w:pPr>
        <w:spacing w:after="0" w:line="158" w:lineRule="exact"/>
        <w:rPr>
          <w:sz w:val="20"/>
          <w:szCs w:val="20"/>
          <w:color w:val="auto"/>
        </w:rPr>
      </w:pPr>
    </w:p>
    <w:p>
      <w:pPr>
        <w:ind w:left="40" w:right="99" w:firstLine="547"/>
        <w:spacing w:after="0" w:line="258" w:lineRule="auto"/>
        <w:rPr>
          <w:sz w:val="20"/>
          <w:szCs w:val="20"/>
          <w:color w:val="auto"/>
        </w:rPr>
      </w:pPr>
      <w:r>
        <w:rPr>
          <w:rFonts w:ascii="Arial" w:cs="Arial" w:eastAsia="Arial" w:hAnsi="Arial"/>
          <w:sz w:val="15"/>
          <w:szCs w:val="15"/>
          <w:color w:val="auto"/>
        </w:rPr>
        <w:t>At June 30, 2022, the Company had gross accounts receivable of $132.4 million, an allowance for credit losses of $15.7 million and a receivable under the FirstNet Agreement totaling $46.1 million of which $6.2 million was current and $39.9 million was long-term. At December 31, 2021, the Company had gross accounts receivable of $131.4 million, an allowance for credit losses of $13.9 million and a receivable under the FirstNet Agreement totaling $43.8 million, of which $4.1 million was current and $39.7 million was long-term. The Company monitors receivables through the use of historical operating data adjusted for expectation of future performance as appropriate. Activity in the allowance for credit losses is below:</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Six months ended June 30,</w:t>
            </w:r>
          </w:p>
        </w:tc>
        <w:tc>
          <w:tcPr>
            <w:tcW w:w="2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Six months ended June 30, 2021</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right"/>
              <w:ind w:right="607"/>
              <w:spacing w:after="0"/>
              <w:rPr>
                <w:sz w:val="20"/>
                <w:szCs w:val="20"/>
                <w:color w:val="auto"/>
              </w:rPr>
            </w:pPr>
            <w:r>
              <w:rPr>
                <w:rFonts w:ascii="Arial" w:cs="Arial" w:eastAsia="Arial" w:hAnsi="Arial"/>
                <w:sz w:val="12"/>
                <w:szCs w:val="12"/>
                <w:b w:val="1"/>
                <w:bCs w:val="1"/>
                <w:color w:val="auto"/>
              </w:rPr>
              <w:t>2022</w:t>
            </w:r>
          </w:p>
        </w:tc>
        <w:tc>
          <w:tcPr>
            <w:tcW w:w="260" w:type="dxa"/>
            <w:vAlign w:val="bottom"/>
          </w:tcPr>
          <w:p>
            <w:pPr>
              <w:spacing w:after="0"/>
              <w:rPr>
                <w:sz w:val="12"/>
                <w:szCs w:val="12"/>
                <w:color w:val="auto"/>
              </w:rPr>
            </w:pPr>
          </w:p>
        </w:tc>
        <w:tc>
          <w:tcPr>
            <w:tcW w:w="2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13,885</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9"/>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color w:val="auto"/>
              </w:rPr>
              <w:t>Current period provision for expected losses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3,153</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2,299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Write-offs charged against the allowance</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(1,497)</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(1,196)</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Recoveries collected</w:t>
            </w:r>
          </w:p>
        </w:tc>
        <w:tc>
          <w:tcPr>
            <w:tcW w:w="5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end of period</w:t>
            </w:r>
          </w:p>
        </w:tc>
        <w:tc>
          <w:tcPr>
            <w:tcW w:w="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15,749</w:t>
            </w: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5"/>
                <w:szCs w:val="15"/>
                <w:color w:val="auto"/>
              </w:rPr>
              <w:t>15</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9" w:right="1440" w:bottom="1440" w:gutter="0" w:footer="0" w:header="0"/>
        </w:sectPr>
      </w:pPr>
    </w:p>
    <w:bookmarkStart w:id="15" w:name="page16"/>
    <w:bookmarkEnd w:id="1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4. LEASES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Lessee Disclosure</w:t>
      </w:r>
    </w:p>
    <w:p>
      <w:pPr>
        <w:spacing w:after="0" w:line="146"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5"/>
          <w:szCs w:val="15"/>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Supplemental lease information</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components of lease expense were as follows (in thousands):</w:t>
      </w:r>
    </w:p>
    <w:p>
      <w:pPr>
        <w:spacing w:after="0" w:line="19" w:lineRule="exact"/>
        <w:rPr>
          <w:sz w:val="20"/>
          <w:szCs w:val="20"/>
          <w:color w:val="auto"/>
        </w:rPr>
      </w:pPr>
    </w:p>
    <w:tbl>
      <w:tblPr>
        <w:tblLayout w:type="fixed"/>
        <w:tblInd w:w="940" w:type="dxa"/>
        <w:tblCellMar>
          <w:top w:w="0" w:type="dxa"/>
          <w:left w:w="0" w:type="dxa"/>
          <w:bottom w:w="0" w:type="dxa"/>
          <w:right w:w="0" w:type="dxa"/>
        </w:tblCellMar>
      </w:tblPr>
      <w:tr>
        <w:trPr>
          <w:trHeight w:val="141"/>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right"/>
              <w:ind w:right="466"/>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4"/>
          </w:tcPr>
          <w:p>
            <w:pPr>
              <w:jc w:val="right"/>
              <w:ind w:right="566"/>
              <w:spacing w:after="0"/>
              <w:rPr>
                <w:sz w:val="20"/>
                <w:szCs w:val="20"/>
                <w:color w:val="auto"/>
              </w:rPr>
            </w:pPr>
            <w:r>
              <w:rPr>
                <w:rFonts w:ascii="Arial" w:cs="Arial" w:eastAsia="Arial" w:hAnsi="Arial"/>
                <w:sz w:val="12"/>
                <w:szCs w:val="12"/>
                <w:b w:val="1"/>
                <w:bCs w:val="1"/>
                <w:color w:val="auto"/>
              </w:rPr>
              <w:t>Six months ended</w:t>
            </w:r>
          </w:p>
        </w:tc>
      </w:tr>
      <w:tr>
        <w:trPr>
          <w:trHeight w:val="158"/>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June 30, 2022</w:t>
            </w:r>
          </w:p>
        </w:tc>
        <w:tc>
          <w:tcPr>
            <w:tcW w:w="14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Arial" w:cs="Arial" w:eastAsia="Arial" w:hAnsi="Arial"/>
                <w:sz w:val="12"/>
                <w:szCs w:val="12"/>
                <w:b w:val="1"/>
                <w:bCs w:val="1"/>
                <w:color w:val="auto"/>
                <w:w w:val="94"/>
              </w:rPr>
              <w:t>June 30, 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June 30, 2022</w:t>
            </w:r>
          </w:p>
        </w:tc>
        <w:tc>
          <w:tcPr>
            <w:tcW w:w="120" w:type="dxa"/>
            <w:vAlign w:val="bottom"/>
          </w:tcPr>
          <w:p>
            <w:pPr>
              <w:spacing w:after="0"/>
              <w:rPr>
                <w:sz w:val="13"/>
                <w:szCs w:val="13"/>
                <w:color w:val="auto"/>
              </w:rPr>
            </w:pPr>
          </w:p>
        </w:tc>
        <w:tc>
          <w:tcPr>
            <w:tcW w:w="920" w:type="dxa"/>
            <w:vAlign w:val="bottom"/>
          </w:tcPr>
          <w:p>
            <w:pPr>
              <w:jc w:val="right"/>
              <w:ind w:right="106"/>
              <w:spacing w:after="0"/>
              <w:rPr>
                <w:sz w:val="20"/>
                <w:szCs w:val="20"/>
                <w:color w:val="auto"/>
              </w:rPr>
            </w:pPr>
            <w:r>
              <w:rPr>
                <w:rFonts w:ascii="Arial" w:cs="Arial" w:eastAsia="Arial" w:hAnsi="Arial"/>
                <w:sz w:val="12"/>
                <w:szCs w:val="12"/>
                <w:b w:val="1"/>
                <w:bCs w:val="1"/>
                <w:color w:val="auto"/>
                <w:w w:val="92"/>
              </w:rPr>
              <w:t>June 30, 2021</w:t>
            </w:r>
          </w:p>
        </w:tc>
      </w:tr>
      <w:tr>
        <w:trPr>
          <w:trHeight w:val="21"/>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27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Operating lease cost: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2"/>
        </w:trPr>
        <w:tc>
          <w:tcPr>
            <w:tcW w:w="2720" w:type="dxa"/>
            <w:vAlign w:val="bottom"/>
          </w:tcPr>
          <w:p>
            <w:pPr>
              <w:ind w:left="260"/>
              <w:spacing w:after="0"/>
              <w:rPr>
                <w:sz w:val="20"/>
                <w:szCs w:val="20"/>
                <w:color w:val="auto"/>
              </w:rPr>
            </w:pPr>
            <w:r>
              <w:rPr>
                <w:rFonts w:ascii="Arial" w:cs="Arial" w:eastAsia="Arial" w:hAnsi="Arial"/>
                <w:sz w:val="15"/>
                <w:szCs w:val="15"/>
                <w:color w:val="auto"/>
              </w:rPr>
              <w:t>Operating lease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6,194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4,248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12,337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8,473</w:t>
            </w:r>
          </w:p>
        </w:tc>
      </w:tr>
      <w:tr>
        <w:trPr>
          <w:trHeight w:val="182"/>
        </w:trPr>
        <w:tc>
          <w:tcPr>
            <w:tcW w:w="27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Short-term lease cost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1,137</w:t>
            </w:r>
          </w:p>
        </w:tc>
      </w:tr>
      <w:tr>
        <w:trPr>
          <w:trHeight w:val="182"/>
        </w:trPr>
        <w:tc>
          <w:tcPr>
            <w:tcW w:w="27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Variable lease cost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2,080</w:t>
            </w:r>
          </w:p>
        </w:tc>
      </w:tr>
      <w:tr>
        <w:trPr>
          <w:trHeight w:val="17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operating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14,937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11,690</w:t>
            </w: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Finance lease cost: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2"/>
        </w:trPr>
        <w:tc>
          <w:tcPr>
            <w:tcW w:w="2720" w:type="dxa"/>
            <w:vAlign w:val="bottom"/>
          </w:tcPr>
          <w:p>
            <w:pPr>
              <w:ind w:left="260"/>
              <w:spacing w:after="0"/>
              <w:rPr>
                <w:sz w:val="20"/>
                <w:szCs w:val="20"/>
                <w:color w:val="auto"/>
              </w:rPr>
            </w:pPr>
            <w:r>
              <w:rPr>
                <w:rFonts w:ascii="Arial" w:cs="Arial" w:eastAsia="Arial" w:hAnsi="Arial"/>
                <w:sz w:val="15"/>
                <w:szCs w:val="15"/>
                <w:color w:val="auto"/>
              </w:rPr>
              <w:t>Amortization of right-of-use asset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782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1,579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1,190</w:t>
            </w:r>
          </w:p>
        </w:tc>
      </w:tr>
      <w:tr>
        <w:trPr>
          <w:trHeight w:val="182"/>
        </w:trPr>
        <w:tc>
          <w:tcPr>
            <w:tcW w:w="27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Variable costs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r>
      <w:tr>
        <w:trPr>
          <w:trHeight w:val="182"/>
        </w:trPr>
        <w:tc>
          <w:tcPr>
            <w:tcW w:w="27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Interest costs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finance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1,582</w:t>
            </w: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right="639" w:firstLine="547"/>
        <w:spacing w:after="0" w:line="266" w:lineRule="auto"/>
        <w:rPr>
          <w:sz w:val="20"/>
          <w:szCs w:val="20"/>
          <w:color w:val="auto"/>
        </w:rPr>
      </w:pPr>
      <w:r>
        <w:rPr>
          <w:rFonts w:ascii="Arial" w:cs="Arial" w:eastAsia="Arial" w:hAnsi="Arial"/>
          <w:sz w:val="15"/>
          <w:szCs w:val="15"/>
          <w:color w:val="auto"/>
        </w:rPr>
        <w:t>During the six month periods ended June 30, 2022 and 2021, the Company paid $10.8 million and $7.6 million, respectively, for operating lease liabilities. During the six months ended June 30, 2022 and 2021, the Company recorded $5.1 million and $6.3 million, respectively, of operating lease liabilities arising from ROU assets.</w:t>
      </w:r>
    </w:p>
    <w:p>
      <w:pPr>
        <w:spacing w:after="0" w:line="156" w:lineRule="exact"/>
        <w:rPr>
          <w:sz w:val="20"/>
          <w:szCs w:val="20"/>
          <w:color w:val="auto"/>
        </w:rPr>
      </w:pPr>
    </w:p>
    <w:p>
      <w:pPr>
        <w:ind w:left="40" w:right="159" w:firstLine="547"/>
        <w:spacing w:after="0" w:line="282" w:lineRule="auto"/>
        <w:rPr>
          <w:sz w:val="20"/>
          <w:szCs w:val="20"/>
          <w:color w:val="auto"/>
        </w:rPr>
      </w:pPr>
      <w:r>
        <w:rPr>
          <w:rFonts w:ascii="Arial" w:cs="Arial" w:eastAsia="Arial" w:hAnsi="Arial"/>
          <w:sz w:val="14"/>
          <w:szCs w:val="14"/>
          <w:color w:val="auto"/>
        </w:rPr>
        <w:t>At June 30, 2022, finance leases with a cost of $27.2 million and accumulated amortization of $12.0 million were included in property, plant and equipment. During the three months ended June 30, 2022, the Company paid $0.6 million of financing cash flows and $0.1 million of operating cash flows for finance lease liabilities and recorded $0.2 million of additional finance lease liabilities. Additionally, during the six months ended June 30, 2022, the Company disposed of a finance lease with a net book value of $1.0 million recording a loss for that amount. At June 30, 2022, finance leases had a lease liability of $5.8 million, of which $0.9 million was current.</w:t>
      </w:r>
    </w:p>
    <w:p>
      <w:pPr>
        <w:spacing w:after="0" w:line="148" w:lineRule="exact"/>
        <w:rPr>
          <w:sz w:val="20"/>
          <w:szCs w:val="20"/>
          <w:color w:val="auto"/>
        </w:rPr>
      </w:pPr>
    </w:p>
    <w:p>
      <w:pPr>
        <w:jc w:val="both"/>
        <w:ind w:left="40" w:right="199" w:firstLine="547"/>
        <w:spacing w:after="0" w:line="359" w:lineRule="auto"/>
        <w:rPr>
          <w:sz w:val="20"/>
          <w:szCs w:val="20"/>
          <w:color w:val="auto"/>
        </w:rPr>
      </w:pPr>
      <w:r>
        <w:rPr>
          <w:rFonts w:ascii="Arial" w:cs="Arial" w:eastAsia="Arial" w:hAnsi="Arial"/>
          <w:sz w:val="13"/>
          <w:szCs w:val="13"/>
          <w:color w:val="auto"/>
        </w:rPr>
        <w:t>During the six months ended June 30, 2021, the Company recorded $1.4 million of additional finance lease liabilities. At December 31, 2021, finance leases with a cost of $30.8 million and accumulated amortization of $12.1 million were included in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6" w:name="page17"/>
    <w:bookmarkEnd w:id="1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weighted average remaining lease terms and discount rates as of June 30, 2022 and December 31, 2021 are noted in the table below:</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58"/>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266"/>
              <w:spacing w:after="0"/>
              <w:rPr>
                <w:sz w:val="20"/>
                <w:szCs w:val="20"/>
                <w:color w:val="auto"/>
              </w:rPr>
            </w:pPr>
            <w:r>
              <w:rPr>
                <w:rFonts w:ascii="Arial" w:cs="Arial" w:eastAsia="Arial" w:hAnsi="Arial"/>
                <w:sz w:val="12"/>
                <w:szCs w:val="12"/>
                <w:b w:val="1"/>
                <w:bCs w:val="1"/>
                <w:color w:val="auto"/>
              </w:rPr>
              <w:t>June 30, 2022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86"/>
              <w:spacing w:after="0"/>
              <w:rPr>
                <w:sz w:val="20"/>
                <w:szCs w:val="20"/>
                <w:color w:val="auto"/>
              </w:rPr>
            </w:pPr>
            <w:r>
              <w:rPr>
                <w:rFonts w:ascii="Arial" w:cs="Arial" w:eastAsia="Arial" w:hAnsi="Arial"/>
                <w:sz w:val="12"/>
                <w:szCs w:val="12"/>
                <w:b w:val="1"/>
                <w:bCs w:val="1"/>
                <w:color w:val="auto"/>
                <w:w w:val="96"/>
              </w:rPr>
              <w:t>December 31, 2021</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Weighted-average remaining lease term</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ind w:left="260"/>
              <w:spacing w:after="0"/>
              <w:rPr>
                <w:sz w:val="20"/>
                <w:szCs w:val="20"/>
                <w:color w:val="auto"/>
              </w:rPr>
            </w:pPr>
            <w:r>
              <w:rPr>
                <w:rFonts w:ascii="Arial" w:cs="Arial" w:eastAsia="Arial" w:hAnsi="Arial"/>
                <w:sz w:val="15"/>
                <w:szCs w:val="15"/>
                <w:color w:val="auto"/>
              </w:rPr>
              <w:t>Operating leases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11.3 years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11.3 years</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Financing leases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years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years</w:t>
            </w:r>
          </w:p>
        </w:tc>
        <w:tc>
          <w:tcPr>
            <w:tcW w:w="0" w:type="dxa"/>
            <w:vAlign w:val="bottom"/>
          </w:tcPr>
          <w:p>
            <w:pPr>
              <w:spacing w:after="0"/>
              <w:rPr>
                <w:sz w:val="1"/>
                <w:szCs w:val="1"/>
                <w:color w:val="auto"/>
              </w:rPr>
            </w:pPr>
          </w:p>
        </w:tc>
      </w:tr>
      <w:tr>
        <w:trPr>
          <w:trHeight w:val="182"/>
        </w:trPr>
        <w:tc>
          <w:tcPr>
            <w:tcW w:w="580" w:type="dxa"/>
            <w:vAlign w:val="bottom"/>
            <w:vMerge w:val="restart"/>
          </w:tcPr>
          <w:p>
            <w:pPr>
              <w:spacing w:after="0"/>
              <w:rPr>
                <w:sz w:val="15"/>
                <w:szCs w:val="15"/>
                <w:color w:val="auto"/>
              </w:rPr>
            </w:pPr>
          </w:p>
        </w:tc>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vMerge w:val="continue"/>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discount rate</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ind w:left="260"/>
              <w:spacing w:after="0"/>
              <w:rPr>
                <w:sz w:val="20"/>
                <w:szCs w:val="20"/>
                <w:color w:val="auto"/>
              </w:rPr>
            </w:pPr>
            <w:r>
              <w:rPr>
                <w:rFonts w:ascii="Arial" w:cs="Arial" w:eastAsia="Arial" w:hAnsi="Arial"/>
                <w:sz w:val="15"/>
                <w:szCs w:val="15"/>
                <w:color w:val="auto"/>
              </w:rPr>
              <w:t>Operating leases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Financing leases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363"/>
        </w:trPr>
        <w:tc>
          <w:tcPr>
            <w:tcW w:w="5640" w:type="dxa"/>
            <w:vAlign w:val="bottom"/>
            <w:gridSpan w:val="5"/>
          </w:tcPr>
          <w:p>
            <w:pPr>
              <w:spacing w:after="0"/>
              <w:rPr>
                <w:sz w:val="20"/>
                <w:szCs w:val="20"/>
                <w:color w:val="auto"/>
              </w:rPr>
            </w:pPr>
            <w:r>
              <w:rPr>
                <w:rFonts w:ascii="Arial" w:cs="Arial" w:eastAsia="Arial" w:hAnsi="Arial"/>
                <w:sz w:val="15"/>
                <w:szCs w:val="15"/>
                <w:color w:val="auto"/>
              </w:rPr>
              <w:t>Maturities of lease liabilities as of June 30, 2022 were as follows (in thousands):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66"/>
              <w:spacing w:after="0"/>
              <w:rPr>
                <w:sz w:val="20"/>
                <w:szCs w:val="20"/>
                <w:color w:val="auto"/>
              </w:rPr>
            </w:pPr>
            <w:r>
              <w:rPr>
                <w:rFonts w:ascii="Arial" w:cs="Arial" w:eastAsia="Arial" w:hAnsi="Arial"/>
                <w:sz w:val="12"/>
                <w:szCs w:val="12"/>
                <w:b w:val="1"/>
                <w:bCs w:val="1"/>
                <w:color w:val="auto"/>
                <w:w w:val="97"/>
              </w:rPr>
              <w:t>Operating Leases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26"/>
              <w:spacing w:after="0"/>
              <w:rPr>
                <w:sz w:val="20"/>
                <w:szCs w:val="20"/>
                <w:color w:val="auto"/>
              </w:rPr>
            </w:pPr>
            <w:r>
              <w:rPr>
                <w:rFonts w:ascii="Arial" w:cs="Arial" w:eastAsia="Arial" w:hAnsi="Arial"/>
                <w:sz w:val="12"/>
                <w:szCs w:val="12"/>
                <w:b w:val="1"/>
                <w:bCs w:val="1"/>
                <w:color w:val="auto"/>
                <w:w w:val="99"/>
              </w:rPr>
              <w:t>Financing Leases</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w w:val="96"/>
              </w:rPr>
              <w:t>2022 (excluding the six months ended June 30, 2022)</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11,451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651</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18,831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14,461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992</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69,233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3,145</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Total lease payments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141,619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7,840</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(41,765)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(2,085)</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99,854</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5,755</w:t>
            </w:r>
          </w:p>
        </w:tc>
        <w:tc>
          <w:tcPr>
            <w:tcW w:w="0" w:type="dxa"/>
            <w:vAlign w:val="bottom"/>
          </w:tcPr>
          <w:p>
            <w:pPr>
              <w:spacing w:after="0"/>
              <w:rPr>
                <w:sz w:val="1"/>
                <w:szCs w:val="1"/>
                <w:color w:val="auto"/>
              </w:rPr>
            </w:pPr>
          </w:p>
        </w:tc>
      </w:tr>
      <w:tr>
        <w:trPr>
          <w:trHeight w:val="20"/>
        </w:trPr>
        <w:tc>
          <w:tcPr>
            <w:tcW w:w="4240" w:type="dxa"/>
            <w:vAlign w:val="bottom"/>
            <w:gridSpan w:val="3"/>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640" w:type="dxa"/>
            <w:vAlign w:val="bottom"/>
            <w:gridSpan w:val="5"/>
          </w:tcPr>
          <w:p>
            <w:pPr>
              <w:spacing w:after="0"/>
              <w:rPr>
                <w:sz w:val="20"/>
                <w:szCs w:val="20"/>
                <w:color w:val="auto"/>
              </w:rPr>
            </w:pPr>
            <w:r>
              <w:rPr>
                <w:rFonts w:ascii="Arial" w:cs="Arial" w:eastAsia="Arial" w:hAnsi="Arial"/>
                <w:sz w:val="15"/>
                <w:szCs w:val="15"/>
                <w:color w:val="auto"/>
                <w:w w:val="99"/>
              </w:rPr>
              <w:t>Maturities of lease liabilities as of December 31, 2021 were as follows (in thousands):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66"/>
              <w:spacing w:after="0"/>
              <w:rPr>
                <w:sz w:val="20"/>
                <w:szCs w:val="20"/>
                <w:color w:val="auto"/>
              </w:rPr>
            </w:pPr>
            <w:r>
              <w:rPr>
                <w:rFonts w:ascii="Arial" w:cs="Arial" w:eastAsia="Arial" w:hAnsi="Arial"/>
                <w:sz w:val="12"/>
                <w:szCs w:val="12"/>
                <w:b w:val="1"/>
                <w:bCs w:val="1"/>
                <w:color w:val="auto"/>
                <w:w w:val="97"/>
              </w:rPr>
              <w:t>Operating Leases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26"/>
              <w:spacing w:after="0"/>
              <w:rPr>
                <w:sz w:val="20"/>
                <w:szCs w:val="20"/>
                <w:color w:val="auto"/>
              </w:rPr>
            </w:pPr>
            <w:r>
              <w:rPr>
                <w:rFonts w:ascii="Arial" w:cs="Arial" w:eastAsia="Arial" w:hAnsi="Arial"/>
                <w:sz w:val="12"/>
                <w:szCs w:val="12"/>
                <w:b w:val="1"/>
                <w:bCs w:val="1"/>
                <w:color w:val="auto"/>
                <w:w w:val="99"/>
              </w:rPr>
              <w:t>Financing Leases</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5"/>
                <w:szCs w:val="15"/>
                <w:color w:val="auto"/>
              </w:rPr>
              <w:t>2022</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20,474</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17,941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16,634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5"/>
                <w:szCs w:val="15"/>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13,640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65,902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3,145</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Total lease payments</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144,201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8,320</w:t>
            </w: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(42,333)</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101,868</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June 30, 2022, the Company did not have any material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7" w:name="page18"/>
    <w:bookmarkEnd w:id="1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Lessor Disclosure</w:t>
      </w:r>
    </w:p>
    <w:p>
      <w:pPr>
        <w:spacing w:after="0" w:line="192" w:lineRule="exact"/>
        <w:rPr>
          <w:sz w:val="20"/>
          <w:szCs w:val="20"/>
          <w:color w:val="auto"/>
        </w:rPr>
      </w:pPr>
    </w:p>
    <w:p>
      <w:pPr>
        <w:ind w:left="40" w:right="119" w:firstLine="547"/>
        <w:spacing w:after="0" w:line="294" w:lineRule="auto"/>
        <w:rPr>
          <w:sz w:val="20"/>
          <w:szCs w:val="20"/>
          <w:color w:val="auto"/>
        </w:rPr>
      </w:pPr>
      <w:r>
        <w:rPr>
          <w:rFonts w:ascii="Arial" w:cs="Arial" w:eastAsia="Arial" w:hAnsi="Arial"/>
          <w:sz w:val="14"/>
          <w:szCs w:val="14"/>
          <w:color w:val="auto"/>
        </w:rPr>
        <w:t>The Company is the lessor in agreements to lease the use of its network assets including its cell sites and buildings. For the three and six months ended June 30, 2022 the Company recorded $1.9 million and $2.9 million, respectively, of lease income from agreements in which the Company is the lessor. Lease income is classified as Carrier Services revenue in the statement of operations.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presents the maturities of future undiscounted lease payments for the periods indicated:</w:t>
      </w: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82"/>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2022 (excluding the six months ended June 30, 2022)</w:t>
            </w:r>
          </w:p>
        </w:tc>
        <w:tc>
          <w:tcPr>
            <w:tcW w:w="1540" w:type="dxa"/>
            <w:vAlign w:val="bottom"/>
            <w:gridSpan w:val="2"/>
            <w:shd w:val="clear" w:color="auto" w:fill="CCEEFF"/>
          </w:tcPr>
          <w:p>
            <w:pPr>
              <w:jc w:val="right"/>
              <w:ind w:right="631"/>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2,776</w:t>
            </w:r>
          </w:p>
        </w:tc>
      </w:tr>
      <w:tr>
        <w:trPr>
          <w:trHeight w:val="182"/>
        </w:trPr>
        <w:tc>
          <w:tcPr>
            <w:tcW w:w="4020" w:type="dxa"/>
            <w:vAlign w:val="bottom"/>
          </w:tcPr>
          <w:p>
            <w:pPr>
              <w:spacing w:after="0"/>
              <w:rPr>
                <w:sz w:val="20"/>
                <w:szCs w:val="20"/>
                <w:color w:val="auto"/>
              </w:rPr>
            </w:pPr>
            <w:r>
              <w:rPr>
                <w:rFonts w:ascii="Arial" w:cs="Arial" w:eastAsia="Arial" w:hAnsi="Arial"/>
                <w:sz w:val="15"/>
                <w:szCs w:val="15"/>
                <w:color w:val="auto"/>
              </w:rPr>
              <w:t>2023</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5,024</w:t>
            </w:r>
          </w:p>
        </w:tc>
      </w:tr>
      <w:tr>
        <w:trPr>
          <w:trHeight w:val="182"/>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4,633</w:t>
            </w:r>
          </w:p>
        </w:tc>
      </w:tr>
      <w:tr>
        <w:trPr>
          <w:trHeight w:val="182"/>
        </w:trPr>
        <w:tc>
          <w:tcPr>
            <w:tcW w:w="4020" w:type="dxa"/>
            <w:vAlign w:val="bottom"/>
          </w:tcPr>
          <w:p>
            <w:pPr>
              <w:spacing w:after="0"/>
              <w:rPr>
                <w:sz w:val="20"/>
                <w:szCs w:val="20"/>
                <w:color w:val="auto"/>
              </w:rPr>
            </w:pPr>
            <w:r>
              <w:rPr>
                <w:rFonts w:ascii="Arial" w:cs="Arial" w:eastAsia="Arial" w:hAnsi="Arial"/>
                <w:sz w:val="15"/>
                <w:szCs w:val="15"/>
                <w:color w:val="auto"/>
              </w:rPr>
              <w:t>2025</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4,518</w:t>
            </w:r>
          </w:p>
        </w:tc>
      </w:tr>
      <w:tr>
        <w:trPr>
          <w:trHeight w:val="182"/>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2026</w:t>
            </w: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4,179</w:t>
            </w:r>
          </w:p>
        </w:tc>
      </w:tr>
      <w:tr>
        <w:trPr>
          <w:trHeight w:val="182"/>
        </w:trPr>
        <w:tc>
          <w:tcPr>
            <w:tcW w:w="40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Thereafter</w:t>
            </w:r>
          </w:p>
        </w:tc>
        <w:tc>
          <w:tcPr>
            <w:tcW w:w="8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10,758</w:t>
            </w:r>
          </w:p>
        </w:tc>
      </w:tr>
      <w:tr>
        <w:trPr>
          <w:trHeight w:val="17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future lease payments</w:t>
            </w: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3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31,888</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5. USE OF ESTIMATES</w:t>
      </w:r>
    </w:p>
    <w:p>
      <w:pPr>
        <w:spacing w:after="0" w:line="196" w:lineRule="exact"/>
        <w:rPr>
          <w:sz w:val="20"/>
          <w:szCs w:val="20"/>
          <w:color w:val="auto"/>
        </w:rPr>
      </w:pPr>
    </w:p>
    <w:p>
      <w:pPr>
        <w:ind w:left="40" w:right="179" w:firstLine="547"/>
        <w:spacing w:after="0" w:line="257"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useful lives of the Company’s fixed and finite-lived intangible assets, allocation of purchase price to assets acquired and liabilities assumed in business combinations, fair value of indefinite-lived intangible assets, goodwill, assessing the impairment of assets, revenue, and income taxes. Actual results could differ significantly from those estimates. See Note 1 to the Unaudited Condensed Consolidated Financial Statements included in this Report for a discussion of the impact of COVID-19 on the use of these estimates.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6. ACQUISITIONS AND DISPOSITIONS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US Telecom</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Pending Acquisition of Sacred Wind Enterprises</w:t>
      </w:r>
    </w:p>
    <w:p>
      <w:pPr>
        <w:spacing w:after="0" w:line="283" w:lineRule="exact"/>
        <w:rPr>
          <w:sz w:val="20"/>
          <w:szCs w:val="20"/>
          <w:color w:val="auto"/>
        </w:rPr>
      </w:pPr>
    </w:p>
    <w:p>
      <w:pPr>
        <w:ind w:left="40" w:right="59" w:firstLine="372"/>
        <w:spacing w:after="0" w:line="277" w:lineRule="auto"/>
        <w:rPr>
          <w:sz w:val="20"/>
          <w:szCs w:val="20"/>
          <w:color w:val="auto"/>
        </w:rPr>
      </w:pPr>
      <w:r>
        <w:rPr>
          <w:rFonts w:ascii="Arial" w:cs="Arial" w:eastAsia="Arial" w:hAnsi="Arial"/>
          <w:sz w:val="14"/>
          <w:szCs w:val="14"/>
          <w:color w:val="auto"/>
        </w:rPr>
        <w:t>On July 26, 2022, the Company, via its newly formed wholly owned subsidiary Alloy, Inc. (“Alloy”), entered into a stock purchase agreement (the “Purchase Agreement”) to acquire all of the issued and outstanding stock of Sacred Wind Enterprises, Inc. (“Sacred Wind”), a rural telecommunications provider in New Mexico. Under the Purchase Agreement, the Company will contribute all of its ownership interests in its Commnet Wireless business to Alloy, and issue Alloy equity to the Sacred Wind stockholders representing the combined ownership of Sacred Wind and Commnet. The acquisition is subject to certain closing conditions, including the receipt of required third party and regulatory approvals such as approval of the Federal Communications Commission . Under the Purchase Agreement, Sacred Wind will keep in place its approximately $32 million in debt and the Company will issue consideration of a combination of $24 million in cash, the issuance of $13 million of equity representing an approximate 6% in Alloy, Inc. In addition, the Purchase Agreement includes certain earn-outs, the accounting for which will be determined upon the Company’s completion of the acquisition, to be paid to the Sacred Wind stockholders.</w:t>
      </w:r>
    </w:p>
    <w:p>
      <w:pPr>
        <w:spacing w:after="0" w:line="59" w:lineRule="exact"/>
        <w:rPr>
          <w:sz w:val="20"/>
          <w:szCs w:val="20"/>
          <w:color w:val="auto"/>
        </w:rPr>
      </w:pPr>
    </w:p>
    <w:p>
      <w:pPr>
        <w:ind w:left="40" w:right="259" w:firstLine="372"/>
        <w:spacing w:after="0" w:line="279" w:lineRule="auto"/>
        <w:rPr>
          <w:sz w:val="20"/>
          <w:szCs w:val="20"/>
          <w:color w:val="auto"/>
        </w:rPr>
      </w:pPr>
      <w:r>
        <w:rPr>
          <w:rFonts w:ascii="Arial" w:cs="Arial" w:eastAsia="Arial" w:hAnsi="Arial"/>
          <w:sz w:val="15"/>
          <w:szCs w:val="15"/>
          <w:color w:val="auto"/>
        </w:rPr>
        <w:t>The Company believes that the acquisition of Sacred Wind will expand the Company’s infrastructure reach and broadband services in the rural Southwest and increase its wholesale carrier, residential and business broadband services.</w:t>
      </w:r>
    </w:p>
    <w:p>
      <w:pPr>
        <w:spacing w:after="0" w:line="55" w:lineRule="exact"/>
        <w:rPr>
          <w:sz w:val="20"/>
          <w:szCs w:val="20"/>
          <w:color w:val="auto"/>
        </w:rPr>
      </w:pPr>
    </w:p>
    <w:p>
      <w:pPr>
        <w:ind w:left="40" w:right="299" w:firstLine="372"/>
        <w:spacing w:after="0" w:line="279" w:lineRule="auto"/>
        <w:rPr>
          <w:sz w:val="20"/>
          <w:szCs w:val="20"/>
          <w:color w:val="auto"/>
        </w:rPr>
      </w:pPr>
      <w:r>
        <w:rPr>
          <w:rFonts w:ascii="Arial" w:cs="Arial" w:eastAsia="Arial" w:hAnsi="Arial"/>
          <w:sz w:val="15"/>
          <w:szCs w:val="15"/>
          <w:color w:val="auto"/>
        </w:rPr>
        <w:t>The acquisition of Sacred Wind is expected to close subject to Federal Communications Commission and other required approvals in the fourth quarter of 2022 or first quarter of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8" w:name="page19"/>
    <w:bookmarkEnd w:id="1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Completed Acquisition of Alaska Communications</w:t>
      </w:r>
    </w:p>
    <w:p>
      <w:pPr>
        <w:spacing w:after="0" w:line="192" w:lineRule="exact"/>
        <w:rPr>
          <w:sz w:val="20"/>
          <w:szCs w:val="20"/>
          <w:color w:val="auto"/>
        </w:rPr>
      </w:pPr>
    </w:p>
    <w:p>
      <w:pPr>
        <w:ind w:left="40" w:right="139" w:firstLine="547"/>
        <w:spacing w:after="0" w:line="303" w:lineRule="auto"/>
        <w:rPr>
          <w:sz w:val="20"/>
          <w:szCs w:val="20"/>
          <w:color w:val="auto"/>
        </w:rPr>
      </w:pPr>
      <w:r>
        <w:rPr>
          <w:rFonts w:ascii="Arial" w:cs="Arial" w:eastAsia="Arial" w:hAnsi="Arial"/>
          <w:sz w:val="13"/>
          <w:szCs w:val="13"/>
          <w:color w:val="auto"/>
        </w:rPr>
        <w:t>On July 22, 2021 (“Closing Date”), the Company completed the acquisition of Alaska Communications Systems Group, Inc. (“Alaska Communications”) pursuant to the terms of the Merger Agreement whereby Alaska Communications became a consolidated subsidiary of the Company (the “Alaska Transaction”). At completion of the acquisition, each Alaska Communications common share was converted into the right to receive $3.40 per share in cash representing a total value of $353.3 million of cash and consideration payable (“Merger Consideration”). The consideration transferred consists of $339.5 million of cash, net of $11.9 million of cash and restricted cash acquired and $1.9 million of accrued consideration representing amounts payable related to stock compensation payable within one year of the close date. The cash consideration was used to purchase $186.8 million of Alaska Communications equity and repay $164.6 million of existing Alaska Communications debt.</w:t>
      </w:r>
    </w:p>
    <w:p>
      <w:pPr>
        <w:spacing w:after="0" w:line="137" w:lineRule="exact"/>
        <w:rPr>
          <w:sz w:val="20"/>
          <w:szCs w:val="20"/>
          <w:color w:val="auto"/>
        </w:rPr>
      </w:pPr>
    </w:p>
    <w:p>
      <w:pPr>
        <w:ind w:left="40" w:right="79" w:firstLine="547"/>
        <w:spacing w:after="0" w:line="275" w:lineRule="auto"/>
        <w:rPr>
          <w:sz w:val="20"/>
          <w:szCs w:val="20"/>
          <w:color w:val="auto"/>
        </w:rPr>
      </w:pPr>
      <w:r>
        <w:rPr>
          <w:rFonts w:ascii="Arial" w:cs="Arial" w:eastAsia="Arial" w:hAnsi="Arial"/>
          <w:sz w:val="14"/>
          <w:szCs w:val="14"/>
          <w:color w:val="auto"/>
        </w:rPr>
        <w:t>The Company funded the acquisition with cash on hand, debt, and a contribution from the Freedom 3 Investors. The Company borrowed, through multiple financing transactions, a net of $283 million. On the Closing Date, the lenders advanced (a) the full $210 million aggregate amount of the Alaska Term Loan (as defined below) in a single borrowing and (b) $10 million of the Alaska Revolving Facility (as defined below). The Company incurred $6.6 million of debt issuance and debt discount costs. Also, to fund the Merger Consideration in part, the Company drew a net $63.0 million under its revolving credit facility under the 2019 CoBank Credit Facility (as defined below). Lastly, the Freedom 3 Investors contributed $71.5 million in conjunction with the Merger. The Company has accounted for the Freedom 3 Investment as redeemable noncontrolling interests in its consolidated financial statements. On the Closing Date, the redeemable noncontrolling interests consisted of $22.6 million of redeemable common units, $48.3 million of redeemable preferred units, and $0.6 million of warrants to purchase common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redeemable preferred units carry a 9% preferred dividend which compounds quarterly. The preferred units contain a put option allowing the holder to sell the preferred units to a subsidiary of the Company at the unpaid issue price plus unpaid dividends. The put option begins at the earlier of a future initial public offering of the Alaska Communications operations or July 2028. Lastly, the Company issued warrants in the Alaska Communications operations allowing the holders to purchase an additional 3% of the common units at a fixed price.</w:t>
      </w:r>
    </w:p>
    <w:p>
      <w:pPr>
        <w:spacing w:after="0" w:line="151" w:lineRule="exact"/>
        <w:rPr>
          <w:sz w:val="20"/>
          <w:szCs w:val="20"/>
          <w:color w:val="auto"/>
        </w:rPr>
      </w:pPr>
    </w:p>
    <w:p>
      <w:pPr>
        <w:ind w:left="40" w:right="139" w:firstLine="547"/>
        <w:spacing w:after="0" w:line="266" w:lineRule="auto"/>
        <w:rPr>
          <w:sz w:val="20"/>
          <w:szCs w:val="20"/>
          <w:color w:val="auto"/>
        </w:rPr>
      </w:pPr>
      <w:r>
        <w:rPr>
          <w:rFonts w:ascii="Arial" w:cs="Arial" w:eastAsia="Arial" w:hAnsi="Arial"/>
          <w:sz w:val="15"/>
          <w:szCs w:val="15"/>
          <w:color w:val="auto"/>
        </w:rPr>
        <w:t>The fair value of the common units remained at $22.6 million at June 30, 2022, unchanged from the value at July 22, 2021. The value of the preferred units was $52.6 million at June 30, 2022 which consists of the original issue price of $48.3 million and $4.3 million of accrued preferred dividends. The value of the warrants was $0.6 million at June 30, 2022, unchanged from July 22, 2021.</w:t>
      </w:r>
    </w:p>
    <w:p>
      <w:pPr>
        <w:spacing w:after="0" w:line="156" w:lineRule="exact"/>
        <w:rPr>
          <w:sz w:val="20"/>
          <w:szCs w:val="20"/>
          <w:color w:val="auto"/>
        </w:rPr>
      </w:pPr>
    </w:p>
    <w:p>
      <w:pPr>
        <w:ind w:left="40" w:right="579" w:firstLine="547"/>
        <w:spacing w:after="0" w:line="279" w:lineRule="auto"/>
        <w:rPr>
          <w:sz w:val="20"/>
          <w:szCs w:val="20"/>
          <w:color w:val="auto"/>
        </w:rPr>
      </w:pPr>
      <w:r>
        <w:rPr>
          <w:rFonts w:ascii="Arial" w:cs="Arial" w:eastAsia="Arial" w:hAnsi="Arial"/>
          <w:sz w:val="15"/>
          <w:szCs w:val="15"/>
          <w:color w:val="auto"/>
        </w:rPr>
        <w:t>As a result of the Alaska Transaction, the Company owns 52% of the common equity of Alaska Communications and controls its operations and management.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9" w:name="page20"/>
    <w:bookmarkEnd w:id="1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379" w:firstLine="547"/>
        <w:spacing w:after="0" w:line="279" w:lineRule="auto"/>
        <w:rPr>
          <w:sz w:val="20"/>
          <w:szCs w:val="20"/>
          <w:color w:val="auto"/>
        </w:rPr>
      </w:pPr>
      <w:r>
        <w:rPr>
          <w:rFonts w:ascii="Arial" w:cs="Arial" w:eastAsia="Arial" w:hAnsi="Arial"/>
          <w:sz w:val="15"/>
          <w:szCs w:val="15"/>
          <w:color w:val="auto"/>
        </w:rPr>
        <w:t>The table below represents the allocation of the total consideration transferred to the acquired assets and assumed liabilities based on management’s estimate of their acquisition date fair values (amounts in thousands):</w:t>
      </w:r>
    </w:p>
    <w:p>
      <w:pPr>
        <w:spacing w:after="0" w:line="168" w:lineRule="exact"/>
        <w:rPr>
          <w:sz w:val="20"/>
          <w:szCs w:val="20"/>
          <w:color w:val="auto"/>
        </w:rPr>
      </w:pPr>
    </w:p>
    <w:tbl>
      <w:tblPr>
        <w:tblLayout w:type="fixed"/>
        <w:tblInd w:w="2280" w:type="dxa"/>
        <w:tblCellMar>
          <w:top w:w="0" w:type="dxa"/>
          <w:left w:w="0" w:type="dxa"/>
          <w:bottom w:w="0" w:type="dxa"/>
          <w:right w:w="0" w:type="dxa"/>
        </w:tblCellMar>
      </w:tblPr>
      <w:tr>
        <w:trPr>
          <w:trHeight w:val="182"/>
        </w:trPr>
        <w:tc>
          <w:tcPr>
            <w:tcW w:w="2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Consideration Transferred</w:t>
            </w:r>
          </w:p>
        </w:tc>
        <w:tc>
          <w:tcPr>
            <w:tcW w:w="660" w:type="dxa"/>
            <w:vAlign w:val="bottom"/>
            <w:gridSpan w:val="2"/>
            <w:shd w:val="clear" w:color="auto" w:fill="CCEEFF"/>
          </w:tcPr>
          <w:p>
            <w:pPr>
              <w:jc w:val="right"/>
              <w:ind w:right="251"/>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353,280</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Noncontrolling interests</w:t>
            </w:r>
          </w:p>
        </w:tc>
        <w:tc>
          <w:tcPr>
            <w:tcW w:w="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value to allocate</w:t>
            </w:r>
          </w:p>
        </w:tc>
        <w:tc>
          <w:tcPr>
            <w:tcW w:w="3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353,750</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Purchase price allocation:</w:t>
            </w: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10,553</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Restricted cash</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Short-term investments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Accounts receivable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30,453</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Inventory, materials and supplies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Prepayments and other current assets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8,038</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Fixed assets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408,694</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Telecommunication licenses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Intangible assets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44,333</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Operating lease right-of-use assets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60,402</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assets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2,387</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Accounts payable and accrued liabilities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(39,188)</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Accrued taxes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(3,766)</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Advance payments and deposits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(15,842)</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Current portion of lease liabilities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(2,425)</w:t>
            </w:r>
          </w:p>
        </w:tc>
        <w:tc>
          <w:tcPr>
            <w:tcW w:w="0" w:type="dxa"/>
            <w:vAlign w:val="bottom"/>
          </w:tcPr>
          <w:p>
            <w:pPr>
              <w:spacing w:after="0"/>
              <w:rPr>
                <w:sz w:val="1"/>
                <w:szCs w:val="1"/>
                <w:color w:val="auto"/>
              </w:rPr>
            </w:pPr>
          </w:p>
        </w:tc>
      </w:tr>
      <w:tr>
        <w:trPr>
          <w:trHeight w:val="182"/>
        </w:trPr>
        <w:tc>
          <w:tcPr>
            <w:tcW w:w="2940" w:type="dxa"/>
            <w:vAlign w:val="bottom"/>
          </w:tcPr>
          <w:p>
            <w:pPr>
              <w:ind w:left="80"/>
              <w:spacing w:after="0"/>
              <w:rPr>
                <w:sz w:val="20"/>
                <w:szCs w:val="20"/>
                <w:color w:val="auto"/>
              </w:rPr>
            </w:pPr>
            <w:r>
              <w:rPr>
                <w:rFonts w:ascii="Arial" w:cs="Arial" w:eastAsia="Arial" w:hAnsi="Arial"/>
                <w:sz w:val="15"/>
                <w:szCs w:val="15"/>
                <w:color w:val="auto"/>
              </w:rPr>
              <w:t>Deferred income taxes</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(17,040)</w:t>
            </w:r>
          </w:p>
        </w:tc>
        <w:tc>
          <w:tcPr>
            <w:tcW w:w="0" w:type="dxa"/>
            <w:vAlign w:val="bottom"/>
          </w:tcPr>
          <w:p>
            <w:pPr>
              <w:spacing w:after="0"/>
              <w:rPr>
                <w:sz w:val="1"/>
                <w:szCs w:val="1"/>
                <w:color w:val="auto"/>
              </w:rPr>
            </w:pPr>
          </w:p>
        </w:tc>
      </w:tr>
      <w:tr>
        <w:trPr>
          <w:trHeight w:val="182"/>
        </w:trPr>
        <w:tc>
          <w:tcPr>
            <w:tcW w:w="2940" w:type="dxa"/>
            <w:vAlign w:val="bottom"/>
            <w:shd w:val="clear" w:color="auto" w:fill="CCEEFF"/>
          </w:tcPr>
          <w:p>
            <w:pPr>
              <w:ind w:left="80"/>
              <w:spacing w:after="0"/>
              <w:rPr>
                <w:sz w:val="20"/>
                <w:szCs w:val="20"/>
                <w:color w:val="auto"/>
              </w:rPr>
            </w:pPr>
            <w:r>
              <w:rPr>
                <w:rFonts w:ascii="Arial" w:cs="Arial" w:eastAsia="Arial" w:hAnsi="Arial"/>
                <w:sz w:val="15"/>
                <w:szCs w:val="15"/>
                <w:color w:val="auto"/>
              </w:rPr>
              <w:t>Lease liabilities, excluding current portion</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(44,234)</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Other liabilities</w:t>
            </w:r>
          </w:p>
        </w:tc>
        <w:tc>
          <w:tcPr>
            <w:tcW w:w="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(92,432)</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assets acquired</w:t>
            </w:r>
          </w:p>
        </w:tc>
        <w:tc>
          <w:tcPr>
            <w:tcW w:w="3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353,750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right="99" w:firstLine="547"/>
        <w:spacing w:after="0" w:line="299" w:lineRule="auto"/>
        <w:rPr>
          <w:sz w:val="20"/>
          <w:szCs w:val="20"/>
          <w:color w:val="auto"/>
        </w:rPr>
      </w:pPr>
      <w:r>
        <w:rPr>
          <w:rFonts w:ascii="Arial" w:cs="Arial" w:eastAsia="Arial" w:hAnsi="Arial"/>
          <w:sz w:val="13"/>
          <w:szCs w:val="13"/>
          <w:color w:val="auto"/>
        </w:rPr>
        <w:t>The acquired fixed assets are comprised of telecommunication equipment located in Alaska and the western United States. The fixed assets were valued using the income and cost approaches. Cash flows were discounted between 4% and 14% based on the risk associated with the cash flows to determine fair value under the income approach. The fixed assets have useful lives ranging from 2 to 30 years. The intangible assets consist of $34.9 million of customer relationships and $9.5 million of trade name. The intangible assets were valued using an income approach based on data specific to Alaska Communications as well as market participant assumptions where appropriate. The estimated fair value of the customer relationships was determined using the multi-period excess earnings method. The estimated fair value of the trade name was determined using the relief from royalty method. The useful lives of the customer relationships and trade name are five and 15 years, respectively. The acquired receivables consist of trade receivables incurred in the ordinary course of business. The Company expects to collect the full amount of the receivables. Other liabilities includes $81.5 million of deferred revenue from long term customer contracts. The Company adopted ASU 2021-08 in 2021, which requires contract liabilities to be accounted for consistently with how they were recognized and measured in the acquiree’s financial statements. As a result, the acquired deferred revenue was recorded at Alaska Communications’ book value as of the Closing Date.</w:t>
      </w:r>
    </w:p>
    <w:p>
      <w:pPr>
        <w:spacing w:after="0" w:line="138" w:lineRule="exact"/>
        <w:rPr>
          <w:sz w:val="20"/>
          <w:szCs w:val="20"/>
          <w:color w:val="auto"/>
        </w:rPr>
      </w:pPr>
    </w:p>
    <w:p>
      <w:pPr>
        <w:ind w:left="40" w:right="179" w:firstLine="547"/>
        <w:spacing w:after="0" w:line="258" w:lineRule="auto"/>
        <w:rPr>
          <w:sz w:val="20"/>
          <w:szCs w:val="20"/>
          <w:color w:val="auto"/>
        </w:rPr>
      </w:pPr>
      <w:r>
        <w:rPr>
          <w:rFonts w:ascii="Arial" w:cs="Arial" w:eastAsia="Arial" w:hAnsi="Arial"/>
          <w:sz w:val="15"/>
          <w:szCs w:val="15"/>
          <w:color w:val="auto"/>
        </w:rPr>
        <w:t>The Company’s statement of operations for the three months ended June 30, 2022 includes $62.6 million of revenue and $1.5 million of losses before taxes attributable to the Alaska Transaction, excluding transaction fees. The Company’s statement of operations for the six months ended June 30, 2022 includes $120.9 million of revenue and $4.3 million of losses before taxes attributable to the Alaska Transaction, excluding transaction fees. The Company incurred $11.2 million of transaction related charges pertaining to legal, accounting, consulting services, and employee related costs associated with the transaction, of which $0.2 million and $0.8 million were incurred during the three and six months ended June 30, 2022, respectively.</w:t>
      </w:r>
    </w:p>
    <w:p>
      <w:pPr>
        <w:spacing w:after="0" w:line="163" w:lineRule="exact"/>
        <w:rPr>
          <w:sz w:val="20"/>
          <w:szCs w:val="20"/>
          <w:color w:val="auto"/>
        </w:rPr>
      </w:pPr>
    </w:p>
    <w:p>
      <w:pPr>
        <w:ind w:left="40" w:right="279" w:firstLine="547"/>
        <w:spacing w:after="0" w:line="262" w:lineRule="auto"/>
        <w:rPr>
          <w:sz w:val="20"/>
          <w:szCs w:val="20"/>
          <w:color w:val="auto"/>
        </w:rPr>
      </w:pPr>
      <w:r>
        <w:rPr>
          <w:rFonts w:ascii="Arial" w:cs="Arial" w:eastAsia="Arial" w:hAnsi="Arial"/>
          <w:sz w:val="15"/>
          <w:szCs w:val="15"/>
          <w:color w:val="auto"/>
        </w:rPr>
        <w:t>The following table reflects unaudited pro forma operating results of the Company for the three and six months ended June 30, 2021 assuming the transaction occurred on January 1, 2020. The unaudited pro forma amounts adjust Alaska Communications’ results to reflect the depreciation and amortization that would have been recorded assuming the fair value adjustments to fixed assets and intangible assets had been applied from January 1, 2020. Additionally, all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0" w:name="page21"/>
    <w:bookmarkEnd w:id="2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99"/>
        <w:spacing w:after="0" w:line="260" w:lineRule="auto"/>
        <w:rPr>
          <w:sz w:val="20"/>
          <w:szCs w:val="20"/>
          <w:color w:val="auto"/>
        </w:rPr>
      </w:pPr>
      <w:r>
        <w:rPr>
          <w:rFonts w:ascii="Arial" w:cs="Arial" w:eastAsia="Arial" w:hAnsi="Arial"/>
          <w:sz w:val="15"/>
          <w:szCs w:val="15"/>
          <w:color w:val="auto"/>
        </w:rPr>
        <w:t>transaction costs associated with the Alaska Transaction were recorded on January 1, 2020 in the unaudited pro forma results. Lastly, the unaudited pro forma results were adjusted to reflect changes to the acquired entities’ financial structure related to the transaction. Specifically, the pre-closing debt of $164.6 million, and associated interest, was removed and $283.0 million of transaction debt, and associated interest, was included in the unaudited pro forma results. In addition, the pro forma results included the allocation of income and accrual of preferred dividends to the redeemable noncontrolling interest.</w:t>
      </w:r>
    </w:p>
    <w:p>
      <w:pPr>
        <w:spacing w:after="0" w:line="332" w:lineRule="exact"/>
        <w:rPr>
          <w:sz w:val="20"/>
          <w:szCs w:val="20"/>
          <w:color w:val="auto"/>
        </w:rPr>
      </w:pPr>
    </w:p>
    <w:tbl>
      <w:tblPr>
        <w:tblLayout w:type="fixed"/>
        <w:tblInd w:w="116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2"/>
                <w:szCs w:val="12"/>
                <w:b w:val="1"/>
                <w:bCs w:val="1"/>
                <w:color w:val="auto"/>
              </w:rPr>
              <w:t>Three months ended</w:t>
            </w:r>
          </w:p>
        </w:tc>
        <w:tc>
          <w:tcPr>
            <w:tcW w:w="400" w:type="dxa"/>
            <w:vAlign w:val="bottom"/>
          </w:tcPr>
          <w:p>
            <w:pPr>
              <w:spacing w:after="0"/>
              <w:rPr>
                <w:sz w:val="12"/>
                <w:szCs w:val="12"/>
                <w:color w:val="auto"/>
              </w:rPr>
            </w:pPr>
          </w:p>
        </w:tc>
        <w:tc>
          <w:tcPr>
            <w:tcW w:w="198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tcBorders>
              <w:bottom w:val="single" w:sz="8" w:color="auto"/>
            </w:tcBorders>
            <w:gridSpan w:val="3"/>
          </w:tcPr>
          <w:p>
            <w:pPr>
              <w:jc w:val="right"/>
              <w:ind w:right="507"/>
              <w:spacing w:after="0" w:line="117" w:lineRule="exact"/>
              <w:rPr>
                <w:sz w:val="20"/>
                <w:szCs w:val="20"/>
                <w:color w:val="auto"/>
              </w:rPr>
            </w:pPr>
            <w:r>
              <w:rPr>
                <w:rFonts w:ascii="Arial" w:cs="Arial" w:eastAsia="Arial" w:hAnsi="Arial"/>
                <w:sz w:val="12"/>
                <w:szCs w:val="12"/>
                <w:b w:val="1"/>
                <w:bCs w:val="1"/>
                <w:color w:val="auto"/>
              </w:rPr>
              <w:t>June 30, 2021</w:t>
            </w:r>
          </w:p>
        </w:tc>
        <w:tc>
          <w:tcPr>
            <w:tcW w:w="400" w:type="dxa"/>
            <w:vAlign w:val="bottom"/>
          </w:tcPr>
          <w:p>
            <w:pPr>
              <w:spacing w:after="0"/>
              <w:rPr>
                <w:sz w:val="10"/>
                <w:szCs w:val="10"/>
                <w:color w:val="auto"/>
              </w:rPr>
            </w:pPr>
          </w:p>
        </w:tc>
        <w:tc>
          <w:tcPr>
            <w:tcW w:w="1980" w:type="dxa"/>
            <w:vAlign w:val="bottom"/>
            <w:tcBorders>
              <w:bottom w:val="single" w:sz="8" w:color="auto"/>
            </w:tcBorders>
            <w:gridSpan w:val="3"/>
          </w:tcPr>
          <w:p>
            <w:pPr>
              <w:jc w:val="right"/>
              <w:ind w:right="567"/>
              <w:spacing w:after="0" w:line="117" w:lineRule="exact"/>
              <w:rPr>
                <w:sz w:val="20"/>
                <w:szCs w:val="20"/>
                <w:color w:val="auto"/>
              </w:rPr>
            </w:pPr>
            <w:r>
              <w:rPr>
                <w:rFonts w:ascii="Arial" w:cs="Arial" w:eastAsia="Arial" w:hAnsi="Arial"/>
                <w:sz w:val="12"/>
                <w:szCs w:val="12"/>
                <w:b w:val="1"/>
                <w:bCs w:val="1"/>
                <w:color w:val="auto"/>
              </w:rPr>
              <w:t>June 30, 2021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71"/>
              <w:spacing w:after="0"/>
              <w:rPr>
                <w:sz w:val="20"/>
                <w:szCs w:val="20"/>
                <w:color w:val="auto"/>
              </w:rPr>
            </w:pPr>
            <w:r>
              <w:rPr>
                <w:rFonts w:ascii="Arial" w:cs="Arial" w:eastAsia="Arial" w:hAnsi="Arial"/>
                <w:sz w:val="12"/>
                <w:szCs w:val="12"/>
                <w:b w:val="1"/>
                <w:bCs w:val="1"/>
                <w:color w:val="auto"/>
                <w:w w:val="98"/>
              </w:rPr>
              <w:t>As Reported</w:t>
            </w:r>
          </w:p>
        </w:tc>
        <w:tc>
          <w:tcPr>
            <w:tcW w:w="260" w:type="dxa"/>
            <w:vAlign w:val="bottom"/>
          </w:tcPr>
          <w:p>
            <w:pPr>
              <w:spacing w:after="0"/>
              <w:rPr>
                <w:sz w:val="13"/>
                <w:szCs w:val="13"/>
                <w:color w:val="auto"/>
              </w:rPr>
            </w:pPr>
          </w:p>
        </w:tc>
        <w:tc>
          <w:tcPr>
            <w:tcW w:w="720" w:type="dxa"/>
            <w:vAlign w:val="bottom"/>
          </w:tcPr>
          <w:p>
            <w:pPr>
              <w:jc w:val="right"/>
              <w:ind w:right="27"/>
              <w:spacing w:after="0"/>
              <w:rPr>
                <w:sz w:val="20"/>
                <w:szCs w:val="20"/>
                <w:color w:val="auto"/>
              </w:rPr>
            </w:pPr>
            <w:r>
              <w:rPr>
                <w:rFonts w:ascii="Arial" w:cs="Arial" w:eastAsia="Arial" w:hAnsi="Arial"/>
                <w:sz w:val="12"/>
                <w:szCs w:val="12"/>
                <w:b w:val="1"/>
                <w:bCs w:val="1"/>
                <w:color w:val="auto"/>
                <w:w w:val="99"/>
              </w:rPr>
              <w:t>Pro Forma</w:t>
            </w:r>
          </w:p>
        </w:tc>
        <w:tc>
          <w:tcPr>
            <w:tcW w:w="400" w:type="dxa"/>
            <w:vAlign w:val="bottom"/>
          </w:tcPr>
          <w:p>
            <w:pPr>
              <w:spacing w:after="0"/>
              <w:rPr>
                <w:sz w:val="13"/>
                <w:szCs w:val="13"/>
                <w:color w:val="auto"/>
              </w:rPr>
            </w:pPr>
          </w:p>
        </w:tc>
        <w:tc>
          <w:tcPr>
            <w:tcW w:w="920" w:type="dxa"/>
            <w:vAlign w:val="bottom"/>
          </w:tcPr>
          <w:p>
            <w:pPr>
              <w:jc w:val="right"/>
              <w:ind w:right="111"/>
              <w:spacing w:after="0"/>
              <w:rPr>
                <w:sz w:val="20"/>
                <w:szCs w:val="20"/>
                <w:color w:val="auto"/>
              </w:rPr>
            </w:pPr>
            <w:r>
              <w:rPr>
                <w:rFonts w:ascii="Arial" w:cs="Arial" w:eastAsia="Arial" w:hAnsi="Arial"/>
                <w:sz w:val="12"/>
                <w:szCs w:val="12"/>
                <w:b w:val="1"/>
                <w:bCs w:val="1"/>
                <w:color w:val="auto"/>
              </w:rPr>
              <w:t>As Reported</w:t>
            </w:r>
          </w:p>
        </w:tc>
        <w:tc>
          <w:tcPr>
            <w:tcW w:w="320" w:type="dxa"/>
            <w:vAlign w:val="bottom"/>
          </w:tcPr>
          <w:p>
            <w:pPr>
              <w:spacing w:after="0"/>
              <w:rPr>
                <w:sz w:val="13"/>
                <w:szCs w:val="13"/>
                <w:color w:val="auto"/>
              </w:rPr>
            </w:pPr>
          </w:p>
        </w:tc>
        <w:tc>
          <w:tcPr>
            <w:tcW w:w="740" w:type="dxa"/>
            <w:vAlign w:val="bottom"/>
          </w:tcPr>
          <w:p>
            <w:pPr>
              <w:jc w:val="right"/>
              <w:ind w:right="47"/>
              <w:spacing w:after="0"/>
              <w:rPr>
                <w:sz w:val="20"/>
                <w:szCs w:val="20"/>
                <w:color w:val="auto"/>
              </w:rPr>
            </w:pPr>
            <w:r>
              <w:rPr>
                <w:rFonts w:ascii="Arial" w:cs="Arial" w:eastAsia="Arial" w:hAnsi="Arial"/>
                <w:sz w:val="12"/>
                <w:szCs w:val="12"/>
                <w:b w:val="1"/>
                <w:bCs w:val="1"/>
                <w:color w:val="auto"/>
                <w:w w:val="99"/>
              </w:rPr>
              <w:t>Pro Forma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123,865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185,508</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248,375</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370,686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5"/>
                <w:szCs w:val="15"/>
                <w:color w:val="auto"/>
                <w:w w:val="93"/>
              </w:rPr>
              <w:t>Net Income (loss) attributable to ATN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40" w:type="dxa"/>
            <w:vAlign w:val="bottom"/>
            <w:gridSpan w:val="2"/>
          </w:tcPr>
          <w:p>
            <w:pPr>
              <w:spacing w:after="0"/>
              <w:rPr>
                <w:sz w:val="20"/>
                <w:szCs w:val="20"/>
                <w:color w:val="auto"/>
              </w:rPr>
            </w:pPr>
            <w:r>
              <w:rPr>
                <w:rFonts w:ascii="Arial" w:cs="Arial" w:eastAsia="Arial" w:hAnsi="Arial"/>
                <w:sz w:val="15"/>
                <w:szCs w:val="15"/>
                <w:color w:val="auto"/>
              </w:rPr>
              <w:t>International, Inc.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1"/>
              <w:spacing w:after="0"/>
              <w:rPr>
                <w:sz w:val="20"/>
                <w:szCs w:val="20"/>
                <w:color w:val="auto"/>
              </w:rPr>
            </w:pPr>
            <w:r>
              <w:rPr>
                <w:rFonts w:ascii="Arial" w:cs="Arial" w:eastAsia="Arial" w:hAnsi="Arial"/>
                <w:sz w:val="15"/>
                <w:szCs w:val="15"/>
                <w:color w:val="auto"/>
              </w:rPr>
              <w:t>2,019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(209)</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91"/>
              <w:spacing w:after="0"/>
              <w:rPr>
                <w:sz w:val="20"/>
                <w:szCs w:val="20"/>
                <w:color w:val="auto"/>
              </w:rPr>
            </w:pPr>
            <w:r>
              <w:rPr>
                <w:rFonts w:ascii="Arial" w:cs="Arial" w:eastAsia="Arial" w:hAnsi="Arial"/>
                <w:sz w:val="15"/>
                <w:szCs w:val="15"/>
                <w:color w:val="auto"/>
              </w:rPr>
              <w:t>4,723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Earnings (loss) Per 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0.13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(0.09)</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0.30</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tcPr>
          <w:p>
            <w:pPr>
              <w:ind w:left="240"/>
              <w:spacing w:after="0"/>
              <w:rPr>
                <w:sz w:val="20"/>
                <w:szCs w:val="20"/>
                <w:color w:val="auto"/>
              </w:rPr>
            </w:pPr>
            <w:r>
              <w:rPr>
                <w:rFonts w:ascii="Arial" w:cs="Arial" w:eastAsia="Arial" w:hAnsi="Arial"/>
                <w:sz w:val="15"/>
                <w:szCs w:val="15"/>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1"/>
              <w:spacing w:after="0"/>
              <w:rPr>
                <w:sz w:val="20"/>
                <w:szCs w:val="20"/>
                <w:color w:val="auto"/>
              </w:rPr>
            </w:pPr>
            <w:r>
              <w:rPr>
                <w:rFonts w:ascii="Arial" w:cs="Arial" w:eastAsia="Arial" w:hAnsi="Arial"/>
                <w:sz w:val="15"/>
                <w:szCs w:val="15"/>
                <w:color w:val="auto"/>
              </w:rPr>
              <w:t>0.13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(0.09)</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91"/>
              <w:spacing w:after="0"/>
              <w:rPr>
                <w:sz w:val="20"/>
                <w:szCs w:val="20"/>
                <w:color w:val="auto"/>
              </w:rPr>
            </w:pPr>
            <w:r>
              <w:rPr>
                <w:rFonts w:ascii="Arial" w:cs="Arial" w:eastAsia="Arial" w:hAnsi="Arial"/>
                <w:sz w:val="15"/>
                <w:szCs w:val="15"/>
                <w:color w:val="auto"/>
              </w:rPr>
              <w:t>0.30</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0" w:right="119" w:firstLine="547"/>
        <w:spacing w:after="0" w:line="294" w:lineRule="auto"/>
        <w:rPr>
          <w:sz w:val="20"/>
          <w:szCs w:val="20"/>
          <w:color w:val="auto"/>
        </w:rPr>
      </w:pPr>
      <w:r>
        <w:rPr>
          <w:rFonts w:ascii="Arial" w:cs="Arial" w:eastAsia="Arial" w:hAnsi="Arial"/>
          <w:sz w:val="14"/>
          <w:szCs w:val="14"/>
          <w:color w:val="auto"/>
        </w:rPr>
        <w:t>The unaudited pro forma adjustments decreased net income attributable to ATN International, Inc. Stockholders by $2.2 million and $4.4 million for the three and six months ended June 30, 2021, respectively. The decrease was due to an increase from the net income of the Alaska Communications operations excluding transaction costs offset by increased acquisition related depreciation and amortization expenses.</w:t>
      </w:r>
    </w:p>
    <w:p>
      <w:pPr>
        <w:spacing w:after="0" w:line="137" w:lineRule="exact"/>
        <w:rPr>
          <w:sz w:val="20"/>
          <w:szCs w:val="20"/>
          <w:color w:val="auto"/>
        </w:rPr>
      </w:pPr>
    </w:p>
    <w:p>
      <w:pPr>
        <w:ind w:left="40" w:right="219" w:firstLine="547"/>
        <w:spacing w:after="0" w:line="266" w:lineRule="auto"/>
        <w:rPr>
          <w:sz w:val="20"/>
          <w:szCs w:val="20"/>
          <w:color w:val="auto"/>
        </w:rPr>
      </w:pPr>
      <w:r>
        <w:rPr>
          <w:rFonts w:ascii="Arial" w:cs="Arial" w:eastAsia="Arial" w:hAnsi="Arial"/>
          <w:sz w:val="15"/>
          <w:szCs w:val="15"/>
          <w:color w:val="auto"/>
        </w:rPr>
        <w:t>The unaudited pro forma data is presented for illustrative purposes only and is not necessarily indicative of the operating results that would have occurred if the acquisitions had been consummated on these dates or of future operating results of the combined company following this transaction.</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Renewable Energy</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Disposition of International Solar Business</w:t>
      </w:r>
    </w:p>
    <w:p>
      <w:pPr>
        <w:spacing w:after="0" w:line="192" w:lineRule="exact"/>
        <w:rPr>
          <w:sz w:val="20"/>
          <w:szCs w:val="20"/>
          <w:color w:val="auto"/>
        </w:rPr>
      </w:pPr>
    </w:p>
    <w:p>
      <w:pPr>
        <w:ind w:left="40" w:right="179" w:firstLine="519"/>
        <w:spacing w:after="0" w:line="280" w:lineRule="auto"/>
        <w:rPr>
          <w:sz w:val="20"/>
          <w:szCs w:val="20"/>
          <w:color w:val="auto"/>
        </w:rPr>
      </w:pPr>
      <w:r>
        <w:rPr>
          <w:rFonts w:ascii="Arial" w:cs="Arial" w:eastAsia="Arial" w:hAnsi="Arial"/>
          <w:sz w:val="14"/>
          <w:szCs w:val="14"/>
          <w:color w:val="auto"/>
        </w:rPr>
        <w:t>In January 2021, the Company completed the sale of 67% of the outstanding equity in its business that owns and operates distributed generation solar power projects operated under the Vibrant name in India (the “Vibrant Transaction”). The post-sale results of the Company’s ownership interest in Vibrant are recorded through the equity method of accounting within the Corporate and Other operating segment. As such, the Company’s consolidated financial statements do not include revenue and operating expenses from Vibrant, but instead, “other income (expense)” within the Corporate and Other operating segment includes the Company’s share of Vibrant’s profits or losses. The Company will continue to present the historical results of its Renewable Energy segment for comparative purposes.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1" w:name="page22"/>
    <w:bookmarkEnd w:id="2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4840" w:type="dxa"/>
            <w:vAlign w:val="bottom"/>
            <w:gridSpan w:val="2"/>
          </w:tcPr>
          <w:p>
            <w:pPr>
              <w:spacing w:after="0"/>
              <w:rPr>
                <w:sz w:val="20"/>
                <w:szCs w:val="20"/>
                <w:color w:val="auto"/>
              </w:rPr>
            </w:pPr>
            <w:r>
              <w:rPr>
                <w:rFonts w:ascii="Arial" w:cs="Arial" w:eastAsia="Arial" w:hAnsi="Arial"/>
                <w:sz w:val="15"/>
                <w:szCs w:val="15"/>
                <w:color w:val="auto"/>
                <w:w w:val="94"/>
              </w:rPr>
              <w:t>The table below identifies the assets and liabilities transferred (in thousands):</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Consideration Received</w:t>
            </w:r>
          </w:p>
        </w:tc>
        <w:tc>
          <w:tcPr>
            <w:tcW w:w="520" w:type="dxa"/>
            <w:vAlign w:val="bottom"/>
            <w:gridSpan w:val="2"/>
            <w:shd w:val="clear" w:color="auto" w:fill="CCEEFF"/>
          </w:tcPr>
          <w:p>
            <w:pPr>
              <w:jc w:val="right"/>
              <w:ind w:right="2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35,218</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b w:val="1"/>
                <w:bCs w:val="1"/>
                <w:color w:val="auto"/>
              </w:rPr>
              <w:t>Assets and liabilities disposed</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4,899</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5"/>
                <w:szCs w:val="15"/>
                <w:color w:val="auto"/>
              </w:rPr>
              <w:t>Property, plant and equipment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45,891</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1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Net assets disposed</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50,470</w:t>
            </w:r>
          </w:p>
        </w:tc>
        <w:tc>
          <w:tcPr>
            <w:tcW w:w="0" w:type="dxa"/>
            <w:vAlign w:val="bottom"/>
          </w:tcPr>
          <w:p>
            <w:pPr>
              <w:spacing w:after="0"/>
              <w:rPr>
                <w:sz w:val="1"/>
                <w:szCs w:val="1"/>
                <w:color w:val="auto"/>
              </w:rPr>
            </w:pPr>
          </w:p>
        </w:tc>
      </w:tr>
      <w:tr>
        <w:trPr>
          <w:trHeight w:val="174"/>
        </w:trPr>
        <w:tc>
          <w:tcPr>
            <w:tcW w:w="17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Consideration less net assets disposed</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(15,252)</w:t>
            </w:r>
          </w:p>
        </w:tc>
        <w:tc>
          <w:tcPr>
            <w:tcW w:w="0" w:type="dxa"/>
            <w:vAlign w:val="bottom"/>
          </w:tcPr>
          <w:p>
            <w:pPr>
              <w:spacing w:after="0"/>
              <w:rPr>
                <w:sz w:val="1"/>
                <w:szCs w:val="1"/>
                <w:color w:val="auto"/>
              </w:rPr>
            </w:pPr>
          </w:p>
        </w:tc>
      </w:tr>
      <w:tr>
        <w:trPr>
          <w:trHeight w:val="174"/>
        </w:trPr>
        <w:tc>
          <w:tcPr>
            <w:tcW w:w="17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20" w:type="dxa"/>
            <w:vAlign w:val="bottom"/>
            <w:vMerge w:val="continue"/>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losses reclassified from</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(6,258)</w:t>
            </w: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5"/>
                <w:szCs w:val="15"/>
                <w:color w:val="auto"/>
              </w:rPr>
              <w:t>Loss on sale</w:t>
            </w:r>
          </w:p>
        </w:tc>
        <w:tc>
          <w:tcPr>
            <w:tcW w:w="1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(21,510)</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12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color w:val="auto"/>
              </w:rPr>
              <w:t>Transaction costs</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Loss on sale including transaction costs</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(22,793)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right="79" w:firstLine="547"/>
        <w:spacing w:after="0" w:line="295" w:lineRule="auto"/>
        <w:rPr>
          <w:sz w:val="20"/>
          <w:szCs w:val="20"/>
          <w:color w:val="auto"/>
        </w:rPr>
      </w:pPr>
      <w:r>
        <w:rPr>
          <w:rFonts w:ascii="Arial" w:cs="Arial" w:eastAsia="Arial" w:hAnsi="Arial"/>
          <w:sz w:val="13"/>
          <w:szCs w:val="13"/>
          <w:color w:val="auto"/>
        </w:rPr>
        <w:t>The Company reported a loss on sale of $21.5 million during the year ended December 31, 2020 due to the Vibrant Transaction. The Company recorded transaction costs of $1.3 million on the Vibrant Transaction, of which $0.7 million was recorded during the year ended December 31, 2020 and $0.6 million was recorded during the year ended December 31, 2021. The consideration received includes $19.5 million of cash and $3.9 million of receivables related to the amounts held in escrow and earn out consideration. The Company has recorded $11.8 million pursuant to an equity method investment with respect to its remaining 33% ownership interest in Vibrant. The Company is assessing earn out and escrow amounts which will be finalized in 2023. During the year ended December 31, 2021, the Company recorded additional losses of</w:t>
      </w:r>
    </w:p>
    <w:p>
      <w:pPr>
        <w:ind w:left="40" w:right="119"/>
        <w:spacing w:after="0" w:line="260" w:lineRule="auto"/>
        <w:rPr>
          <w:sz w:val="20"/>
          <w:szCs w:val="20"/>
          <w:color w:val="auto"/>
        </w:rPr>
      </w:pPr>
      <w:r>
        <w:rPr>
          <w:rFonts w:ascii="Arial" w:cs="Arial" w:eastAsia="Arial" w:hAnsi="Arial"/>
          <w:sz w:val="15"/>
          <w:szCs w:val="15"/>
          <w:color w:val="auto"/>
        </w:rPr>
        <w:t>$1.6 million related to the ongoing working capital, escrow, and contingent consideration assessment. During the three months ended June 30, 2022, the Company received $1.8 million of amounts previously held in escrow. The Company has 24 months after the close of the transaction to satisfy the conditions necessary to receive the earn-out consideration.</w:t>
      </w:r>
    </w:p>
    <w:p>
      <w:pPr>
        <w:spacing w:after="0" w:line="159" w:lineRule="exact"/>
        <w:rPr>
          <w:sz w:val="20"/>
          <w:szCs w:val="20"/>
          <w:color w:val="auto"/>
        </w:rPr>
      </w:pPr>
    </w:p>
    <w:p>
      <w:pPr>
        <w:ind w:left="40" w:right="259" w:firstLine="547"/>
        <w:spacing w:after="0" w:line="266" w:lineRule="auto"/>
        <w:rPr>
          <w:sz w:val="20"/>
          <w:szCs w:val="20"/>
          <w:color w:val="auto"/>
        </w:rPr>
      </w:pPr>
      <w:r>
        <w:rPr>
          <w:rFonts w:ascii="Arial" w:cs="Arial" w:eastAsia="Arial" w:hAnsi="Arial"/>
          <w:sz w:val="15"/>
          <w:szCs w:val="15"/>
          <w:color w:val="auto"/>
        </w:rPr>
        <w:t>The Vibrant Transaction does not qualify as discontinued operations because the disposition was not a strategic shift which will have a major effect on the Company’s operations, and as a result, the historical results and financial position of the operations are presented within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2" w:name="page23"/>
    <w:bookmarkEnd w:id="2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7. FAIR VALUE MEASUREMENTS AND INVESTMENTS</w:t>
      </w:r>
    </w:p>
    <w:p>
      <w:pPr>
        <w:spacing w:after="0" w:line="196" w:lineRule="exact"/>
        <w:rPr>
          <w:sz w:val="20"/>
          <w:szCs w:val="20"/>
          <w:color w:val="auto"/>
        </w:rPr>
      </w:pPr>
    </w:p>
    <w:p>
      <w:pPr>
        <w:ind w:left="40" w:right="99" w:firstLine="547"/>
        <w:spacing w:after="0" w:line="266" w:lineRule="auto"/>
        <w:rPr>
          <w:sz w:val="20"/>
          <w:szCs w:val="20"/>
          <w:color w:val="auto"/>
        </w:rPr>
      </w:pPr>
      <w:r>
        <w:rPr>
          <w:rFonts w:ascii="Arial" w:cs="Arial" w:eastAsia="Arial" w:hAnsi="Arial"/>
          <w:sz w:val="15"/>
          <w:szCs w:val="15"/>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56" w:lineRule="exact"/>
        <w:rPr>
          <w:sz w:val="20"/>
          <w:szCs w:val="20"/>
          <w:color w:val="auto"/>
        </w:rPr>
      </w:pPr>
    </w:p>
    <w:p>
      <w:pPr>
        <w:ind w:left="40" w:right="99" w:firstLine="547"/>
        <w:spacing w:after="0" w:line="266" w:lineRule="auto"/>
        <w:rPr>
          <w:sz w:val="20"/>
          <w:szCs w:val="20"/>
          <w:color w:val="auto"/>
        </w:rPr>
      </w:pPr>
      <w:r>
        <w:rPr>
          <w:rFonts w:ascii="Arial" w:cs="Arial" w:eastAsia="Arial" w:hAnsi="Arial"/>
          <w:sz w:val="15"/>
          <w:szCs w:val="15"/>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67" w:lineRule="exact"/>
        <w:rPr>
          <w:sz w:val="20"/>
          <w:szCs w:val="20"/>
          <w:color w:val="auto"/>
        </w:rPr>
      </w:pPr>
    </w:p>
    <w:p>
      <w:pPr>
        <w:ind w:left="1780" w:right="1719" w:hanging="648"/>
        <w:spacing w:after="0" w:line="260" w:lineRule="auto"/>
        <w:tabs>
          <w:tab w:leader="none" w:pos="1760" w:val="left"/>
        </w:tabs>
        <w:rPr>
          <w:sz w:val="20"/>
          <w:szCs w:val="20"/>
          <w:color w:val="auto"/>
        </w:rPr>
      </w:pPr>
      <w:r>
        <w:rPr>
          <w:rFonts w:ascii="Arial" w:cs="Arial" w:eastAsia="Arial" w:hAnsi="Arial"/>
          <w:sz w:val="15"/>
          <w:szCs w:val="15"/>
          <w:color w:val="auto"/>
        </w:rPr>
        <w:t>Level 1</w:t>
        <w:tab/>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342" w:lineRule="exact"/>
        <w:rPr>
          <w:sz w:val="20"/>
          <w:szCs w:val="20"/>
          <w:color w:val="auto"/>
        </w:rPr>
      </w:pPr>
    </w:p>
    <w:p>
      <w:pPr>
        <w:ind w:left="1780" w:right="1639" w:hanging="648"/>
        <w:spacing w:after="0" w:line="302" w:lineRule="auto"/>
        <w:tabs>
          <w:tab w:leader="none" w:pos="176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3"/>
          <w:szCs w:val="13"/>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318" w:lineRule="exact"/>
        <w:rPr>
          <w:sz w:val="20"/>
          <w:szCs w:val="20"/>
          <w:color w:val="auto"/>
        </w:rPr>
      </w:pPr>
    </w:p>
    <w:p>
      <w:pPr>
        <w:ind w:left="1780" w:right="1619" w:hanging="648"/>
        <w:spacing w:after="0" w:line="258" w:lineRule="auto"/>
        <w:tabs>
          <w:tab w:leader="none" w:pos="1760" w:val="left"/>
        </w:tabs>
        <w:rPr>
          <w:sz w:val="20"/>
          <w:szCs w:val="20"/>
          <w:color w:val="auto"/>
        </w:rPr>
      </w:pPr>
      <w:r>
        <w:rPr>
          <w:rFonts w:ascii="Arial" w:cs="Arial" w:eastAsia="Arial" w:hAnsi="Arial"/>
          <w:sz w:val="15"/>
          <w:szCs w:val="15"/>
          <w:color w:val="auto"/>
        </w:rPr>
        <w:t>Level 3</w:t>
        <w:tab/>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3" w:name="page24"/>
    <w:bookmarkEnd w:id="2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619" w:firstLine="547"/>
        <w:spacing w:after="0" w:line="279" w:lineRule="auto"/>
        <w:rPr>
          <w:sz w:val="20"/>
          <w:szCs w:val="20"/>
          <w:color w:val="auto"/>
        </w:rPr>
      </w:pPr>
      <w:r>
        <w:rPr>
          <w:rFonts w:ascii="Arial" w:cs="Arial" w:eastAsia="Arial" w:hAnsi="Arial"/>
          <w:sz w:val="15"/>
          <w:szCs w:val="15"/>
          <w:color w:val="auto"/>
        </w:rPr>
        <w:t>Assets and liabilities of the Company measured at fair value on a recurring basis as of June 30, 2022 and December 31, 2021 are summarized as follows (in thousands):</w:t>
      </w:r>
    </w:p>
    <w:p>
      <w:pPr>
        <w:sectPr>
          <w:pgSz w:w="11900" w:h="16838" w:orient="portrait"/>
          <w:cols w:equalWidth="0" w:num="1">
            <w:col w:w="9019"/>
          </w:cols>
          <w:pgMar w:left="14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Money market funds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Short term investments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investments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Alaska Communications redeemable common units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Warrants on Alaska Communications redeemable common units</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Total assets and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Money market funds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Short term investments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investments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Alaska Communications redeemable common units</w:t>
      </w:r>
    </w:p>
    <w:p>
      <w:pPr>
        <w:spacing w:after="0" w:line="10" w:lineRule="exact"/>
        <w:rPr>
          <w:sz w:val="20"/>
          <w:szCs w:val="20"/>
          <w:color w:val="auto"/>
        </w:rPr>
      </w:pPr>
    </w:p>
    <w:p>
      <w:pPr>
        <w:ind w:left="220"/>
        <w:spacing w:after="0" w:line="260" w:lineRule="auto"/>
        <w:rPr>
          <w:sz w:val="20"/>
          <w:szCs w:val="20"/>
          <w:color w:val="auto"/>
        </w:rPr>
      </w:pPr>
      <w:r>
        <w:rPr>
          <w:rFonts w:ascii="Arial" w:cs="Arial" w:eastAsia="Arial" w:hAnsi="Arial"/>
          <w:sz w:val="15"/>
          <w:szCs w:val="15"/>
          <w:color w:val="auto"/>
        </w:rPr>
        <w:t>Warrants on Alaska Communications redeemable common units Interest rate swap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Total assets and liabilities measured at fair value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2"/>
          <w:szCs w:val="12"/>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284289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2895" cy="698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Quoted Prices in</w:t>
            </w:r>
          </w:p>
        </w:tc>
        <w:tc>
          <w:tcPr>
            <w:tcW w:w="180" w:type="dxa"/>
            <w:vAlign w:val="bottom"/>
          </w:tcPr>
          <w:p>
            <w:pPr>
              <w:spacing w:after="0"/>
              <w:rPr>
                <w:sz w:val="12"/>
                <w:szCs w:val="12"/>
                <w:color w:val="auto"/>
              </w:rPr>
            </w:pPr>
          </w:p>
        </w:tc>
        <w:tc>
          <w:tcPr>
            <w:tcW w:w="2340" w:type="dxa"/>
            <w:vAlign w:val="bottom"/>
            <w:gridSpan w:val="5"/>
          </w:tcPr>
          <w:p>
            <w:pPr>
              <w:jc w:val="center"/>
              <w:ind w:right="520"/>
              <w:spacing w:after="0"/>
              <w:rPr>
                <w:sz w:val="20"/>
                <w:szCs w:val="20"/>
                <w:color w:val="auto"/>
              </w:rPr>
            </w:pPr>
            <w:r>
              <w:rPr>
                <w:rFonts w:ascii="Arial" w:cs="Arial" w:eastAsia="Arial" w:hAnsi="Arial"/>
                <w:sz w:val="12"/>
                <w:szCs w:val="12"/>
                <w:b w:val="1"/>
                <w:bCs w:val="1"/>
                <w:color w:val="auto"/>
                <w:w w:val="93"/>
              </w:rPr>
              <w:t>Significant Other</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auto"/>
                <w:w w:val="91"/>
              </w:rPr>
              <w:t>Observable</w:t>
            </w: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88"/>
              </w:rPr>
              <w:t>Unobservable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2"/>
              </w:rPr>
              <w:t>Active Markets</w:t>
            </w:r>
          </w:p>
        </w:tc>
        <w:tc>
          <w:tcPr>
            <w:tcW w:w="180" w:type="dxa"/>
            <w:vAlign w:val="bottom"/>
          </w:tcPr>
          <w:p>
            <w:pPr>
              <w:spacing w:after="0"/>
              <w:rPr>
                <w:sz w:val="10"/>
                <w:szCs w:val="10"/>
                <w:color w:val="auto"/>
              </w:rPr>
            </w:pPr>
          </w:p>
        </w:tc>
        <w:tc>
          <w:tcPr>
            <w:tcW w:w="108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auto"/>
                <w:w w:val="88"/>
              </w:rPr>
              <w:t>Inputs</w:t>
            </w: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Inputs</w:t>
            </w:r>
          </w:p>
        </w:tc>
        <w:tc>
          <w:tcPr>
            <w:tcW w:w="180" w:type="dxa"/>
            <w:vAlign w:val="bottom"/>
          </w:tcPr>
          <w:p>
            <w:pPr>
              <w:spacing w:after="0"/>
              <w:rPr>
                <w:sz w:val="10"/>
                <w:szCs w:val="10"/>
                <w:color w:val="auto"/>
              </w:rPr>
            </w:pPr>
          </w:p>
        </w:tc>
        <w:tc>
          <w:tcPr>
            <w:tcW w:w="62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1)</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(Level 2)</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(Level 3)</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2,822</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4"/>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4"/>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2,822</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(22,640)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(22,640)</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(559)</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174"/>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3,122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(21,238)</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(18,116)</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2"/>
                <w:szCs w:val="12"/>
                <w:b w:val="1"/>
                <w:bCs w:val="1"/>
                <w:color w:val="auto"/>
                <w:w w:val="90"/>
              </w:rPr>
              <w:t>December 31, 2021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Quoted Prices in</w:t>
            </w:r>
          </w:p>
        </w:tc>
        <w:tc>
          <w:tcPr>
            <w:tcW w:w="180" w:type="dxa"/>
            <w:vAlign w:val="bottom"/>
          </w:tcPr>
          <w:p>
            <w:pPr>
              <w:spacing w:after="0"/>
              <w:rPr>
                <w:sz w:val="8"/>
                <w:szCs w:val="8"/>
                <w:color w:val="auto"/>
              </w:rPr>
            </w:pPr>
          </w:p>
        </w:tc>
        <w:tc>
          <w:tcPr>
            <w:tcW w:w="2340" w:type="dxa"/>
            <w:vAlign w:val="bottom"/>
            <w:gridSpan w:val="5"/>
          </w:tcPr>
          <w:p>
            <w:pPr>
              <w:jc w:val="center"/>
              <w:ind w:right="520"/>
              <w:spacing w:after="0" w:line="97" w:lineRule="exact"/>
              <w:rPr>
                <w:sz w:val="20"/>
                <w:szCs w:val="20"/>
                <w:color w:val="auto"/>
              </w:rPr>
            </w:pPr>
            <w:r>
              <w:rPr>
                <w:rFonts w:ascii="Arial" w:cs="Arial" w:eastAsia="Arial" w:hAnsi="Arial"/>
                <w:sz w:val="11"/>
                <w:szCs w:val="11"/>
                <w:b w:val="1"/>
                <w:bCs w:val="1"/>
                <w:color w:val="auto"/>
              </w:rPr>
              <w:t>Significant Other</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auto"/>
                <w:w w:val="91"/>
              </w:rPr>
              <w:t>Observable</w:t>
            </w: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88"/>
              </w:rPr>
              <w:t>Unobservable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0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2"/>
              </w:rPr>
              <w:t>Active Markets</w:t>
            </w:r>
          </w:p>
        </w:tc>
        <w:tc>
          <w:tcPr>
            <w:tcW w:w="180" w:type="dxa"/>
            <w:vAlign w:val="bottom"/>
          </w:tcPr>
          <w:p>
            <w:pPr>
              <w:spacing w:after="0"/>
              <w:rPr>
                <w:sz w:val="10"/>
                <w:szCs w:val="10"/>
                <w:color w:val="auto"/>
              </w:rPr>
            </w:pPr>
          </w:p>
        </w:tc>
        <w:tc>
          <w:tcPr>
            <w:tcW w:w="1080" w:type="dxa"/>
            <w:vAlign w:val="bottom"/>
            <w:gridSpan w:val="2"/>
          </w:tcPr>
          <w:p>
            <w:pPr>
              <w:jc w:val="center"/>
              <w:ind w:right="320"/>
              <w:spacing w:after="0" w:line="125" w:lineRule="exact"/>
              <w:rPr>
                <w:sz w:val="20"/>
                <w:szCs w:val="20"/>
                <w:color w:val="auto"/>
              </w:rPr>
            </w:pPr>
            <w:r>
              <w:rPr>
                <w:rFonts w:ascii="Arial" w:cs="Arial" w:eastAsia="Arial" w:hAnsi="Arial"/>
                <w:sz w:val="12"/>
                <w:szCs w:val="12"/>
                <w:b w:val="1"/>
                <w:bCs w:val="1"/>
                <w:color w:val="auto"/>
                <w:w w:val="88"/>
              </w:rPr>
              <w:t>Inputs</w:t>
            </w: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Inputs</w:t>
            </w:r>
          </w:p>
        </w:tc>
        <w:tc>
          <w:tcPr>
            <w:tcW w:w="180" w:type="dxa"/>
            <w:vAlign w:val="bottom"/>
          </w:tcPr>
          <w:p>
            <w:pPr>
              <w:spacing w:after="0"/>
              <w:rPr>
                <w:sz w:val="10"/>
                <w:szCs w:val="10"/>
                <w:color w:val="auto"/>
              </w:rPr>
            </w:pPr>
          </w:p>
        </w:tc>
        <w:tc>
          <w:tcPr>
            <w:tcW w:w="62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1)</w:t>
            </w:r>
          </w:p>
        </w:tc>
        <w:tc>
          <w:tcPr>
            <w:tcW w:w="1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(Level 2)</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(Level 3)</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3,301</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4"/>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4"/>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3,301</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1,925</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(22,640)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(22,640)</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(559)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(559)</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(894)</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(894)</w:t>
            </w:r>
          </w:p>
        </w:tc>
        <w:tc>
          <w:tcPr>
            <w:tcW w:w="0" w:type="dxa"/>
            <w:vAlign w:val="bottom"/>
          </w:tcPr>
          <w:p>
            <w:pPr>
              <w:spacing w:after="0"/>
              <w:rPr>
                <w:sz w:val="1"/>
                <w:szCs w:val="1"/>
                <w:color w:val="auto"/>
              </w:rPr>
            </w:pPr>
          </w:p>
        </w:tc>
      </w:tr>
      <w:tr>
        <w:trPr>
          <w:trHeight w:val="174"/>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3,601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(894)</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(21,274)</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(18,567)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-2823210</wp:posOffset>
            </wp:positionH>
            <wp:positionV relativeFrom="paragraph">
              <wp:posOffset>-1865630</wp:posOffset>
            </wp:positionV>
            <wp:extent cx="5671185" cy="115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1185" cy="11557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-1633855</wp:posOffset>
            </wp:positionV>
            <wp:extent cx="5671185" cy="115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1185" cy="11557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-2104390</wp:posOffset>
            </wp:positionV>
            <wp:extent cx="5671185" cy="123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1185" cy="1231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-607060</wp:posOffset>
            </wp:positionV>
            <wp:extent cx="5671185" cy="115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1185" cy="11557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-375285</wp:posOffset>
            </wp:positionV>
            <wp:extent cx="5671185" cy="11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1185" cy="11557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-144145</wp:posOffset>
            </wp:positionV>
            <wp:extent cx="5671185" cy="130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1185" cy="13017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-845820</wp:posOffset>
            </wp:positionV>
            <wp:extent cx="5671185" cy="123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1185" cy="12319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120" w:space="360"/>
            <w:col w:w="4539"/>
          </w:cols>
          <w:pgMar w:left="1440" w:top="459" w:right="1440" w:bottom="1440" w:gutter="0" w:footer="0" w:header="0"/>
          <w:type w:val="continuous"/>
        </w:sectPr>
      </w:pPr>
    </w:p>
    <w:p>
      <w:pPr>
        <w:ind w:left="40" w:right="319" w:firstLine="547"/>
        <w:spacing w:after="0" w:line="279" w:lineRule="auto"/>
        <w:rPr>
          <w:sz w:val="20"/>
          <w:szCs w:val="20"/>
          <w:color w:val="auto"/>
        </w:rPr>
      </w:pPr>
      <w:r>
        <w:rPr>
          <w:rFonts w:ascii="Arial" w:cs="Arial" w:eastAsia="Arial" w:hAnsi="Arial"/>
          <w:sz w:val="15"/>
          <w:szCs w:val="15"/>
          <w:color w:val="auto"/>
        </w:rPr>
        <w:t>During the six months ended June 30, 2022, the fair value of the remaining Level 3 investments increased $0.1 million due to income recognized in the other income line of the Company’s statement of operations.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Certificate of Deposit</w:t>
      </w:r>
    </w:p>
    <w:p>
      <w:pPr>
        <w:spacing w:after="0" w:line="192" w:lineRule="exact"/>
        <w:rPr>
          <w:sz w:val="20"/>
          <w:szCs w:val="20"/>
          <w:color w:val="auto"/>
        </w:rPr>
      </w:pPr>
    </w:p>
    <w:p>
      <w:pPr>
        <w:ind w:left="40" w:right="459" w:firstLine="547"/>
        <w:spacing w:after="0" w:line="359" w:lineRule="auto"/>
        <w:rPr>
          <w:sz w:val="20"/>
          <w:szCs w:val="20"/>
          <w:color w:val="auto"/>
        </w:rPr>
      </w:pPr>
      <w:r>
        <w:rPr>
          <w:rFonts w:ascii="Arial" w:cs="Arial" w:eastAsia="Arial" w:hAnsi="Arial"/>
          <w:sz w:val="13"/>
          <w:szCs w:val="13"/>
          <w:color w:val="auto"/>
        </w:rPr>
        <w:t>As of June 30, 2022 and December 31, 2021 this asset class consisted of a time deposit at a financial institution denominated in US dollars. The asset class is classified within Level 2 of the fair value hierarchy because the fair value was based on observable market data.</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Money Market Funds</w:t>
      </w:r>
    </w:p>
    <w:p>
      <w:pPr>
        <w:spacing w:after="0" w:line="192" w:lineRule="exact"/>
        <w:rPr>
          <w:sz w:val="20"/>
          <w:szCs w:val="20"/>
          <w:color w:val="auto"/>
        </w:rPr>
      </w:pPr>
    </w:p>
    <w:p>
      <w:pPr>
        <w:jc w:val="both"/>
        <w:ind w:left="40" w:right="239" w:firstLine="547"/>
        <w:spacing w:after="0" w:line="266" w:lineRule="auto"/>
        <w:rPr>
          <w:sz w:val="20"/>
          <w:szCs w:val="20"/>
          <w:color w:val="auto"/>
        </w:rPr>
      </w:pPr>
      <w:r>
        <w:rPr>
          <w:rFonts w:ascii="Arial" w:cs="Arial" w:eastAsia="Arial" w:hAnsi="Arial"/>
          <w:sz w:val="15"/>
          <w:szCs w:val="15"/>
          <w:color w:val="auto"/>
        </w:rPr>
        <w:t>As of June 30, 2022 and December 31, 2021,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24" w:name="page25"/>
    <w:bookmarkEnd w:id="2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Other Investments</w:t>
      </w:r>
    </w:p>
    <w:p>
      <w:pPr>
        <w:spacing w:after="0" w:line="192" w:lineRule="exact"/>
        <w:rPr>
          <w:sz w:val="20"/>
          <w:szCs w:val="20"/>
          <w:color w:val="auto"/>
        </w:rPr>
      </w:pPr>
    </w:p>
    <w:p>
      <w:pPr>
        <w:ind w:left="40" w:right="259" w:firstLine="547"/>
        <w:spacing w:after="0" w:line="258" w:lineRule="auto"/>
        <w:rPr>
          <w:sz w:val="20"/>
          <w:szCs w:val="20"/>
          <w:color w:val="auto"/>
        </w:rPr>
      </w:pPr>
      <w:r>
        <w:rPr>
          <w:rFonts w:ascii="Arial" w:cs="Arial" w:eastAsia="Arial" w:hAnsi="Arial"/>
          <w:sz w:val="15"/>
          <w:szCs w:val="15"/>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In the first quarter of 2021, the Company began to account for its former India solar operations under the equity method of accounting.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200" w:lineRule="exact"/>
        <w:rPr>
          <w:sz w:val="20"/>
          <w:szCs w:val="20"/>
          <w:color w:val="auto"/>
        </w:rPr>
      </w:pPr>
    </w:p>
    <w:p>
      <w:pPr>
        <w:spacing w:after="0" w:line="215"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Investments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w w:val="94"/>
              </w:rPr>
              <w:t>without a</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2"/>
              </w:rPr>
              <w:t>readily</w:t>
            </w:r>
          </w:p>
        </w:tc>
        <w:tc>
          <w:tcPr>
            <w:tcW w:w="10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560" w:type="dxa"/>
            <w:vAlign w:val="bottom"/>
          </w:tcPr>
          <w:p>
            <w:pPr>
              <w:spacing w:after="0"/>
              <w:rPr>
                <w:sz w:val="10"/>
                <w:szCs w:val="10"/>
                <w:color w:val="auto"/>
              </w:rPr>
            </w:pPr>
          </w:p>
        </w:tc>
        <w:tc>
          <w:tcPr>
            <w:tcW w:w="900" w:type="dxa"/>
            <w:vAlign w:val="bottom"/>
            <w:gridSpan w:val="3"/>
          </w:tcPr>
          <w:p>
            <w:pPr>
              <w:jc w:val="center"/>
              <w:ind w:right="80"/>
              <w:spacing w:after="0" w:line="125" w:lineRule="exact"/>
              <w:rPr>
                <w:sz w:val="20"/>
                <w:szCs w:val="20"/>
                <w:color w:val="auto"/>
              </w:rPr>
            </w:pPr>
            <w:r>
              <w:rPr>
                <w:rFonts w:ascii="Arial" w:cs="Arial" w:eastAsia="Arial" w:hAnsi="Arial"/>
                <w:sz w:val="12"/>
                <w:szCs w:val="12"/>
                <w:b w:val="1"/>
                <w:bCs w:val="1"/>
                <w:color w:val="auto"/>
                <w:w w:val="93"/>
              </w:rPr>
              <w:t>determinable</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4"/>
        </w:trPr>
        <w:tc>
          <w:tcPr>
            <w:tcW w:w="35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0"/>
              <w:spacing w:after="0" w:line="134" w:lineRule="exact"/>
              <w:rPr>
                <w:sz w:val="20"/>
                <w:szCs w:val="20"/>
                <w:color w:val="auto"/>
              </w:rPr>
            </w:pPr>
            <w:r>
              <w:rPr>
                <w:rFonts w:ascii="Arial" w:cs="Arial" w:eastAsia="Arial" w:hAnsi="Arial"/>
                <w:sz w:val="12"/>
                <w:szCs w:val="12"/>
                <w:b w:val="1"/>
                <w:bCs w:val="1"/>
                <w:color w:val="auto"/>
                <w:w w:val="94"/>
              </w:rPr>
              <w:t>fair value</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8"/>
              <w:spacing w:after="0" w:line="134" w:lineRule="exact"/>
              <w:rPr>
                <w:sz w:val="20"/>
                <w:szCs w:val="20"/>
                <w:color w:val="auto"/>
              </w:rPr>
            </w:pPr>
            <w:r>
              <w:rPr>
                <w:rFonts w:ascii="Arial" w:cs="Arial" w:eastAsia="Arial" w:hAnsi="Arial"/>
                <w:sz w:val="12"/>
                <w:szCs w:val="12"/>
                <w:b w:val="1"/>
                <w:bCs w:val="1"/>
                <w:color w:val="auto"/>
                <w:w w:val="88"/>
              </w:rPr>
              <w:t>investments</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8"/>
              <w:spacing w:after="0" w:line="134" w:lineRule="exact"/>
              <w:rPr>
                <w:sz w:val="20"/>
                <w:szCs w:val="20"/>
                <w:color w:val="auto"/>
              </w:rPr>
            </w:pPr>
            <w:r>
              <w:rPr>
                <w:rFonts w:ascii="Arial" w:cs="Arial" w:eastAsia="Arial" w:hAnsi="Arial"/>
                <w:sz w:val="12"/>
                <w:szCs w:val="12"/>
                <w:b w:val="1"/>
                <w:bCs w:val="1"/>
                <w:color w:val="auto"/>
                <w:w w:val="91"/>
              </w:rPr>
              <w:t>investments</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560" w:type="dxa"/>
            <w:vAlign w:val="bottom"/>
            <w:shd w:val="clear" w:color="auto" w:fill="CCEEFF"/>
          </w:tcPr>
          <w:p>
            <w:pPr>
              <w:spacing w:after="0"/>
              <w:rPr>
                <w:sz w:val="20"/>
                <w:szCs w:val="20"/>
                <w:color w:val="auto"/>
              </w:rPr>
            </w:pPr>
            <w:r>
              <w:rPr>
                <w:rFonts w:ascii="Arial" w:cs="Arial" w:eastAsia="Arial" w:hAnsi="Arial"/>
                <w:sz w:val="15"/>
                <w:szCs w:val="15"/>
                <w:color w:val="auto"/>
              </w:rPr>
              <w:t>Balance, December 31,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1,925</w:t>
            </w: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48,444</w:t>
            </w:r>
          </w:p>
        </w:tc>
        <w:tc>
          <w:tcPr>
            <w:tcW w:w="0" w:type="dxa"/>
            <w:vAlign w:val="bottom"/>
          </w:tcPr>
          <w:p>
            <w:pPr>
              <w:spacing w:after="0"/>
              <w:rPr>
                <w:sz w:val="1"/>
                <w:szCs w:val="1"/>
                <w:color w:val="auto"/>
              </w:rPr>
            </w:pPr>
          </w:p>
        </w:tc>
      </w:tr>
      <w:tr>
        <w:trPr>
          <w:trHeight w:val="182"/>
        </w:trPr>
        <w:tc>
          <w:tcPr>
            <w:tcW w:w="3560" w:type="dxa"/>
            <w:vAlign w:val="bottom"/>
          </w:tcPr>
          <w:p>
            <w:pPr>
              <w:ind w:left="180"/>
              <w:spacing w:after="0"/>
              <w:rPr>
                <w:sz w:val="20"/>
                <w:szCs w:val="20"/>
                <w:color w:val="auto"/>
              </w:rPr>
            </w:pPr>
            <w:r>
              <w:rPr>
                <w:rFonts w:ascii="Arial" w:cs="Arial" w:eastAsia="Arial" w:hAnsi="Arial"/>
                <w:sz w:val="15"/>
                <w:szCs w:val="15"/>
                <w:color w:val="auto"/>
              </w:rPr>
              <w:t>Income recognized</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(1,645)</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(1,440)</w:t>
            </w:r>
          </w:p>
        </w:tc>
        <w:tc>
          <w:tcPr>
            <w:tcW w:w="0" w:type="dxa"/>
            <w:vAlign w:val="bottom"/>
          </w:tcPr>
          <w:p>
            <w:pPr>
              <w:spacing w:after="0"/>
              <w:rPr>
                <w:sz w:val="1"/>
                <w:szCs w:val="1"/>
                <w:color w:val="auto"/>
              </w:rPr>
            </w:pPr>
          </w:p>
        </w:tc>
      </w:tr>
      <w:tr>
        <w:trPr>
          <w:trHeight w:val="182"/>
        </w:trPr>
        <w:tc>
          <w:tcPr>
            <w:tcW w:w="3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Contributions / (distributions)</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w:t>
            </w:r>
          </w:p>
        </w:tc>
        <w:tc>
          <w:tcPr>
            <w:tcW w:w="0" w:type="dxa"/>
            <w:vAlign w:val="bottom"/>
          </w:tcPr>
          <w:p>
            <w:pPr>
              <w:spacing w:after="0"/>
              <w:rPr>
                <w:sz w:val="1"/>
                <w:szCs w:val="1"/>
                <w:color w:val="auto"/>
              </w:rPr>
            </w:pPr>
          </w:p>
        </w:tc>
      </w:tr>
      <w:tr>
        <w:trPr>
          <w:trHeight w:val="182"/>
        </w:trPr>
        <w:tc>
          <w:tcPr>
            <w:tcW w:w="3560" w:type="dxa"/>
            <w:vAlign w:val="bottom"/>
          </w:tcPr>
          <w:p>
            <w:pPr>
              <w:ind w:left="180"/>
              <w:spacing w:after="0"/>
              <w:rPr>
                <w:sz w:val="20"/>
                <w:szCs w:val="20"/>
                <w:color w:val="auto"/>
              </w:rPr>
            </w:pPr>
            <w:r>
              <w:rPr>
                <w:rFonts w:ascii="Arial" w:cs="Arial" w:eastAsia="Arial" w:hAnsi="Arial"/>
                <w:sz w:val="15"/>
                <w:szCs w:val="15"/>
                <w:color w:val="auto"/>
              </w:rPr>
              <w:t>Foreign currency loss</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(1,423)</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(1,423)</w:t>
            </w:r>
          </w:p>
        </w:tc>
        <w:tc>
          <w:tcPr>
            <w:tcW w:w="0" w:type="dxa"/>
            <w:vAlign w:val="bottom"/>
          </w:tcPr>
          <w:p>
            <w:pPr>
              <w:spacing w:after="0"/>
              <w:rPr>
                <w:sz w:val="1"/>
                <w:szCs w:val="1"/>
                <w:color w:val="auto"/>
              </w:rPr>
            </w:pPr>
          </w:p>
        </w:tc>
      </w:tr>
      <w:tr>
        <w:trPr>
          <w:trHeight w:val="182"/>
        </w:trPr>
        <w:tc>
          <w:tcPr>
            <w:tcW w:w="35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recognized</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4,770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4,770</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20"/>
                <w:szCs w:val="20"/>
                <w:color w:val="auto"/>
              </w:rPr>
            </w:pPr>
            <w:r>
              <w:rPr>
                <w:rFonts w:ascii="Arial" w:cs="Arial" w:eastAsia="Arial" w:hAnsi="Arial"/>
                <w:sz w:val="15"/>
                <w:szCs w:val="15"/>
                <w:color w:val="auto"/>
              </w:rPr>
              <w:t>Balance, June 30, 2022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22,590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1,961</w:t>
            </w:r>
          </w:p>
        </w:tc>
        <w:tc>
          <w:tcPr>
            <w:tcW w:w="4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27,031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51,582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These investments are included with other assets on the consolidated balance sheets.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Redeemable Common Units and Warrants</w:t>
      </w:r>
    </w:p>
    <w:p>
      <w:pPr>
        <w:spacing w:after="0" w:line="192" w:lineRule="exact"/>
        <w:rPr>
          <w:sz w:val="20"/>
          <w:szCs w:val="20"/>
          <w:color w:val="auto"/>
        </w:rPr>
      </w:pPr>
    </w:p>
    <w:p>
      <w:pPr>
        <w:ind w:left="40" w:right="79" w:firstLine="547"/>
        <w:spacing w:after="0" w:line="282" w:lineRule="auto"/>
        <w:rPr>
          <w:sz w:val="20"/>
          <w:szCs w:val="20"/>
          <w:color w:val="auto"/>
        </w:rPr>
      </w:pPr>
      <w:r>
        <w:rPr>
          <w:rFonts w:ascii="Arial" w:cs="Arial" w:eastAsia="Arial" w:hAnsi="Arial"/>
          <w:sz w:val="14"/>
          <w:szCs w:val="14"/>
          <w:color w:val="auto"/>
        </w:rPr>
        <w:t>The Company issued redeemable common units, and warrants to purchase additional common units, in a subsidiary of the Company in conjunction with its acquisition of Alaska Communications (Refer to Note 6).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Company calculates the fair value of the instruments using a market approach with Level 3 inputs.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5" w:name="page26"/>
    <w:bookmarkEnd w:id="2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Other Fair Value Disclosures</w:t>
      </w:r>
    </w:p>
    <w:p>
      <w:pPr>
        <w:spacing w:after="0" w:line="192" w:lineRule="exact"/>
        <w:rPr>
          <w:sz w:val="20"/>
          <w:szCs w:val="20"/>
          <w:color w:val="auto"/>
        </w:rPr>
      </w:pPr>
    </w:p>
    <w:p>
      <w:pPr>
        <w:ind w:left="40" w:right="139" w:firstLine="547"/>
        <w:spacing w:after="0" w:line="266" w:lineRule="auto"/>
        <w:rPr>
          <w:sz w:val="20"/>
          <w:szCs w:val="20"/>
          <w:color w:val="auto"/>
        </w:rPr>
      </w:pPr>
      <w:r>
        <w:rPr>
          <w:rFonts w:ascii="Arial" w:cs="Arial" w:eastAsia="Arial" w:hAnsi="Arial"/>
          <w:sz w:val="15"/>
          <w:szCs w:val="15"/>
          <w:color w:val="auto"/>
        </w:rPr>
        <w:t>The carrying amounts of cash and cash equivalents, accounts receivable, and accounts payable and accrued expenses approximate their fair values because of the relatively short-term maturities of these financial instruments. The fair value of the interest rate swap is measured using Level 2 inputs.</w:t>
      </w:r>
    </w:p>
    <w:p>
      <w:pPr>
        <w:spacing w:after="0" w:line="156" w:lineRule="exact"/>
        <w:rPr>
          <w:sz w:val="20"/>
          <w:szCs w:val="20"/>
          <w:color w:val="auto"/>
        </w:rPr>
      </w:pPr>
    </w:p>
    <w:p>
      <w:pPr>
        <w:ind w:left="40" w:right="179" w:firstLine="547"/>
        <w:spacing w:after="0" w:line="266" w:lineRule="auto"/>
        <w:rPr>
          <w:sz w:val="20"/>
          <w:szCs w:val="20"/>
          <w:color w:val="auto"/>
        </w:rPr>
      </w:pPr>
      <w:r>
        <w:rPr>
          <w:rFonts w:ascii="Arial" w:cs="Arial" w:eastAsia="Arial" w:hAnsi="Arial"/>
          <w:sz w:val="15"/>
          <w:szCs w:val="15"/>
          <w:color w:val="auto"/>
        </w:rPr>
        <w:t>The fair value of long-term debt is estimated using Level 2 inputs. At June 30, 2022, the fair value of long-term debt, including the current portion, was $403.5 million and its book value was $396.6 million. At December 31, 2021, the fair value of long-term debt, including the current portion, was $373.7 million and its book value was $366.5 million.</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8. LONG-TERM DEBT</w:t>
      </w:r>
    </w:p>
    <w:p>
      <w:pPr>
        <w:spacing w:after="0" w:line="196" w:lineRule="exact"/>
        <w:rPr>
          <w:sz w:val="20"/>
          <w:szCs w:val="20"/>
          <w:color w:val="auto"/>
        </w:rPr>
      </w:pPr>
    </w:p>
    <w:p>
      <w:pPr>
        <w:ind w:left="40" w:right="219" w:firstLine="547"/>
        <w:spacing w:after="0" w:line="314" w:lineRule="auto"/>
        <w:rPr>
          <w:sz w:val="20"/>
          <w:szCs w:val="20"/>
          <w:color w:val="auto"/>
        </w:rPr>
      </w:pPr>
      <w:r>
        <w:rPr>
          <w:rFonts w:ascii="Arial" w:cs="Arial" w:eastAsia="Arial" w:hAnsi="Arial"/>
          <w:sz w:val="13"/>
          <w:szCs w:val="13"/>
          <w:color w:val="auto"/>
        </w:rPr>
        <w:t>On April 10, 2019, the Company entered into a credit facility, with CoBank, ACB and a syndicate of other lenders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June 30, 2022. The 2019 CoBank Credit Facility matures on April 10, 2024.</w:t>
      </w:r>
    </w:p>
    <w:p>
      <w:pPr>
        <w:spacing w:after="0" w:line="129" w:lineRule="exact"/>
        <w:rPr>
          <w:sz w:val="20"/>
          <w:szCs w:val="20"/>
          <w:color w:val="auto"/>
        </w:rPr>
      </w:pPr>
    </w:p>
    <w:p>
      <w:pPr>
        <w:ind w:left="40" w:right="59" w:firstLine="547"/>
        <w:spacing w:after="0" w:line="278" w:lineRule="auto"/>
        <w:rPr>
          <w:sz w:val="20"/>
          <w:szCs w:val="20"/>
          <w:color w:val="auto"/>
        </w:rPr>
      </w:pPr>
      <w:r>
        <w:rPr>
          <w:rFonts w:ascii="Arial" w:cs="Arial" w:eastAsia="Arial" w:hAnsi="Arial"/>
          <w:sz w:val="14"/>
          <w:szCs w:val="14"/>
          <w:color w:val="auto"/>
        </w:rPr>
        <w:t>Amounts borrowed under the 2019 CoBank Credit Facility bear interest at a rate equal to, at the Company’s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the Company must also pay a fee ranging from 0.150% to 0.375% of the average daily unused portion of the 2019 CoBank Credit Facility over each calendar quarter.</w:t>
      </w:r>
    </w:p>
    <w:p>
      <w:pPr>
        <w:spacing w:after="0" w:line="148" w:lineRule="exact"/>
        <w:rPr>
          <w:sz w:val="20"/>
          <w:szCs w:val="20"/>
          <w:color w:val="auto"/>
        </w:rPr>
      </w:pPr>
    </w:p>
    <w:p>
      <w:pPr>
        <w:ind w:left="40" w:right="99" w:firstLine="582"/>
        <w:spacing w:after="0" w:line="279" w:lineRule="auto"/>
        <w:rPr>
          <w:sz w:val="20"/>
          <w:szCs w:val="20"/>
          <w:color w:val="auto"/>
        </w:rPr>
      </w:pPr>
      <w:r>
        <w:rPr>
          <w:rFonts w:ascii="Arial" w:cs="Arial" w:eastAsia="Arial" w:hAnsi="Arial"/>
          <w:sz w:val="14"/>
          <w:szCs w:val="14"/>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The Company’s investments in “unrestricted” subsidiaries and certain dividend payments to its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48" w:lineRule="exact"/>
        <w:rPr>
          <w:sz w:val="20"/>
          <w:szCs w:val="20"/>
          <w:color w:val="auto"/>
        </w:rPr>
      </w:pPr>
    </w:p>
    <w:p>
      <w:pPr>
        <w:jc w:val="both"/>
        <w:ind w:left="40" w:right="199" w:firstLine="547"/>
        <w:spacing w:after="0" w:line="266" w:lineRule="auto"/>
        <w:rPr>
          <w:sz w:val="20"/>
          <w:szCs w:val="20"/>
          <w:color w:val="auto"/>
        </w:rPr>
      </w:pPr>
      <w:r>
        <w:rPr>
          <w:rFonts w:ascii="Arial" w:cs="Arial" w:eastAsia="Arial" w:hAnsi="Arial"/>
          <w:sz w:val="15"/>
          <w:szCs w:val="15"/>
          <w:color w:val="auto"/>
        </w:rPr>
        <w:t>The 2019 CoBank Credit Facility also provides for the incurrence by the Company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56" w:lineRule="exact"/>
        <w:rPr>
          <w:sz w:val="20"/>
          <w:szCs w:val="20"/>
          <w:color w:val="auto"/>
        </w:rPr>
      </w:pPr>
    </w:p>
    <w:p>
      <w:pPr>
        <w:ind w:left="40" w:right="119" w:firstLine="547"/>
        <w:spacing w:after="0" w:line="316" w:lineRule="auto"/>
        <w:rPr>
          <w:sz w:val="20"/>
          <w:szCs w:val="20"/>
          <w:color w:val="auto"/>
        </w:rPr>
      </w:pPr>
      <w:r>
        <w:rPr>
          <w:rFonts w:ascii="Arial" w:cs="Arial" w:eastAsia="Arial" w:hAnsi="Arial"/>
          <w:sz w:val="14"/>
          <w:szCs w:val="14"/>
          <w:color w:val="auto"/>
        </w:rPr>
        <w:t>As of June 30, 2022, the Company was in compliance with all of the financial covenants, had $78.0 million outstanding in borrowings and, net of the $26.0 million of outstanding performance letters of credit, had $96.0 million of availability under the 2019 CoBank Credit Facility.</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Alaska Credit Facility</w:t>
      </w:r>
    </w:p>
    <w:p>
      <w:pPr>
        <w:spacing w:after="0" w:line="226" w:lineRule="exact"/>
        <w:rPr>
          <w:sz w:val="20"/>
          <w:szCs w:val="20"/>
          <w:color w:val="auto"/>
        </w:rPr>
      </w:pPr>
    </w:p>
    <w:p>
      <w:pPr>
        <w:ind w:left="40" w:right="79" w:firstLine="547"/>
        <w:spacing w:after="0" w:line="286" w:lineRule="auto"/>
        <w:rPr>
          <w:sz w:val="20"/>
          <w:szCs w:val="20"/>
          <w:color w:val="auto"/>
        </w:rPr>
      </w:pPr>
      <w:r>
        <w:rPr>
          <w:rFonts w:ascii="Arial" w:cs="Arial" w:eastAsia="Arial" w:hAnsi="Arial"/>
          <w:sz w:val="14"/>
          <w:szCs w:val="14"/>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 As of June 30, 2022, $210.0 million was outstanding under the Alaska Term Loan and $10.0 million was outstanding under the Alaska Revolving Facility. Both facilities mature on July 22, 2026.</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6" w:name="page27"/>
    <w:bookmarkEnd w:id="2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259" w:firstLine="547"/>
        <w:spacing w:after="0" w:line="279" w:lineRule="auto"/>
        <w:rPr>
          <w:sz w:val="20"/>
          <w:szCs w:val="20"/>
          <w:color w:val="auto"/>
        </w:rPr>
      </w:pPr>
      <w:r>
        <w:rPr>
          <w:rFonts w:ascii="Arial" w:cs="Arial" w:eastAsia="Arial" w:hAnsi="Arial"/>
          <w:sz w:val="15"/>
          <w:szCs w:val="15"/>
          <w:color w:val="auto"/>
        </w:rPr>
        <w:t>The Company capitalized $6.6 million of fees associated with the Alaska Credit Facility which are being amortized over the life of the debt and $5.6 million of such fees were unamortized at June 30, 2022.</w:t>
      </w:r>
    </w:p>
    <w:p>
      <w:pPr>
        <w:spacing w:after="0" w:line="180" w:lineRule="exact"/>
        <w:rPr>
          <w:sz w:val="20"/>
          <w:szCs w:val="20"/>
          <w:color w:val="auto"/>
        </w:rPr>
      </w:pPr>
    </w:p>
    <w:p>
      <w:pPr>
        <w:ind w:left="40" w:right="239" w:firstLine="547"/>
        <w:spacing w:after="0" w:line="279" w:lineRule="auto"/>
        <w:rPr>
          <w:sz w:val="20"/>
          <w:szCs w:val="20"/>
          <w:color w:val="auto"/>
        </w:rPr>
      </w:pPr>
      <w:r>
        <w:rPr>
          <w:rFonts w:ascii="Arial" w:cs="Arial" w:eastAsia="Arial" w:hAnsi="Arial"/>
          <w:sz w:val="15"/>
          <w:szCs w:val="15"/>
          <w:color w:val="auto"/>
        </w:rPr>
        <w:t>The Alaska Credit Facility also provides for incremental term loans up to an aggregate principal amount of the greater of $70.0 million and Alaska Communications’ trailing twelve month Consolidated EBITDA (as defined in the Alaska Credit Facility).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key terms and conditions of the Alaska Credit Facility include the following:</w:t>
      </w:r>
    </w:p>
    <w:p>
      <w:pPr>
        <w:spacing w:after="0" w:line="192" w:lineRule="exact"/>
        <w:rPr>
          <w:sz w:val="20"/>
          <w:szCs w:val="20"/>
          <w:color w:val="auto"/>
        </w:rPr>
      </w:pPr>
    </w:p>
    <w:p>
      <w:pPr>
        <w:ind w:left="1160" w:right="259" w:hanging="280"/>
        <w:spacing w:after="0" w:line="294" w:lineRule="auto"/>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37" w:lineRule="exact"/>
        <w:rPr>
          <w:rFonts w:ascii="Arial" w:cs="Arial" w:eastAsia="Arial" w:hAnsi="Arial"/>
          <w:sz w:val="14"/>
          <w:szCs w:val="14"/>
          <w:color w:val="auto"/>
        </w:rPr>
      </w:pPr>
    </w:p>
    <w:p>
      <w:pPr>
        <w:jc w:val="both"/>
        <w:ind w:left="1160" w:right="379" w:hanging="280"/>
        <w:spacing w:after="0" w:line="294" w:lineRule="auto"/>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Principal repayments are due quarterly commencing in the fourth quarter of 2023 in quarterly amounts as follows: from the fourth quarter of 2023 through the third quarter of 2024, $1.3 million; and from the fourth quarter of 2024 through the third quarter of 2026, $2.6 million. The remaining unpaid balance is due on the final maturity date;</w:t>
      </w:r>
    </w:p>
    <w:p>
      <w:pPr>
        <w:spacing w:after="0" w:line="137" w:lineRule="exact"/>
        <w:rPr>
          <w:rFonts w:ascii="Arial" w:cs="Arial" w:eastAsia="Arial" w:hAnsi="Arial"/>
          <w:sz w:val="14"/>
          <w:szCs w:val="14"/>
          <w:color w:val="auto"/>
        </w:rPr>
      </w:pPr>
    </w:p>
    <w:p>
      <w:pPr>
        <w:ind w:left="1160" w:right="159" w:hanging="280"/>
        <w:spacing w:after="0" w:line="299" w:lineRule="auto"/>
        <w:tabs>
          <w:tab w:leader="none" w:pos="11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Alaska Communications is required to maintain financial ratios subsequent to the closing of the Alaska Transaction, as defined in the Alaska Credit Facility, including (a) a maximum Consolidated Net Total Leverage Ratio of 4.00 to 1, stepping down to</w:t>
      </w:r>
    </w:p>
    <w:p>
      <w:pPr>
        <w:spacing w:after="0" w:line="1" w:lineRule="exact"/>
        <w:rPr>
          <w:rFonts w:ascii="Arial" w:cs="Arial" w:eastAsia="Arial" w:hAnsi="Arial"/>
          <w:sz w:val="13"/>
          <w:szCs w:val="13"/>
          <w:color w:val="auto"/>
        </w:rPr>
      </w:pPr>
    </w:p>
    <w:p>
      <w:pPr>
        <w:ind w:left="1160" w:right="119"/>
        <w:spacing w:after="0" w:line="267" w:lineRule="auto"/>
        <w:rPr>
          <w:rFonts w:ascii="Arial" w:cs="Arial" w:eastAsia="Arial" w:hAnsi="Arial"/>
          <w:sz w:val="13"/>
          <w:szCs w:val="13"/>
          <w:color w:val="auto"/>
        </w:rPr>
      </w:pPr>
      <w:r>
        <w:rPr>
          <w:rFonts w:ascii="Arial" w:cs="Arial" w:eastAsia="Arial" w:hAnsi="Arial"/>
          <w:sz w:val="15"/>
          <w:szCs w:val="15"/>
          <w:color w:val="auto"/>
        </w:rPr>
        <w:t>3.75 to 1 beginning with the second quarter of 2024; and (b) a minimum Consolidated Fixed Charge Coverage Ratio of not less than 1.25 to 1; and</w:t>
      </w:r>
    </w:p>
    <w:p>
      <w:pPr>
        <w:spacing w:after="0" w:line="153" w:lineRule="exact"/>
        <w:rPr>
          <w:rFonts w:ascii="Arial" w:cs="Arial" w:eastAsia="Arial" w:hAnsi="Arial"/>
          <w:sz w:val="13"/>
          <w:szCs w:val="13"/>
          <w:color w:val="auto"/>
        </w:rPr>
      </w:pPr>
    </w:p>
    <w:p>
      <w:pPr>
        <w:ind w:left="1160" w:right="439" w:hanging="280"/>
        <w:spacing w:after="0" w:line="279" w:lineRule="auto"/>
        <w:tabs>
          <w:tab w:leader="none" w:pos="11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Alaska Credit Facility is non-recourse to the Company and is secured by substantially all of the personal property and certain material real property owned by Alaska Communications.</w:t>
      </w:r>
    </w:p>
    <w:p>
      <w:pPr>
        <w:spacing w:after="0" w:line="146"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5"/>
          <w:szCs w:val="15"/>
          <w:color w:val="auto"/>
        </w:rPr>
        <w:t>Alaska Communication’s interest rate swap, which had been designated as a cash flow hedge with an interest rate of 1.6735%, expired on June 30,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FirstNet Receivables Credit Facility</w:t>
      </w:r>
    </w:p>
    <w:p>
      <w:pPr>
        <w:spacing w:after="0" w:line="192" w:lineRule="exact"/>
        <w:rPr>
          <w:sz w:val="20"/>
          <w:szCs w:val="20"/>
          <w:color w:val="auto"/>
        </w:rPr>
      </w:pPr>
    </w:p>
    <w:p>
      <w:pPr>
        <w:ind w:left="40" w:right="199" w:firstLine="547"/>
        <w:spacing w:after="0" w:line="279" w:lineRule="auto"/>
        <w:rPr>
          <w:sz w:val="20"/>
          <w:szCs w:val="20"/>
          <w:color w:val="auto"/>
        </w:rPr>
      </w:pPr>
      <w:r>
        <w:rPr>
          <w:rFonts w:ascii="Arial" w:cs="Arial" w:eastAsia="Arial" w:hAnsi="Arial"/>
          <w:sz w:val="15"/>
          <w:szCs w:val="15"/>
          <w:color w:val="auto"/>
        </w:rPr>
        <w:t>On March 26, 2020, Commnet Finance, a wholly owned subsidiary of Commnet Wireless, entered into a receivables credit facility with the Company, Commnet Wireless, and CoBank, ACB (the “Receivables Credit Facility”).</w:t>
      </w:r>
    </w:p>
    <w:p>
      <w:pPr>
        <w:spacing w:after="0" w:line="146" w:lineRule="exact"/>
        <w:rPr>
          <w:sz w:val="20"/>
          <w:szCs w:val="20"/>
          <w:color w:val="auto"/>
        </w:rPr>
      </w:pPr>
    </w:p>
    <w:p>
      <w:pPr>
        <w:ind w:left="40" w:right="219" w:firstLine="547"/>
        <w:spacing w:after="0" w:line="286" w:lineRule="auto"/>
        <w:rPr>
          <w:sz w:val="20"/>
          <w:szCs w:val="20"/>
          <w:color w:val="auto"/>
        </w:rPr>
      </w:pPr>
      <w:r>
        <w:rPr>
          <w:rFonts w:ascii="Arial" w:cs="Arial" w:eastAsia="Arial" w:hAnsi="Arial"/>
          <w:sz w:val="14"/>
          <w:szCs w:val="14"/>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On December 29, 2021, CoBank amended the Receivables Credit Facility and extended the delayed draw period to December 31, 2022.</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maturity date for each loan will be set by CoBank and will match the weighted average maturity of the certain receivables financed.</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Interest on the loans accrues at a fixed annual interest rate to be quoted by CoBank.</w:t>
      </w:r>
    </w:p>
    <w:p>
      <w:pPr>
        <w:spacing w:after="0" w:line="192" w:lineRule="exact"/>
        <w:rPr>
          <w:sz w:val="20"/>
          <w:szCs w:val="20"/>
          <w:color w:val="auto"/>
        </w:rPr>
      </w:pPr>
    </w:p>
    <w:p>
      <w:pPr>
        <w:ind w:left="40" w:right="479" w:firstLine="547"/>
        <w:spacing w:after="0" w:line="279" w:lineRule="auto"/>
        <w:rPr>
          <w:sz w:val="20"/>
          <w:szCs w:val="20"/>
          <w:color w:val="auto"/>
        </w:rPr>
      </w:pPr>
      <w:r>
        <w:rPr>
          <w:rFonts w:ascii="Arial" w:cs="Arial" w:eastAsia="Arial" w:hAnsi="Arial"/>
          <w:sz w:val="15"/>
          <w:szCs w:val="15"/>
          <w:color w:val="auto"/>
        </w:rPr>
        <w:t>The Receivables Credit Facility contains customary events of termination, representations and warranties, affirmative and negative covenants and events of default customary for facilities of this type.</w:t>
      </w:r>
    </w:p>
    <w:p>
      <w:pPr>
        <w:spacing w:after="0" w:line="180" w:lineRule="exact"/>
        <w:rPr>
          <w:sz w:val="20"/>
          <w:szCs w:val="20"/>
          <w:color w:val="auto"/>
        </w:rPr>
      </w:pPr>
    </w:p>
    <w:p>
      <w:pPr>
        <w:jc w:val="both"/>
        <w:ind w:left="40" w:right="299" w:firstLine="547"/>
        <w:spacing w:after="0" w:line="266" w:lineRule="auto"/>
        <w:rPr>
          <w:sz w:val="20"/>
          <w:szCs w:val="20"/>
          <w:color w:val="auto"/>
        </w:rPr>
      </w:pPr>
      <w:r>
        <w:rPr>
          <w:rFonts w:ascii="Arial" w:cs="Arial" w:eastAsia="Arial" w:hAnsi="Arial"/>
          <w:sz w:val="15"/>
          <w:szCs w:val="15"/>
          <w:color w:val="auto"/>
        </w:rPr>
        <w:t>As of June 30, 2022, the Company had $41.3 million outstanding, of which $5.3 million was current, and $29.7 million of availability under the Receivables Credit Facility. The Company capitalized $0.9 million of fees associated with the Receivables Credit Facility which are being amortized over the life of the debt and $0.7 million were unamortized at June 30, 2022.</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7" w:name="page28"/>
    <w:bookmarkEnd w:id="2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Viya Debt</w:t>
      </w:r>
    </w:p>
    <w:p>
      <w:pPr>
        <w:spacing w:after="0" w:line="192" w:lineRule="exact"/>
        <w:rPr>
          <w:sz w:val="20"/>
          <w:szCs w:val="20"/>
          <w:color w:val="auto"/>
        </w:rPr>
      </w:pPr>
    </w:p>
    <w:p>
      <w:pPr>
        <w:ind w:left="40" w:right="99" w:firstLine="547"/>
        <w:spacing w:after="0" w:line="274" w:lineRule="auto"/>
        <w:rPr>
          <w:sz w:val="20"/>
          <w:szCs w:val="20"/>
          <w:color w:val="auto"/>
        </w:rPr>
      </w:pPr>
      <w:r>
        <w:rPr>
          <w:rFonts w:ascii="Arial" w:cs="Arial" w:eastAsia="Arial" w:hAnsi="Arial"/>
          <w:sz w:val="14"/>
          <w:szCs w:val="14"/>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w:t>
      </w:r>
    </w:p>
    <w:p>
      <w:pPr>
        <w:spacing w:after="0" w:line="1" w:lineRule="exact"/>
        <w:rPr>
          <w:sz w:val="20"/>
          <w:szCs w:val="20"/>
          <w:color w:val="auto"/>
        </w:rPr>
      </w:pPr>
    </w:p>
    <w:p>
      <w:pPr>
        <w:ind w:left="40" w:right="299"/>
        <w:spacing w:after="0" w:line="260" w:lineRule="auto"/>
        <w:rPr>
          <w:sz w:val="20"/>
          <w:szCs w:val="20"/>
          <w:color w:val="auto"/>
        </w:rPr>
      </w:pPr>
      <w:r>
        <w:rPr>
          <w:rFonts w:ascii="Arial" w:cs="Arial" w:eastAsia="Arial" w:hAnsi="Arial"/>
          <w:sz w:val="15"/>
          <w:szCs w:val="15"/>
          <w:color w:val="auto"/>
        </w:rPr>
        <w:t>2026. Prepayment of the Viya Debt may be subject to a fee under certain circumstances. The debt is secured by certain assets of our Viya subsidiaries and is guaranteed by us. With RTFC’s consent, the Company funded the restoration of Viya’s network, following Hurricanes Irma and Maria in 2017, through an intercompany loan arrangement in the amount of $51.6 million.</w:t>
      </w:r>
    </w:p>
    <w:p>
      <w:pPr>
        <w:spacing w:after="0" w:line="159" w:lineRule="exact"/>
        <w:rPr>
          <w:sz w:val="20"/>
          <w:szCs w:val="20"/>
          <w:color w:val="auto"/>
        </w:rPr>
      </w:pPr>
    </w:p>
    <w:p>
      <w:pPr>
        <w:ind w:left="40" w:right="259" w:firstLine="547"/>
        <w:spacing w:after="0" w:line="279" w:lineRule="auto"/>
        <w:rPr>
          <w:sz w:val="20"/>
          <w:szCs w:val="20"/>
          <w:color w:val="auto"/>
        </w:rPr>
      </w:pPr>
      <w:r>
        <w:rPr>
          <w:rFonts w:ascii="Arial" w:cs="Arial" w:eastAsia="Arial" w:hAnsi="Arial"/>
          <w:sz w:val="15"/>
          <w:szCs w:val="15"/>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of June 30, 2022, $60.0 million of the Viya Debt remained outstanding and $0.4 million of the rate lock fee was unamortized.</w:t>
      </w:r>
    </w:p>
    <w:p>
      <w:pPr>
        <w:spacing w:after="0" w:line="204" w:lineRule="exact"/>
        <w:rPr>
          <w:sz w:val="20"/>
          <w:szCs w:val="20"/>
          <w:color w:val="auto"/>
        </w:rPr>
      </w:pPr>
    </w:p>
    <w:p>
      <w:pPr>
        <w:ind w:left="40" w:right="279" w:firstLine="547"/>
        <w:spacing w:after="0" w:line="279" w:lineRule="auto"/>
        <w:rPr>
          <w:sz w:val="20"/>
          <w:szCs w:val="20"/>
          <w:color w:val="auto"/>
        </w:rPr>
      </w:pPr>
      <w:r>
        <w:rPr>
          <w:rFonts w:ascii="Arial" w:cs="Arial" w:eastAsia="Arial" w:hAnsi="Arial"/>
          <w:sz w:val="15"/>
          <w:szCs w:val="15"/>
          <w:color w:val="auto"/>
        </w:rPr>
        <w:t>On May 5, 2022, RTFC agreed to amend the Net Leverage Ratio to 7.0 to 1.0 through the maturity date of July 1, 2026. This covenant will be tested on December 31,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One Communications Debt</w:t>
      </w:r>
    </w:p>
    <w:p>
      <w:pPr>
        <w:spacing w:after="0" w:line="192" w:lineRule="exact"/>
        <w:rPr>
          <w:sz w:val="20"/>
          <w:szCs w:val="20"/>
          <w:color w:val="auto"/>
        </w:rPr>
      </w:pPr>
    </w:p>
    <w:p>
      <w:pPr>
        <w:ind w:left="40" w:right="219" w:firstLine="547"/>
        <w:spacing w:after="0" w:line="359" w:lineRule="auto"/>
        <w:rPr>
          <w:sz w:val="20"/>
          <w:szCs w:val="20"/>
          <w:color w:val="auto"/>
        </w:rPr>
      </w:pPr>
      <w:r>
        <w:rPr>
          <w:rFonts w:ascii="Arial" w:cs="Arial" w:eastAsia="Arial" w:hAnsi="Arial"/>
          <w:sz w:val="13"/>
          <w:szCs w:val="13"/>
          <w:color w:val="auto"/>
        </w:rPr>
        <w:t>The Company has an outstanding loan from HSBC Bank Bermuda Limited (the “One Communications Debt”) which is scheduled to mature on August 31, 2022 and bears interest at the one-month LIBOR plus a margin ranging between 2.5% to 2.75% per annum paid quarterly.</w:t>
      </w:r>
    </w:p>
    <w:p>
      <w:pPr>
        <w:spacing w:after="0" w:line="100" w:lineRule="exact"/>
        <w:rPr>
          <w:sz w:val="20"/>
          <w:szCs w:val="20"/>
          <w:color w:val="auto"/>
        </w:rPr>
      </w:pPr>
    </w:p>
    <w:p>
      <w:pPr>
        <w:ind w:left="40" w:right="179" w:firstLine="547"/>
        <w:spacing w:after="0" w:line="262" w:lineRule="auto"/>
        <w:rPr>
          <w:sz w:val="20"/>
          <w:szCs w:val="20"/>
          <w:color w:val="auto"/>
        </w:rPr>
      </w:pPr>
      <w:r>
        <w:rPr>
          <w:rFonts w:ascii="Arial" w:cs="Arial" w:eastAsia="Arial" w:hAnsi="Arial"/>
          <w:sz w:val="15"/>
          <w:szCs w:val="15"/>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June 30, 2022, $3.8 million of the One Communications Debt was outstanding.</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9. GOVERNMENT SUPPORT AND SPECTRUM MATTERS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Universal Service Fund and Connect America Fund Phase II Programs</w:t>
      </w:r>
    </w:p>
    <w:p>
      <w:pPr>
        <w:spacing w:after="0" w:line="192" w:lineRule="exact"/>
        <w:rPr>
          <w:sz w:val="20"/>
          <w:szCs w:val="20"/>
          <w:color w:val="auto"/>
        </w:rPr>
      </w:pPr>
    </w:p>
    <w:p>
      <w:pPr>
        <w:jc w:val="both"/>
        <w:ind w:left="40" w:right="59" w:firstLine="547"/>
        <w:spacing w:after="0" w:line="260" w:lineRule="auto"/>
        <w:rPr>
          <w:sz w:val="20"/>
          <w:szCs w:val="20"/>
          <w:color w:val="auto"/>
        </w:rPr>
      </w:pPr>
      <w:r>
        <w:rPr>
          <w:rFonts w:ascii="Arial" w:cs="Arial" w:eastAsia="Arial" w:hAnsi="Arial"/>
          <w:sz w:val="15"/>
          <w:szCs w:val="15"/>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59" w:lineRule="exact"/>
        <w:rPr>
          <w:sz w:val="20"/>
          <w:szCs w:val="20"/>
          <w:color w:val="auto"/>
        </w:rPr>
      </w:pPr>
    </w:p>
    <w:p>
      <w:pPr>
        <w:jc w:val="both"/>
        <w:ind w:left="40" w:right="59" w:firstLine="547"/>
        <w:spacing w:after="0" w:line="294" w:lineRule="auto"/>
        <w:rPr>
          <w:sz w:val="20"/>
          <w:szCs w:val="20"/>
          <w:color w:val="auto"/>
        </w:rPr>
      </w:pPr>
      <w:r>
        <w:rPr>
          <w:rFonts w:ascii="Arial" w:cs="Arial" w:eastAsia="Arial" w:hAnsi="Arial"/>
          <w:sz w:val="14"/>
          <w:szCs w:val="14"/>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8" w:name="page29"/>
    <w:bookmarkEnd w:id="2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40" w:right="59" w:firstLine="547"/>
        <w:spacing w:after="0" w:line="266" w:lineRule="auto"/>
        <w:rPr>
          <w:sz w:val="20"/>
          <w:szCs w:val="20"/>
          <w:color w:val="auto"/>
        </w:rPr>
      </w:pPr>
      <w:r>
        <w:rPr>
          <w:rFonts w:ascii="Arial" w:cs="Arial" w:eastAsia="Arial" w:hAnsi="Arial"/>
          <w:sz w:val="15"/>
          <w:szCs w:val="15"/>
          <w:color w:val="auto"/>
        </w:rPr>
        <w:t>Both the USF and CAFII programs are subject to certain operational and reporting compliance requirements. The Company believes it is in compliance with these requirements as of June 30, 2022. Revenue recognized from the USF and CAFII programs is recognized as revenue from government grants. Revenue from other programs is recognized in accordance with ASC 606.</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RDOF (“Rural Digital Opportunities Fund”)</w:t>
      </w:r>
    </w:p>
    <w:p>
      <w:pPr>
        <w:spacing w:after="0" w:line="192" w:lineRule="exact"/>
        <w:rPr>
          <w:sz w:val="20"/>
          <w:szCs w:val="20"/>
          <w:color w:val="auto"/>
        </w:rPr>
      </w:pPr>
    </w:p>
    <w:p>
      <w:pPr>
        <w:jc w:val="both"/>
        <w:ind w:left="40" w:right="59" w:firstLine="547"/>
        <w:spacing w:after="0" w:line="316" w:lineRule="auto"/>
        <w:rPr>
          <w:sz w:val="20"/>
          <w:szCs w:val="20"/>
          <w:color w:val="auto"/>
        </w:rPr>
      </w:pPr>
      <w:r>
        <w:rPr>
          <w:rFonts w:ascii="Arial" w:cs="Arial" w:eastAsia="Arial" w:hAnsi="Arial"/>
          <w:sz w:val="14"/>
          <w:szCs w:val="14"/>
          <w:color w:val="auto"/>
        </w:rPr>
        <w:t>The Company expects to receive approximately $20.1 million over 10 years to provide broadband and voice coverage to over 10,000 households in the United States (not including Alaska) under the 2020 Rural Digital Opportunity Fund Phase I Auction (“RDOF”).</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recorded the amounts below as communication services revenue for the reported periods: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6"/>
          </w:tcPr>
          <w:p>
            <w:pPr>
              <w:jc w:val="center"/>
              <w:spacing w:after="0"/>
              <w:rPr>
                <w:sz w:val="20"/>
                <w:szCs w:val="20"/>
                <w:color w:val="auto"/>
              </w:rPr>
            </w:pPr>
            <w:r>
              <w:rPr>
                <w:rFonts w:ascii="Arial" w:cs="Arial" w:eastAsia="Arial" w:hAnsi="Arial"/>
                <w:sz w:val="12"/>
                <w:szCs w:val="12"/>
                <w:b w:val="1"/>
                <w:bCs w:val="1"/>
                <w:color w:val="auto"/>
                <w:w w:val="89"/>
              </w:rPr>
              <w:t>Three months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Six months ended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2"/>
                <w:szCs w:val="12"/>
                <w:b w:val="1"/>
                <w:bCs w:val="1"/>
                <w:color w:val="auto"/>
                <w:w w:val="89"/>
              </w:rPr>
              <w:t>June 30, 2022</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89"/>
              </w:rPr>
              <w:t>June 30, 2022</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w w:val="87"/>
              </w:rPr>
              <w:t>US Telecom</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4"/>
              </w:rPr>
              <w:t>International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24"/>
                <w:szCs w:val="2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US Telecom</w:t>
            </w:r>
          </w:p>
        </w:tc>
        <w:tc>
          <w:tcPr>
            <w:tcW w:w="14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International</w:t>
            </w:r>
          </w:p>
        </w:tc>
        <w:tc>
          <w:tcPr>
            <w:tcW w:w="160" w:type="dxa"/>
            <w:vAlign w:val="bottom"/>
          </w:tcPr>
          <w:p>
            <w:pPr>
              <w:spacing w:after="0"/>
              <w:rPr>
                <w:sz w:val="24"/>
                <w:szCs w:val="24"/>
                <w:color w:val="auto"/>
              </w:rPr>
            </w:pP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vMerge w:val="restart"/>
          </w:tcPr>
          <w:p>
            <w:pPr>
              <w:jc w:val="center"/>
              <w:ind w:right="280"/>
              <w:spacing w:after="0" w:line="134" w:lineRule="exact"/>
              <w:rPr>
                <w:sz w:val="20"/>
                <w:szCs w:val="20"/>
                <w:color w:val="auto"/>
              </w:rPr>
            </w:pPr>
            <w:r>
              <w:rPr>
                <w:rFonts w:ascii="Arial" w:cs="Arial" w:eastAsia="Arial" w:hAnsi="Arial"/>
                <w:sz w:val="12"/>
                <w:szCs w:val="12"/>
                <w:b w:val="1"/>
                <w:bCs w:val="1"/>
                <w:color w:val="auto"/>
                <w:w w:val="86"/>
              </w:rPr>
              <w:t>Telecom</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86"/>
              </w:rPr>
              <w:t>Telecom</w:t>
            </w: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4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High cost support</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w:t>
            </w:r>
          </w:p>
        </w:tc>
        <w:tc>
          <w:tcPr>
            <w:tcW w:w="300" w:type="dxa"/>
            <w:vAlign w:val="bottom"/>
            <w:gridSpan w:val="4"/>
            <w:shd w:val="clear" w:color="auto" w:fill="CCEEFF"/>
          </w:tcPr>
          <w:p>
            <w:pPr>
              <w:jc w:val="right"/>
              <w:ind w:right="16"/>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7,567</w:t>
            </w:r>
          </w:p>
        </w:tc>
        <w:tc>
          <w:tcPr>
            <w:tcW w:w="0" w:type="dxa"/>
            <w:vAlign w:val="bottom"/>
          </w:tcPr>
          <w:p>
            <w:pPr>
              <w:spacing w:after="0"/>
              <w:rPr>
                <w:sz w:val="1"/>
                <w:szCs w:val="1"/>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5"/>
                <w:szCs w:val="15"/>
                <w:color w:val="auto"/>
              </w:rPr>
              <w:t>CAF II</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6,822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13,644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13,644</w:t>
            </w: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RDOF</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Programs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6,167</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11,228</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11,265</w:t>
            </w:r>
          </w:p>
        </w:tc>
        <w:tc>
          <w:tcPr>
            <w:tcW w:w="0" w:type="dxa"/>
            <w:vAlign w:val="bottom"/>
          </w:tcPr>
          <w:p>
            <w:pPr>
              <w:spacing w:after="0"/>
              <w:rPr>
                <w:sz w:val="1"/>
                <w:szCs w:val="1"/>
                <w:color w:val="auto"/>
              </w:rPr>
            </w:pPr>
          </w:p>
        </w:tc>
      </w:tr>
      <w:tr>
        <w:trPr>
          <w:trHeight w:val="174"/>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14,456</w:t>
            </w:r>
          </w:p>
        </w:tc>
        <w:tc>
          <w:tcPr>
            <w:tcW w:w="140" w:type="dxa"/>
            <w:vAlign w:val="bottom"/>
            <w:gridSpan w:val="2"/>
            <w:shd w:val="clear" w:color="auto" w:fill="CCEEFF"/>
          </w:tcPr>
          <w:p>
            <w:pPr>
              <w:spacing w:after="0"/>
              <w:rPr>
                <w:sz w:val="15"/>
                <w:szCs w:val="15"/>
                <w:color w:val="auto"/>
              </w:rPr>
            </w:pP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33,432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8"/>
          </w:tcPr>
          <w:p>
            <w:pPr>
              <w:jc w:val="center"/>
              <w:ind w:right="104"/>
              <w:spacing w:after="0"/>
              <w:rPr>
                <w:sz w:val="20"/>
                <w:szCs w:val="20"/>
                <w:color w:val="auto"/>
              </w:rPr>
            </w:pPr>
            <w:r>
              <w:rPr>
                <w:rFonts w:ascii="Arial" w:cs="Arial" w:eastAsia="Arial" w:hAnsi="Arial"/>
                <w:sz w:val="12"/>
                <w:szCs w:val="12"/>
                <w:b w:val="1"/>
                <w:bCs w:val="1"/>
                <w:color w:val="auto"/>
                <w:w w:val="89"/>
              </w:rPr>
              <w:t>Three months ended</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2"/>
                <w:szCs w:val="12"/>
                <w:b w:val="1"/>
                <w:bCs w:val="1"/>
                <w:color w:val="auto"/>
                <w:w w:val="88"/>
              </w:rPr>
              <w:t>Six months ended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9"/>
              </w:rPr>
              <w:t>June 30, 2021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June 30, 2021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vMerge w:val="restart"/>
          </w:tcPr>
          <w:p>
            <w:pPr>
              <w:jc w:val="right"/>
              <w:ind w:right="27"/>
              <w:spacing w:after="0"/>
              <w:rPr>
                <w:sz w:val="20"/>
                <w:szCs w:val="20"/>
                <w:color w:val="auto"/>
              </w:rPr>
            </w:pPr>
            <w:r>
              <w:rPr>
                <w:rFonts w:ascii="Arial" w:cs="Arial" w:eastAsia="Arial" w:hAnsi="Arial"/>
                <w:sz w:val="12"/>
                <w:szCs w:val="12"/>
                <w:b w:val="1"/>
                <w:bCs w:val="1"/>
                <w:color w:val="auto"/>
                <w:w w:val="90"/>
              </w:rPr>
              <w:t>US Telecom</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4"/>
              </w:rPr>
              <w:t>International</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23"/>
                <w:szCs w:val="2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US Telecom</w:t>
            </w:r>
          </w:p>
        </w:tc>
        <w:tc>
          <w:tcPr>
            <w:tcW w:w="140" w:type="dxa"/>
            <w:vAlign w:val="bottom"/>
          </w:tcPr>
          <w:p>
            <w:pPr>
              <w:spacing w:after="0"/>
              <w:rPr>
                <w:sz w:val="23"/>
                <w:szCs w:val="2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International</w:t>
            </w:r>
          </w:p>
        </w:tc>
        <w:tc>
          <w:tcPr>
            <w:tcW w:w="160" w:type="dxa"/>
            <w:vAlign w:val="bottom"/>
          </w:tcPr>
          <w:p>
            <w:pPr>
              <w:spacing w:after="0"/>
              <w:rPr>
                <w:sz w:val="23"/>
                <w:szCs w:val="23"/>
                <w:color w:val="auto"/>
              </w:rPr>
            </w:pP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86"/>
              </w:rPr>
              <w:t>Telecom</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6"/>
              </w:rPr>
              <w:t>Telecom</w:t>
            </w: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3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High cost support</w:t>
            </w:r>
          </w:p>
        </w:tc>
        <w:tc>
          <w:tcPr>
            <w:tcW w:w="10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9,007</w:t>
            </w:r>
          </w:p>
        </w:tc>
        <w:tc>
          <w:tcPr>
            <w:tcW w:w="0" w:type="dxa"/>
            <w:vAlign w:val="bottom"/>
          </w:tcPr>
          <w:p>
            <w:pPr>
              <w:spacing w:after="0"/>
              <w:rPr>
                <w:sz w:val="1"/>
                <w:szCs w:val="1"/>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5"/>
                <w:szCs w:val="15"/>
                <w:color w:val="auto"/>
              </w:rPr>
              <w:t>CAF II</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1,899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3,798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3,798</w:t>
            </w:r>
          </w:p>
        </w:tc>
        <w:tc>
          <w:tcPr>
            <w:tcW w:w="0" w:type="dxa"/>
            <w:vAlign w:val="bottom"/>
          </w:tcPr>
          <w:p>
            <w:pPr>
              <w:spacing w:after="0"/>
              <w:rPr>
                <w:sz w:val="1"/>
                <w:szCs w:val="1"/>
                <w:color w:val="auto"/>
              </w:rPr>
            </w:pPr>
          </w:p>
        </w:tc>
      </w:tr>
      <w:tr>
        <w:trPr>
          <w:trHeight w:val="182"/>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Other Programs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1,777</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1,787</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3,894</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3,919</w:t>
            </w:r>
          </w:p>
        </w:tc>
        <w:tc>
          <w:tcPr>
            <w:tcW w:w="0" w:type="dxa"/>
            <w:vAlign w:val="bottom"/>
          </w:tcPr>
          <w:p>
            <w:pPr>
              <w:spacing w:after="0"/>
              <w:rPr>
                <w:sz w:val="1"/>
                <w:szCs w:val="1"/>
                <w:color w:val="auto"/>
              </w:rPr>
            </w:pPr>
          </w:p>
        </w:tc>
      </w:tr>
      <w:tr>
        <w:trPr>
          <w:trHeight w:val="174"/>
        </w:trPr>
        <w:tc>
          <w:tcPr>
            <w:tcW w:w="3420" w:type="dxa"/>
            <w:vAlign w:val="bottom"/>
          </w:tcPr>
          <w:p>
            <w:pPr>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3,987</w:t>
            </w:r>
          </w:p>
        </w:tc>
        <w:tc>
          <w:tcPr>
            <w:tcW w:w="20" w:type="dxa"/>
            <w:vAlign w:val="bottom"/>
            <w:tcBorders>
              <w:bottom w:val="single" w:sz="8" w:color="auto"/>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4,305</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8,292</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8,314</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right="79" w:firstLine="547"/>
        <w:spacing w:after="0" w:line="282" w:lineRule="auto"/>
        <w:rPr>
          <w:sz w:val="20"/>
          <w:szCs w:val="20"/>
          <w:color w:val="auto"/>
        </w:rPr>
      </w:pPr>
      <w:r>
        <w:rPr>
          <w:rFonts w:ascii="Arial" w:cs="Arial" w:eastAsia="Arial" w:hAnsi="Arial"/>
          <w:sz w:val="14"/>
          <w:szCs w:val="14"/>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scheduled to be reduced again to $5.5 million for the annual period through June 2023. Thereafter, Viya is not expected to receive support under the High Cost Program.</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Construction Grants</w:t>
      </w:r>
    </w:p>
    <w:p>
      <w:pPr>
        <w:spacing w:after="0" w:line="196" w:lineRule="exact"/>
        <w:rPr>
          <w:sz w:val="20"/>
          <w:szCs w:val="20"/>
          <w:color w:val="auto"/>
        </w:rPr>
      </w:pPr>
    </w:p>
    <w:p>
      <w:pPr>
        <w:jc w:val="both"/>
        <w:ind w:left="40" w:right="39" w:firstLine="547"/>
        <w:spacing w:after="0" w:line="309" w:lineRule="auto"/>
        <w:rPr>
          <w:sz w:val="20"/>
          <w:szCs w:val="20"/>
          <w:color w:val="auto"/>
        </w:rPr>
      </w:pPr>
      <w:r>
        <w:rPr>
          <w:rFonts w:ascii="Arial" w:cs="Arial" w:eastAsia="Arial" w:hAnsi="Arial"/>
          <w:sz w:val="13"/>
          <w:szCs w:val="13"/>
          <w:color w:val="auto"/>
        </w:rPr>
        <w:t>The Company has also been awarded construction grants to build network connectivity for eligible communities. The funding of these grants, used to reimburse the Company for its construction costs, is distributed upon completion of a project. As of December 31, 2021, the Company had been awarded approximately $27.9 million of such grants. The Company was awarded $0.4 million of additional grants and cancelled $2.1 million of previously awarded grants in the six months ended June 30, 2022. Of the $26.2 million of retained awards, the Company has completed its construction obligations on $17.1 million of these projects and $9.1 million of such construction obligations remain with</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29" w:name="page30"/>
    <w:bookmarkEnd w:id="2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completion deadlines beginning in June 2023. Once these projects are constructed, the Company is obligated to provide service to the participants.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Company expects to meet all requirements associated with these grants.</w:t>
      </w:r>
    </w:p>
    <w:p>
      <w:pPr>
        <w:spacing w:after="0" w:line="183"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5"/>
          <w:szCs w:val="15"/>
          <w:color w:val="auto"/>
        </w:rPr>
        <w:t>During July 2022, we were awarded a grant for approximately $10 million to provide fiber connectivity to certain areas within southern Apache County, Arizona. We are currently assessing the impact that this award will have on our financial statements.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Replace and Remove Program</w:t>
      </w:r>
    </w:p>
    <w:p>
      <w:pPr>
        <w:spacing w:after="0" w:line="192" w:lineRule="exact"/>
        <w:rPr>
          <w:sz w:val="20"/>
          <w:szCs w:val="20"/>
          <w:color w:val="auto"/>
        </w:rPr>
      </w:pPr>
    </w:p>
    <w:p>
      <w:pPr>
        <w:ind w:left="40" w:right="79" w:firstLine="547"/>
        <w:spacing w:after="0" w:line="300" w:lineRule="auto"/>
        <w:rPr>
          <w:sz w:val="20"/>
          <w:szCs w:val="20"/>
          <w:color w:val="auto"/>
        </w:rPr>
      </w:pPr>
      <w:r>
        <w:rPr>
          <w:rFonts w:ascii="Arial" w:cs="Arial" w:eastAsia="Arial" w:hAnsi="Arial"/>
          <w:sz w:val="13"/>
          <w:szCs w:val="13"/>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its first request for reimbursement for services performed under the program no later than July 14, 2023 and that it complete the project no later than one year from submitting its initial reimbursement request. The Company is currently assessing the impact of this program on its financial statements and anticipates that it will be able to meet the deadlines and requirements of the program.</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CARES Act</w:t>
      </w:r>
    </w:p>
    <w:p>
      <w:pPr>
        <w:spacing w:after="0" w:line="196" w:lineRule="exact"/>
        <w:rPr>
          <w:sz w:val="20"/>
          <w:szCs w:val="20"/>
          <w:color w:val="auto"/>
        </w:rPr>
      </w:pPr>
    </w:p>
    <w:p>
      <w:pPr>
        <w:ind w:left="40" w:right="159" w:firstLine="547"/>
        <w:spacing w:after="0" w:line="282" w:lineRule="auto"/>
        <w:rPr>
          <w:sz w:val="20"/>
          <w:szCs w:val="20"/>
          <w:color w:val="auto"/>
        </w:rPr>
      </w:pPr>
      <w:r>
        <w:rPr>
          <w:rFonts w:ascii="Arial" w:cs="Arial" w:eastAsia="Arial" w:hAnsi="Arial"/>
          <w:sz w:val="14"/>
          <w:szCs w:val="14"/>
          <w:color w:val="auto"/>
        </w:rPr>
        <w:t>As of December 31, 2020, the Company had received $16.3 million of funding under the Coronavirus Aid, Relief, and Economic Security Act (“CARES Act”) to construct network infrastructure within the Company’s US Telecom segment. During the year ended December 31, 2021, the Company received an additional $2.4 million of funding for the same purpose. The construction was completed as of December 31, 2021 and $18.4 million of the funding was recorded as a reduction to property, plant and equipment with a subsequent reduction to depreciation expense. The remaining $0.3 million was recorded as a reduction to operating expense in the year ended December 31, 2021.</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CBRS Auction</w:t>
      </w:r>
    </w:p>
    <w:p>
      <w:pPr>
        <w:spacing w:after="0" w:line="196"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4"/>
          <w:szCs w:val="14"/>
          <w:color w:val="auto"/>
        </w:rPr>
        <w:t>During the third quarter of 2020, the Company participated in the FCC’s Citizens Broadband Radio Service (CBRS) auction for Priority Access Licenses (PALs) in the 3.5 GHz spectrum band. These PALs are licensed on a county-by-county basis and are awarded for a 10-year renewable term. The Company was a winning bidder for PALs located strategically throughout the United States at a total cost of approximately $20.4 million. In the third quarter of 2022, the Company surrendered a portion of the PALs that it won in the auction in exchange for repayment of the approximately $1.1 million paid for such licenses, and entered into a Consent Decree with the FCC with respect to such surrender and receipt of the remaining licenses. In connection with the awarded licenses, the Company will have to achieve certain CBRS spectrum build out obligations. The Company currently expects to comply with all applicable requirements related to these licenses.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0" w:name="page31"/>
    <w:bookmarkEnd w:id="3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10. RETIREMENT PLANS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Multi-employer Defined Benefit Plan</w:t>
      </w:r>
    </w:p>
    <w:p>
      <w:pPr>
        <w:spacing w:after="0" w:line="192" w:lineRule="exact"/>
        <w:rPr>
          <w:sz w:val="20"/>
          <w:szCs w:val="20"/>
          <w:color w:val="auto"/>
        </w:rPr>
      </w:pPr>
    </w:p>
    <w:p>
      <w:pPr>
        <w:ind w:left="40" w:right="79" w:firstLine="547"/>
        <w:spacing w:after="0" w:line="262" w:lineRule="auto"/>
        <w:rPr>
          <w:sz w:val="20"/>
          <w:szCs w:val="20"/>
          <w:color w:val="auto"/>
        </w:rPr>
      </w:pPr>
      <w:r>
        <w:rPr>
          <w:rFonts w:ascii="Arial" w:cs="Arial" w:eastAsia="Arial" w:hAnsi="Arial"/>
          <w:sz w:val="15"/>
          <w:szCs w:val="15"/>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 are not determined for, or allocated separately to, the individual employer. This plan was not in endangered or critical status during the plan year.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Defined Benefit Plan</w:t>
      </w:r>
    </w:p>
    <w:p>
      <w:pPr>
        <w:spacing w:after="0" w:line="192" w:lineRule="exact"/>
        <w:rPr>
          <w:sz w:val="20"/>
          <w:szCs w:val="20"/>
          <w:color w:val="auto"/>
        </w:rPr>
      </w:pPr>
    </w:p>
    <w:p>
      <w:pPr>
        <w:ind w:left="40" w:right="99" w:firstLine="547"/>
        <w:spacing w:after="0" w:line="260" w:lineRule="auto"/>
        <w:rPr>
          <w:sz w:val="20"/>
          <w:szCs w:val="20"/>
          <w:color w:val="auto"/>
        </w:rPr>
      </w:pPr>
      <w:r>
        <w:rPr>
          <w:rFonts w:ascii="Arial" w:cs="Arial" w:eastAsia="Arial" w:hAnsi="Arial"/>
          <w:sz w:val="15"/>
          <w:szCs w:val="15"/>
          <w:color w:val="auto"/>
        </w:rPr>
        <w:t>The Company has noncontributory defined benefit pension and noncontributory defined medical, dental, vision, and life benefit plans for eligible employees in its International Telecom segment who meet certain eligibility criteria. As part of the Alaska Transaction, the Company acquired a defined benefit pension plan and a post-retirement medical plan covering certain employees. The pension plan had a projected benefit obligation of $15.4 million and plan assets of $12.1 million on July 22, 2021. The post-retirement medical plan is unfunded and had a projected benefit obligation of $0.4 million on July 22, 2021.</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 recorded the net periodic benefit cost identified below (in thousands):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2"/>
                <w:szCs w:val="12"/>
                <w:b w:val="1"/>
                <w:bCs w:val="1"/>
                <w:color w:val="auto"/>
              </w:rPr>
              <w:t>Six months ended</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2"/>
                <w:szCs w:val="12"/>
                <w:b w:val="1"/>
                <w:bCs w:val="1"/>
                <w:color w:val="auto"/>
              </w:rPr>
              <w:t>June 30, 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2"/>
                <w:szCs w:val="12"/>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2"/>
                <w:szCs w:val="12"/>
                <w:b w:val="1"/>
                <w:bCs w:val="1"/>
                <w:color w:val="auto"/>
              </w:rPr>
              <w:t>June 30, 2022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2"/>
                <w:szCs w:val="12"/>
                <w:b w:val="1"/>
                <w:bCs w:val="1"/>
                <w:color w:val="auto"/>
              </w:rPr>
              <w:t>June 30, 2021</w:t>
            </w:r>
          </w:p>
        </w:tc>
        <w:tc>
          <w:tcPr>
            <w:tcW w:w="0" w:type="dxa"/>
            <w:vAlign w:val="bottom"/>
          </w:tcPr>
          <w:p>
            <w:pPr>
              <w:spacing w:after="0"/>
              <w:rPr>
                <w:sz w:val="1"/>
                <w:szCs w:val="1"/>
                <w:color w:val="auto"/>
              </w:rPr>
            </w:pPr>
          </w:p>
        </w:tc>
      </w:tr>
      <w:tr>
        <w:trPr>
          <w:trHeight w:val="97"/>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ind w:right="70"/>
              <w:spacing w:after="0" w:line="97" w:lineRule="exact"/>
              <w:rPr>
                <w:sz w:val="20"/>
                <w:szCs w:val="20"/>
                <w:color w:val="auto"/>
              </w:rPr>
            </w:pPr>
            <w:r>
              <w:rPr>
                <w:rFonts w:ascii="Arial" w:cs="Arial" w:eastAsia="Arial" w:hAnsi="Arial"/>
                <w:sz w:val="11"/>
                <w:szCs w:val="11"/>
                <w:b w:val="1"/>
                <w:bCs w:val="1"/>
                <w:color w:val="auto"/>
                <w:w w:val="98"/>
              </w:rPr>
              <w:t>Pension</w:t>
            </w:r>
          </w:p>
        </w:tc>
        <w:tc>
          <w:tcPr>
            <w:tcW w:w="80" w:type="dxa"/>
            <w:vAlign w:val="bottom"/>
          </w:tcPr>
          <w:p>
            <w:pPr>
              <w:spacing w:after="0"/>
              <w:rPr>
                <w:sz w:val="8"/>
                <w:szCs w:val="8"/>
                <w:color w:val="auto"/>
              </w:rPr>
            </w:pPr>
          </w:p>
        </w:tc>
        <w:tc>
          <w:tcPr>
            <w:tcW w:w="860" w:type="dxa"/>
            <w:vAlign w:val="bottom"/>
          </w:tcPr>
          <w:p>
            <w:pPr>
              <w:jc w:val="right"/>
              <w:ind w:right="30"/>
              <w:spacing w:after="0" w:line="97" w:lineRule="exact"/>
              <w:rPr>
                <w:sz w:val="20"/>
                <w:szCs w:val="20"/>
                <w:color w:val="auto"/>
              </w:rPr>
            </w:pPr>
            <w:r>
              <w:rPr>
                <w:rFonts w:ascii="Arial" w:cs="Arial" w:eastAsia="Arial" w:hAnsi="Arial"/>
                <w:sz w:val="11"/>
                <w:szCs w:val="11"/>
                <w:b w:val="1"/>
                <w:bCs w:val="1"/>
                <w:color w:val="auto"/>
                <w:w w:val="95"/>
              </w:rPr>
              <w:t>Postretirement</w:t>
            </w:r>
          </w:p>
        </w:tc>
        <w:tc>
          <w:tcPr>
            <w:tcW w:w="120" w:type="dxa"/>
            <w:vAlign w:val="bottom"/>
          </w:tcPr>
          <w:p>
            <w:pPr>
              <w:spacing w:after="0"/>
              <w:rPr>
                <w:sz w:val="8"/>
                <w:szCs w:val="8"/>
                <w:color w:val="auto"/>
              </w:rPr>
            </w:pPr>
          </w:p>
        </w:tc>
        <w:tc>
          <w:tcPr>
            <w:tcW w:w="540" w:type="dxa"/>
            <w:vAlign w:val="bottom"/>
            <w:gridSpan w:val="2"/>
          </w:tcPr>
          <w:p>
            <w:pPr>
              <w:jc w:val="right"/>
              <w:spacing w:after="0" w:line="97" w:lineRule="exact"/>
              <w:rPr>
                <w:sz w:val="20"/>
                <w:szCs w:val="20"/>
                <w:color w:val="auto"/>
              </w:rPr>
            </w:pPr>
            <w:r>
              <w:rPr>
                <w:rFonts w:ascii="Arial" w:cs="Arial" w:eastAsia="Arial" w:hAnsi="Arial"/>
                <w:sz w:val="11"/>
                <w:szCs w:val="11"/>
                <w:b w:val="1"/>
                <w:bCs w:val="1"/>
                <w:color w:val="auto"/>
              </w:rPr>
              <w:t>Pension</w:t>
            </w:r>
          </w:p>
        </w:tc>
        <w:tc>
          <w:tcPr>
            <w:tcW w:w="80" w:type="dxa"/>
            <w:vAlign w:val="bottom"/>
          </w:tcPr>
          <w:p>
            <w:pPr>
              <w:spacing w:after="0"/>
              <w:rPr>
                <w:sz w:val="8"/>
                <w:szCs w:val="8"/>
                <w:color w:val="auto"/>
              </w:rPr>
            </w:pPr>
          </w:p>
        </w:tc>
        <w:tc>
          <w:tcPr>
            <w:tcW w:w="820" w:type="dxa"/>
            <w:vAlign w:val="bottom"/>
          </w:tcPr>
          <w:p>
            <w:pPr>
              <w:jc w:val="right"/>
              <w:spacing w:after="0" w:line="97" w:lineRule="exact"/>
              <w:rPr>
                <w:sz w:val="20"/>
                <w:szCs w:val="20"/>
                <w:color w:val="auto"/>
              </w:rPr>
            </w:pPr>
            <w:r>
              <w:rPr>
                <w:rFonts w:ascii="Arial" w:cs="Arial" w:eastAsia="Arial" w:hAnsi="Arial"/>
                <w:sz w:val="11"/>
                <w:szCs w:val="11"/>
                <w:b w:val="1"/>
                <w:bCs w:val="1"/>
                <w:color w:val="auto"/>
                <w:w w:val="97"/>
              </w:rPr>
              <w:t>Postretirement</w:t>
            </w:r>
          </w:p>
        </w:tc>
        <w:tc>
          <w:tcPr>
            <w:tcW w:w="140" w:type="dxa"/>
            <w:vAlign w:val="bottom"/>
          </w:tcPr>
          <w:p>
            <w:pPr>
              <w:spacing w:after="0"/>
              <w:rPr>
                <w:sz w:val="8"/>
                <w:szCs w:val="8"/>
                <w:color w:val="auto"/>
              </w:rPr>
            </w:pPr>
          </w:p>
        </w:tc>
        <w:tc>
          <w:tcPr>
            <w:tcW w:w="580" w:type="dxa"/>
            <w:vAlign w:val="bottom"/>
          </w:tcPr>
          <w:p>
            <w:pPr>
              <w:jc w:val="right"/>
              <w:ind w:right="70"/>
              <w:spacing w:after="0" w:line="97" w:lineRule="exact"/>
              <w:rPr>
                <w:sz w:val="20"/>
                <w:szCs w:val="20"/>
                <w:color w:val="auto"/>
              </w:rPr>
            </w:pPr>
            <w:r>
              <w:rPr>
                <w:rFonts w:ascii="Arial" w:cs="Arial" w:eastAsia="Arial" w:hAnsi="Arial"/>
                <w:sz w:val="11"/>
                <w:szCs w:val="11"/>
                <w:b w:val="1"/>
                <w:bCs w:val="1"/>
                <w:color w:val="auto"/>
                <w:w w:val="98"/>
              </w:rPr>
              <w:t>Pension</w:t>
            </w:r>
          </w:p>
        </w:tc>
        <w:tc>
          <w:tcPr>
            <w:tcW w:w="80" w:type="dxa"/>
            <w:vAlign w:val="bottom"/>
          </w:tcPr>
          <w:p>
            <w:pPr>
              <w:spacing w:after="0"/>
              <w:rPr>
                <w:sz w:val="8"/>
                <w:szCs w:val="8"/>
                <w:color w:val="auto"/>
              </w:rPr>
            </w:pPr>
          </w:p>
        </w:tc>
        <w:tc>
          <w:tcPr>
            <w:tcW w:w="860" w:type="dxa"/>
            <w:vAlign w:val="bottom"/>
          </w:tcPr>
          <w:p>
            <w:pPr>
              <w:jc w:val="right"/>
              <w:ind w:right="10"/>
              <w:spacing w:after="0" w:line="97" w:lineRule="exact"/>
              <w:rPr>
                <w:sz w:val="20"/>
                <w:szCs w:val="20"/>
                <w:color w:val="auto"/>
              </w:rPr>
            </w:pPr>
            <w:r>
              <w:rPr>
                <w:rFonts w:ascii="Arial" w:cs="Arial" w:eastAsia="Arial" w:hAnsi="Arial"/>
                <w:sz w:val="11"/>
                <w:szCs w:val="11"/>
                <w:b w:val="1"/>
                <w:bCs w:val="1"/>
                <w:color w:val="auto"/>
                <w:w w:val="97"/>
              </w:rPr>
              <w:t>Postretirement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ind w:right="70"/>
              <w:spacing w:after="0" w:line="97" w:lineRule="exact"/>
              <w:rPr>
                <w:sz w:val="20"/>
                <w:szCs w:val="20"/>
                <w:color w:val="auto"/>
              </w:rPr>
            </w:pPr>
            <w:r>
              <w:rPr>
                <w:rFonts w:ascii="Arial" w:cs="Arial" w:eastAsia="Arial" w:hAnsi="Arial"/>
                <w:sz w:val="11"/>
                <w:szCs w:val="11"/>
                <w:b w:val="1"/>
                <w:bCs w:val="1"/>
                <w:color w:val="auto"/>
                <w:w w:val="98"/>
              </w:rPr>
              <w:t>Pension</w:t>
            </w:r>
          </w:p>
        </w:tc>
        <w:tc>
          <w:tcPr>
            <w:tcW w:w="80" w:type="dxa"/>
            <w:vAlign w:val="bottom"/>
          </w:tcPr>
          <w:p>
            <w:pPr>
              <w:spacing w:after="0"/>
              <w:rPr>
                <w:sz w:val="8"/>
                <w:szCs w:val="8"/>
                <w:color w:val="auto"/>
              </w:rPr>
            </w:pPr>
          </w:p>
        </w:tc>
        <w:tc>
          <w:tcPr>
            <w:tcW w:w="900" w:type="dxa"/>
            <w:vAlign w:val="bottom"/>
          </w:tcPr>
          <w:p>
            <w:pPr>
              <w:jc w:val="right"/>
              <w:ind w:right="29"/>
              <w:spacing w:after="0" w:line="97" w:lineRule="exact"/>
              <w:rPr>
                <w:sz w:val="20"/>
                <w:szCs w:val="20"/>
                <w:color w:val="auto"/>
              </w:rPr>
            </w:pPr>
            <w:r>
              <w:rPr>
                <w:rFonts w:ascii="Arial" w:cs="Arial" w:eastAsia="Arial" w:hAnsi="Arial"/>
                <w:sz w:val="11"/>
                <w:szCs w:val="11"/>
                <w:b w:val="1"/>
                <w:bCs w:val="1"/>
                <w:color w:val="auto"/>
              </w:rPr>
              <w:t>Postretirement</w:t>
            </w:r>
          </w:p>
        </w:tc>
        <w:tc>
          <w:tcPr>
            <w:tcW w:w="0" w:type="dxa"/>
            <w:vAlign w:val="bottom"/>
          </w:tcPr>
          <w:p>
            <w:pPr>
              <w:spacing w:after="0"/>
              <w:rPr>
                <w:sz w:val="1"/>
                <w:szCs w:val="1"/>
                <w:color w:val="auto"/>
              </w:rPr>
            </w:pPr>
          </w:p>
        </w:tc>
      </w:tr>
      <w:tr>
        <w:trPr>
          <w:trHeight w:val="145"/>
        </w:trPr>
        <w:tc>
          <w:tcPr>
            <w:tcW w:w="2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1"/>
              </w:rPr>
              <w:t>benefits</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benefits</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9"/>
              </w:rPr>
              <w:t>benefits</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benefits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1"/>
              </w:rPr>
              <w:t>benefits</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benefits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1"/>
              </w:rPr>
              <w:t>benefits</w:t>
            </w: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benefits</w:t>
            </w: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20"/>
              <w:spacing w:after="0"/>
              <w:rPr>
                <w:sz w:val="20"/>
                <w:szCs w:val="20"/>
                <w:color w:val="auto"/>
              </w:rPr>
            </w:pPr>
            <w:r>
              <w:rPr>
                <w:rFonts w:ascii="Arial" w:cs="Arial" w:eastAsia="Arial" w:hAnsi="Arial"/>
                <w:sz w:val="15"/>
                <w:szCs w:val="15"/>
                <w:color w:val="auto"/>
              </w:rPr>
              <w:t>Service cost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36</w:t>
            </w:r>
          </w:p>
        </w:tc>
        <w:tc>
          <w:tcPr>
            <w:tcW w:w="260" w:type="dxa"/>
            <w:vAlign w:val="bottom"/>
            <w:gridSpan w:val="2"/>
          </w:tcPr>
          <w:p>
            <w:pPr>
              <w:jc w:val="right"/>
              <w:ind w:right="2"/>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auto"/>
              </w:rPr>
              <w:t>Non-operating expense</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20"/>
              <w:spacing w:after="0"/>
              <w:rPr>
                <w:sz w:val="20"/>
                <w:szCs w:val="20"/>
                <w:color w:val="auto"/>
              </w:rPr>
            </w:pPr>
            <w:r>
              <w:rPr>
                <w:rFonts w:ascii="Arial" w:cs="Arial" w:eastAsia="Arial" w:hAnsi="Arial"/>
                <w:sz w:val="15"/>
                <w:szCs w:val="15"/>
                <w:color w:val="auto"/>
              </w:rPr>
              <w:t>Interest cost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565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572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1,130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1,144</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5"/>
              </w:rPr>
              <w:t>Expected return on plan assets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Settlements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(1,725)</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(1,725)</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Net periodic pension expense</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(2,028)$</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26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(2,331)$</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spacing w:after="0"/>
              <w:rPr>
                <w:sz w:val="20"/>
                <w:szCs w:val="20"/>
                <w:color w:val="auto"/>
              </w:rPr>
            </w:pPr>
            <w:r>
              <w:rPr>
                <w:rFonts w:ascii="Arial" w:cs="Arial" w:eastAsia="Arial" w:hAnsi="Arial"/>
                <w:sz w:val="15"/>
                <w:szCs w:val="15"/>
                <w:color w:val="auto"/>
              </w:rPr>
              <w:t>(benefit)</w:t>
            </w:r>
          </w:p>
        </w:tc>
        <w:tc>
          <w:tcPr>
            <w:tcW w:w="28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40" w:right="59" w:firstLine="547"/>
        <w:spacing w:after="0" w:line="294" w:lineRule="auto"/>
        <w:rPr>
          <w:sz w:val="20"/>
          <w:szCs w:val="20"/>
          <w:color w:val="auto"/>
        </w:rPr>
      </w:pPr>
      <w:r>
        <w:rPr>
          <w:rFonts w:ascii="Arial" w:cs="Arial" w:eastAsia="Arial" w:hAnsi="Arial"/>
          <w:sz w:val="14"/>
          <w:szCs w:val="14"/>
          <w:color w:val="auto"/>
        </w:rPr>
        <w:t>The Company was not required to make contributions to its pension plans during the six months ended June 30, 2022 and 2021. However, the Company periodically evaluates whether to make discretionary contributions. The Company funds its postretirement benefit plans as claims are made and did not make contributions to its pension plans during the three months ended June 30, 2022 and 2021.</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11. INCOME TAXES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effective tax rate for the three months ended June 30, 2022 and 2021 was 75.2% and (88.2%), respectively.</w:t>
      </w:r>
    </w:p>
    <w:p>
      <w:pPr>
        <w:spacing w:after="0" w:line="192" w:lineRule="exact"/>
        <w:rPr>
          <w:sz w:val="20"/>
          <w:szCs w:val="20"/>
          <w:color w:val="auto"/>
        </w:rPr>
      </w:pPr>
    </w:p>
    <w:p>
      <w:pPr>
        <w:ind w:left="40" w:right="179" w:firstLine="547"/>
        <w:spacing w:after="0" w:line="314" w:lineRule="auto"/>
        <w:rPr>
          <w:sz w:val="20"/>
          <w:szCs w:val="20"/>
          <w:color w:val="auto"/>
        </w:rPr>
      </w:pPr>
      <w:r>
        <w:rPr>
          <w:rFonts w:ascii="Arial" w:cs="Arial" w:eastAsia="Arial" w:hAnsi="Arial"/>
          <w:sz w:val="13"/>
          <w:szCs w:val="13"/>
          <w:color w:val="auto"/>
        </w:rPr>
        <w:t>The Company recorded an income tax benefit of $4.0 million in relation to a pretax loss of $5.3 million for the three months ended June 30, 2022. The effective tax rate for the three months ended June 30, 2022 was primarily impacted by the following items (i) the mix of income generated among the jurisdictions in which the Company operates and (ii) discrete items including a $3.3 million benefit from the reversal of an unrecognized tax position due to a statute of limitations expiration and a $0.3 million expense for interest on unrecognized tax positions.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1" w:name="page32"/>
    <w:bookmarkEnd w:id="3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39" w:firstLine="547"/>
        <w:spacing w:after="0" w:line="294" w:lineRule="auto"/>
        <w:rPr>
          <w:sz w:val="20"/>
          <w:szCs w:val="20"/>
          <w:color w:val="auto"/>
        </w:rPr>
      </w:pPr>
      <w:r>
        <w:rPr>
          <w:rFonts w:ascii="Arial" w:cs="Arial" w:eastAsia="Arial" w:hAnsi="Arial"/>
          <w:sz w:val="14"/>
          <w:szCs w:val="14"/>
          <w:color w:val="auto"/>
        </w:rPr>
        <w:t>The effective tax rate for the three months ended June 30, 2021 was primarily impacted by the following items: (i) the mix of income generated among the jurisdictions in which the Company operates and (ii) discrete items including a $3.4 million benefit from the reversal of an unrecognized tax position due to a statute of limitations expiration and a $0.5 million expense for interest on unrecognized tax positions.</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Company’s effective tax rate for the six months ended June 30, 2022 and 2021 was 23.8% and (19.7%), respectively.</w:t>
      </w:r>
    </w:p>
    <w:p>
      <w:pPr>
        <w:spacing w:after="0" w:line="192" w:lineRule="exact"/>
        <w:rPr>
          <w:sz w:val="20"/>
          <w:szCs w:val="20"/>
          <w:color w:val="auto"/>
        </w:rPr>
      </w:pPr>
    </w:p>
    <w:p>
      <w:pPr>
        <w:ind w:left="40" w:right="79" w:firstLine="547"/>
        <w:spacing w:after="0" w:line="258" w:lineRule="auto"/>
        <w:rPr>
          <w:sz w:val="20"/>
          <w:szCs w:val="20"/>
          <w:color w:val="auto"/>
        </w:rPr>
      </w:pPr>
      <w:r>
        <w:rPr>
          <w:rFonts w:ascii="Arial" w:cs="Arial" w:eastAsia="Arial" w:hAnsi="Arial"/>
          <w:sz w:val="15"/>
          <w:szCs w:val="15"/>
          <w:color w:val="auto"/>
        </w:rPr>
        <w:t>The Company recorded an income tax benefit of $1.0 million in relation to a pretax loss of $4.3 million for the six months ended June 30, 2022. The effective tax rate for the six months ended June 30, 2022 was primarily impacted by the following items (i) the mix of income generated among the jurisdictions in which the Company operates,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$0.8 million expense for interest on unrecognized tax positions.</w:t>
      </w:r>
    </w:p>
    <w:p>
      <w:pPr>
        <w:spacing w:after="0" w:line="163" w:lineRule="exact"/>
        <w:rPr>
          <w:sz w:val="20"/>
          <w:szCs w:val="20"/>
          <w:color w:val="auto"/>
        </w:rPr>
      </w:pPr>
    </w:p>
    <w:p>
      <w:pPr>
        <w:ind w:left="40" w:right="239" w:firstLine="547"/>
        <w:spacing w:after="0" w:line="294" w:lineRule="auto"/>
        <w:rPr>
          <w:sz w:val="20"/>
          <w:szCs w:val="20"/>
          <w:color w:val="auto"/>
        </w:rPr>
      </w:pPr>
      <w:r>
        <w:rPr>
          <w:rFonts w:ascii="Arial" w:cs="Arial" w:eastAsia="Arial" w:hAnsi="Arial"/>
          <w:sz w:val="14"/>
          <w:szCs w:val="14"/>
          <w:color w:val="auto"/>
        </w:rPr>
        <w:t>The effective tax rate for the six months ended June 30, 2021 was primarily impacted by the following items: (i) the mix of income generated among the jurisdictions in which the Company operates and (ii) discrete items including a $3.4 million benefit from the reversal of an unrecognized tax position due to a statute of limitations expiration and a $1.0 million expense for interest on unrecognized tax positions.</w:t>
      </w:r>
    </w:p>
    <w:p>
      <w:pPr>
        <w:spacing w:after="0" w:line="137" w:lineRule="exact"/>
        <w:rPr>
          <w:sz w:val="20"/>
          <w:szCs w:val="20"/>
          <w:color w:val="auto"/>
        </w:rPr>
      </w:pPr>
    </w:p>
    <w:p>
      <w:pPr>
        <w:ind w:left="40" w:right="99" w:firstLine="547"/>
        <w:spacing w:after="0" w:line="278" w:lineRule="auto"/>
        <w:rPr>
          <w:sz w:val="20"/>
          <w:szCs w:val="20"/>
          <w:color w:val="auto"/>
        </w:rPr>
      </w:pPr>
      <w:r>
        <w:rPr>
          <w:rFonts w:ascii="Arial" w:cs="Arial" w:eastAsia="Arial" w:hAnsi="Arial"/>
          <w:sz w:val="14"/>
          <w:szCs w:val="14"/>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2" w:name="page33"/>
    <w:bookmarkEnd w:id="3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12. EARNINGS PER SHARE AND REDEEMABLE NONCONTROLLING INTERESTS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Earnings Per Share</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following table reconciles the numerator and denominator in the computations of basic and diluted earnings per share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2"/>
                <w:szCs w:val="12"/>
                <w:b w:val="1"/>
                <w:bCs w:val="1"/>
                <w:color w:val="auto"/>
                <w:w w:val="94"/>
              </w:rPr>
              <w:t>Three months ended June 30,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2022</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w w:val="92"/>
              </w:rPr>
              <w:t>Net income (loss) attributable to ATN International, Inc. stockholders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2,019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(1,471)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Less: Preferred dividends</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(1,154)</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(2,270)</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tcPr>
          <w:p>
            <w:pPr>
              <w:spacing w:after="0" w:line="152" w:lineRule="exact"/>
              <w:rPr>
                <w:sz w:val="20"/>
                <w:szCs w:val="20"/>
                <w:color w:val="auto"/>
              </w:rPr>
            </w:pPr>
            <w:r>
              <w:rPr>
                <w:rFonts w:ascii="Arial" w:cs="Arial" w:eastAsia="Arial" w:hAnsi="Arial"/>
                <w:sz w:val="15"/>
                <w:szCs w:val="15"/>
                <w:color w:val="auto"/>
                <w:w w:val="98"/>
              </w:rPr>
              <w:t>Net income (loss) attributable to ATN International, Inc. common</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(1,679)</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2,019</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(3,741)</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4,723</w:t>
            </w:r>
          </w:p>
        </w:tc>
        <w:tc>
          <w:tcPr>
            <w:tcW w:w="0" w:type="dxa"/>
            <w:vAlign w:val="bottom"/>
          </w:tcPr>
          <w:p>
            <w:pPr>
              <w:spacing w:after="0"/>
              <w:rPr>
                <w:sz w:val="1"/>
                <w:szCs w:val="1"/>
                <w:color w:val="auto"/>
              </w:rPr>
            </w:pPr>
          </w:p>
        </w:tc>
      </w:tr>
      <w:tr>
        <w:trPr>
          <w:trHeight w:val="221"/>
        </w:trPr>
        <w:tc>
          <w:tcPr>
            <w:tcW w:w="4240" w:type="dxa"/>
            <w:vAlign w:val="bottom"/>
            <w:gridSpan w:val="2"/>
          </w:tcPr>
          <w:p>
            <w:pPr>
              <w:spacing w:after="0"/>
              <w:rPr>
                <w:sz w:val="20"/>
                <w:szCs w:val="20"/>
                <w:color w:val="auto"/>
              </w:rPr>
            </w:pPr>
            <w:r>
              <w:rPr>
                <w:rFonts w:ascii="Arial" w:cs="Arial" w:eastAsia="Arial" w:hAnsi="Arial"/>
                <w:sz w:val="15"/>
                <w:szCs w:val="15"/>
                <w:color w:val="auto"/>
              </w:rPr>
              <w:t>stockholders</w:t>
            </w: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b w:val="1"/>
                <w:bCs w:val="1"/>
                <w:color w:val="auto"/>
              </w:rPr>
              <w:t>Denominator: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shares outstanding- Basic</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15,736</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Effective of dilutive securities: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w w:val="98"/>
              </w:rPr>
              <w:t>Stock options, restricted stock units and performance stock units</w:t>
            </w: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74"/>
        </w:trPr>
        <w:tc>
          <w:tcPr>
            <w:tcW w:w="4240" w:type="dxa"/>
            <w:vAlign w:val="bottom"/>
            <w:gridSpan w:val="2"/>
          </w:tcPr>
          <w:p>
            <w:pPr>
              <w:spacing w:after="0"/>
              <w:rPr>
                <w:sz w:val="20"/>
                <w:szCs w:val="20"/>
                <w:color w:val="auto"/>
              </w:rPr>
            </w:pPr>
            <w:r>
              <w:rPr>
                <w:rFonts w:ascii="Arial" w:cs="Arial" w:eastAsia="Arial" w:hAnsi="Arial"/>
                <w:sz w:val="15"/>
                <w:szCs w:val="15"/>
                <w:color w:val="auto"/>
              </w:rPr>
              <w:t>Weighted-average shares outstanding- Diluted</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15,749</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15,921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15,736</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40" w:right="59" w:firstLine="547"/>
        <w:spacing w:after="0" w:line="279" w:lineRule="auto"/>
        <w:rPr>
          <w:sz w:val="20"/>
          <w:szCs w:val="20"/>
          <w:color w:val="auto"/>
        </w:rPr>
      </w:pPr>
      <w:r>
        <w:rPr>
          <w:rFonts w:ascii="Arial" w:cs="Arial" w:eastAsia="Arial" w:hAnsi="Arial"/>
          <w:sz w:val="15"/>
          <w:szCs w:val="15"/>
          <w:color w:val="auto"/>
        </w:rPr>
        <w:t>For each of the three and six months ended June 30, 2021, the calculations of basic and diluted weighted average shares of common stock outstanding do not include 5,000 shares relating to stock options as the effects of those options were anti-dilutive.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Redeemable Noncontrolling Interests</w:t>
      </w:r>
    </w:p>
    <w:p>
      <w:pPr>
        <w:spacing w:after="0" w:line="192" w:lineRule="exact"/>
        <w:rPr>
          <w:sz w:val="20"/>
          <w:szCs w:val="20"/>
          <w:color w:val="auto"/>
        </w:rPr>
      </w:pPr>
    </w:p>
    <w:p>
      <w:pPr>
        <w:ind w:left="40" w:right="119" w:firstLine="547"/>
        <w:spacing w:after="0" w:line="276" w:lineRule="auto"/>
        <w:rPr>
          <w:sz w:val="20"/>
          <w:szCs w:val="20"/>
          <w:color w:val="auto"/>
        </w:rPr>
      </w:pPr>
      <w:r>
        <w:rPr>
          <w:rFonts w:ascii="Arial" w:cs="Arial" w:eastAsia="Arial" w:hAnsi="Arial"/>
          <w:sz w:val="14"/>
          <w:szCs w:val="14"/>
          <w:color w:val="auto"/>
        </w:rPr>
        <w:t>In connection with the Alaska Transaction, the Company has accounted for the Freedom 3 Investment as redeemable noncontrolling interests in its consolidated financial statements. The redeemable noncontrolling interests consist of $22.6 million of redeemable common units and $48.3 million of redeemable preferred units. The common units contain a put option allowing the holder to sell the common units to a subsidiary of the Company at the then fair market value. The put option is solely the obligation of Alaska Communications and is nonrecourse to the Company. The put option begins at the earlier of a future initial public offering of the Alaska Communications operations or July 2028. The fair value of the common units remained at $22.6 million at June 30, 2022, unchanged from the value at July 22, 2021. The redeemable preferred equity carries a 9% preferred dividend which compounds quarterly. The preferred units contain a put option allowing the holder to sell the preferred units to a subsidiary of the Company at the unpaid issue price plus unpaid dividends. The put option is solely the obligation of Alaska Communications and is nonrecourse to the Company. The put option begins at the earlier of a future initial public offering of the Alaska Communications operations or July 2028. The unpaid preferred dividend was $4.3 million at June 30, 2022.</w:t>
      </w:r>
    </w:p>
    <w:p>
      <w:pPr>
        <w:spacing w:after="0" w:line="153" w:lineRule="exact"/>
        <w:rPr>
          <w:sz w:val="20"/>
          <w:szCs w:val="20"/>
          <w:color w:val="auto"/>
        </w:rPr>
      </w:pPr>
    </w:p>
    <w:p>
      <w:pPr>
        <w:ind w:left="40" w:right="99" w:firstLine="547"/>
        <w:spacing w:after="0" w:line="266" w:lineRule="auto"/>
        <w:rPr>
          <w:sz w:val="20"/>
          <w:szCs w:val="20"/>
          <w:color w:val="auto"/>
        </w:rPr>
      </w:pPr>
      <w:r>
        <w:rPr>
          <w:rFonts w:ascii="Arial" w:cs="Arial" w:eastAsia="Arial" w:hAnsi="Arial"/>
          <w:sz w:val="15"/>
          <w:szCs w:val="15"/>
          <w:color w:val="auto"/>
        </w:rPr>
        <w:t>For the three and six months ended June 30, 2022, the Company allocated losses of $0.6 million and $1.7 million, respectively, to the redeemable common units representing their proportionate share of operating losses. Additionally, the fair value of the redeemable common units increased by $1.7 million during the six months ended June 30, 2022.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3" w:name="page34"/>
    <w:bookmarkEnd w:id="3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499" w:firstLine="547"/>
        <w:spacing w:after="0" w:line="279" w:lineRule="auto"/>
        <w:rPr>
          <w:sz w:val="20"/>
          <w:szCs w:val="20"/>
          <w:color w:val="auto"/>
        </w:rPr>
      </w:pPr>
      <w:r>
        <w:rPr>
          <w:rFonts w:ascii="Arial" w:cs="Arial" w:eastAsia="Arial" w:hAnsi="Arial"/>
          <w:sz w:val="15"/>
          <w:szCs w:val="15"/>
          <w:color w:val="auto"/>
        </w:rPr>
        <w:t>The following table provides a roll forward of the activity related to the Company’s redeemable noncontrolling interests for the six months ended June 30, 2022:</w:t>
      </w:r>
    </w:p>
    <w:p>
      <w:pPr>
        <w:spacing w:after="0" w:line="153"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Redeemable</w:t>
            </w:r>
          </w:p>
        </w:tc>
        <w:tc>
          <w:tcPr>
            <w:tcW w:w="9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Redeemable</w:t>
            </w:r>
          </w:p>
        </w:tc>
        <w:tc>
          <w:tcPr>
            <w:tcW w:w="1200" w:type="dxa"/>
            <w:vAlign w:val="bottom"/>
            <w:gridSpan w:val="2"/>
          </w:tcPr>
          <w:p>
            <w:pPr>
              <w:ind w:left="20"/>
              <w:spacing w:after="0"/>
              <w:rPr>
                <w:sz w:val="20"/>
                <w:szCs w:val="20"/>
                <w:color w:val="auto"/>
              </w:rPr>
            </w:pPr>
            <w:r>
              <w:rPr>
                <w:rFonts w:ascii="Arial" w:cs="Arial" w:eastAsia="Arial" w:hAnsi="Arial"/>
                <w:sz w:val="15"/>
                <w:szCs w:val="15"/>
                <w:b w:val="1"/>
                <w:bCs w:val="1"/>
                <w:color w:val="auto"/>
                <w:w w:val="90"/>
              </w:rPr>
              <w:t>Total Redeemable</w:t>
            </w:r>
          </w:p>
        </w:tc>
      </w:tr>
      <w:tr>
        <w:trPr>
          <w:trHeight w:val="182"/>
        </w:trPr>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Preferred</w:t>
            </w:r>
          </w:p>
        </w:tc>
        <w:tc>
          <w:tcPr>
            <w:tcW w:w="120" w:type="dxa"/>
            <w:vAlign w:val="bottom"/>
          </w:tcPr>
          <w:p>
            <w:pPr>
              <w:spacing w:after="0"/>
              <w:rPr>
                <w:sz w:val="15"/>
                <w:szCs w:val="15"/>
                <w:color w:val="auto"/>
              </w:rPr>
            </w:pPr>
          </w:p>
        </w:tc>
        <w:tc>
          <w:tcPr>
            <w:tcW w:w="840" w:type="dxa"/>
            <w:vAlign w:val="bottom"/>
          </w:tcPr>
          <w:p>
            <w:pPr>
              <w:jc w:val="center"/>
              <w:ind w:right="124"/>
              <w:spacing w:after="0"/>
              <w:rPr>
                <w:sz w:val="20"/>
                <w:szCs w:val="20"/>
                <w:color w:val="auto"/>
              </w:rPr>
            </w:pPr>
            <w:r>
              <w:rPr>
                <w:rFonts w:ascii="Arial" w:cs="Arial" w:eastAsia="Arial" w:hAnsi="Arial"/>
                <w:sz w:val="15"/>
                <w:szCs w:val="15"/>
                <w:b w:val="1"/>
                <w:bCs w:val="1"/>
                <w:color w:val="auto"/>
                <w:w w:val="92"/>
              </w:rPr>
              <w:t>Common</w:t>
            </w:r>
          </w:p>
        </w:tc>
        <w:tc>
          <w:tcPr>
            <w:tcW w:w="10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b w:val="1"/>
                <w:bCs w:val="1"/>
                <w:color w:val="auto"/>
                <w:w w:val="89"/>
              </w:rPr>
              <w:t>Noncontrolling</w:t>
            </w:r>
          </w:p>
        </w:tc>
      </w:tr>
      <w:tr>
        <w:trPr>
          <w:trHeight w:val="196"/>
        </w:trPr>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Units</w:t>
            </w:r>
          </w:p>
        </w:tc>
        <w:tc>
          <w:tcPr>
            <w:tcW w:w="120" w:type="dxa"/>
            <w:vAlign w:val="bottom"/>
          </w:tcPr>
          <w:p>
            <w:pPr>
              <w:spacing w:after="0"/>
              <w:rPr>
                <w:sz w:val="17"/>
                <w:szCs w:val="17"/>
                <w:color w:val="auto"/>
              </w:rPr>
            </w:pPr>
          </w:p>
        </w:tc>
        <w:tc>
          <w:tcPr>
            <w:tcW w:w="840" w:type="dxa"/>
            <w:vAlign w:val="bottom"/>
          </w:tcPr>
          <w:p>
            <w:pPr>
              <w:jc w:val="center"/>
              <w:ind w:right="44"/>
              <w:spacing w:after="0"/>
              <w:rPr>
                <w:sz w:val="20"/>
                <w:szCs w:val="20"/>
                <w:color w:val="auto"/>
              </w:rPr>
            </w:pPr>
            <w:r>
              <w:rPr>
                <w:rFonts w:ascii="Arial" w:cs="Arial" w:eastAsia="Arial" w:hAnsi="Arial"/>
                <w:sz w:val="15"/>
                <w:szCs w:val="15"/>
                <w:b w:val="1"/>
                <w:bCs w:val="1"/>
                <w:color w:val="auto"/>
                <w:w w:val="95"/>
              </w:rPr>
              <w:t>Units</w:t>
            </w:r>
          </w:p>
        </w:tc>
        <w:tc>
          <w:tcPr>
            <w:tcW w:w="100" w:type="dxa"/>
            <w:vAlign w:val="bottom"/>
          </w:tcPr>
          <w:p>
            <w:pPr>
              <w:spacing w:after="0"/>
              <w:rPr>
                <w:sz w:val="17"/>
                <w:szCs w:val="17"/>
                <w:color w:val="auto"/>
              </w:rPr>
            </w:pPr>
          </w:p>
        </w:tc>
        <w:tc>
          <w:tcPr>
            <w:tcW w:w="1100" w:type="dxa"/>
            <w:vAlign w:val="bottom"/>
          </w:tcPr>
          <w:p>
            <w:pPr>
              <w:jc w:val="right"/>
              <w:ind w:right="244"/>
              <w:spacing w:after="0"/>
              <w:rPr>
                <w:sz w:val="20"/>
                <w:szCs w:val="20"/>
                <w:color w:val="auto"/>
              </w:rPr>
            </w:pPr>
            <w:r>
              <w:rPr>
                <w:rFonts w:ascii="Arial" w:cs="Arial" w:eastAsia="Arial" w:hAnsi="Arial"/>
                <w:sz w:val="15"/>
                <w:szCs w:val="15"/>
                <w:b w:val="1"/>
                <w:bCs w:val="1"/>
                <w:color w:val="auto"/>
              </w:rPr>
              <w:t>Interests</w:t>
            </w:r>
          </w:p>
        </w:tc>
      </w:tr>
      <w:tr>
        <w:trPr>
          <w:trHeight w:val="174"/>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50,296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22,640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72,936</w:t>
            </w:r>
          </w:p>
        </w:tc>
      </w:tr>
      <w:tr>
        <w:trPr>
          <w:trHeight w:val="182"/>
        </w:trPr>
        <w:tc>
          <w:tcPr>
            <w:tcW w:w="3900" w:type="dxa"/>
            <w:vAlign w:val="bottom"/>
          </w:tcPr>
          <w:p>
            <w:pPr>
              <w:spacing w:after="0"/>
              <w:rPr>
                <w:sz w:val="20"/>
                <w:szCs w:val="20"/>
                <w:color w:val="auto"/>
              </w:rPr>
            </w:pPr>
            <w:r>
              <w:rPr>
                <w:rFonts w:ascii="Arial" w:cs="Arial" w:eastAsia="Arial" w:hAnsi="Arial"/>
                <w:sz w:val="15"/>
                <w:szCs w:val="15"/>
                <w:color w:val="auto"/>
              </w:rPr>
              <w:t>Accrued preferred dividend</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2,270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2,270</w:t>
            </w:r>
          </w:p>
        </w:tc>
      </w:tr>
      <w:tr>
        <w:trPr>
          <w:trHeight w:val="182"/>
        </w:trPr>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Allocated net loss</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w:t>
            </w:r>
          </w:p>
        </w:tc>
      </w:tr>
      <w:tr>
        <w:trPr>
          <w:trHeight w:val="182"/>
        </w:trPr>
        <w:tc>
          <w:tcPr>
            <w:tcW w:w="3900" w:type="dxa"/>
            <w:vAlign w:val="bottom"/>
          </w:tcPr>
          <w:p>
            <w:pPr>
              <w:spacing w:after="0"/>
              <w:rPr>
                <w:sz w:val="20"/>
                <w:szCs w:val="20"/>
                <w:color w:val="auto"/>
              </w:rPr>
            </w:pPr>
            <w:r>
              <w:rPr>
                <w:rFonts w:ascii="Arial" w:cs="Arial" w:eastAsia="Arial" w:hAnsi="Arial"/>
                <w:sz w:val="15"/>
                <w:szCs w:val="15"/>
                <w:color w:val="auto"/>
              </w:rPr>
              <w:t>Change in fair value</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1,678</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1,678</w:t>
            </w:r>
          </w:p>
        </w:tc>
      </w:tr>
      <w:tr>
        <w:trPr>
          <w:trHeight w:val="174"/>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June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22,640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75,206</w:t>
            </w:r>
          </w:p>
        </w:tc>
      </w:tr>
      <w:tr>
        <w:trPr>
          <w:trHeight w:val="20"/>
        </w:trPr>
        <w:tc>
          <w:tcPr>
            <w:tcW w:w="3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4" w:name="page35"/>
    <w:bookmarkEnd w:id="3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13. SEGMENT REPORTING</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has the following three reportable and operating segments: i) International Telecom, ii) US Telecom, and iii) Renewable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Energy.</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tables provide information for each operating segment (in thousands):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66"/>
              <w:spacing w:after="0"/>
              <w:rPr>
                <w:sz w:val="20"/>
                <w:szCs w:val="20"/>
                <w:color w:val="auto"/>
              </w:rPr>
            </w:pPr>
            <w:r>
              <w:rPr>
                <w:rFonts w:ascii="Arial" w:cs="Arial" w:eastAsia="Arial" w:hAnsi="Arial"/>
                <w:sz w:val="12"/>
                <w:szCs w:val="12"/>
                <w:b w:val="1"/>
                <w:bCs w:val="1"/>
                <w:color w:val="auto"/>
              </w:rPr>
              <w:t>International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Telecom</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Consolidated</w:t>
            </w:r>
          </w:p>
        </w:tc>
      </w:tr>
      <w:tr>
        <w:trPr>
          <w:trHeight w:val="174"/>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3,976</w:t>
            </w:r>
          </w:p>
        </w:tc>
        <w:tc>
          <w:tcPr>
            <w:tcW w:w="20" w:type="dxa"/>
            <w:vAlign w:val="bottom"/>
          </w:tcPr>
          <w:p>
            <w:pPr>
              <w:spacing w:after="0"/>
              <w:rPr>
                <w:sz w:val="15"/>
                <w:szCs w:val="15"/>
                <w:color w:val="auto"/>
              </w:rPr>
            </w:pP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21,279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22,828</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24,954</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26,804</w:t>
            </w:r>
          </w:p>
        </w:tc>
        <w:tc>
          <w:tcPr>
            <w:tcW w:w="20" w:type="dxa"/>
            <w:vAlign w:val="bottom"/>
          </w:tcPr>
          <w:p>
            <w:pPr>
              <w:spacing w:after="0"/>
              <w:rPr>
                <w:sz w:val="15"/>
                <w:szCs w:val="15"/>
                <w:color w:val="auto"/>
              </w:rPr>
            </w:pP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16,996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48,862</w:t>
            </w: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41,353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19,166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60,519</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58,349</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51,032</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109,381</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35,174</w:t>
            </w: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436</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87,160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84,635</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171,795</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4,405</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4,405</w:t>
            </w:r>
          </w:p>
        </w:tc>
        <w:tc>
          <w:tcPr>
            <w:tcW w:w="20" w:type="dxa"/>
            <w:vAlign w:val="bottom"/>
          </w:tcPr>
          <w:p>
            <w:pPr>
              <w:spacing w:after="0"/>
              <w:rPr>
                <w:sz w:val="15"/>
                <w:szCs w:val="15"/>
                <w:color w:val="auto"/>
              </w:rPr>
            </w:pPr>
          </w:p>
        </w:tc>
      </w:tr>
      <w:tr>
        <w:trPr>
          <w:trHeight w:val="21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88,406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91,091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179,497</w:t>
            </w:r>
          </w:p>
        </w:tc>
        <w:tc>
          <w:tcPr>
            <w:tcW w:w="20" w:type="dxa"/>
            <w:vAlign w:val="bottom"/>
          </w:tcPr>
          <w:p>
            <w:pPr>
              <w:spacing w:after="0"/>
              <w:rPr>
                <w:sz w:val="18"/>
                <w:szCs w:val="18"/>
                <w:color w:val="auto"/>
              </w:rPr>
            </w:pPr>
          </w:p>
        </w:tc>
      </w:tr>
      <w:tr>
        <w:trPr>
          <w:trHeight w:val="156"/>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Depreciation</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15,074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17,763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980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33,817</w:t>
            </w:r>
          </w:p>
        </w:tc>
        <w:tc>
          <w:tcPr>
            <w:tcW w:w="20" w:type="dxa"/>
            <w:vAlign w:val="bottom"/>
          </w:tcPr>
          <w:p>
            <w:pPr>
              <w:spacing w:after="0"/>
              <w:rPr>
                <w:sz w:val="13"/>
                <w:szCs w:val="13"/>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Amortization of intangibles from acquisitions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2,856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3,250</w:t>
            </w: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Non-cash stock-based compensation</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2,568</w:t>
            </w:r>
          </w:p>
        </w:tc>
        <w:tc>
          <w:tcPr>
            <w:tcW w:w="20" w:type="dxa"/>
            <w:vAlign w:val="bottom"/>
          </w:tcPr>
          <w:p>
            <w:pPr>
              <w:spacing w:after="0"/>
              <w:rPr>
                <w:sz w:val="15"/>
                <w:szCs w:val="15"/>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11,646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(9,621)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1,722</w:t>
            </w:r>
          </w:p>
        </w:tc>
        <w:tc>
          <w:tcPr>
            <w:tcW w:w="20" w:type="dxa"/>
            <w:vAlign w:val="bottom"/>
          </w:tcPr>
          <w:p>
            <w:pPr>
              <w:spacing w:after="0"/>
              <w:rPr>
                <w:sz w:val="16"/>
                <w:szCs w:val="16"/>
                <w:color w:val="auto"/>
              </w:rPr>
            </w:pPr>
          </w:p>
        </w:tc>
      </w:tr>
      <w:tr>
        <w:trPr>
          <w:trHeight w:val="901"/>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35</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1"/>
        </w:trPr>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35" w:name="page36"/>
    <w:bookmarkEnd w:id="3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66"/>
              <w:spacing w:after="0"/>
              <w:rPr>
                <w:sz w:val="20"/>
                <w:szCs w:val="20"/>
                <w:color w:val="auto"/>
              </w:rPr>
            </w:pPr>
            <w:r>
              <w:rPr>
                <w:rFonts w:ascii="Arial" w:cs="Arial" w:eastAsia="Arial" w:hAnsi="Arial"/>
                <w:sz w:val="12"/>
                <w:szCs w:val="12"/>
                <w:b w:val="1"/>
                <w:bCs w:val="1"/>
                <w:color w:val="auto"/>
              </w:rPr>
              <w:t>International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Telecom</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74"/>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21,456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2,065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23,521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22,754</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2,407</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16,855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18,886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42,271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59,126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5,877</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20,038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84,642</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28,322</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112,964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spacing w:after="0" w:line="172" w:lineRule="exact"/>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9,325</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1,576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86,218</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37,647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123,865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5"/>
                <w:szCs w:val="15"/>
                <w:color w:val="auto"/>
              </w:rPr>
              <w:t>Depreciation</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13,374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5,079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1,286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19,739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intangibles from acquisitions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Non-cash stock-based compensation</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2,165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(556)</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(10,411)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0"/>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36</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9" w:right="1440" w:bottom="1440" w:gutter="0" w:footer="0" w:header="0"/>
        </w:sectPr>
      </w:pPr>
    </w:p>
    <w:bookmarkStart w:id="36" w:name="page37"/>
    <w:bookmarkEnd w:id="3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66"/>
              <w:spacing w:after="0"/>
              <w:rPr>
                <w:sz w:val="20"/>
                <w:szCs w:val="20"/>
                <w:color w:val="auto"/>
              </w:rPr>
            </w:pPr>
            <w:r>
              <w:rPr>
                <w:rFonts w:ascii="Arial" w:cs="Arial" w:eastAsia="Arial" w:hAnsi="Arial"/>
                <w:sz w:val="12"/>
                <w:szCs w:val="12"/>
                <w:b w:val="1"/>
                <w:bCs w:val="1"/>
                <w:color w:val="auto"/>
              </w:rPr>
              <w:t>International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Telecom</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62"/>
        </w:trPr>
        <w:tc>
          <w:tcPr>
            <w:tcW w:w="30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41,249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48,540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34,250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59,011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82,446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38,136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116,696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97,147</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213,843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172,769</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165,569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338,338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5,283</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2,422</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5,474</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175,191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176,326</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5"/>
                <w:szCs w:val="15"/>
                <w:color w:val="auto"/>
              </w:rPr>
              <w:t>Depreciation</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5"/>
                <w:szCs w:val="15"/>
                <w:color w:val="auto"/>
              </w:rPr>
              <w:t>28,971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36,205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1,933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67,109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intangibles from acquisitions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Non-cash stock-based compensation</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3,743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23,450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(4,914)</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(16,658)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0"/>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37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59" w:right="1440" w:bottom="1440" w:gutter="0" w:footer="0" w:header="0"/>
        </w:sectPr>
      </w:pPr>
    </w:p>
    <w:bookmarkStart w:id="37" w:name="page38"/>
    <w:bookmarkEnd w:id="3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International</w:t>
            </w: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Telecom</w:t>
            </w: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4"/>
                <w:szCs w:val="14"/>
                <w:color w:val="auto"/>
              </w:rPr>
            </w:pPr>
          </w:p>
        </w:tc>
        <w:tc>
          <w:tcPr>
            <w:tcW w:w="780" w:type="dxa"/>
            <w:vAlign w:val="bottom"/>
          </w:tcPr>
          <w:p>
            <w:pPr>
              <w:jc w:val="right"/>
              <w:ind w:right="25"/>
              <w:spacing w:after="0"/>
              <w:rPr>
                <w:sz w:val="20"/>
                <w:szCs w:val="20"/>
                <w:color w:val="auto"/>
              </w:rPr>
            </w:pPr>
            <w:r>
              <w:rPr>
                <w:rFonts w:ascii="Arial" w:cs="Arial" w:eastAsia="Arial" w:hAnsi="Arial"/>
                <w:sz w:val="12"/>
                <w:szCs w:val="12"/>
                <w:b w:val="1"/>
                <w:bCs w:val="1"/>
                <w:color w:val="auto"/>
                <w:w w:val="86"/>
              </w:rPr>
              <w:t>Consolidated</w:t>
            </w:r>
          </w:p>
        </w:tc>
      </w:tr>
      <w:tr>
        <w:trPr>
          <w:trHeight w:val="162"/>
        </w:trPr>
        <w:tc>
          <w:tcPr>
            <w:tcW w:w="30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3,413</w:t>
            </w: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42,080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46,429</w:t>
            </w: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44,575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5,267</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49,842</w:t>
            </w: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33,488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4,728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38,216</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84,385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91,905</w:t>
            </w: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117,873</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12,248</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130,121</w:t>
            </w: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43,180</w:t>
            </w: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456</w:t>
            </w: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167,310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56,289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223,599</w:t>
            </w: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21,632</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21,632</w:t>
            </w: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Construction</w:t>
            </w:r>
          </w:p>
        </w:tc>
        <w:tc>
          <w:tcPr>
            <w:tcW w:w="18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w:t>
            </w: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2,726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2,726</w:t>
            </w: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2,726</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3,144</w:t>
            </w:r>
          </w:p>
        </w:tc>
      </w:tr>
      <w:tr>
        <w:trPr>
          <w:trHeight w:val="21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170,036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77,921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248,375</w:t>
            </w:r>
          </w:p>
        </w:tc>
      </w:tr>
      <w:tr>
        <w:trPr>
          <w:trHeight w:val="156"/>
        </w:trPr>
        <w:tc>
          <w:tcPr>
            <w:tcW w:w="306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Depreciation</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26,803</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10,272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188</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2,586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39,849</w:t>
            </w: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Amortization of intangibles from acquisitions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813</w:t>
            </w: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Non-cash stock-based compensation</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3,511</w:t>
            </w:r>
          </w:p>
        </w:tc>
      </w:t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27,786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(1,090)</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(1,433)</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(19,009)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6,254</w:t>
            </w:r>
          </w:p>
        </w:tc>
      </w:tr>
    </w:tbl>
    <w:p>
      <w:pPr>
        <w:spacing w:after="0" w:line="163" w:lineRule="exact"/>
        <w:rPr>
          <w:sz w:val="20"/>
          <w:szCs w:val="20"/>
          <w:color w:val="auto"/>
        </w:rPr>
      </w:pPr>
    </w:p>
    <w:p>
      <w:pPr>
        <w:ind w:left="4420" w:right="2899" w:hanging="4087"/>
        <w:spacing w:after="0" w:line="786" w:lineRule="auto"/>
        <w:tabs>
          <w:tab w:leader="none" w:pos="599" w:val="left"/>
        </w:tabs>
        <w:numPr>
          <w:ilvl w:val="0"/>
          <w:numId w:val="8"/>
        </w:numPr>
        <w:rPr>
          <w:rFonts w:ascii="Arial" w:cs="Arial" w:eastAsia="Arial" w:hAnsi="Arial"/>
          <w:sz w:val="15"/>
          <w:szCs w:val="15"/>
          <w:color w:val="auto"/>
        </w:rPr>
      </w:pPr>
      <w:r>
        <w:rPr>
          <w:rFonts w:ascii="Arial" w:cs="Arial" w:eastAsia="Arial" w:hAnsi="Arial"/>
          <w:sz w:val="15"/>
          <w:szCs w:val="15"/>
          <w:color w:val="auto"/>
        </w:rPr>
        <w:t>Corporate and Other items refer to corporate overhead costs and consolidating adjustments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41910</wp:posOffset>
            </wp:positionV>
            <wp:extent cx="567817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8" w:name="page39"/>
    <w:bookmarkEnd w:id="3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5"/>
          <w:szCs w:val="15"/>
          <w:color w:val="auto"/>
        </w:rPr>
        <w:t>Selected balance sheet data for each of the Company’s segments as of June 30, 2022 and December 31, 2021 consists of the following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94"/>
              </w:rPr>
              <w:t>International</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354"/>
              <w:spacing w:after="0"/>
              <w:rPr>
                <w:sz w:val="20"/>
                <w:szCs w:val="20"/>
                <w:color w:val="auto"/>
              </w:rPr>
            </w:pPr>
            <w:r>
              <w:rPr>
                <w:rFonts w:ascii="Arial" w:cs="Arial" w:eastAsia="Arial" w:hAnsi="Arial"/>
                <w:sz w:val="12"/>
                <w:szCs w:val="12"/>
                <w:b w:val="1"/>
                <w:bCs w:val="1"/>
                <w:color w:val="auto"/>
                <w:w w:val="95"/>
              </w:rPr>
              <w:t>US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4"/>
          </w:tcPr>
          <w:p>
            <w:pPr>
              <w:jc w:val="right"/>
              <w:ind w:right="44"/>
              <w:spacing w:after="0"/>
              <w:rPr>
                <w:sz w:val="20"/>
                <w:szCs w:val="20"/>
                <w:color w:val="auto"/>
              </w:rPr>
            </w:pPr>
            <w:r>
              <w:rPr>
                <w:rFonts w:ascii="Arial" w:cs="Arial" w:eastAsia="Arial" w:hAnsi="Arial"/>
                <w:sz w:val="12"/>
                <w:szCs w:val="12"/>
                <w:b w:val="1"/>
                <w:bCs w:val="1"/>
                <w:color w:val="auto"/>
              </w:rPr>
              <w:t>Renewable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w w:val="92"/>
              </w:rPr>
              <w:t>Corporate and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60" w:type="dxa"/>
            <w:vAlign w:val="bottom"/>
            <w:vMerge w:val="restart"/>
          </w:tcPr>
          <w:p>
            <w:pPr>
              <w:spacing w:after="0"/>
              <w:rPr>
                <w:sz w:val="20"/>
                <w:szCs w:val="20"/>
                <w:color w:val="auto"/>
              </w:rPr>
            </w:pPr>
            <w:r>
              <w:rPr>
                <w:rFonts w:ascii="Arial" w:cs="Arial" w:eastAsia="Arial" w:hAnsi="Arial"/>
                <w:sz w:val="15"/>
                <w:szCs w:val="15"/>
                <w:b w:val="1"/>
                <w:bCs w:val="1"/>
                <w:color w:val="auto"/>
              </w:rPr>
              <w:t>June 30, 2022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2"/>
                <w:szCs w:val="12"/>
                <w:b w:val="1"/>
                <w:bCs w:val="1"/>
                <w:color w:val="auto"/>
                <w:w w:val="90"/>
              </w:rPr>
              <w:t>Telecom</w:t>
            </w:r>
          </w:p>
        </w:tc>
        <w:tc>
          <w:tcPr>
            <w:tcW w:w="160" w:type="dxa"/>
            <w:vAlign w:val="bottom"/>
          </w:tcPr>
          <w:p>
            <w:pPr>
              <w:spacing w:after="0"/>
              <w:rPr>
                <w:sz w:val="13"/>
                <w:szCs w:val="13"/>
                <w:color w:val="auto"/>
              </w:rPr>
            </w:pPr>
          </w:p>
        </w:tc>
        <w:tc>
          <w:tcPr>
            <w:tcW w:w="840" w:type="dxa"/>
            <w:vAlign w:val="bottom"/>
            <w:gridSpan w:val="2"/>
          </w:tcPr>
          <w:p>
            <w:pPr>
              <w:jc w:val="right"/>
              <w:ind w:right="214"/>
              <w:spacing w:after="0"/>
              <w:rPr>
                <w:sz w:val="20"/>
                <w:szCs w:val="20"/>
                <w:color w:val="auto"/>
              </w:rPr>
            </w:pPr>
            <w:r>
              <w:rPr>
                <w:rFonts w:ascii="Arial" w:cs="Arial" w:eastAsia="Arial" w:hAnsi="Arial"/>
                <w:sz w:val="12"/>
                <w:szCs w:val="12"/>
                <w:b w:val="1"/>
                <w:bCs w:val="1"/>
                <w:color w:val="auto"/>
              </w:rPr>
              <w:t>Telecom</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4"/>
          </w:tcPr>
          <w:p>
            <w:pPr>
              <w:jc w:val="right"/>
              <w:ind w:right="124"/>
              <w:spacing w:after="0"/>
              <w:rPr>
                <w:sz w:val="20"/>
                <w:szCs w:val="20"/>
                <w:color w:val="auto"/>
              </w:rPr>
            </w:pPr>
            <w:r>
              <w:rPr>
                <w:rFonts w:ascii="Arial" w:cs="Arial" w:eastAsia="Arial" w:hAnsi="Arial"/>
                <w:sz w:val="12"/>
                <w:szCs w:val="12"/>
                <w:b w:val="1"/>
                <w:bCs w:val="1"/>
                <w:color w:val="auto"/>
              </w:rPr>
              <w:t>Energy</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26"/>
              <w:spacing w:after="0"/>
              <w:rPr>
                <w:sz w:val="20"/>
                <w:szCs w:val="20"/>
                <w:color w:val="auto"/>
              </w:rPr>
            </w:pPr>
            <w:r>
              <w:rPr>
                <w:rFonts w:ascii="Arial" w:cs="Arial" w:eastAsia="Arial" w:hAnsi="Arial"/>
                <w:sz w:val="12"/>
                <w:szCs w:val="12"/>
                <w:b w:val="1"/>
                <w:bCs w:val="1"/>
                <w:color w:val="auto"/>
              </w:rPr>
              <w:t>Other (1)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86"/>
              <w:spacing w:after="0"/>
              <w:rPr>
                <w:sz w:val="20"/>
                <w:szCs w:val="20"/>
                <w:color w:val="auto"/>
              </w:rPr>
            </w:pPr>
            <w:r>
              <w:rPr>
                <w:rFonts w:ascii="Arial" w:cs="Arial" w:eastAsia="Arial" w:hAnsi="Arial"/>
                <w:sz w:val="12"/>
                <w:szCs w:val="12"/>
                <w:b w:val="1"/>
                <w:bCs w:val="1"/>
                <w:color w:val="auto"/>
                <w:w w:val="94"/>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vMerge w:val="continue"/>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cash equivalents, and short term</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w:t>
            </w:r>
          </w:p>
        </w:tc>
        <w:tc>
          <w:tcPr>
            <w:tcW w:w="3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36,472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26,867</w:t>
            </w:r>
          </w:p>
        </w:tc>
        <w:tc>
          <w:tcPr>
            <w:tcW w:w="580" w:type="dxa"/>
            <w:vAlign w:val="bottom"/>
            <w:gridSpan w:val="3"/>
            <w:shd w:val="clear" w:color="auto" w:fill="CCEEFF"/>
          </w:tcPr>
          <w:p>
            <w:pPr>
              <w:jc w:val="right"/>
              <w:ind w:right="199"/>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107,004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108,005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1,243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8,028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224,280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assets, net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453,245</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478,443</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8,585</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940,273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Goodwill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4,835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35,269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632,399</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864,324</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1"/>
              </w:rPr>
              <w:t>14,970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84,061</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1,595,754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85,703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91,138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356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26,587</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203,784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debt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63,378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255,269</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78,000</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396,647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b w:val="1"/>
                <w:bCs w:val="1"/>
                <w:color w:val="auto"/>
              </w:rPr>
              <w:t>December 31, 2021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cash equivalents, and short term</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w:t>
            </w:r>
          </w:p>
        </w:tc>
        <w:tc>
          <w:tcPr>
            <w:tcW w:w="300" w:type="dxa"/>
            <w:vAlign w:val="bottom"/>
            <w:gridSpan w:val="2"/>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43,128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28,486</w:t>
            </w:r>
          </w:p>
        </w:tc>
        <w:tc>
          <w:tcPr>
            <w:tcW w:w="580" w:type="dxa"/>
            <w:vAlign w:val="bottom"/>
            <w:gridSpan w:val="3"/>
            <w:shd w:val="clear" w:color="auto" w:fill="CCEEFF"/>
          </w:tcPr>
          <w:p>
            <w:pPr>
              <w:jc w:val="right"/>
              <w:ind w:right="199"/>
              <w:spacing w:after="0"/>
              <w:rPr>
                <w:sz w:val="20"/>
                <w:szCs w:val="20"/>
                <w:color w:val="auto"/>
              </w:rPr>
            </w:pPr>
            <w:r>
              <w:rPr>
                <w:rFonts w:ascii="Arial" w:cs="Arial" w:eastAsia="Arial" w:hAnsi="Arial"/>
                <w:sz w:val="15"/>
                <w:szCs w:val="15"/>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108,677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111,741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3,585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8,614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232,617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assets, net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452,856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480,250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10,103</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943,209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Goodwill</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4,835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35,269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630,515</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877,041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1"/>
              </w:rPr>
              <w:t>17,481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83,567</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91,090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108,950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356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20,548</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220,944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debt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64,243</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240,802</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61,499</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Capital Expenditures</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060" w:type="dxa"/>
            <w:vAlign w:val="bottom"/>
            <w:vMerge w:val="restart"/>
          </w:tcPr>
          <w:p>
            <w:pPr>
              <w:spacing w:after="0"/>
              <w:rPr>
                <w:sz w:val="20"/>
                <w:szCs w:val="20"/>
                <w:color w:val="auto"/>
              </w:rPr>
            </w:pPr>
            <w:r>
              <w:rPr>
                <w:rFonts w:ascii="Arial" w:cs="Arial" w:eastAsia="Arial" w:hAnsi="Arial"/>
                <w:sz w:val="12"/>
                <w:szCs w:val="12"/>
                <w:b w:val="1"/>
                <w:bCs w:val="1"/>
                <w:color w:val="auto"/>
              </w:rPr>
              <w:t>Six months ended June 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left="66"/>
              <w:spacing w:after="0"/>
              <w:rPr>
                <w:sz w:val="20"/>
                <w:szCs w:val="20"/>
                <w:color w:val="auto"/>
              </w:rPr>
            </w:pPr>
            <w:r>
              <w:rPr>
                <w:rFonts w:ascii="Arial" w:cs="Arial" w:eastAsia="Arial" w:hAnsi="Arial"/>
                <w:sz w:val="12"/>
                <w:szCs w:val="12"/>
                <w:b w:val="1"/>
                <w:bCs w:val="1"/>
                <w:color w:val="auto"/>
                <w:w w:val="94"/>
              </w:rPr>
              <w:t>International</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gridSpan w:val="3"/>
          </w:tcPr>
          <w:p>
            <w:pPr>
              <w:jc w:val="right"/>
              <w:ind w:right="339"/>
              <w:spacing w:after="0"/>
              <w:rPr>
                <w:sz w:val="20"/>
                <w:szCs w:val="20"/>
                <w:color w:val="auto"/>
              </w:rPr>
            </w:pPr>
            <w:r>
              <w:rPr>
                <w:rFonts w:ascii="Arial" w:cs="Arial" w:eastAsia="Arial" w:hAnsi="Arial"/>
                <w:sz w:val="12"/>
                <w:szCs w:val="12"/>
                <w:b w:val="1"/>
                <w:bCs w:val="1"/>
                <w:color w:val="auto"/>
                <w:w w:val="95"/>
              </w:rPr>
              <w:t>US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3"/>
          </w:tcPr>
          <w:p>
            <w:pPr>
              <w:jc w:val="right"/>
              <w:ind w:right="306"/>
              <w:spacing w:after="0"/>
              <w:rPr>
                <w:sz w:val="20"/>
                <w:szCs w:val="20"/>
                <w:color w:val="auto"/>
              </w:rPr>
            </w:pPr>
            <w:r>
              <w:rPr>
                <w:rFonts w:ascii="Arial" w:cs="Arial" w:eastAsia="Arial" w:hAnsi="Arial"/>
                <w:sz w:val="12"/>
                <w:szCs w:val="12"/>
                <w:b w:val="1"/>
                <w:bCs w:val="1"/>
                <w:color w:val="auto"/>
                <w:w w:val="92"/>
              </w:rPr>
              <w:t>Corporate and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w w:val="89"/>
              </w:rPr>
              <w:t>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0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2"/>
                <w:szCs w:val="12"/>
                <w:b w:val="1"/>
                <w:bCs w:val="1"/>
                <w:color w:val="auto"/>
                <w:w w:val="86"/>
              </w:rPr>
              <w:t>Telecom</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2"/>
                <w:szCs w:val="12"/>
                <w:b w:val="1"/>
                <w:bCs w:val="1"/>
                <w:color w:val="auto"/>
              </w:rPr>
              <w:t>Telecom</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2"/>
                <w:szCs w:val="12"/>
                <w:b w:val="1"/>
                <w:bCs w:val="1"/>
                <w:color w:val="auto"/>
              </w:rPr>
              <w:t>Other (1)</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33,870</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4"/>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87"/>
              </w:rPr>
              <w:t>40,804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424</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2021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5"/>
                <w:szCs w:val="15"/>
                <w:color w:val="auto"/>
              </w:rPr>
              <w:t>21,843</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gridSpan w:val="3"/>
          </w:tcPr>
          <w:p>
            <w:pPr>
              <w:ind w:left="160"/>
              <w:spacing w:after="0"/>
              <w:rPr>
                <w:sz w:val="20"/>
                <w:szCs w:val="20"/>
                <w:color w:val="auto"/>
              </w:rPr>
            </w:pPr>
            <w:r>
              <w:rPr>
                <w:rFonts w:ascii="Arial" w:cs="Arial" w:eastAsia="Arial" w:hAnsi="Arial"/>
                <w:sz w:val="15"/>
                <w:szCs w:val="15"/>
                <w:color w:val="auto"/>
                <w:w w:val="87"/>
              </w:rPr>
              <w:t>18,792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06"/>
              <w:spacing w:after="0"/>
              <w:rPr>
                <w:sz w:val="20"/>
                <w:szCs w:val="20"/>
                <w:color w:val="auto"/>
              </w:rPr>
            </w:pPr>
            <w:r>
              <w:rPr>
                <w:rFonts w:ascii="Arial" w:cs="Arial" w:eastAsia="Arial" w:hAnsi="Arial"/>
                <w:sz w:val="15"/>
                <w:szCs w:val="15"/>
                <w:color w:val="auto"/>
              </w:rPr>
              <w:t>1,297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41,932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00" w:hanging="267"/>
        <w:spacing w:after="0"/>
        <w:tabs>
          <w:tab w:leader="none" w:pos="600" w:val="left"/>
        </w:tabs>
        <w:numPr>
          <w:ilvl w:val="1"/>
          <w:numId w:val="9"/>
        </w:numPr>
        <w:rPr>
          <w:rFonts w:ascii="Arial" w:cs="Arial" w:eastAsia="Arial" w:hAnsi="Arial"/>
          <w:sz w:val="15"/>
          <w:szCs w:val="15"/>
          <w:color w:val="auto"/>
        </w:rPr>
      </w:pPr>
      <w:r>
        <w:rPr>
          <w:rFonts w:ascii="Arial" w:cs="Arial" w:eastAsia="Arial" w:hAnsi="Arial"/>
          <w:sz w:val="15"/>
          <w:szCs w:val="15"/>
          <w:color w:val="auto"/>
        </w:rPr>
        <w:t>Corporate and other items refer to corporate overhead costs and consolidating adjustments</w:t>
      </w:r>
    </w:p>
    <w:p>
      <w:pPr>
        <w:spacing w:after="0" w:line="200" w:lineRule="exact"/>
        <w:rPr>
          <w:rFonts w:ascii="Arial" w:cs="Arial" w:eastAsia="Arial" w:hAnsi="Arial"/>
          <w:sz w:val="15"/>
          <w:szCs w:val="15"/>
          <w:color w:val="auto"/>
        </w:rPr>
      </w:pPr>
    </w:p>
    <w:p>
      <w:pPr>
        <w:spacing w:after="0" w:line="204" w:lineRule="exact"/>
        <w:rPr>
          <w:rFonts w:ascii="Arial" w:cs="Arial" w:eastAsia="Arial" w:hAnsi="Arial"/>
          <w:sz w:val="15"/>
          <w:szCs w:val="15"/>
          <w:color w:val="auto"/>
        </w:rPr>
      </w:pPr>
    </w:p>
    <w:p>
      <w:pPr>
        <w:ind w:left="260" w:hanging="223"/>
        <w:spacing w:after="0"/>
        <w:tabs>
          <w:tab w:leader="none" w:pos="26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Regulatory and Litigation Matters</w:t>
      </w:r>
    </w:p>
    <w:p>
      <w:pPr>
        <w:spacing w:after="0" w:line="226" w:lineRule="exact"/>
        <w:rPr>
          <w:sz w:val="20"/>
          <w:szCs w:val="20"/>
          <w:color w:val="auto"/>
        </w:rPr>
      </w:pPr>
    </w:p>
    <w:p>
      <w:pPr>
        <w:ind w:left="40" w:right="79" w:firstLine="547"/>
        <w:spacing w:after="0" w:line="286" w:lineRule="auto"/>
        <w:rPr>
          <w:sz w:val="20"/>
          <w:szCs w:val="20"/>
          <w:color w:val="auto"/>
        </w:rPr>
      </w:pPr>
      <w:r>
        <w:rPr>
          <w:rFonts w:ascii="Arial" w:cs="Arial" w:eastAsia="Arial" w:hAnsi="Arial"/>
          <w:sz w:val="14"/>
          <w:szCs w:val="14"/>
          <w:color w:val="auto"/>
        </w:rPr>
        <w:t>The Company and its subsidiaries are subject to certain regulatory and legal proceedings and other claims arising in the ordinary course of business, some of which involve claims for damages and taxes that are substantial in amount. The Company believes that, except for the items discussed below, for which the Company is currently unable to predict the final outcome, the disposition of proceedings currently pending will not have a material adverse effect on the Company’s financial position or results of operations.</w:t>
      </w:r>
    </w:p>
    <w:p>
      <w:pPr>
        <w:spacing w:after="0" w:line="178" w:lineRule="exact"/>
        <w:rPr>
          <w:sz w:val="20"/>
          <w:szCs w:val="20"/>
          <w:color w:val="auto"/>
        </w:rPr>
      </w:pPr>
    </w:p>
    <w:p>
      <w:pPr>
        <w:ind w:left="40" w:right="119" w:firstLine="547"/>
        <w:spacing w:after="0" w:line="278" w:lineRule="auto"/>
        <w:rPr>
          <w:sz w:val="20"/>
          <w:szCs w:val="20"/>
          <w:color w:val="auto"/>
        </w:rPr>
      </w:pPr>
      <w:r>
        <w:rPr>
          <w:rFonts w:ascii="Arial" w:cs="Arial" w:eastAsia="Arial" w:hAnsi="Arial"/>
          <w:sz w:val="14"/>
          <w:szCs w:val="14"/>
          <w:color w:val="auto"/>
        </w:rPr>
        <w:t>In 1990, the Company’s Guyana subsidiary, GTT, was awarded a license to provide domestic and international voice and data services in Guyana on an exclusive basis until December 2030. Since 2001, the Government of Guyana has stated its intention to introduce additional competition into Guyana’s telecommunications sector. In connection therewith, the Company and GTT met on several occasions with officials of the Government of Guyana to discuss potential modifications of GTT’s exclusivity and other rights under the existing agreement and license. On October 5, 2020, the Prime Minister of Guyana formally implemented telecommunications legislation previously passed by the Guyana Parliament in 2016 that introduces material changes to many features of Guyana’s existing telecommunications regulatory regime with the intention of creating a more competitive market. At that time, the Company was issued a new license to provide domestic and international voice as well as data services and mobile services in Guyana. Two of the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39" w:name="page40"/>
    <w:bookmarkEnd w:id="3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79"/>
        <w:spacing w:after="0" w:line="262" w:lineRule="auto"/>
        <w:rPr>
          <w:sz w:val="20"/>
          <w:szCs w:val="20"/>
          <w:color w:val="auto"/>
        </w:rPr>
      </w:pPr>
      <w:r>
        <w:rPr>
          <w:rFonts w:ascii="Arial" w:cs="Arial" w:eastAsia="Arial" w:hAnsi="Arial"/>
          <w:sz w:val="15"/>
          <w:szCs w:val="15"/>
          <w:color w:val="auto"/>
        </w:rPr>
        <w:t>Company’s competitors were issued service licenses as well. While the Company has requested details of its competitors’ licenses, such information has not been made public by the Guyana Telecommunications Agency, and the Company is not yet able to ascertain whether the licenses issued to its competitors permit any competitors to provide services that have been subject to GTT’s exclusive rights contained in its 1990 license.</w:t>
      </w:r>
    </w:p>
    <w:p>
      <w:pPr>
        <w:spacing w:after="0" w:line="192" w:lineRule="exact"/>
        <w:rPr>
          <w:sz w:val="20"/>
          <w:szCs w:val="20"/>
          <w:color w:val="auto"/>
        </w:rPr>
      </w:pPr>
    </w:p>
    <w:p>
      <w:pPr>
        <w:ind w:left="40" w:right="259" w:firstLine="547"/>
        <w:spacing w:after="0" w:line="262" w:lineRule="auto"/>
        <w:rPr>
          <w:sz w:val="20"/>
          <w:szCs w:val="20"/>
          <w:color w:val="auto"/>
        </w:rPr>
      </w:pPr>
      <w:r>
        <w:rPr>
          <w:rFonts w:ascii="Arial" w:cs="Arial" w:eastAsia="Arial" w:hAnsi="Arial"/>
          <w:sz w:val="15"/>
          <w:szCs w:val="15"/>
          <w:color w:val="auto"/>
        </w:rPr>
        <w:t>On October 23, 2020, the Government of Guyana also brought into effect new telecommunications regulations called for by the telecommunications legislation. The regulations include new requirements for the market as a whole, which impose costly additional regulatory fees and impact the Company’s operations, administrative reporting and services. There can be no assurance that these regulations will be effectively implemented, or that they will be administered in a fair and transparent manner.</w:t>
      </w:r>
    </w:p>
    <w:p>
      <w:pPr>
        <w:spacing w:after="0" w:line="192" w:lineRule="exact"/>
        <w:rPr>
          <w:sz w:val="20"/>
          <w:szCs w:val="20"/>
          <w:color w:val="auto"/>
        </w:rPr>
      </w:pPr>
    </w:p>
    <w:p>
      <w:pPr>
        <w:ind w:left="40" w:right="159" w:firstLine="547"/>
        <w:spacing w:after="0" w:line="266" w:lineRule="auto"/>
        <w:rPr>
          <w:sz w:val="20"/>
          <w:szCs w:val="20"/>
          <w:color w:val="auto"/>
        </w:rPr>
      </w:pPr>
      <w:r>
        <w:rPr>
          <w:rFonts w:ascii="Arial" w:cs="Arial" w:eastAsia="Arial" w:hAnsi="Arial"/>
          <w:sz w:val="15"/>
          <w:szCs w:val="15"/>
          <w:color w:val="auto"/>
        </w:rPr>
        <w:t>Historically, GTT has been subject to other long-standing litigation proceedings and disputes in Guyana that have not yet been resolved. The Company believes that none of these additional proceedings would, in the event of an adverse outcome, have a material impact on the Company’s consolidated financial position, results of operations or liquidity.</w:t>
      </w:r>
    </w:p>
    <w:p>
      <w:pPr>
        <w:spacing w:after="0" w:line="178" w:lineRule="exact"/>
        <w:rPr>
          <w:sz w:val="20"/>
          <w:szCs w:val="20"/>
          <w:color w:val="auto"/>
        </w:rPr>
      </w:pPr>
    </w:p>
    <w:p>
      <w:pPr>
        <w:ind w:left="40" w:right="79" w:firstLine="547"/>
        <w:spacing w:after="0" w:line="275" w:lineRule="auto"/>
        <w:rPr>
          <w:sz w:val="20"/>
          <w:szCs w:val="20"/>
          <w:color w:val="auto"/>
        </w:rPr>
      </w:pPr>
      <w:r>
        <w:rPr>
          <w:rFonts w:ascii="Arial" w:cs="Arial" w:eastAsia="Arial" w:hAnsi="Arial"/>
          <w:sz w:val="14"/>
          <w:szCs w:val="14"/>
          <w:color w:val="auto"/>
        </w:rPr>
        <w:t>In a letter dated September 8, 2006, the National Frequency Management Unit (“NFMU”) agreed that total spectrum fees in Guyana should not increase for the years 2006 and 2007. However, that letter implied that spectrum fees in 2008 and onward may be increased beyond the amount GTT agreed to with the Government of Guyana. GTT has objected to the NFMU’s proposed action and reiterated its position that an increase in fees prior to development of an acceptable methodology would violate the Government’s prior agreement. In 2011, GTT paid the NFMU $2.6 million representing payments in full for 2008, 2009 and 2010. However, by letter dated November 23, 2011, the NFMU stated that it did not concur with GTT’s inference that the amount was payment in full for the specified years as it was NFMU’s continued opinion that the final calculation for spectrum fees was not agreed upon and was still an outstanding issue. By further letter dated November 24, 2011, the NFMU further rejected a proposal that was previously submitted jointly by GTT and another communications provider that outlined a recommended methodology for the calculation of these fees. The NFMU stated that it would prepare its own recommendation for consideration by the Minister of Telecommunications, who would decide the matter. GTT has paid undisputed spectrum fees according to the methodology used for its 2011 payments and has reserved amounts payable according to this methodology. There have been limited further discussions on this subject and GTT has not been given the opportunity to review recommendations to the Minister on spectrum fee methodology, if any.</w:t>
      </w:r>
    </w:p>
    <w:p>
      <w:pPr>
        <w:spacing w:after="0" w:line="190" w:lineRule="exact"/>
        <w:rPr>
          <w:sz w:val="20"/>
          <w:szCs w:val="20"/>
          <w:color w:val="auto"/>
        </w:rPr>
      </w:pPr>
    </w:p>
    <w:p>
      <w:pPr>
        <w:ind w:left="40" w:right="199" w:firstLine="547"/>
        <w:spacing w:after="0" w:line="262" w:lineRule="auto"/>
        <w:rPr>
          <w:sz w:val="20"/>
          <w:szCs w:val="20"/>
          <w:color w:val="auto"/>
        </w:rPr>
      </w:pPr>
      <w:r>
        <w:rPr>
          <w:rFonts w:ascii="Arial" w:cs="Arial" w:eastAsia="Arial" w:hAnsi="Arial"/>
          <w:sz w:val="15"/>
          <w:szCs w:val="15"/>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192" w:lineRule="exact"/>
        <w:rPr>
          <w:sz w:val="20"/>
          <w:szCs w:val="20"/>
          <w:color w:val="auto"/>
        </w:rPr>
      </w:pPr>
    </w:p>
    <w:p>
      <w:pPr>
        <w:jc w:val="both"/>
        <w:ind w:left="40" w:right="39" w:firstLine="547"/>
        <w:spacing w:after="0" w:line="257" w:lineRule="auto"/>
        <w:rPr>
          <w:sz w:val="20"/>
          <w:szCs w:val="20"/>
          <w:color w:val="auto"/>
        </w:rPr>
      </w:pPr>
      <w:r>
        <w:rPr>
          <w:rFonts w:ascii="Arial" w:cs="Arial" w:eastAsia="Arial" w:hAnsi="Arial"/>
          <w:sz w:val="15"/>
          <w:szCs w:val="15"/>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Prior to the declaration of COVID-19 related travel and business restrictions in Guyana, the consolidated cases were scheduled to proceed to trial in 2020. GTT expects to resume the litigation following the lifting of COVID-19 related restrictions and intends to prosecute these matters vigorously; however, the Company cannot accurately predict at this time when the consolidated suit will go to trial.</w:t>
      </w:r>
    </w:p>
    <w:p>
      <w:pPr>
        <w:spacing w:after="0" w:line="165" w:lineRule="exact"/>
        <w:rPr>
          <w:sz w:val="20"/>
          <w:szCs w:val="20"/>
          <w:color w:val="auto"/>
        </w:rPr>
      </w:pPr>
    </w:p>
    <w:p>
      <w:pPr>
        <w:ind w:left="40" w:right="79" w:firstLine="547"/>
        <w:spacing w:after="0" w:line="262" w:lineRule="auto"/>
        <w:rPr>
          <w:sz w:val="20"/>
          <w:szCs w:val="20"/>
          <w:color w:val="auto"/>
        </w:rPr>
      </w:pPr>
      <w:r>
        <w:rPr>
          <w:rFonts w:ascii="Arial" w:cs="Arial" w:eastAsia="Arial" w:hAnsi="Arial"/>
          <w:sz w:val="15"/>
          <w:szCs w:val="15"/>
          <w:color w:val="auto"/>
        </w:rPr>
        <w:t>GTT is also involved in several legal claims regarding its tax filings with the Guyana Revenue Authority dating back to 1991 regarding the deductibility of intercompany advisory fees as well as other tax assessments. The Company maintains that any liability GTT might be found to have with respect to the disputed tax assessments, totaling $44.1 million, would be offset in part by the amounts necessary to ensure that GTT’s return on investment was no less than 15% per annum for the relevant periods.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0" w:name="page41"/>
    <w:bookmarkEnd w:id="4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119" w:firstLine="547"/>
        <w:spacing w:after="0" w:line="257" w:lineRule="auto"/>
        <w:rPr>
          <w:sz w:val="20"/>
          <w:szCs w:val="20"/>
          <w:color w:val="auto"/>
        </w:rPr>
      </w:pPr>
      <w:r>
        <w:rPr>
          <w:rFonts w:ascii="Arial" w:cs="Arial" w:eastAsia="Arial" w:hAnsi="Arial"/>
          <w:sz w:val="15"/>
          <w:szCs w:val="15"/>
          <w:color w:val="auto"/>
        </w:rPr>
        <w:t>On May 20, 2021, the Company was served with a notice of application for enforcement of a foreign judgment with respect to a matter brought by the Trinidad &amp; Tobago Electric Commission (“TTEC”) in the High Court of Justice in the Republic of Trinidad and Tobago in August 2013 against the Company and other defendants, alleging breach of contract due to the Company’s failure to pay TTEC in connection with amounts alleged to be owed as reimbursement for cable repair costs. In May 2015, the Company failed to appear in the matter and a default judgment was entered against the Company in the amount of approximately $2.8 million. In May 2021, TTEC took steps to enforce the judgment by commencing proceedings against GTT in Guyana, however, in May of 2022, the High Court of Guyana denied TTEC’s petition. GTT intends to continue to defend its position against the legitimacy of the claim.</w:t>
      </w:r>
    </w:p>
    <w:p>
      <w:pPr>
        <w:spacing w:after="0" w:line="199" w:lineRule="exact"/>
        <w:rPr>
          <w:sz w:val="20"/>
          <w:szCs w:val="20"/>
          <w:color w:val="auto"/>
        </w:rPr>
      </w:pPr>
    </w:p>
    <w:p>
      <w:pPr>
        <w:jc w:val="both"/>
        <w:ind w:left="40" w:right="39" w:firstLine="547"/>
        <w:spacing w:after="0" w:line="276" w:lineRule="auto"/>
        <w:rPr>
          <w:sz w:val="20"/>
          <w:szCs w:val="20"/>
          <w:color w:val="auto"/>
        </w:rPr>
      </w:pPr>
      <w:r>
        <w:rPr>
          <w:rFonts w:ascii="Arial" w:cs="Arial" w:eastAsia="Arial" w:hAnsi="Arial"/>
          <w:sz w:val="14"/>
          <w:szCs w:val="14"/>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w:t>
      </w:r>
    </w:p>
    <w:p>
      <w:pPr>
        <w:spacing w:after="0" w:line="151" w:lineRule="exact"/>
        <w:rPr>
          <w:sz w:val="20"/>
          <w:szCs w:val="20"/>
          <w:color w:val="auto"/>
        </w:rPr>
      </w:pPr>
    </w:p>
    <w:p>
      <w:pPr>
        <w:jc w:val="both"/>
        <w:ind w:left="40" w:right="59" w:firstLine="547"/>
        <w:spacing w:after="0" w:line="260" w:lineRule="auto"/>
        <w:rPr>
          <w:sz w:val="20"/>
          <w:szCs w:val="20"/>
          <w:color w:val="auto"/>
        </w:rPr>
      </w:pPr>
      <w:r>
        <w:rPr>
          <w:rFonts w:ascii="Arial" w:cs="Arial" w:eastAsia="Arial" w:hAnsi="Arial"/>
          <w:sz w:val="15"/>
          <w:szCs w:val="15"/>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will continue to work constructively with the FCC’s Enforcement Bureau to provide it the information it is seeking. At this time, the Company cannot predict the outcome of the FCC Enforcement Bureau’s inquiry or the impact it may have on its business, financial condition, results of operations or liquidity.</w:t>
      </w:r>
    </w:p>
    <w:p>
      <w:pPr>
        <w:spacing w:after="0" w:line="159" w:lineRule="exact"/>
        <w:rPr>
          <w:sz w:val="20"/>
          <w:szCs w:val="20"/>
          <w:color w:val="auto"/>
        </w:rPr>
      </w:pPr>
    </w:p>
    <w:p>
      <w:pPr>
        <w:jc w:val="both"/>
        <w:ind w:left="40" w:right="59" w:firstLine="547"/>
        <w:spacing w:after="0" w:line="314" w:lineRule="auto"/>
        <w:rPr>
          <w:sz w:val="20"/>
          <w:szCs w:val="20"/>
          <w:color w:val="auto"/>
        </w:rPr>
      </w:pPr>
      <w:r>
        <w:rPr>
          <w:rFonts w:ascii="Arial" w:cs="Arial" w:eastAsia="Arial" w:hAnsi="Arial"/>
          <w:sz w:val="13"/>
          <w:szCs w:val="13"/>
          <w:color w:val="auto"/>
        </w:rPr>
        <w:t>With respect to all of the foregoing matters, the Company believes that some adverse outcome is probable and has accordingly accrued $13.3 million as of June 30, 2022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1" w:name="page42"/>
    <w:bookmarkEnd w:id="4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15. SUBSEQUENT EVENTS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Note 6 for a discussion of our pending acquisition of Sacred Wind Enterprises.</w:t>
      </w:r>
    </w:p>
    <w:p>
      <w:pPr>
        <w:spacing w:after="0" w:line="192" w:lineRule="exact"/>
        <w:rPr>
          <w:sz w:val="20"/>
          <w:szCs w:val="20"/>
          <w:color w:val="auto"/>
        </w:rPr>
      </w:pPr>
    </w:p>
    <w:p>
      <w:pPr>
        <w:ind w:left="40" w:right="199" w:firstLine="547"/>
        <w:spacing w:after="0" w:line="279" w:lineRule="auto"/>
        <w:rPr>
          <w:sz w:val="20"/>
          <w:szCs w:val="20"/>
          <w:color w:val="auto"/>
        </w:rPr>
      </w:pPr>
      <w:r>
        <w:rPr>
          <w:rFonts w:ascii="Arial" w:cs="Arial" w:eastAsia="Arial" w:hAnsi="Arial"/>
          <w:sz w:val="15"/>
          <w:szCs w:val="15"/>
          <w:color w:val="auto"/>
        </w:rPr>
        <w:t>See Note 9 for a discussion regarding government grants to be received for our Southern Apache County Fiber to the Home project and the FCC’s Replace and Remove project.</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ind w:left="40" w:right="59" w:firstLine="432"/>
        <w:spacing w:after="0" w:line="282" w:lineRule="auto"/>
        <w:rPr>
          <w:sz w:val="20"/>
          <w:szCs w:val="20"/>
          <w:color w:val="auto"/>
        </w:rPr>
      </w:pPr>
      <w:r>
        <w:rPr>
          <w:rFonts w:ascii="Arial" w:cs="Arial" w:eastAsia="Arial" w:hAnsi="Arial"/>
          <w:sz w:val="14"/>
          <w:szCs w:val="14"/>
          <w:color w:val="auto"/>
        </w:rPr>
        <w:t>We are a provider of digital infrastructure and communications services in the United States and internationally, including the Caribbean region, with a focus on rural and remote markets with a growing demand for infrastructure investments. Our operating subsidiaries today primarily provide: (i) advanced wireless and wireline connectivity to residential, business and government customers, including a range of high-speed Internet and data services, fixed and mobile wireless solutions, and video and voice services; and (ii) carrier and enterprise communications services, such as terrestrial and submarine fiber optic transport, and communications tower facilities.</w:t>
      </w:r>
    </w:p>
    <w:p>
      <w:pPr>
        <w:spacing w:after="0" w:line="148" w:lineRule="exact"/>
        <w:rPr>
          <w:sz w:val="20"/>
          <w:szCs w:val="20"/>
          <w:color w:val="auto"/>
        </w:rPr>
      </w:pPr>
    </w:p>
    <w:p>
      <w:pPr>
        <w:jc w:val="both"/>
        <w:ind w:left="60" w:right="239" w:firstLine="402"/>
        <w:spacing w:after="0" w:line="276" w:lineRule="auto"/>
        <w:rPr>
          <w:sz w:val="20"/>
          <w:szCs w:val="20"/>
          <w:color w:val="auto"/>
        </w:rPr>
      </w:pPr>
      <w:r>
        <w:rPr>
          <w:rFonts w:ascii="Arial" w:cs="Arial" w:eastAsia="Arial" w:hAnsi="Arial"/>
          <w:sz w:val="14"/>
          <w:szCs w:val="14"/>
          <w:color w:val="auto"/>
        </w:rPr>
        <w:t>At the holding company level, we oversee the allocation of capital within and among our subsidiaries, affiliates, new investments, and stockholders. We also have developed significant operational expertise and resources that we use to augment the capabilities of our individual operating subsidiaries in our local markets. Over the past 10 years, we have built a platform of resources and expertise to support our operating subsidiaries and to improve their quality of service with greater economies of scale and expertise than would typically be available at the operating subsidiary level. We also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“fiber first”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51" w:lineRule="exact"/>
        <w:rPr>
          <w:sz w:val="20"/>
          <w:szCs w:val="20"/>
          <w:color w:val="auto"/>
        </w:rPr>
      </w:pPr>
    </w:p>
    <w:p>
      <w:pPr>
        <w:ind w:left="60" w:right="279" w:firstLine="402"/>
        <w:spacing w:after="0" w:line="279" w:lineRule="auto"/>
        <w:rPr>
          <w:sz w:val="20"/>
          <w:szCs w:val="20"/>
          <w:color w:val="auto"/>
        </w:rPr>
      </w:pPr>
      <w:r>
        <w:rPr>
          <w:rFonts w:ascii="Arial" w:cs="Arial" w:eastAsia="Arial" w:hAnsi="Arial"/>
          <w:sz w:val="15"/>
          <w:szCs w:val="15"/>
          <w:color w:val="auto"/>
        </w:rPr>
        <w:t>For further information about our financial segments and geographical information about our operating revenues and assets, see Notes 1 and 13 to the Consolidated Financial Statements included in this Report.</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June 30, 2022, we offer the following types of services to our customers:</w:t>
      </w:r>
    </w:p>
    <w:p>
      <w:pPr>
        <w:spacing w:after="0" w:line="192" w:lineRule="exact"/>
        <w:rPr>
          <w:sz w:val="20"/>
          <w:szCs w:val="20"/>
          <w:color w:val="auto"/>
        </w:rPr>
      </w:pPr>
    </w:p>
    <w:p>
      <w:pPr>
        <w:jc w:val="both"/>
        <w:ind w:left="1020" w:right="139" w:hanging="265"/>
        <w:spacing w:after="0" w:line="266"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Mobility Telecommunications Services</w:t>
      </w:r>
      <w:r>
        <w:rPr>
          <w:rFonts w:ascii="Arial" w:cs="Arial" w:eastAsia="Arial" w:hAnsi="Arial"/>
          <w:sz w:val="15"/>
          <w:szCs w:val="15"/>
          <w:color w:val="auto"/>
        </w:rPr>
        <w:t>. We offer mobile communications services and equipment (“Mobility”) over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wireless networks to both our business and consumer subscribers. In certain markets, mobility services also includes private network services to business customers and municipalities.</w:t>
      </w:r>
    </w:p>
    <w:p>
      <w:pPr>
        <w:spacing w:after="0" w:line="155" w:lineRule="exact"/>
        <w:rPr>
          <w:rFonts w:ascii="Arial" w:cs="Arial" w:eastAsia="Arial" w:hAnsi="Arial"/>
          <w:sz w:val="15"/>
          <w:szCs w:val="15"/>
          <w:color w:val="auto"/>
        </w:rPr>
      </w:pPr>
    </w:p>
    <w:p>
      <w:pPr>
        <w:jc w:val="both"/>
        <w:ind w:left="1020" w:right="139" w:hanging="265"/>
        <w:spacing w:after="0" w:line="262"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Fixed Telecommunications Services</w:t>
      </w:r>
      <w:r>
        <w:rPr>
          <w:rFonts w:ascii="Arial" w:cs="Arial" w:eastAsia="Arial" w:hAnsi="Arial"/>
          <w:sz w:val="15"/>
          <w:szCs w:val="15"/>
          <w:color w:val="auto"/>
        </w:rPr>
        <w:t>. We provide fixed data and voice telecommunications services (“Fixed”) to both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and consumer subscribers in all of our markets. These services include consumer broadband and high speed data solutions for businesses. For some markets, fixed services also include video services and revenue derived from support under certain government programs.</w:t>
      </w:r>
    </w:p>
    <w:p>
      <w:pPr>
        <w:spacing w:after="0" w:line="158" w:lineRule="exact"/>
        <w:rPr>
          <w:rFonts w:ascii="Arial" w:cs="Arial" w:eastAsia="Arial" w:hAnsi="Arial"/>
          <w:sz w:val="15"/>
          <w:szCs w:val="15"/>
          <w:color w:val="auto"/>
        </w:rPr>
      </w:pPr>
    </w:p>
    <w:p>
      <w:pPr>
        <w:jc w:val="both"/>
        <w:ind w:left="1020" w:right="139" w:hanging="265"/>
        <w:spacing w:after="0" w:line="266"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Carrier Telecommunication Services</w:t>
      </w:r>
      <w:r>
        <w:rPr>
          <w:rFonts w:ascii="Arial" w:cs="Arial" w:eastAsia="Arial" w:hAnsi="Arial"/>
          <w:sz w:val="15"/>
          <w:szCs w:val="15"/>
          <w:color w:val="auto"/>
        </w:rPr>
        <w:t>. We deliver services (“Carrier Services”) such as wholesale roaming, the leasing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critical network infrastructure such as tower and transport facilities, site maintenance and international long-distance services to other telecommunications providers.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2" w:name="page43"/>
    <w:bookmarkEnd w:id="4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right="1280" w:hanging="265"/>
        <w:spacing w:after="0" w:line="266" w:lineRule="auto"/>
        <w:tabs>
          <w:tab w:leader="none" w:pos="102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Managed Services</w:t>
      </w:r>
      <w:r>
        <w:rPr>
          <w:rFonts w:ascii="Arial" w:cs="Arial" w:eastAsia="Arial" w:hAnsi="Arial"/>
          <w:sz w:val="15"/>
          <w:szCs w:val="15"/>
          <w:color w:val="auto"/>
        </w:rPr>
        <w:t>. We provide information technology services (“Managed Services”) such as network, application,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and hosting services to both our business and consumer customers to complement our Fixed Services in our existing markets.</w:t>
      </w:r>
    </w:p>
    <w:p>
      <w:pPr>
        <w:spacing w:after="0" w:line="156" w:lineRule="exact"/>
        <w:rPr>
          <w:sz w:val="20"/>
          <w:szCs w:val="20"/>
          <w:color w:val="auto"/>
        </w:rPr>
      </w:pPr>
    </w:p>
    <w:p>
      <w:pPr>
        <w:ind w:left="40" w:right="1680" w:firstLine="547"/>
        <w:spacing w:after="0" w:line="279" w:lineRule="auto"/>
        <w:rPr>
          <w:sz w:val="20"/>
          <w:szCs w:val="20"/>
          <w:color w:val="auto"/>
        </w:rPr>
      </w:pPr>
      <w:r>
        <w:rPr>
          <w:rFonts w:ascii="Arial" w:cs="Arial" w:eastAsia="Arial" w:hAnsi="Arial"/>
          <w:sz w:val="15"/>
          <w:szCs w:val="15"/>
          <w:color w:val="auto"/>
        </w:rPr>
        <w:t>Through June 30, 2022, we have identified three operating segments to manage and review our operations and to facilitate investor presentations of our results. These three operating segments are as follows:</w:t>
      </w:r>
    </w:p>
    <w:p>
      <w:pPr>
        <w:spacing w:after="0" w:line="146" w:lineRule="exact"/>
        <w:rPr>
          <w:sz w:val="20"/>
          <w:szCs w:val="20"/>
          <w:color w:val="auto"/>
        </w:rPr>
      </w:pPr>
    </w:p>
    <w:p>
      <w:pPr>
        <w:ind w:left="1040" w:right="1380" w:hanging="274"/>
        <w:spacing w:after="0" w:line="279"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International Telecom. </w:t>
      </w:r>
      <w:r>
        <w:rPr>
          <w:rFonts w:ascii="Arial" w:cs="Arial" w:eastAsia="Arial" w:hAnsi="Arial"/>
          <w:sz w:val="15"/>
          <w:szCs w:val="15"/>
          <w:color w:val="auto"/>
        </w:rPr>
        <w:t>In our international markets, we offer Fixed Services, Mobility Services, Carrier Services and Managed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to customers in Bermuda, the Cayman Islands, Guyana and the US Virgin Islands.</w:t>
      </w:r>
    </w:p>
    <w:p>
      <w:pPr>
        <w:spacing w:after="0" w:line="145" w:lineRule="exact"/>
        <w:rPr>
          <w:rFonts w:ascii="Arial" w:cs="Arial" w:eastAsia="Arial" w:hAnsi="Arial"/>
          <w:sz w:val="15"/>
          <w:szCs w:val="15"/>
          <w:color w:val="auto"/>
        </w:rPr>
      </w:pPr>
    </w:p>
    <w:p>
      <w:pPr>
        <w:ind w:left="1040" w:right="1440" w:hanging="274"/>
        <w:spacing w:after="0" w:line="266"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US Telecom. </w:t>
      </w:r>
      <w:r>
        <w:rPr>
          <w:rFonts w:ascii="Arial" w:cs="Arial" w:eastAsia="Arial" w:hAnsi="Arial"/>
          <w:sz w:val="15"/>
          <w:szCs w:val="15"/>
          <w:color w:val="auto"/>
        </w:rPr>
        <w:t>In the United States, we offer Fixed Services, Carrier Services, and Managed Services to business and consumer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in Alaska and the western United States. In the western United States, we also provide Mobility Services and private network services to enterprise and consumer customers.</w:t>
      </w:r>
    </w:p>
    <w:p>
      <w:pPr>
        <w:spacing w:after="0" w:line="155" w:lineRule="exact"/>
        <w:rPr>
          <w:rFonts w:ascii="Arial" w:cs="Arial" w:eastAsia="Arial" w:hAnsi="Arial"/>
          <w:sz w:val="15"/>
          <w:szCs w:val="15"/>
          <w:color w:val="auto"/>
        </w:rPr>
      </w:pPr>
    </w:p>
    <w:p>
      <w:pPr>
        <w:ind w:left="1040" w:right="1520" w:hanging="274"/>
        <w:spacing w:after="0" w:line="279"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Renewable Energy. </w:t>
      </w:r>
      <w:r>
        <w:rPr>
          <w:rFonts w:ascii="Arial" w:cs="Arial" w:eastAsia="Arial" w:hAnsi="Arial"/>
          <w:sz w:val="15"/>
          <w:szCs w:val="15"/>
          <w:color w:val="auto"/>
        </w:rPr>
        <w:t>In India, we provided distributed generation solar power to commercial and industrial customers through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January 27, 2021. See </w:t>
      </w:r>
      <w:r>
        <w:rPr>
          <w:rFonts w:ascii="Arial" w:cs="Arial" w:eastAsia="Arial" w:hAnsi="Arial"/>
          <w:sz w:val="15"/>
          <w:szCs w:val="15"/>
          <w:i w:val="1"/>
          <w:iCs w:val="1"/>
          <w:color w:val="auto"/>
        </w:rPr>
        <w:t>Disposition of International Solar Business</w:t>
      </w:r>
      <w:r>
        <w:rPr>
          <w:rFonts w:ascii="Arial" w:cs="Arial" w:eastAsia="Arial" w:hAnsi="Arial"/>
          <w:sz w:val="15"/>
          <w:szCs w:val="15"/>
          <w:color w:val="auto"/>
        </w:rPr>
        <w:t xml:space="preserve"> for further details.</w:t>
      </w:r>
    </w:p>
    <w:p>
      <w:pPr>
        <w:spacing w:after="0" w:line="328" w:lineRule="exact"/>
        <w:rPr>
          <w:sz w:val="20"/>
          <w:szCs w:val="20"/>
          <w:color w:val="auto"/>
        </w:rPr>
      </w:pPr>
    </w:p>
    <w:p>
      <w:pPr>
        <w:ind w:left="40" w:right="1440" w:firstLine="547"/>
        <w:spacing w:after="0" w:line="279" w:lineRule="auto"/>
        <w:rPr>
          <w:sz w:val="20"/>
          <w:szCs w:val="20"/>
          <w:color w:val="auto"/>
        </w:rPr>
      </w:pPr>
      <w:r>
        <w:rPr>
          <w:rFonts w:ascii="Arial" w:cs="Arial" w:eastAsia="Arial" w:hAnsi="Arial"/>
          <w:sz w:val="15"/>
          <w:szCs w:val="15"/>
          <w:color w:val="auto"/>
        </w:rPr>
        <w:t>The following chart summarizes the operating activities of our principal subsidiaries, the segments in which we report our revenue and the markets we served as of June 30,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Segment</w:t>
            </w:r>
          </w:p>
        </w:tc>
        <w:tc>
          <w:tcPr>
            <w:tcW w:w="1220" w:type="dxa"/>
            <w:vAlign w:val="bottom"/>
            <w:gridSpan w:val="2"/>
          </w:tcPr>
          <w:p>
            <w:pPr>
              <w:ind w:left="360"/>
              <w:spacing w:after="0"/>
              <w:rPr>
                <w:sz w:val="20"/>
                <w:szCs w:val="20"/>
                <w:color w:val="auto"/>
              </w:rPr>
            </w:pPr>
            <w:r>
              <w:rPr>
                <w:rFonts w:ascii="Arial" w:cs="Arial" w:eastAsia="Arial" w:hAnsi="Arial"/>
                <w:sz w:val="12"/>
                <w:szCs w:val="12"/>
                <w:b w:val="1"/>
                <w:bCs w:val="1"/>
                <w:color w:val="auto"/>
              </w:rPr>
              <w:t>Services</w:t>
            </w:r>
          </w:p>
        </w:tc>
        <w:tc>
          <w:tcPr>
            <w:tcW w:w="3420" w:type="dxa"/>
            <w:vAlign w:val="bottom"/>
            <w:gridSpan w:val="2"/>
          </w:tcPr>
          <w:p>
            <w:pPr>
              <w:ind w:left="1440"/>
              <w:spacing w:after="0"/>
              <w:rPr>
                <w:sz w:val="20"/>
                <w:szCs w:val="20"/>
                <w:color w:val="auto"/>
              </w:rPr>
            </w:pPr>
            <w:r>
              <w:rPr>
                <w:rFonts w:ascii="Arial" w:cs="Arial" w:eastAsia="Arial" w:hAnsi="Arial"/>
                <w:sz w:val="12"/>
                <w:szCs w:val="12"/>
                <w:b w:val="1"/>
                <w:bCs w:val="1"/>
                <w:color w:val="auto"/>
              </w:rPr>
              <w:t>Markets</w:t>
            </w:r>
          </w:p>
        </w:tc>
        <w:tc>
          <w:tcPr>
            <w:tcW w:w="4020" w:type="dxa"/>
            <w:vAlign w:val="bottom"/>
          </w:tcPr>
          <w:p>
            <w:pPr>
              <w:ind w:left="1780"/>
              <w:spacing w:after="0"/>
              <w:rPr>
                <w:sz w:val="20"/>
                <w:szCs w:val="20"/>
                <w:color w:val="auto"/>
              </w:rPr>
            </w:pPr>
            <w:r>
              <w:rPr>
                <w:rFonts w:ascii="Arial" w:cs="Arial" w:eastAsia="Arial" w:hAnsi="Arial"/>
                <w:sz w:val="12"/>
                <w:szCs w:val="12"/>
                <w:b w:val="1"/>
                <w:bCs w:val="1"/>
                <w:color w:val="auto"/>
              </w:rPr>
              <w:t>Tradenames</w:t>
            </w:r>
          </w:p>
        </w:tc>
      </w:tr>
      <w:tr>
        <w:trPr>
          <w:trHeight w:val="174"/>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0"/>
              </w:rPr>
              <w:t>International Telecom</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7"/>
              </w:rPr>
              <w:t>Mobility Services</w:t>
            </w:r>
          </w:p>
        </w:tc>
        <w:tc>
          <w:tcPr>
            <w:tcW w:w="10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Bermuda, Guyana, US Virgin Islands</w:t>
            </w:r>
          </w:p>
        </w:tc>
        <w:tc>
          <w:tcPr>
            <w:tcW w:w="10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One, GTT+, Viya</w:t>
            </w: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rPr>
              <w:t>Fixed Services</w:t>
            </w:r>
          </w:p>
        </w:tc>
        <w:tc>
          <w:tcPr>
            <w:tcW w:w="3420" w:type="dxa"/>
            <w:vAlign w:val="bottom"/>
            <w:gridSpan w:val="2"/>
          </w:tcPr>
          <w:p>
            <w:pPr>
              <w:spacing w:after="0"/>
              <w:rPr>
                <w:sz w:val="20"/>
                <w:szCs w:val="20"/>
                <w:color w:val="auto"/>
              </w:rPr>
            </w:pPr>
            <w:r>
              <w:rPr>
                <w:rFonts w:ascii="Arial" w:cs="Arial" w:eastAsia="Arial" w:hAnsi="Arial"/>
                <w:sz w:val="15"/>
                <w:szCs w:val="15"/>
                <w:color w:val="auto"/>
                <w:w w:val="94"/>
              </w:rPr>
              <w:t>Bermuda, Cayman Islands, Guyana, US Virgin Islands</w:t>
            </w:r>
          </w:p>
        </w:tc>
        <w:tc>
          <w:tcPr>
            <w:tcW w:w="4020" w:type="dxa"/>
            <w:vAlign w:val="bottom"/>
          </w:tcPr>
          <w:p>
            <w:pPr>
              <w:spacing w:after="0"/>
              <w:rPr>
                <w:sz w:val="20"/>
                <w:szCs w:val="20"/>
                <w:color w:val="auto"/>
              </w:rPr>
            </w:pPr>
            <w:r>
              <w:rPr>
                <w:rFonts w:ascii="Arial" w:cs="Arial" w:eastAsia="Arial" w:hAnsi="Arial"/>
                <w:sz w:val="15"/>
                <w:szCs w:val="15"/>
                <w:color w:val="auto"/>
              </w:rPr>
              <w:t>One, Logic, GTT, Viya</w:t>
            </w:r>
          </w:p>
        </w:tc>
      </w:tr>
      <w:tr>
        <w:trPr>
          <w:trHeight w:val="182"/>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Carrier Services</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Bermuda, Guyana, US Virgin Islands</w:t>
            </w: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One, GTT+, Viya</w:t>
            </w: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w w:val="96"/>
              </w:rPr>
              <w:t>Managed Services</w:t>
            </w:r>
          </w:p>
        </w:tc>
        <w:tc>
          <w:tcPr>
            <w:tcW w:w="3420" w:type="dxa"/>
            <w:vAlign w:val="bottom"/>
            <w:gridSpan w:val="2"/>
          </w:tcPr>
          <w:p>
            <w:pPr>
              <w:spacing w:after="0"/>
              <w:rPr>
                <w:sz w:val="20"/>
                <w:szCs w:val="20"/>
                <w:color w:val="auto"/>
              </w:rPr>
            </w:pPr>
            <w:r>
              <w:rPr>
                <w:rFonts w:ascii="Arial" w:cs="Arial" w:eastAsia="Arial" w:hAnsi="Arial"/>
                <w:sz w:val="15"/>
                <w:szCs w:val="15"/>
                <w:color w:val="auto"/>
                <w:w w:val="94"/>
              </w:rPr>
              <w:t>Bermuda, Cayman Islands, US Virgin Islands, Guyana</w:t>
            </w:r>
          </w:p>
        </w:tc>
        <w:tc>
          <w:tcPr>
            <w:tcW w:w="4020" w:type="dxa"/>
            <w:vAlign w:val="bottom"/>
          </w:tcPr>
          <w:p>
            <w:pPr>
              <w:spacing w:after="0"/>
              <w:rPr>
                <w:sz w:val="20"/>
                <w:szCs w:val="20"/>
                <w:color w:val="auto"/>
              </w:rPr>
            </w:pPr>
            <w:r>
              <w:rPr>
                <w:rFonts w:ascii="Arial" w:cs="Arial" w:eastAsia="Arial" w:hAnsi="Arial"/>
                <w:sz w:val="15"/>
                <w:szCs w:val="15"/>
                <w:color w:val="auto"/>
              </w:rPr>
              <w:t>Fireminds, One, Logic, GTT, Viya</w:t>
            </w:r>
          </w:p>
        </w:tc>
      </w:tr>
      <w:tr>
        <w:trPr>
          <w:trHeight w:val="174"/>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US Telecom</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7"/>
              </w:rPr>
              <w:t>Mobility Services</w:t>
            </w:r>
          </w:p>
        </w:tc>
        <w:tc>
          <w:tcPr>
            <w:tcW w:w="10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United States (rural markets)</w:t>
            </w:r>
          </w:p>
        </w:tc>
        <w:tc>
          <w:tcPr>
            <w:tcW w:w="10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Choice, Choice NTUA Wireless, Geoverse</w:t>
            </w: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rPr>
              <w:t>Fixed Services</w:t>
            </w:r>
          </w:p>
        </w:tc>
        <w:tc>
          <w:tcPr>
            <w:tcW w:w="342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4020" w:type="dxa"/>
            <w:vAlign w:val="bottom"/>
          </w:tcPr>
          <w:p>
            <w:pPr>
              <w:spacing w:after="0"/>
              <w:rPr>
                <w:sz w:val="20"/>
                <w:szCs w:val="20"/>
                <w:color w:val="auto"/>
              </w:rPr>
            </w:pPr>
            <w:r>
              <w:rPr>
                <w:rFonts w:ascii="Arial" w:cs="Arial" w:eastAsia="Arial" w:hAnsi="Arial"/>
                <w:sz w:val="15"/>
                <w:szCs w:val="15"/>
                <w:color w:val="auto"/>
                <w:w w:val="93"/>
              </w:rPr>
              <w:t>Alaska Communications, Commnet, Choice, Choice NTUA Wirel</w:t>
            </w:r>
          </w:p>
        </w:tc>
      </w:tr>
      <w:tr>
        <w:trPr>
          <w:trHeight w:val="182"/>
        </w:trPr>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Carrier Services</w:t>
            </w:r>
          </w:p>
        </w:tc>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United States</w:t>
            </w:r>
          </w:p>
        </w:tc>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Alaska Communications, Commnet, Essextel</w:t>
            </w:r>
          </w:p>
        </w:tc>
      </w:tr>
      <w:tr>
        <w:trPr>
          <w:trHeight w:val="182"/>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auto"/>
                <w:w w:val="96"/>
              </w:rPr>
              <w:t>Managed Services</w:t>
            </w:r>
          </w:p>
        </w:tc>
        <w:tc>
          <w:tcPr>
            <w:tcW w:w="3420" w:type="dxa"/>
            <w:vAlign w:val="bottom"/>
            <w:gridSpan w:val="2"/>
          </w:tcPr>
          <w:p>
            <w:pPr>
              <w:spacing w:after="0"/>
              <w:rPr>
                <w:sz w:val="20"/>
                <w:szCs w:val="20"/>
                <w:color w:val="auto"/>
              </w:rPr>
            </w:pPr>
            <w:r>
              <w:rPr>
                <w:rFonts w:ascii="Arial" w:cs="Arial" w:eastAsia="Arial" w:hAnsi="Arial"/>
                <w:sz w:val="15"/>
                <w:szCs w:val="15"/>
                <w:color w:val="auto"/>
              </w:rPr>
              <w:t>United States</w:t>
            </w:r>
          </w:p>
        </w:tc>
        <w:tc>
          <w:tcPr>
            <w:tcW w:w="4020" w:type="dxa"/>
            <w:vAlign w:val="bottom"/>
          </w:tcPr>
          <w:p>
            <w:pPr>
              <w:spacing w:after="0"/>
              <w:rPr>
                <w:sz w:val="20"/>
                <w:szCs w:val="20"/>
                <w:color w:val="auto"/>
              </w:rPr>
            </w:pPr>
            <w:r>
              <w:rPr>
                <w:rFonts w:ascii="Arial" w:cs="Arial" w:eastAsia="Arial" w:hAnsi="Arial"/>
                <w:sz w:val="15"/>
                <w:szCs w:val="15"/>
                <w:color w:val="auto"/>
              </w:rPr>
              <w:t>Alaska Communications, Choice</w:t>
            </w:r>
          </w:p>
        </w:tc>
      </w:tr>
      <w:tr>
        <w:trPr>
          <w:trHeight w:val="159"/>
        </w:trPr>
        <w:tc>
          <w:tcPr>
            <w:tcW w:w="14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Renewable Energy</w:t>
            </w: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Solar</w:t>
            </w:r>
          </w:p>
        </w:tc>
        <w:tc>
          <w:tcPr>
            <w:tcW w:w="100" w:type="dxa"/>
            <w:vAlign w:val="bottom"/>
            <w:tcBorders>
              <w:top w:val="single" w:sz="8" w:color="CCEEFF"/>
            </w:tcBorders>
            <w:shd w:val="clear" w:color="auto" w:fill="CCEEFF"/>
          </w:tcPr>
          <w:p>
            <w:pPr>
              <w:spacing w:after="0"/>
              <w:rPr>
                <w:sz w:val="13"/>
                <w:szCs w:val="13"/>
                <w:color w:val="auto"/>
              </w:rPr>
            </w:pPr>
          </w:p>
        </w:tc>
        <w:tc>
          <w:tcPr>
            <w:tcW w:w="33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India</w:t>
            </w:r>
          </w:p>
        </w:tc>
        <w:tc>
          <w:tcPr>
            <w:tcW w:w="10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5"/>
                <w:szCs w:val="15"/>
                <w:color w:val="auto"/>
              </w:rPr>
              <w:t>Vibrant Energy</w:t>
            </w:r>
          </w:p>
        </w:tc>
      </w:tr>
      <w:tr>
        <w:trPr>
          <w:trHeight w:val="196"/>
        </w:trPr>
        <w:tc>
          <w:tcPr>
            <w:tcW w:w="1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(1)</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20" w:type="dxa"/>
            <w:vAlign w:val="bottom"/>
            <w:tcBorders>
              <w:bottom w:val="single" w:sz="8" w:color="auto"/>
            </w:tcBorders>
            <w:shd w:val="clear" w:color="auto" w:fill="CCEEFF"/>
          </w:tcPr>
          <w:p>
            <w:pPr>
              <w:spacing w:after="0"/>
              <w:rPr>
                <w:sz w:val="17"/>
                <w:szCs w:val="17"/>
                <w:color w:val="auto"/>
              </w:rPr>
            </w:pPr>
          </w:p>
        </w:tc>
      </w:tr>
    </w:tbl>
    <w:p>
      <w:pPr>
        <w:spacing w:after="0" w:line="172" w:lineRule="exact"/>
        <w:rPr>
          <w:sz w:val="20"/>
          <w:szCs w:val="20"/>
          <w:color w:val="auto"/>
        </w:rPr>
      </w:pPr>
    </w:p>
    <w:p>
      <w:pPr>
        <w:ind w:left="880" w:hanging="27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See </w:t>
      </w:r>
      <w:r>
        <w:rPr>
          <w:rFonts w:ascii="Arial" w:cs="Arial" w:eastAsia="Arial" w:hAnsi="Arial"/>
          <w:sz w:val="15"/>
          <w:szCs w:val="15"/>
          <w:i w:val="1"/>
          <w:iCs w:val="1"/>
          <w:color w:val="auto"/>
        </w:rPr>
        <w:t>Disposition of International Solar Business</w:t>
      </w:r>
      <w:r>
        <w:rPr>
          <w:rFonts w:ascii="Arial" w:cs="Arial" w:eastAsia="Arial" w:hAnsi="Arial"/>
          <w:sz w:val="15"/>
          <w:szCs w:val="15"/>
          <w:color w:val="auto"/>
        </w:rPr>
        <w:t xml:space="preserve"> for further details.</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Pending Acquisition of Sacred Wind Enterprises</w:t>
      </w:r>
    </w:p>
    <w:p>
      <w:pPr>
        <w:spacing w:after="0" w:line="101" w:lineRule="exact"/>
        <w:rPr>
          <w:sz w:val="20"/>
          <w:szCs w:val="20"/>
          <w:color w:val="auto"/>
        </w:rPr>
      </w:pPr>
    </w:p>
    <w:p>
      <w:pPr>
        <w:ind w:left="40" w:right="1420" w:firstLine="372"/>
        <w:spacing w:after="0" w:line="262" w:lineRule="auto"/>
        <w:rPr>
          <w:sz w:val="20"/>
          <w:szCs w:val="20"/>
          <w:color w:val="auto"/>
        </w:rPr>
      </w:pPr>
      <w:r>
        <w:rPr>
          <w:rFonts w:ascii="Arial" w:cs="Arial" w:eastAsia="Arial" w:hAnsi="Arial"/>
          <w:sz w:val="15"/>
          <w:szCs w:val="15"/>
          <w:color w:val="auto"/>
        </w:rPr>
        <w:t>On July 26, 2022, we via our newly formed wholly owned subsidiary Alloy, Inc. (“Alloy”), entered into a stock purchase agreement (the “Purchase Agreement”) to acquire all of the issued and outstanding stock of Sacred Wind Enterprises, Inc. (“Sacred Wind”), a rural telecommunications provider in New Mexico. Under the Purchase Agreement, we will contribute all of our ownership interests in our Commnet Wireless business to Alloy, and issue Alloy equity to</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10220"/>
          </w:cols>
          <w:pgMar w:left="1440" w:top="459" w:right="239" w:bottom="1440" w:gutter="0" w:footer="0" w:header="0"/>
        </w:sectPr>
      </w:pPr>
    </w:p>
    <w:bookmarkStart w:id="43" w:name="page44"/>
    <w:bookmarkEnd w:id="4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159"/>
        <w:spacing w:after="0" w:line="258" w:lineRule="auto"/>
        <w:rPr>
          <w:sz w:val="20"/>
          <w:szCs w:val="20"/>
          <w:color w:val="auto"/>
        </w:rPr>
      </w:pPr>
      <w:r>
        <w:rPr>
          <w:rFonts w:ascii="Arial" w:cs="Arial" w:eastAsia="Arial" w:hAnsi="Arial"/>
          <w:sz w:val="15"/>
          <w:szCs w:val="15"/>
          <w:color w:val="auto"/>
        </w:rPr>
        <w:t>the Sacred Wind stockholders representing the combined ownership of Sacred Wind and Commnet. The acquisition is subject to certain closing conditions, including the receipt of required third party and regulatory approvals such as approval of the Federal Communications Commission. Under the Purchase Agreement, Sacred Wind will keep in place its approximately $32 million in debt and we will issue consideration of a combination of $24 million in cash, the issuance of $13 million of equity representing an approximate 6% in Alloy, Inc. In addition, the Purchase Agreement includes certain earn-outs, the accounting for which will be determined upon our completion of the acquisition, to be paid to the Sacred Wind stockholders</w:t>
      </w:r>
      <w:r>
        <w:rPr>
          <w:rFonts w:ascii="Arial" w:cs="Arial" w:eastAsia="Arial" w:hAnsi="Arial"/>
          <w:sz w:val="15"/>
          <w:szCs w:val="15"/>
          <w:i w:val="1"/>
          <w:iCs w:val="1"/>
          <w:color w:val="auto"/>
        </w:rPr>
        <w:t>.</w:t>
      </w:r>
    </w:p>
    <w:p>
      <w:pPr>
        <w:spacing w:after="0" w:line="72" w:lineRule="exact"/>
        <w:rPr>
          <w:sz w:val="20"/>
          <w:szCs w:val="20"/>
          <w:color w:val="auto"/>
        </w:rPr>
      </w:pPr>
    </w:p>
    <w:p>
      <w:pPr>
        <w:ind w:left="40" w:right="459" w:firstLine="372"/>
        <w:spacing w:after="0" w:line="279" w:lineRule="auto"/>
        <w:rPr>
          <w:sz w:val="20"/>
          <w:szCs w:val="20"/>
          <w:color w:val="auto"/>
        </w:rPr>
      </w:pPr>
      <w:r>
        <w:rPr>
          <w:rFonts w:ascii="Arial" w:cs="Arial" w:eastAsia="Arial" w:hAnsi="Arial"/>
          <w:sz w:val="15"/>
          <w:szCs w:val="15"/>
          <w:color w:val="auto"/>
        </w:rPr>
        <w:t>We believe that the acquisition of Sacred Wind will expand our infrastructure reach and broadband services in the rural Southwest and increase our wholesale carrier, residential and business broadband services.</w:t>
      </w:r>
    </w:p>
    <w:p>
      <w:pPr>
        <w:spacing w:after="0" w:line="55" w:lineRule="exact"/>
        <w:rPr>
          <w:sz w:val="20"/>
          <w:szCs w:val="20"/>
          <w:color w:val="auto"/>
        </w:rPr>
      </w:pPr>
    </w:p>
    <w:p>
      <w:pPr>
        <w:ind w:left="40" w:right="299" w:firstLine="372"/>
        <w:spacing w:after="0" w:line="279" w:lineRule="auto"/>
        <w:rPr>
          <w:sz w:val="20"/>
          <w:szCs w:val="20"/>
          <w:color w:val="auto"/>
        </w:rPr>
      </w:pPr>
      <w:r>
        <w:rPr>
          <w:rFonts w:ascii="Arial" w:cs="Arial" w:eastAsia="Arial" w:hAnsi="Arial"/>
          <w:sz w:val="15"/>
          <w:szCs w:val="15"/>
          <w:color w:val="auto"/>
        </w:rPr>
        <w:t>The acquisition of Sacred Wind is expected to close subject to Federal Communications Commission and other required approvals in the fourth quarter of 2022 or first quarter of 2023.</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Completed Acquisition of Alaska Communications</w:t>
      </w:r>
    </w:p>
    <w:p>
      <w:pPr>
        <w:spacing w:after="0" w:line="192" w:lineRule="exact"/>
        <w:rPr>
          <w:sz w:val="20"/>
          <w:szCs w:val="20"/>
          <w:color w:val="auto"/>
        </w:rPr>
      </w:pPr>
    </w:p>
    <w:p>
      <w:pPr>
        <w:jc w:val="both"/>
        <w:ind w:left="40" w:right="59" w:firstLine="547"/>
        <w:spacing w:after="0" w:line="262" w:lineRule="auto"/>
        <w:rPr>
          <w:sz w:val="20"/>
          <w:szCs w:val="20"/>
          <w:color w:val="auto"/>
        </w:rPr>
      </w:pPr>
      <w:r>
        <w:rPr>
          <w:rFonts w:ascii="Arial" w:cs="Arial" w:eastAsia="Arial" w:hAnsi="Arial"/>
          <w:sz w:val="15"/>
          <w:szCs w:val="15"/>
          <w:color w:val="auto"/>
        </w:rPr>
        <w:t>On July 22, 2021, we completed the acquisition of Alaska Communications Systems Group, Inc. (“Alaska Communications”), a publicly listed company, for approximately $339.5 million in cash, net of cash acquired, (the “Alaska Transaction”). Alaska Communications provides broadband telecommunication and managed information technology services to customers in the state of Alaska and beyond using its statewide and interstate telecommunications network.</w:t>
      </w:r>
    </w:p>
    <w:p>
      <w:pPr>
        <w:spacing w:after="0" w:line="158" w:lineRule="exact"/>
        <w:rPr>
          <w:sz w:val="20"/>
          <w:szCs w:val="20"/>
          <w:color w:val="auto"/>
        </w:rPr>
      </w:pPr>
    </w:p>
    <w:p>
      <w:pPr>
        <w:jc w:val="both"/>
        <w:ind w:left="40" w:right="39" w:firstLine="519"/>
        <w:spacing w:after="0" w:line="257" w:lineRule="auto"/>
        <w:rPr>
          <w:sz w:val="20"/>
          <w:szCs w:val="20"/>
          <w:color w:val="auto"/>
        </w:rPr>
      </w:pPr>
      <w:r>
        <w:rPr>
          <w:rFonts w:ascii="Arial" w:cs="Arial" w:eastAsia="Arial" w:hAnsi="Arial"/>
          <w:sz w:val="15"/>
          <w:szCs w:val="15"/>
          <w:color w:val="auto"/>
        </w:rPr>
        <w:t>In conjunction with the Alaska Transaction, we entered into an agreement with affiliates and investment funds managed by Freedom 3 Capital, LLC as well as other institutional investors (collectively the “Freedom 3 Investors”). The Freedom 3 Investors contributed $71.5 million in conjunction with the Alaska Transaction (the “Freedom 3 Investment”). The Freedom 3 Investment consists of common and preferred equity instruments in our subsidiary of which holds the ownership of Alaska Communications. We accounted for the Freedom 3 Investment as a redeemable noncontrolling interest in our consolidated financial statements and we also entered into a financing transaction drawing $220 million on a new credit facility to complete the Alaska Transaction. As a result of the Alaska Transaction, we own approximately 52% of the common equity of Alaska Communications and control its operations and management. Beginning on July 22, 2021, the results of Alaska Communications are included in our US Telecom segment.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xml:space="preserve"> for a discussion regarding the credit agreement used to help finance the Alaska Transaction.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COVID-19</w:t>
      </w:r>
    </w:p>
    <w:p>
      <w:pPr>
        <w:spacing w:after="0" w:line="192" w:lineRule="exact"/>
        <w:rPr>
          <w:sz w:val="20"/>
          <w:szCs w:val="20"/>
          <w:color w:val="auto"/>
        </w:rPr>
      </w:pPr>
    </w:p>
    <w:p>
      <w:pPr>
        <w:jc w:val="both"/>
        <w:ind w:left="40" w:right="59" w:firstLine="547"/>
        <w:spacing w:after="0" w:line="279" w:lineRule="auto"/>
        <w:rPr>
          <w:sz w:val="20"/>
          <w:szCs w:val="20"/>
          <w:color w:val="auto"/>
        </w:rPr>
      </w:pPr>
      <w:r>
        <w:rPr>
          <w:rFonts w:ascii="Arial" w:cs="Arial" w:eastAsia="Arial" w:hAnsi="Arial"/>
          <w:sz w:val="15"/>
          <w:szCs w:val="15"/>
          <w:color w:val="auto"/>
        </w:rPr>
        <w:t>We are continuing to monitor and assess the effects of the ongoing COVID-19 pandemic on our commercial operations, the safety of our employees and their families, our sales force and customers.</w:t>
      </w:r>
    </w:p>
    <w:p>
      <w:pPr>
        <w:spacing w:after="0" w:line="146" w:lineRule="exact"/>
        <w:rPr>
          <w:sz w:val="20"/>
          <w:szCs w:val="20"/>
          <w:color w:val="auto"/>
        </w:rPr>
      </w:pPr>
    </w:p>
    <w:p>
      <w:pPr>
        <w:jc w:val="both"/>
        <w:ind w:left="40" w:right="39" w:firstLine="547"/>
        <w:spacing w:after="0" w:line="306" w:lineRule="auto"/>
        <w:rPr>
          <w:sz w:val="20"/>
          <w:szCs w:val="20"/>
          <w:color w:val="auto"/>
        </w:rPr>
      </w:pPr>
      <w:r>
        <w:rPr>
          <w:rFonts w:ascii="Arial" w:cs="Arial" w:eastAsia="Arial" w:hAnsi="Arial"/>
          <w:sz w:val="13"/>
          <w:szCs w:val="13"/>
          <w:color w:val="auto"/>
        </w:rPr>
        <w:t>The preparation of the condensed consolidated financial statements requires us to make estimates, judgments and assumptions, which are evaluated on an ongoing basis, which may affect the reported amounts of assets, liabilities, equity, revenues and expenses and related disclosure of contingent assets and liabilities. We assessed certain accounting matters and estimates that generally require consideration of forecasted financial information in context with the information and estimates reasonably available to us and the unknown future impacts of COVID-19 as of June 30, 2022 and through the date of this report. The accounting matters assessed included, but were not limited to, the allowance for credit losses, the carrying value of goodwill and other long-lived assets, financial assets, valuation allowances for tax assets and revenue recognition.</w:t>
      </w:r>
    </w:p>
    <w:p>
      <w:pPr>
        <w:spacing w:after="0" w:line="132" w:lineRule="exact"/>
        <w:rPr>
          <w:sz w:val="20"/>
          <w:szCs w:val="20"/>
          <w:color w:val="auto"/>
        </w:rPr>
      </w:pPr>
    </w:p>
    <w:p>
      <w:pPr>
        <w:jc w:val="both"/>
        <w:ind w:left="40" w:right="59" w:firstLine="607"/>
        <w:spacing w:after="0" w:line="280" w:lineRule="auto"/>
        <w:rPr>
          <w:sz w:val="20"/>
          <w:szCs w:val="20"/>
          <w:color w:val="auto"/>
        </w:rPr>
      </w:pPr>
      <w:r>
        <w:rPr>
          <w:rFonts w:ascii="Arial" w:cs="Arial" w:eastAsia="Arial" w:hAnsi="Arial"/>
          <w:sz w:val="14"/>
          <w:szCs w:val="14"/>
          <w:color w:val="auto"/>
        </w:rPr>
        <w:t>Our assessment of the impact of COVID-19 on our operations did not indicate that there was a material adverse impact to our consolidated financial statements as of and for the three months ended June 30, 2022. However, future assessments of the impacts of COVID-19, as well as other factors, including the possible reinstatement of certain COVID-19 travel-related and stay-at-home restrictions, could result in material adverse impacts to our consolidated financial statements in future reporting periods. For example, we may experience difficulty in procuring network or retail equipment, such as handsets for subscribers, as a result of COVID-19 restrictions and related supply chain challenges. In addition, there is increased uncertainty related to predicting subscribers’ procurement behavior for services.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4" w:name="page45"/>
    <w:bookmarkEnd w:id="4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Disposition of International Solar Business</w:t>
      </w:r>
    </w:p>
    <w:p>
      <w:pPr>
        <w:spacing w:after="0" w:line="192" w:lineRule="exact"/>
        <w:rPr>
          <w:sz w:val="20"/>
          <w:szCs w:val="20"/>
          <w:color w:val="auto"/>
        </w:rPr>
      </w:pPr>
    </w:p>
    <w:p>
      <w:pPr>
        <w:jc w:val="both"/>
        <w:ind w:left="40" w:right="59" w:firstLine="519"/>
        <w:spacing w:after="0" w:line="286" w:lineRule="auto"/>
        <w:rPr>
          <w:sz w:val="20"/>
          <w:szCs w:val="20"/>
          <w:color w:val="auto"/>
        </w:rPr>
      </w:pPr>
      <w:r>
        <w:rPr>
          <w:rFonts w:ascii="Arial" w:cs="Arial" w:eastAsia="Arial" w:hAnsi="Arial"/>
          <w:sz w:val="14"/>
          <w:szCs w:val="14"/>
          <w:color w:val="auto"/>
        </w:rPr>
        <w:t>In January 2021, we completed the sale of 67% of the outstanding equity in our business that owns and operates distributed generation solar power projects operated under the Vibrant name in India (the “Vibrant Transaction”). The post-sale results of our ownership interest in Vibrant, representing 33% of Vibrant’s profits and losses, will be recorded through the equity method of accounting within the Corporate and Other operating segment. We will continue to present the historical results of our Renewable Energy segment for comparative purposes.</w:t>
      </w:r>
    </w:p>
    <w:p>
      <w:pPr>
        <w:spacing w:after="0" w:line="144" w:lineRule="exact"/>
        <w:rPr>
          <w:sz w:val="20"/>
          <w:szCs w:val="20"/>
          <w:color w:val="auto"/>
        </w:rPr>
      </w:pPr>
    </w:p>
    <w:p>
      <w:pPr>
        <w:jc w:val="both"/>
        <w:ind w:left="40" w:right="59" w:firstLine="547"/>
        <w:spacing w:after="0" w:line="279" w:lineRule="auto"/>
        <w:rPr>
          <w:sz w:val="20"/>
          <w:szCs w:val="20"/>
          <w:color w:val="auto"/>
        </w:rPr>
      </w:pPr>
      <w:r>
        <w:rPr>
          <w:rFonts w:ascii="Arial" w:cs="Arial" w:eastAsia="Arial" w:hAnsi="Arial"/>
          <w:sz w:val="15"/>
          <w:szCs w:val="15"/>
          <w:color w:val="auto"/>
        </w:rPr>
        <w:t>The operations of Vibrant did not qualify as discontinued operations because the disposition did not represent a strategic shift that had a major effect on our operations and financial results.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FirstNet Agreement</w:t>
      </w:r>
    </w:p>
    <w:p>
      <w:pPr>
        <w:spacing w:after="0" w:line="192" w:lineRule="exact"/>
        <w:rPr>
          <w:sz w:val="20"/>
          <w:szCs w:val="20"/>
          <w:color w:val="auto"/>
        </w:rPr>
      </w:pPr>
    </w:p>
    <w:p>
      <w:pPr>
        <w:jc w:val="both"/>
        <w:ind w:left="40" w:right="39" w:firstLine="547"/>
        <w:spacing w:after="0" w:line="278" w:lineRule="auto"/>
        <w:rPr>
          <w:sz w:val="20"/>
          <w:szCs w:val="20"/>
          <w:color w:val="auto"/>
        </w:rPr>
      </w:pPr>
      <w:r>
        <w:rPr>
          <w:rFonts w:ascii="Arial" w:cs="Arial" w:eastAsia="Arial" w:hAnsi="Arial"/>
          <w:sz w:val="14"/>
          <w:szCs w:val="14"/>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 in the Western United States. Pursuant to the FirstNet Agreement and subject to certain limitations contained therein, all cell sites must be completed and accepted within a specified period of time. Since inception of the project through June 30, 2022, we have recorded $52.1 million in construction revenue, including $5.3 million during 2022. In 2022, we also expect to record additional costs of construction revenue, as sites are completed, that will approximate that revenue. Revenues from construction are expected to have minimal impact on operating income. The network build portion of the FirstNet Agreement has continued during the COVID-19 pandemic, but the overall timing of the build schedule has been delayed.</w:t>
      </w:r>
    </w:p>
    <w:p>
      <w:pPr>
        <w:spacing w:after="0" w:line="148" w:lineRule="exact"/>
        <w:rPr>
          <w:sz w:val="20"/>
          <w:szCs w:val="20"/>
          <w:color w:val="auto"/>
        </w:rPr>
      </w:pPr>
    </w:p>
    <w:p>
      <w:pPr>
        <w:jc w:val="both"/>
        <w:ind w:left="40" w:right="59" w:firstLine="547"/>
        <w:spacing w:after="0" w:line="262" w:lineRule="auto"/>
        <w:rPr>
          <w:sz w:val="20"/>
          <w:szCs w:val="20"/>
          <w:color w:val="auto"/>
        </w:rPr>
      </w:pPr>
      <w:r>
        <w:rPr>
          <w:rFonts w:ascii="Arial" w:cs="Arial" w:eastAsia="Arial" w:hAnsi="Arial"/>
          <w:sz w:val="15"/>
          <w:szCs w:val="15"/>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158" w:lineRule="exact"/>
        <w:rPr>
          <w:sz w:val="20"/>
          <w:szCs w:val="20"/>
          <w:color w:val="auto"/>
        </w:rPr>
      </w:pPr>
    </w:p>
    <w:p>
      <w:pPr>
        <w:jc w:val="both"/>
        <w:ind w:left="40" w:right="59" w:firstLine="547"/>
        <w:spacing w:after="0" w:line="286" w:lineRule="auto"/>
        <w:rPr>
          <w:sz w:val="20"/>
          <w:szCs w:val="20"/>
          <w:color w:val="auto"/>
        </w:rPr>
      </w:pPr>
      <w:r>
        <w:rPr>
          <w:rFonts w:ascii="Arial" w:cs="Arial" w:eastAsia="Arial" w:hAnsi="Arial"/>
          <w:sz w:val="14"/>
          <w:szCs w:val="14"/>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Universal Service Fund and Connect America Fund Phase II Programs</w:t>
      </w:r>
    </w:p>
    <w:p>
      <w:pPr>
        <w:spacing w:after="0" w:line="192" w:lineRule="exact"/>
        <w:rPr>
          <w:sz w:val="20"/>
          <w:szCs w:val="20"/>
          <w:color w:val="auto"/>
        </w:rPr>
      </w:pPr>
    </w:p>
    <w:p>
      <w:pPr>
        <w:jc w:val="both"/>
        <w:ind w:left="40" w:right="59" w:firstLine="547"/>
        <w:spacing w:after="0" w:line="314" w:lineRule="auto"/>
        <w:rPr>
          <w:sz w:val="20"/>
          <w:szCs w:val="20"/>
          <w:color w:val="auto"/>
        </w:rPr>
      </w:pPr>
      <w:r>
        <w:rPr>
          <w:rFonts w:ascii="Arial" w:cs="Arial" w:eastAsia="Arial" w:hAnsi="Arial"/>
          <w:sz w:val="13"/>
          <w:szCs w:val="13"/>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311" w:lineRule="exact"/>
        <w:rPr>
          <w:sz w:val="20"/>
          <w:szCs w:val="20"/>
          <w:color w:val="auto"/>
        </w:rPr>
      </w:pPr>
    </w:p>
    <w:p>
      <w:pPr>
        <w:jc w:val="both"/>
        <w:ind w:left="40" w:right="59" w:firstLine="547"/>
        <w:spacing w:after="0" w:line="266" w:lineRule="auto"/>
        <w:rPr>
          <w:sz w:val="20"/>
          <w:szCs w:val="20"/>
          <w:color w:val="auto"/>
        </w:rPr>
      </w:pPr>
      <w:r>
        <w:rPr>
          <w:rFonts w:ascii="Arial" w:cs="Arial" w:eastAsia="Arial" w:hAnsi="Arial"/>
          <w:sz w:val="15"/>
          <w:szCs w:val="15"/>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156" w:lineRule="exact"/>
        <w:rPr>
          <w:sz w:val="20"/>
          <w:szCs w:val="20"/>
          <w:color w:val="auto"/>
        </w:rPr>
      </w:pPr>
    </w:p>
    <w:p>
      <w:pPr>
        <w:jc w:val="both"/>
        <w:ind w:left="40" w:right="59" w:firstLine="547"/>
        <w:spacing w:after="0" w:line="279" w:lineRule="auto"/>
        <w:rPr>
          <w:sz w:val="20"/>
          <w:szCs w:val="20"/>
          <w:color w:val="auto"/>
        </w:rPr>
      </w:pPr>
      <w:r>
        <w:rPr>
          <w:rFonts w:ascii="Arial" w:cs="Arial" w:eastAsia="Arial" w:hAnsi="Arial"/>
          <w:sz w:val="15"/>
          <w:szCs w:val="15"/>
          <w:color w:val="auto"/>
        </w:rPr>
        <w:t>Both the USF and CAFII programs are subject to certain operational and reporting compliance requirements. We believe we are in compliance with these requirements as of June 30, 2022.</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5" w:name="page46"/>
    <w:bookmarkEnd w:id="4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40" w:right="59" w:firstLine="547"/>
        <w:spacing w:after="0" w:line="260" w:lineRule="auto"/>
        <w:rPr>
          <w:sz w:val="20"/>
          <w:szCs w:val="20"/>
          <w:color w:val="auto"/>
        </w:rPr>
      </w:pPr>
      <w:r>
        <w:rPr>
          <w:rFonts w:ascii="Arial" w:cs="Arial" w:eastAsia="Arial" w:hAnsi="Arial"/>
          <w:sz w:val="15"/>
          <w:szCs w:val="15"/>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will be reduced again to $5.5 million for the annual period through June 2023. Thereafter, Viya will not receive High Cost Program support.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RDOF (“Rural Digital Opportunities Fund”)</w:t>
      </w:r>
    </w:p>
    <w:p>
      <w:pPr>
        <w:spacing w:after="0" w:line="192" w:lineRule="exact"/>
        <w:rPr>
          <w:sz w:val="20"/>
          <w:szCs w:val="20"/>
          <w:color w:val="auto"/>
        </w:rPr>
      </w:pPr>
    </w:p>
    <w:p>
      <w:pPr>
        <w:jc w:val="both"/>
        <w:ind w:left="40" w:right="59" w:firstLine="547"/>
        <w:spacing w:after="0" w:line="294" w:lineRule="auto"/>
        <w:rPr>
          <w:sz w:val="20"/>
          <w:szCs w:val="20"/>
          <w:color w:val="auto"/>
        </w:rPr>
      </w:pPr>
      <w:r>
        <w:rPr>
          <w:rFonts w:ascii="Arial" w:cs="Arial" w:eastAsia="Arial" w:hAnsi="Arial"/>
          <w:sz w:val="14"/>
          <w:szCs w:val="14"/>
          <w:color w:val="auto"/>
        </w:rPr>
        <w:t>We expect to receive approximately $20.1 million over 10 years to provide broadband and voice coverage to over 10,000 households in the United States (not including Alaska) under the 2020 Rural Digital Opportunity Fund Phase I Auction (“RDOF”). We recorded $0.5 million and $1.0 million of revenue from the RDOF program during the three and six months ended June 30, 2022, respectively.</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Construction Grants</w:t>
      </w:r>
    </w:p>
    <w:p>
      <w:pPr>
        <w:spacing w:after="0" w:line="192" w:lineRule="exact"/>
        <w:rPr>
          <w:sz w:val="20"/>
          <w:szCs w:val="20"/>
          <w:color w:val="auto"/>
        </w:rPr>
      </w:pPr>
    </w:p>
    <w:p>
      <w:pPr>
        <w:jc w:val="both"/>
        <w:ind w:left="40" w:right="39" w:firstLine="547"/>
        <w:spacing w:after="0" w:line="257" w:lineRule="auto"/>
        <w:rPr>
          <w:sz w:val="20"/>
          <w:szCs w:val="20"/>
          <w:color w:val="auto"/>
        </w:rPr>
      </w:pPr>
      <w:r>
        <w:rPr>
          <w:rFonts w:ascii="Arial" w:cs="Arial" w:eastAsia="Arial" w:hAnsi="Arial"/>
          <w:sz w:val="15"/>
          <w:szCs w:val="15"/>
          <w:color w:val="auto"/>
        </w:rPr>
        <w:t>We have also been awarded construction grants to build network connectivity for eligible communities. The funding of these grants, used to reimburse us for our construction costs, is distributed upon completion of a project. As of December 31, 2021, we had been awarded approximately $27.9 million of such grants. We were awarded $0.4 million of additional grants and cancelled $2.1 million of previously awarded grants during the three months ended June 30, 2022. Of this $26.2 million of retained awards, we have completed our construction obligations on $17.1 million of these projects and $9.1 million of such construction obligations remain with completion deadlines beginning in June 2023. Once these projects are constructed, we are obligated to provide service to the participants. We expect to meet all requirements associated with these grants.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Replace and Remove Program</w:t>
      </w:r>
    </w:p>
    <w:p>
      <w:pPr>
        <w:spacing w:after="0" w:line="192" w:lineRule="exact"/>
        <w:rPr>
          <w:sz w:val="20"/>
          <w:szCs w:val="20"/>
          <w:color w:val="auto"/>
        </w:rPr>
      </w:pPr>
    </w:p>
    <w:p>
      <w:pPr>
        <w:ind w:left="40" w:right="59" w:firstLine="547"/>
        <w:spacing w:after="0" w:line="277" w:lineRule="auto"/>
        <w:rPr>
          <w:sz w:val="20"/>
          <w:szCs w:val="20"/>
          <w:color w:val="auto"/>
        </w:rPr>
      </w:pPr>
      <w:r>
        <w:rPr>
          <w:rFonts w:ascii="Arial" w:cs="Arial" w:eastAsia="Arial" w:hAnsi="Arial"/>
          <w:sz w:val="14"/>
          <w:szCs w:val="14"/>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ZTE communications equipment and services in our U.S. networks and replace such equipment. The Replace and Remove Program requires that we complete our first request for reimbursement for services performed under the program no later than July 14, 2023 and that we complete the project no later than one year from submitting our initial reimbursement request. We are currently assessing the impact of this program on our financial statements and anticipates that we will be able to meet the deadlines and requirements of the program.</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CBRS Auction</w:t>
      </w:r>
    </w:p>
    <w:p>
      <w:pPr>
        <w:spacing w:after="0" w:line="192" w:lineRule="exact"/>
        <w:rPr>
          <w:sz w:val="20"/>
          <w:szCs w:val="20"/>
          <w:color w:val="auto"/>
        </w:rPr>
      </w:pPr>
    </w:p>
    <w:p>
      <w:pPr>
        <w:ind w:left="40" w:right="39" w:firstLine="547"/>
        <w:spacing w:after="0" w:line="257" w:lineRule="auto"/>
        <w:rPr>
          <w:sz w:val="20"/>
          <w:szCs w:val="20"/>
          <w:color w:val="auto"/>
        </w:rPr>
      </w:pPr>
      <w:r>
        <w:rPr>
          <w:rFonts w:ascii="Arial" w:cs="Arial" w:eastAsia="Arial" w:hAnsi="Arial"/>
          <w:sz w:val="15"/>
          <w:szCs w:val="15"/>
          <w:color w:val="auto"/>
        </w:rPr>
        <w:t>During the third quarter of 2020, we participated in the FCC’s Citizens Broadband Radio Service (CBRS) auction for Priority Access Licenses (PALs) in the 3.5 GHz spectrum band. These PALs are licensed on a county-by-county basis and are awarded for a 10-year renewable term. We were a winning bidder for PALs located strategically throughout the United States at a total cost of approximately $20.4 million. In the third quarter of 2022, we surrendered a portion of the PALs that we won in the auction in exchange for repayment of the approximately $1.1 million paid for such licenses and entered into a Consent Decree with the FCC with respect to such surrender and receipt of the remaining licenses. In connection with the awarded licenses, we will have to achieve certain CBRS spectrum build out obligations. We currently expect to comply with all applicable requirements related to these licenses.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Presentation of Revenue</w:t>
      </w:r>
    </w:p>
    <w:p>
      <w:pPr>
        <w:spacing w:after="0" w:line="192"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5"/>
          <w:szCs w:val="15"/>
          <w:color w:val="auto"/>
        </w:rPr>
        <w:t>Effective July 1, 2021, we began to categorize Mobility revenue and Fixed revenue as either “consumer” or “business” based upon the characteristics of our subscribers. Effective October 1, 2021, our statement of operations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6" w:name="page47"/>
    <w:bookmarkEnd w:id="4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separately reflects Construction revenue. All periods presented have been adjusted to conform to these presentation updates.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Presentation of Operating Expenses</w:t>
      </w:r>
    </w:p>
    <w:p>
      <w:pPr>
        <w:spacing w:after="0" w:line="192" w:lineRule="exact"/>
        <w:rPr>
          <w:sz w:val="20"/>
          <w:szCs w:val="20"/>
          <w:color w:val="auto"/>
        </w:rPr>
      </w:pPr>
    </w:p>
    <w:p>
      <w:pPr>
        <w:ind w:left="40" w:right="79" w:firstLine="547"/>
        <w:spacing w:after="0" w:line="280" w:lineRule="auto"/>
        <w:rPr>
          <w:sz w:val="20"/>
          <w:szCs w:val="20"/>
          <w:color w:val="auto"/>
        </w:rPr>
      </w:pPr>
      <w:r>
        <w:rPr>
          <w:rFonts w:ascii="Arial" w:cs="Arial" w:eastAsia="Arial" w:hAnsi="Arial"/>
          <w:sz w:val="14"/>
          <w:szCs w:val="14"/>
          <w:color w:val="auto"/>
        </w:rPr>
        <w:t>Effective January 1, 2021, we changed our presentation of operating expenses in the Condensed Consolidated Statements of Operations by combining the previously disclosed Termination and Access Fees with Engineering and Operations as the newly represented Cost of communications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our results with industry standards. Cost of construction services continues to be broken out separately and all depreciation and amortization continues to be shown separately.</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Selected Segment Financial Information</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represents selected segment information for the three months ended June 30, 2022 and 2021 (in thousands):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66"/>
              <w:spacing w:after="0"/>
              <w:rPr>
                <w:sz w:val="20"/>
                <w:szCs w:val="20"/>
                <w:color w:val="auto"/>
              </w:rPr>
            </w:pPr>
            <w:r>
              <w:rPr>
                <w:rFonts w:ascii="Arial" w:cs="Arial" w:eastAsia="Arial" w:hAnsi="Arial"/>
                <w:sz w:val="12"/>
                <w:szCs w:val="12"/>
                <w:b w:val="1"/>
                <w:bCs w:val="1"/>
                <w:color w:val="auto"/>
              </w:rPr>
              <w:t>International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Telecom</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Consolidated</w:t>
            </w:r>
          </w:p>
        </w:tc>
      </w:tr>
      <w:tr>
        <w:trPr>
          <w:trHeight w:val="162"/>
        </w:trPr>
        <w:tc>
          <w:tcPr>
            <w:tcW w:w="30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3,976</w:t>
            </w:r>
          </w:p>
        </w:tc>
        <w:tc>
          <w:tcPr>
            <w:tcW w:w="20" w:type="dxa"/>
            <w:vAlign w:val="bottom"/>
          </w:tcPr>
          <w:p>
            <w:pPr>
              <w:spacing w:after="0"/>
              <w:rPr>
                <w:sz w:val="15"/>
                <w:szCs w:val="15"/>
                <w:color w:val="auto"/>
              </w:rPr>
            </w:pP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21,279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22,828</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24,954</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26,804</w:t>
            </w:r>
          </w:p>
        </w:tc>
        <w:tc>
          <w:tcPr>
            <w:tcW w:w="20" w:type="dxa"/>
            <w:vAlign w:val="bottom"/>
          </w:tcPr>
          <w:p>
            <w:pPr>
              <w:spacing w:after="0"/>
              <w:rPr>
                <w:sz w:val="15"/>
                <w:szCs w:val="15"/>
                <w:color w:val="auto"/>
              </w:rPr>
            </w:pP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16,996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31,866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48,862</w:t>
            </w: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41,353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19,166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60,519</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58,349</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51,032</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109,381</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31,753</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35,174</w:t>
            </w: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436</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87,160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84,635</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171,795</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3,297</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3,159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4,405</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1,246</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4,405</w:t>
            </w:r>
          </w:p>
        </w:tc>
        <w:tc>
          <w:tcPr>
            <w:tcW w:w="20" w:type="dxa"/>
            <w:vAlign w:val="bottom"/>
          </w:tcPr>
          <w:p>
            <w:pPr>
              <w:spacing w:after="0"/>
              <w:rPr>
                <w:sz w:val="15"/>
                <w:szCs w:val="15"/>
                <w:color w:val="auto"/>
              </w:rPr>
            </w:pPr>
          </w:p>
        </w:tc>
      </w:tr>
      <w:tr>
        <w:trPr>
          <w:trHeight w:val="21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88,406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91,091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179,497</w:t>
            </w:r>
          </w:p>
        </w:tc>
        <w:tc>
          <w:tcPr>
            <w:tcW w:w="20" w:type="dxa"/>
            <w:vAlign w:val="bottom"/>
          </w:tcPr>
          <w:p>
            <w:pPr>
              <w:spacing w:after="0"/>
              <w:rPr>
                <w:sz w:val="18"/>
                <w:szCs w:val="18"/>
                <w:color w:val="auto"/>
              </w:rPr>
            </w:pPr>
          </w:p>
        </w:tc>
      </w:tr>
      <w:tr>
        <w:trPr>
          <w:trHeight w:val="156"/>
        </w:trPr>
        <w:tc>
          <w:tcPr>
            <w:tcW w:w="3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3060" w:type="dxa"/>
            <w:vAlign w:val="bottom"/>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11,646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(281)</w:t>
            </w:r>
          </w:p>
        </w:tc>
        <w:tc>
          <w:tcPr>
            <w:tcW w:w="12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(9,621)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1,722</w:t>
            </w:r>
          </w:p>
        </w:tc>
        <w:tc>
          <w:tcPr>
            <w:tcW w:w="20" w:type="dxa"/>
            <w:vAlign w:val="bottom"/>
          </w:tcPr>
          <w:p>
            <w:pPr>
              <w:spacing w:after="0"/>
              <w:rPr>
                <w:sz w:val="16"/>
                <w:szCs w:val="16"/>
                <w:color w:val="auto"/>
              </w:rPr>
            </w:pPr>
          </w:p>
        </w:tc>
      </w:tr>
      <w:tr>
        <w:trPr>
          <w:trHeight w:val="901"/>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47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1"/>
        </w:trPr>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47" w:name="page48"/>
    <w:bookmarkEnd w:id="4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International</w:t>
            </w: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Telecom</w:t>
            </w: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4"/>
                <w:szCs w:val="14"/>
                <w:color w:val="auto"/>
              </w:rPr>
            </w:pPr>
          </w:p>
        </w:tc>
        <w:tc>
          <w:tcPr>
            <w:tcW w:w="780" w:type="dxa"/>
            <w:vAlign w:val="bottom"/>
          </w:tcPr>
          <w:p>
            <w:pPr>
              <w:jc w:val="right"/>
              <w:ind w:right="25"/>
              <w:spacing w:after="0"/>
              <w:rPr>
                <w:sz w:val="20"/>
                <w:szCs w:val="20"/>
                <w:color w:val="auto"/>
              </w:rPr>
            </w:pPr>
            <w:r>
              <w:rPr>
                <w:rFonts w:ascii="Arial" w:cs="Arial" w:eastAsia="Arial" w:hAnsi="Arial"/>
                <w:sz w:val="12"/>
                <w:szCs w:val="12"/>
                <w:b w:val="1"/>
                <w:bCs w:val="1"/>
                <w:color w:val="auto"/>
                <w:w w:val="86"/>
              </w:rPr>
              <w:t>Consolidated</w:t>
            </w:r>
          </w:p>
        </w:tc>
      </w:tr>
      <w:tr>
        <w:trPr>
          <w:trHeight w:val="162"/>
        </w:trPr>
        <w:tc>
          <w:tcPr>
            <w:tcW w:w="30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1,640</w:t>
            </w: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21,456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2,065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23,521</w:t>
            </w: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22,754</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2,407</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25,161</w:t>
            </w: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16,855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18,886</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42,271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46,117</w:t>
            </w: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59,126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5,877</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65,003</w:t>
            </w: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20,038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22,561</w:t>
            </w: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239</w:t>
            </w: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84,642</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28,322</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112,964</w:t>
            </w: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9,325</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9,325</w:t>
            </w: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1,576</w:t>
            </w:r>
          </w:p>
        </w:tc>
      </w:tr>
      <w:tr>
        <w:trPr>
          <w:trHeight w:val="174"/>
        </w:trPr>
        <w:tc>
          <w:tcPr>
            <w:tcW w:w="3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1,576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1,576</w:t>
            </w:r>
          </w:p>
        </w:tc>
      </w:tr>
      <w:tr>
        <w:trPr>
          <w:trHeight w:val="174"/>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86,218</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37,647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123,865</w:t>
            </w: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(556)</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(10,411)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w:t>
            </w:r>
          </w:p>
        </w:tc>
      </w:tr>
    </w:tbl>
    <w:p>
      <w:pPr>
        <w:spacing w:after="0" w:line="35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 Corporate and Other items refer to corporate overhead costs and consolidating adjustments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 comparison of our segment results for the three months ended June 30, 2022, and 2021 is as follows:</w:t>
      </w:r>
    </w:p>
    <w:p>
      <w:pPr>
        <w:spacing w:after="0" w:line="135" w:lineRule="exact"/>
        <w:rPr>
          <w:sz w:val="20"/>
          <w:szCs w:val="20"/>
          <w:color w:val="auto"/>
        </w:rPr>
      </w:pPr>
    </w:p>
    <w:p>
      <w:pPr>
        <w:ind w:left="40" w:right="139" w:firstLine="547"/>
        <w:spacing w:after="0" w:line="282" w:lineRule="auto"/>
        <w:rPr>
          <w:sz w:val="20"/>
          <w:szCs w:val="20"/>
          <w:color w:val="auto"/>
        </w:rPr>
      </w:pPr>
      <w:r>
        <w:rPr>
          <w:rFonts w:ascii="Arial" w:cs="Arial" w:eastAsia="Arial" w:hAnsi="Arial"/>
          <w:sz w:val="14"/>
          <w:szCs w:val="14"/>
          <w:i w:val="1"/>
          <w:iCs w:val="1"/>
          <w:color w:val="auto"/>
        </w:rPr>
        <w:t xml:space="preserve">International Telecom. </w:t>
      </w:r>
      <w:r>
        <w:rPr>
          <w:rFonts w:ascii="Arial" w:cs="Arial" w:eastAsia="Arial" w:hAnsi="Arial"/>
          <w:sz w:val="14"/>
          <w:szCs w:val="14"/>
          <w:color w:val="auto"/>
        </w:rPr>
        <w:t>Revenues within our International Telecom segment increased $2.2 million, or 2.6%, to $88.4 million from $86.2</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for the three months ended June 30, 2022 and 2021, respectively, as a result of an increase in Fixed and Mobility subscribers within all of our international markets. In addition, our US Virgin Islands and Bermuda markets recognized an increase of $0.9 million in Carrier Services revenue as a result of increased tourism as certain COVID-19 related travel and stay-at-home restrictions were lifted. These increases, however, were partially offset by the $1.4 million scheduled step down in federal support revenues in the US Virgin Islands.</w:t>
      </w:r>
    </w:p>
    <w:p>
      <w:pPr>
        <w:spacing w:after="0" w:line="148" w:lineRule="exact"/>
        <w:rPr>
          <w:sz w:val="20"/>
          <w:szCs w:val="20"/>
          <w:color w:val="auto"/>
        </w:rPr>
      </w:pPr>
    </w:p>
    <w:p>
      <w:pPr>
        <w:ind w:left="40" w:right="59" w:firstLine="547"/>
        <w:spacing w:after="0" w:line="260" w:lineRule="auto"/>
        <w:rPr>
          <w:sz w:val="20"/>
          <w:szCs w:val="20"/>
          <w:color w:val="auto"/>
        </w:rPr>
      </w:pPr>
      <w:r>
        <w:rPr>
          <w:rFonts w:ascii="Arial" w:cs="Arial" w:eastAsia="Arial" w:hAnsi="Arial"/>
          <w:sz w:val="15"/>
          <w:szCs w:val="15"/>
          <w:color w:val="auto"/>
        </w:rPr>
        <w:t>Operating expenses within our International Telecom segment increased by $5.2 million, or 7.3%, to $76.8 million from $71.6 million for the three months ended June 30, 2022 and 2021, respectively. The increase in operating expenses was primarily the result of an increase in direct costs, primarily roaming expenses related to increased tourism in the US Virgin Islands and Bermuda, increased equipment costs, an increase in sales and marketing expenses to support the expansion of our subscriber base and additional costs for our continued investment in network expansion and enhancement.</w:t>
      </w:r>
    </w:p>
    <w:p>
      <w:pPr>
        <w:spacing w:after="0" w:line="159" w:lineRule="exact"/>
        <w:rPr>
          <w:sz w:val="20"/>
          <w:szCs w:val="20"/>
          <w:color w:val="auto"/>
        </w:rPr>
      </w:pPr>
    </w:p>
    <w:p>
      <w:pPr>
        <w:ind w:left="40" w:right="119" w:firstLine="547"/>
        <w:spacing w:after="0" w:line="279" w:lineRule="auto"/>
        <w:rPr>
          <w:sz w:val="20"/>
          <w:szCs w:val="20"/>
          <w:color w:val="auto"/>
        </w:rPr>
      </w:pPr>
      <w:r>
        <w:rPr>
          <w:rFonts w:ascii="Arial" w:cs="Arial" w:eastAsia="Arial" w:hAnsi="Arial"/>
          <w:sz w:val="15"/>
          <w:szCs w:val="15"/>
          <w:color w:val="auto"/>
        </w:rPr>
        <w:t>As a result, our International Telecom segment’s operating income decreased $3.0 million, or 20.5%, to $11.6 million from $14.6 million for the three months ended June 30, 2022 and 2021, respectively.</w:t>
      </w:r>
    </w:p>
    <w:p>
      <w:pPr>
        <w:spacing w:after="0" w:line="146" w:lineRule="exact"/>
        <w:rPr>
          <w:sz w:val="20"/>
          <w:szCs w:val="20"/>
          <w:color w:val="auto"/>
        </w:rPr>
      </w:pPr>
    </w:p>
    <w:p>
      <w:pPr>
        <w:ind w:left="40" w:right="239" w:firstLine="547"/>
        <w:spacing w:after="0" w:line="262" w:lineRule="auto"/>
        <w:rPr>
          <w:sz w:val="20"/>
          <w:szCs w:val="20"/>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Revenue within our US Telecom segment increased by $53.5 million, or 142.3%, to $91.1 million from $37.6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June 30, 2022 and 2021, respectively, primarily as a result of $44.1 million associated with the Alaska Transaction partially offset by a $6.0 million reduction in construction revenue related to the FirstNet Transaction as well as a reduction in roaming revenue due to certain restructured carrier contracts in our western United States operations.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8" w:name="page49"/>
    <w:bookmarkEnd w:id="4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firstLine="547"/>
        <w:spacing w:after="0" w:line="262" w:lineRule="auto"/>
        <w:rPr>
          <w:sz w:val="20"/>
          <w:szCs w:val="20"/>
          <w:color w:val="auto"/>
        </w:rPr>
      </w:pPr>
      <w:r>
        <w:rPr>
          <w:rFonts w:ascii="Arial" w:cs="Arial" w:eastAsia="Arial" w:hAnsi="Arial"/>
          <w:sz w:val="15"/>
          <w:szCs w:val="15"/>
          <w:color w:val="auto"/>
        </w:rPr>
        <w:t>Operating expenses within our US Telecom segment increased $53.2 million to $91.4 million from $38.2 million for the three months ended June 30, 2022 and 2021, respectively, as a result of the Alaska Transaction and increases in other expenses being incurred in connection with both the FirstNet Transaction and the CARES Act-funded build-out of rural broadband operations, partially offset by a decrease in FirstNet construction costs of $6.2 million.</w:t>
      </w:r>
    </w:p>
    <w:p>
      <w:pPr>
        <w:spacing w:after="0" w:line="158" w:lineRule="exact"/>
        <w:rPr>
          <w:sz w:val="20"/>
          <w:szCs w:val="20"/>
          <w:color w:val="auto"/>
        </w:rPr>
      </w:pPr>
    </w:p>
    <w:p>
      <w:pPr>
        <w:ind w:left="40" w:right="139" w:firstLine="547"/>
        <w:spacing w:after="0" w:line="279" w:lineRule="auto"/>
        <w:rPr>
          <w:sz w:val="20"/>
          <w:szCs w:val="20"/>
          <w:color w:val="auto"/>
        </w:rPr>
      </w:pPr>
      <w:r>
        <w:rPr>
          <w:rFonts w:ascii="Arial" w:cs="Arial" w:eastAsia="Arial" w:hAnsi="Arial"/>
          <w:sz w:val="15"/>
          <w:szCs w:val="15"/>
          <w:color w:val="auto"/>
        </w:rPr>
        <w:t>As a result of the above, our US Telecom segment’s operating loss decreased by $0.3 million to a loss of $0.3 million from a loss of $0.6 million for the three months ended June 30, 2022 and 2021, respectively.</w:t>
      </w:r>
    </w:p>
    <w:p>
      <w:pPr>
        <w:spacing w:after="0" w:line="146" w:lineRule="exact"/>
        <w:rPr>
          <w:sz w:val="20"/>
          <w:szCs w:val="20"/>
          <w:color w:val="auto"/>
        </w:rPr>
      </w:pPr>
    </w:p>
    <w:p>
      <w:pPr>
        <w:ind w:left="40" w:right="399" w:firstLine="547"/>
        <w:spacing w:after="0" w:line="266" w:lineRule="auto"/>
        <w:rPr>
          <w:sz w:val="20"/>
          <w:szCs w:val="20"/>
          <w:color w:val="auto"/>
        </w:rPr>
      </w:pPr>
      <w:r>
        <w:rPr>
          <w:rFonts w:ascii="Arial" w:cs="Arial" w:eastAsia="Arial" w:hAnsi="Arial"/>
          <w:sz w:val="15"/>
          <w:szCs w:val="15"/>
          <w:i w:val="1"/>
          <w:iCs w:val="1"/>
          <w:color w:val="auto"/>
        </w:rPr>
        <w:t xml:space="preserve">Renewable Energy. </w:t>
      </w:r>
      <w:r>
        <w:rPr>
          <w:rFonts w:ascii="Arial" w:cs="Arial" w:eastAsia="Arial" w:hAnsi="Arial"/>
          <w:sz w:val="15"/>
          <w:szCs w:val="15"/>
          <w:color w:val="auto"/>
        </w:rPr>
        <w:t>Until the completion of the Vibrant Transaction on January 27, 2021, we distributed generation solar power to</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 and industrial customers under the Vibrant name in India. Accordingly, we did not generate revenue or incur operating expenses within our Renewable Energy segment subsequent to that date.</w:t>
      </w:r>
    </w:p>
    <w:p>
      <w:pPr>
        <w:spacing w:after="0" w:line="156" w:lineRule="exact"/>
        <w:rPr>
          <w:sz w:val="20"/>
          <w:szCs w:val="20"/>
          <w:color w:val="auto"/>
        </w:rPr>
      </w:pPr>
    </w:p>
    <w:p>
      <w:pPr>
        <w:ind w:left="40" w:right="219" w:firstLine="547"/>
        <w:spacing w:after="0" w:line="279" w:lineRule="auto"/>
        <w:rPr>
          <w:sz w:val="20"/>
          <w:szCs w:val="20"/>
          <w:color w:val="auto"/>
        </w:rPr>
      </w:pPr>
      <w:r>
        <w:rPr>
          <w:rFonts w:ascii="Arial" w:cs="Arial" w:eastAsia="Arial" w:hAnsi="Arial"/>
          <w:sz w:val="15"/>
          <w:szCs w:val="15"/>
          <w:color w:val="auto"/>
        </w:rPr>
        <w:t>The following represents a year over year discussion and analysis of our results of operations for the three months ended June 30, 2022 and 2021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ind w:right="265"/>
              <w:spacing w:after="0"/>
              <w:rPr>
                <w:sz w:val="20"/>
                <w:szCs w:val="20"/>
                <w:color w:val="auto"/>
              </w:rPr>
            </w:pPr>
            <w:r>
              <w:rPr>
                <w:rFonts w:ascii="Arial" w:cs="Arial" w:eastAsia="Arial" w:hAnsi="Arial"/>
                <w:sz w:val="12"/>
                <w:szCs w:val="12"/>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Amount of</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Percent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Increase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Increase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6"/>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(Decrease)</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7"/>
              </w:rPr>
              <w:t>(Decrease)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rPr>
                <w:sz w:val="20"/>
                <w:szCs w:val="20"/>
                <w:color w:val="auto"/>
              </w:rPr>
            </w:pPr>
            <w:r>
              <w:rPr>
                <w:rFonts w:ascii="Arial" w:cs="Arial" w:eastAsia="Arial" w:hAnsi="Arial"/>
                <w:sz w:val="15"/>
                <w:szCs w:val="15"/>
                <w:color w:val="auto"/>
              </w:rPr>
              <w:t>Communication services</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171,795</w:t>
            </w:r>
          </w:p>
        </w:tc>
        <w:tc>
          <w:tcPr>
            <w:tcW w:w="3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112,964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58,831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52.1</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Construction</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2,829</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revenue</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179,497</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123,865</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55,632</w:t>
            </w:r>
          </w:p>
        </w:tc>
        <w:tc>
          <w:tcPr>
            <w:tcW w:w="1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940" w:type="dxa"/>
            <w:vAlign w:val="bottom"/>
          </w:tcPr>
          <w:p>
            <w:pPr>
              <w:spacing w:after="0" w:line="152" w:lineRule="exact"/>
              <w:rPr>
                <w:sz w:val="20"/>
                <w:szCs w:val="20"/>
                <w:color w:val="auto"/>
              </w:rPr>
            </w:pPr>
            <w:r>
              <w:rPr>
                <w:rFonts w:ascii="Arial" w:cs="Arial" w:eastAsia="Arial" w:hAnsi="Arial"/>
                <w:sz w:val="15"/>
                <w:szCs w:val="15"/>
                <w:b w:val="1"/>
                <w:bCs w:val="1"/>
                <w:color w:val="auto"/>
                <w:w w:val="99"/>
              </w:rPr>
              <w:t xml:space="preserve">OPERATING EXPENSES </w:t>
            </w:r>
            <w:r>
              <w:rPr>
                <w:rFonts w:ascii="Arial" w:cs="Arial" w:eastAsia="Arial" w:hAnsi="Arial"/>
                <w:sz w:val="15"/>
                <w:szCs w:val="15"/>
                <w:color w:val="auto"/>
                <w:w w:val="99"/>
              </w:rPr>
              <w:t>(</w:t>
            </w:r>
            <w:r>
              <w:rPr>
                <w:rFonts w:ascii="Arial" w:cs="Arial" w:eastAsia="Arial" w:hAnsi="Arial"/>
                <w:sz w:val="15"/>
                <w:szCs w:val="15"/>
                <w:i w:val="1"/>
                <w:iCs w:val="1"/>
                <w:color w:val="auto"/>
                <w:w w:val="99"/>
              </w:rPr>
              <w:t>excluding depreciation and amortization unless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40" w:type="dxa"/>
            <w:vAlign w:val="bottom"/>
          </w:tcPr>
          <w:p>
            <w:pPr>
              <w:spacing w:after="0"/>
              <w:rPr>
                <w:sz w:val="20"/>
                <w:szCs w:val="20"/>
                <w:color w:val="auto"/>
              </w:rPr>
            </w:pPr>
            <w:r>
              <w:rPr>
                <w:rFonts w:ascii="Arial" w:cs="Arial" w:eastAsia="Arial" w:hAnsi="Arial"/>
                <w:sz w:val="15"/>
                <w:szCs w:val="15"/>
                <w:i w:val="1"/>
                <w:iCs w:val="1"/>
                <w:color w:val="auto"/>
              </w:rPr>
              <w:t>otherwise indicated</w:t>
            </w: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communications services and other</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77,860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48,479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29,381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rPr>
                <w:sz w:val="20"/>
                <w:szCs w:val="20"/>
                <w:color w:val="auto"/>
              </w:rPr>
            </w:pPr>
            <w:r>
              <w:rPr>
                <w:rFonts w:ascii="Arial" w:cs="Arial" w:eastAsia="Arial" w:hAnsi="Arial"/>
                <w:sz w:val="15"/>
                <w:szCs w:val="15"/>
                <w:color w:val="auto"/>
              </w:rPr>
              <w:t>Cost of construction revenue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3,286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9,535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(6,249)</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(65.5)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59,178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40,652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18,526</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rPr>
                <w:sz w:val="20"/>
                <w:szCs w:val="20"/>
                <w:color w:val="auto"/>
              </w:rPr>
            </w:pPr>
            <w:r>
              <w:rPr>
                <w:rFonts w:ascii="Arial" w:cs="Arial" w:eastAsia="Arial" w:hAnsi="Arial"/>
                <w:sz w:val="15"/>
                <w:szCs w:val="15"/>
                <w:color w:val="auto"/>
              </w:rPr>
              <w:t>Transaction-related charges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412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1,396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(984)</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33,817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14,078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rPr>
                <w:sz w:val="20"/>
                <w:szCs w:val="20"/>
                <w:color w:val="auto"/>
              </w:rPr>
            </w:pPr>
            <w:r>
              <w:rPr>
                <w:rFonts w:ascii="Arial" w:cs="Arial" w:eastAsia="Arial" w:hAnsi="Arial"/>
                <w:sz w:val="15"/>
                <w:szCs w:val="15"/>
                <w:color w:val="auto"/>
              </w:rPr>
              <w:t>Amortization of intangibles from acquisitions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3,250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color w:val="auto"/>
              </w:rPr>
              <w:t>2,834</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681.3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Loss on disposition of long-lived assets</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743</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177,775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120,960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56,815</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operations</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1,722</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2,905</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(1,183)</w:t>
            </w:r>
          </w:p>
        </w:tc>
        <w:tc>
          <w:tcPr>
            <w:tcW w:w="1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(4,278)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(1,137)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(3,141)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276.3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(2,724)</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(2,658)</w:t>
            </w:r>
          </w:p>
        </w:tc>
        <w:tc>
          <w:tcPr>
            <w:tcW w:w="1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tcBorders>
              <w:bottom w:val="single" w:sz="8" w:color="CCEEFF"/>
            </w:tcBorders>
          </w:tcPr>
          <w:p>
            <w:pPr>
              <w:ind w:left="280"/>
              <w:spacing w:after="0" w:line="172" w:lineRule="exact"/>
              <w:rPr>
                <w:sz w:val="20"/>
                <w:szCs w:val="20"/>
                <w:color w:val="auto"/>
              </w:rPr>
            </w:pPr>
            <w:r>
              <w:rPr>
                <w:rFonts w:ascii="Arial" w:cs="Arial" w:eastAsia="Arial" w:hAnsi="Arial"/>
                <w:sz w:val="15"/>
                <w:szCs w:val="15"/>
                <w:color w:val="auto"/>
              </w:rPr>
              <w:t>Other income (expense), net</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(1,157)</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(5,845)</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505.2</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BEFORE INCOME TAXES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(7,028)</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(402.1)</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Income tax provision</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(1,542)</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(2,429)</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 (LOSS)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noncontrolling interests, net of tax:</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(1,271)</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2,055</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(161.7)</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8" w:lineRule="exact"/>
              <w:rPr>
                <w:sz w:val="20"/>
                <w:szCs w:val="20"/>
                <w:color w:val="auto"/>
              </w:rPr>
            </w:pPr>
            <w:r>
              <w:rPr>
                <w:rFonts w:ascii="Arial" w:cs="Arial" w:eastAsia="Arial" w:hAnsi="Arial"/>
                <w:sz w:val="15"/>
                <w:szCs w:val="15"/>
                <w:b w:val="1"/>
                <w:bCs w:val="1"/>
                <w:color w:val="auto"/>
              </w:rPr>
              <w:t>NET INCOME (LOSS) ATTRIBUTABLE TO ATN</w:t>
            </w:r>
          </w:p>
        </w:tc>
        <w:tc>
          <w:tcPr>
            <w:tcW w:w="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(2,544)</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(126.0)</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INTERNATIONAL, INC. STOCKHOLDERS</w:t>
            </w:r>
          </w:p>
        </w:tc>
        <w:tc>
          <w:tcPr>
            <w:tcW w:w="3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color w:val="auto"/>
        </w:rPr>
        <w:t>n/m = not meaningful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49" w:name="page50"/>
    <w:bookmarkEnd w:id="4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Communications Services Revenue</w:t>
      </w:r>
    </w:p>
    <w:p>
      <w:pPr>
        <w:spacing w:after="0" w:line="188" w:lineRule="exact"/>
        <w:rPr>
          <w:sz w:val="20"/>
          <w:szCs w:val="20"/>
          <w:color w:val="auto"/>
        </w:rPr>
      </w:pPr>
    </w:p>
    <w:p>
      <w:pPr>
        <w:ind w:left="40" w:right="59" w:firstLine="547"/>
        <w:spacing w:after="0" w:line="259" w:lineRule="auto"/>
        <w:rPr>
          <w:sz w:val="20"/>
          <w:szCs w:val="20"/>
          <w:color w:val="auto"/>
        </w:rPr>
      </w:pPr>
      <w:r>
        <w:rPr>
          <w:rFonts w:ascii="Arial" w:cs="Arial" w:eastAsia="Arial" w:hAnsi="Arial"/>
          <w:sz w:val="15"/>
          <w:szCs w:val="15"/>
          <w:b w:val="1"/>
          <w:bCs w:val="1"/>
          <w:color w:val="auto"/>
        </w:rPr>
        <w:t xml:space="preserve">Mobility Revenue. </w:t>
      </w:r>
      <w:r>
        <w:rPr>
          <w:rFonts w:ascii="Arial" w:cs="Arial" w:eastAsia="Arial" w:hAnsi="Arial"/>
          <w:sz w:val="15"/>
          <w:szCs w:val="15"/>
          <w:color w:val="auto"/>
        </w:rPr>
        <w:t>Our Mobility revenue consists of retail revenue generated within both our International Telecom and US Telecom</w:t>
      </w:r>
      <w:r>
        <w:rPr>
          <w:rFonts w:ascii="Arial" w:cs="Arial" w:eastAsia="Arial" w:hAnsi="Arial"/>
          <w:sz w:val="15"/>
          <w:szCs w:val="15"/>
          <w:b w:val="1"/>
          <w:bCs w:val="1"/>
          <w:color w:val="auto"/>
        </w:rPr>
        <w:t xml:space="preserve"> </w:t>
      </w:r>
      <w:r>
        <w:rPr>
          <w:rFonts w:ascii="Arial" w:cs="Arial" w:eastAsia="Arial" w:hAnsi="Arial"/>
          <w:sz w:val="15"/>
          <w:szCs w:val="15"/>
          <w:color w:val="auto"/>
        </w:rPr>
        <w:t>segments by providing retail mobile voice and data services over our wireless networks as well as through the sale and repair services of related equipment, such as handsets and other accessories, to our retail subscribers. Mobility revenue increased by $1.6 million, or 6.3%, to $26.8 million for the three months ended June 30, 2022 from $25.2 million for the three months ended June 30, 2021. Of this increase, $2.3 million related to an increase in revenue from business customers while revenue from consumers declined by $0.7 million. The increase in Mobility revenue, within our segments, consisted of the following:</w:t>
      </w:r>
    </w:p>
    <w:p>
      <w:pPr>
        <w:spacing w:after="0" w:line="163" w:lineRule="exact"/>
        <w:rPr>
          <w:sz w:val="20"/>
          <w:szCs w:val="20"/>
          <w:color w:val="auto"/>
        </w:rPr>
      </w:pPr>
    </w:p>
    <w:p>
      <w:pPr>
        <w:ind w:left="600" w:right="79" w:hanging="267"/>
        <w:spacing w:after="0" w:line="282"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International Telecom</w:t>
      </w:r>
      <w:r>
        <w:rPr>
          <w:rFonts w:ascii="Arial" w:cs="Arial" w:eastAsia="Arial" w:hAnsi="Arial"/>
          <w:sz w:val="14"/>
          <w:szCs w:val="14"/>
          <w:color w:val="auto"/>
        </w:rPr>
        <w:t>. Within our International Telecom segment, Mobility revenue increased by $2.2 million, or 9.6%, to $25.0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three months ended June 30, 2022 from $22.8 million for the three months ended June 30, 2021. Mobility revenue increased in each of our markets as total revenue from business customers increased by $2.4 million partially offset by a reduction in revenue from consumers of $0.2 million. The net increases were the result of improved retail and marketing strategies which lead to an increase in subscribers in all of our markets and an increase in equipment and services revenues in certain markets.</w:t>
      </w:r>
    </w:p>
    <w:p>
      <w:pPr>
        <w:spacing w:after="0" w:line="147" w:lineRule="exact"/>
        <w:rPr>
          <w:rFonts w:ascii="Arial" w:cs="Arial" w:eastAsia="Arial" w:hAnsi="Arial"/>
          <w:sz w:val="14"/>
          <w:szCs w:val="14"/>
          <w:color w:val="auto"/>
        </w:rPr>
      </w:pPr>
    </w:p>
    <w:p>
      <w:pPr>
        <w:ind w:left="600" w:right="199" w:hanging="267"/>
        <w:spacing w:after="0" w:line="359"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US Telecom</w:t>
      </w:r>
      <w:r>
        <w:rPr>
          <w:rFonts w:ascii="Arial" w:cs="Arial" w:eastAsia="Arial" w:hAnsi="Arial"/>
          <w:sz w:val="13"/>
          <w:szCs w:val="13"/>
          <w:color w:val="auto"/>
        </w:rPr>
        <w:t>. Mobility revenue within our US Telecom segment decreased by $0.5 million, or 20.8%, to $1.9 million from $2.4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three months ended June 30, 2022 and 2021, respectively, as a result of a decrease in subscribers within our retail operations.</w:t>
      </w:r>
    </w:p>
    <w:p>
      <w:pPr>
        <w:spacing w:after="0" w:line="100" w:lineRule="exact"/>
        <w:rPr>
          <w:sz w:val="20"/>
          <w:szCs w:val="20"/>
          <w:color w:val="auto"/>
        </w:rPr>
      </w:pPr>
    </w:p>
    <w:p>
      <w:pPr>
        <w:ind w:left="40" w:right="79" w:firstLine="547"/>
        <w:spacing w:after="0" w:line="262" w:lineRule="auto"/>
        <w:rPr>
          <w:sz w:val="20"/>
          <w:szCs w:val="20"/>
          <w:color w:val="auto"/>
        </w:rPr>
      </w:pPr>
      <w:r>
        <w:rPr>
          <w:rFonts w:ascii="Arial" w:cs="Arial" w:eastAsia="Arial" w:hAnsi="Arial"/>
          <w:sz w:val="15"/>
          <w:szCs w:val="15"/>
          <w:color w:val="auto"/>
        </w:rPr>
        <w:t>We expect that Mobility revenue within both our US Telecom and International Telecom segments may increase as a result of an increase in subscribers if certain COVID-19 travel related restrictions continue to be lifted. However, such growth in both segments may be partially offset due to increased competition, and if COVID-19 related travel restrictions are reinstated so as to result in significant business interruptions and retail store closures.</w:t>
      </w:r>
    </w:p>
    <w:p>
      <w:pPr>
        <w:spacing w:after="0" w:line="158" w:lineRule="exact"/>
        <w:rPr>
          <w:sz w:val="20"/>
          <w:szCs w:val="20"/>
          <w:color w:val="auto"/>
        </w:rPr>
      </w:pPr>
    </w:p>
    <w:p>
      <w:pPr>
        <w:ind w:left="40" w:right="259" w:firstLine="547"/>
        <w:spacing w:after="0" w:line="316" w:lineRule="auto"/>
        <w:rPr>
          <w:sz w:val="20"/>
          <w:szCs w:val="20"/>
          <w:color w:val="auto"/>
        </w:rPr>
      </w:pPr>
      <w:r>
        <w:rPr>
          <w:rFonts w:ascii="Arial" w:cs="Arial" w:eastAsia="Arial" w:hAnsi="Arial"/>
          <w:sz w:val="14"/>
          <w:szCs w:val="14"/>
          <w:color w:val="auto"/>
        </w:rPr>
        <w:t>Apart from possible government issued travel restrictions, we currently cannot assess how the impact of COVID-19 may influence our subscribers’ procurement behavior for our services or how that behavior will affect our Mobility revenues in the foreseeable future.</w:t>
      </w:r>
    </w:p>
    <w:p>
      <w:pPr>
        <w:spacing w:after="0" w:line="119" w:lineRule="exact"/>
        <w:rPr>
          <w:sz w:val="20"/>
          <w:szCs w:val="20"/>
          <w:color w:val="auto"/>
        </w:rPr>
      </w:pPr>
    </w:p>
    <w:p>
      <w:pPr>
        <w:ind w:left="40" w:right="99" w:firstLine="547"/>
        <w:spacing w:after="0" w:line="280" w:lineRule="auto"/>
        <w:rPr>
          <w:sz w:val="20"/>
          <w:szCs w:val="20"/>
          <w:color w:val="auto"/>
        </w:rPr>
      </w:pPr>
      <w:r>
        <w:rPr>
          <w:rFonts w:ascii="Arial" w:cs="Arial" w:eastAsia="Arial" w:hAnsi="Arial"/>
          <w:sz w:val="14"/>
          <w:szCs w:val="14"/>
          <w:b w:val="1"/>
          <w:bCs w:val="1"/>
          <w:color w:val="auto"/>
        </w:rPr>
        <w:t xml:space="preserve">Fixed Revenue. </w:t>
      </w:r>
      <w:r>
        <w:rPr>
          <w:rFonts w:ascii="Arial" w:cs="Arial" w:eastAsia="Arial" w:hAnsi="Arial"/>
          <w:sz w:val="14"/>
          <w:szCs w:val="14"/>
          <w:color w:val="auto"/>
        </w:rPr>
        <w:t>Fixed revenue is primarily generated by broadband, voice, and video service revenues provided to retail and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over our wireline networks. Fixed revenue within our US Telecom segment also includes revenue from the Connect America Fund Phase II program awards in the western United States and Alaska, as well as revenue from the Alaska Universal Service Fund. Within our International Telecom segment, Fixed revenue also includes funding under the FCC’s High Cost Program in the US Virgin Islands. Fixed revenue increased by $44.4 million, or 68.3%, to $109.4 million from $65.0 million for the three months ended June 30, 2022 and 2021, respectively. Of this increase, $30.0 million relates to revenue from business customers while the remaining increase of $14.4 million pertains to consumers. The increase in Fixed revenue, within our segments, consisted of the following:</w:t>
      </w:r>
    </w:p>
    <w:p>
      <w:pPr>
        <w:spacing w:after="0" w:line="147" w:lineRule="exact"/>
        <w:rPr>
          <w:sz w:val="20"/>
          <w:szCs w:val="20"/>
          <w:color w:val="auto"/>
        </w:rPr>
      </w:pPr>
    </w:p>
    <w:p>
      <w:pPr>
        <w:ind w:left="600" w:right="59" w:hanging="267"/>
        <w:spacing w:after="0" w:line="314"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International Telecom</w:t>
      </w:r>
      <w:r>
        <w:rPr>
          <w:rFonts w:ascii="Arial" w:cs="Arial" w:eastAsia="Arial" w:hAnsi="Arial"/>
          <w:sz w:val="13"/>
          <w:szCs w:val="13"/>
          <w:color w:val="auto"/>
        </w:rPr>
        <w:t>. Within our International Telecom segment, Fixed revenue decreased by $0.8 million, or 1.4%, to $58.3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from $59.1 million for the three months ended June 30, 2022 and 2021, respectively, primarily as a result of the previously disclosed and scheduled $1.4 million reduction in revenue from the FCC’s High Cost Program within our Viya operations. Offsetting this decrease was an increase in revenue from fixed broadband fiber subscribers and services to further enable and support remote working in our markets.</w:t>
      </w:r>
    </w:p>
    <w:p>
      <w:pPr>
        <w:spacing w:after="0" w:line="128" w:lineRule="exact"/>
        <w:rPr>
          <w:rFonts w:ascii="Arial" w:cs="Arial" w:eastAsia="Arial" w:hAnsi="Arial"/>
          <w:sz w:val="13"/>
          <w:szCs w:val="13"/>
          <w:color w:val="auto"/>
        </w:rPr>
      </w:pPr>
    </w:p>
    <w:p>
      <w:pPr>
        <w:jc w:val="both"/>
        <w:ind w:left="600" w:right="119" w:hanging="267"/>
        <w:spacing w:after="0" w:line="314"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US Telecom</w:t>
      </w:r>
      <w:r>
        <w:rPr>
          <w:rFonts w:ascii="Arial" w:cs="Arial" w:eastAsia="Arial" w:hAnsi="Arial"/>
          <w:sz w:val="13"/>
          <w:szCs w:val="13"/>
          <w:color w:val="auto"/>
        </w:rPr>
        <w:t>. Fixed revenue within our US Telecom segment increased by $45.1 million, to $51.0 million from $5.9 million for the three</w:t>
      </w:r>
      <w:r>
        <w:rPr>
          <w:rFonts w:ascii="Arial" w:cs="Arial" w:eastAsia="Arial" w:hAnsi="Arial"/>
          <w:sz w:val="13"/>
          <w:szCs w:val="13"/>
          <w:i w:val="1"/>
          <w:iCs w:val="1"/>
          <w:color w:val="auto"/>
        </w:rPr>
        <w:t xml:space="preserve"> </w:t>
      </w:r>
      <w:r>
        <w:rPr>
          <w:rFonts w:ascii="Arial" w:cs="Arial" w:eastAsia="Arial" w:hAnsi="Arial"/>
          <w:sz w:val="13"/>
          <w:szCs w:val="13"/>
          <w:color w:val="auto"/>
        </w:rPr>
        <w:t>months ended June 30, 2022 and 2021, respectively. This increase was related to the Alaska Transaction, which generated $44.1 million of Fixed revenue during the three months ended June 30, 2022, and a $1.0 million increase, within the western United States, related to an increase in usage for both business and consumer subscribers to support our subscribers’ increase in their remote working.</w:t>
      </w:r>
    </w:p>
    <w:p>
      <w:pPr>
        <w:spacing w:after="0" w:line="129" w:lineRule="exact"/>
        <w:rPr>
          <w:sz w:val="20"/>
          <w:szCs w:val="20"/>
          <w:color w:val="auto"/>
        </w:rPr>
      </w:pPr>
    </w:p>
    <w:p>
      <w:pPr>
        <w:ind w:left="40" w:right="339" w:firstLine="547"/>
        <w:spacing w:after="0" w:line="279" w:lineRule="auto"/>
        <w:rPr>
          <w:sz w:val="20"/>
          <w:szCs w:val="20"/>
          <w:color w:val="auto"/>
        </w:rPr>
      </w:pPr>
      <w:r>
        <w:rPr>
          <w:rFonts w:ascii="Arial" w:cs="Arial" w:eastAsia="Arial" w:hAnsi="Arial"/>
          <w:sz w:val="15"/>
          <w:szCs w:val="15"/>
          <w:color w:val="auto"/>
        </w:rPr>
        <w:t>Fixed revenue within our International Telecom segment may further decrease as a result of the loss of USF funding in the US Virgin Islands, a decrease in demand for our video services due to subscribers using alternative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0" w:name="page51"/>
    <w:bookmarkEnd w:id="5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159"/>
        <w:spacing w:after="0" w:line="326" w:lineRule="auto"/>
        <w:rPr>
          <w:sz w:val="20"/>
          <w:szCs w:val="20"/>
          <w:color w:val="auto"/>
        </w:rPr>
      </w:pPr>
      <w:r>
        <w:rPr>
          <w:rFonts w:ascii="Arial" w:cs="Arial" w:eastAsia="Arial" w:hAnsi="Arial"/>
          <w:sz w:val="13"/>
          <w:szCs w:val="13"/>
          <w:color w:val="auto"/>
        </w:rPr>
        <w:t>methods to receive video content, and if COVID-19 travel related restrictions are reinstated in some of our international markets. Such decreases, however, may be partially offset as a result of an increase in broadband subscribers as workers continue to shift to remote working, subscribers adopting higher bandwidth offerings at higher price points and in connection with certain new contracts with oil and gas providers in Guyana.</w:t>
      </w:r>
    </w:p>
    <w:p>
      <w:pPr>
        <w:spacing w:after="0" w:line="120" w:lineRule="exact"/>
        <w:rPr>
          <w:sz w:val="20"/>
          <w:szCs w:val="20"/>
          <w:color w:val="auto"/>
        </w:rPr>
      </w:pPr>
    </w:p>
    <w:p>
      <w:pPr>
        <w:ind w:left="40" w:right="399" w:firstLine="547"/>
        <w:spacing w:after="0" w:line="279" w:lineRule="auto"/>
        <w:rPr>
          <w:sz w:val="20"/>
          <w:szCs w:val="20"/>
          <w:color w:val="auto"/>
        </w:rPr>
      </w:pPr>
      <w:r>
        <w:rPr>
          <w:rFonts w:ascii="Arial" w:cs="Arial" w:eastAsia="Arial" w:hAnsi="Arial"/>
          <w:sz w:val="15"/>
          <w:szCs w:val="15"/>
          <w:color w:val="auto"/>
        </w:rPr>
        <w:t>Within our US Telecom segment, Fixed revenue is expected to increase as both our Alaska operations and our western United States operations further deploy broadband access to both consumers and businesses.</w:t>
      </w:r>
    </w:p>
    <w:p>
      <w:pPr>
        <w:spacing w:after="0" w:line="146" w:lineRule="exact"/>
        <w:rPr>
          <w:sz w:val="20"/>
          <w:szCs w:val="20"/>
          <w:color w:val="auto"/>
        </w:rPr>
      </w:pPr>
    </w:p>
    <w:p>
      <w:pPr>
        <w:ind w:left="40" w:right="119" w:firstLine="547"/>
        <w:spacing w:after="0" w:line="359" w:lineRule="auto"/>
        <w:rPr>
          <w:sz w:val="20"/>
          <w:szCs w:val="20"/>
          <w:color w:val="auto"/>
        </w:rPr>
      </w:pPr>
      <w:r>
        <w:rPr>
          <w:rFonts w:ascii="Arial" w:cs="Arial" w:eastAsia="Arial" w:hAnsi="Arial"/>
          <w:sz w:val="13"/>
          <w:szCs w:val="13"/>
          <w:color w:val="auto"/>
        </w:rPr>
        <w:t>Apart from possible government issued travel restrictions, we currently cannot assess how the impact of any COVID-19 restrictions may influence our subscribers’ procurement behavior for our services or how that behavior will affect our Fixed revenue in the foreseeable future.</w:t>
      </w:r>
    </w:p>
    <w:p>
      <w:pPr>
        <w:spacing w:after="0" w:line="96" w:lineRule="exact"/>
        <w:rPr>
          <w:sz w:val="20"/>
          <w:szCs w:val="20"/>
          <w:color w:val="auto"/>
        </w:rPr>
      </w:pPr>
    </w:p>
    <w:p>
      <w:pPr>
        <w:ind w:left="40" w:right="139" w:firstLine="547"/>
        <w:spacing w:after="0" w:line="280" w:lineRule="auto"/>
        <w:rPr>
          <w:sz w:val="20"/>
          <w:szCs w:val="20"/>
          <w:color w:val="auto"/>
        </w:rPr>
      </w:pPr>
      <w:r>
        <w:rPr>
          <w:rFonts w:ascii="Arial" w:cs="Arial" w:eastAsia="Arial" w:hAnsi="Arial"/>
          <w:sz w:val="14"/>
          <w:szCs w:val="14"/>
          <w:b w:val="1"/>
          <w:bCs w:val="1"/>
          <w:color w:val="auto"/>
        </w:rPr>
        <w:t xml:space="preserve">Carrier Services Revenue. </w:t>
      </w:r>
      <w:r>
        <w:rPr>
          <w:rFonts w:ascii="Arial" w:cs="Arial" w:eastAsia="Arial" w:hAnsi="Arial"/>
          <w:sz w:val="14"/>
          <w:szCs w:val="14"/>
          <w:color w:val="auto"/>
        </w:rPr>
        <w:t>Carrier Services revenue is generated by both our International Telecom and US Telecom segments</w:t>
      </w:r>
      <w:r>
        <w:rPr>
          <w:rFonts w:ascii="Arial" w:cs="Arial" w:eastAsia="Arial" w:hAnsi="Arial"/>
          <w:sz w:val="14"/>
          <w:szCs w:val="14"/>
          <w:b w:val="1"/>
          <w:bCs w:val="1"/>
          <w:color w:val="auto"/>
        </w:rPr>
        <w:t xml:space="preserve">. </w:t>
      </w:r>
      <w:r>
        <w:rPr>
          <w:rFonts w:ascii="Arial" w:cs="Arial" w:eastAsia="Arial" w:hAnsi="Arial"/>
          <w:sz w:val="14"/>
          <w:szCs w:val="14"/>
          <w:color w:val="auto"/>
        </w:rPr>
        <w:t>Within</w:t>
      </w:r>
      <w:r>
        <w:rPr>
          <w:rFonts w:ascii="Arial" w:cs="Arial" w:eastAsia="Arial" w:hAnsi="Arial"/>
          <w:sz w:val="14"/>
          <w:szCs w:val="14"/>
          <w:b w:val="1"/>
          <w:bCs w:val="1"/>
          <w:color w:val="auto"/>
        </w:rPr>
        <w:t xml:space="preserve"> </w:t>
      </w:r>
      <w:r>
        <w:rPr>
          <w:rFonts w:ascii="Arial" w:cs="Arial" w:eastAsia="Arial" w:hAnsi="Arial"/>
          <w:sz w:val="14"/>
          <w:szCs w:val="14"/>
          <w:color w:val="auto"/>
        </w:rPr>
        <w:t>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 Carrier Services revenue increased by $12.6 million, or 55.8%, to $35.2 million from $22.6 million for the three months ended June 30, 2022 and 2021, respectively. The increase, within our segments, consisted of the following:</w:t>
      </w:r>
    </w:p>
    <w:p>
      <w:pPr>
        <w:spacing w:after="0" w:line="147" w:lineRule="exact"/>
        <w:rPr>
          <w:sz w:val="20"/>
          <w:szCs w:val="20"/>
          <w:color w:val="auto"/>
        </w:rPr>
      </w:pPr>
    </w:p>
    <w:p>
      <w:pPr>
        <w:ind w:left="600" w:right="99" w:hanging="267"/>
        <w:spacing w:after="0" w:line="266" w:lineRule="auto"/>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Carrier Services revenue increased by $0.9 million, or 36.0%, to $3.4</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from $2.5 million for the three months ended June 30, 2022 and 2021, respectively, as a result of an increase in tourism within the US Virgin Islands and Bermuda, that resulted in increased roaming revenues.</w:t>
      </w:r>
    </w:p>
    <w:p>
      <w:pPr>
        <w:spacing w:after="0" w:line="155" w:lineRule="exact"/>
        <w:rPr>
          <w:rFonts w:ascii="Arial" w:cs="Arial" w:eastAsia="Arial" w:hAnsi="Arial"/>
          <w:sz w:val="15"/>
          <w:szCs w:val="15"/>
          <w:color w:val="auto"/>
        </w:rPr>
      </w:pPr>
    </w:p>
    <w:p>
      <w:pPr>
        <w:ind w:left="600" w:right="159" w:hanging="267"/>
        <w:spacing w:after="0" w:line="282"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US Telecom</w:t>
      </w:r>
      <w:r>
        <w:rPr>
          <w:rFonts w:ascii="Arial" w:cs="Arial" w:eastAsia="Arial" w:hAnsi="Arial"/>
          <w:sz w:val="14"/>
          <w:szCs w:val="14"/>
          <w:color w:val="auto"/>
        </w:rPr>
        <w:t>. Carrier Services revenue within our US Telecom segment increased by $11.8 million, or 59.0%, to $31.8 million from</w:t>
      </w:r>
      <w:r>
        <w:rPr>
          <w:rFonts w:ascii="Arial" w:cs="Arial" w:eastAsia="Arial" w:hAnsi="Arial"/>
          <w:sz w:val="14"/>
          <w:szCs w:val="14"/>
          <w:i w:val="1"/>
          <w:iCs w:val="1"/>
          <w:color w:val="auto"/>
        </w:rPr>
        <w:t xml:space="preserve"> </w:t>
      </w:r>
      <w:r>
        <w:rPr>
          <w:rFonts w:ascii="Arial" w:cs="Arial" w:eastAsia="Arial" w:hAnsi="Arial"/>
          <w:sz w:val="14"/>
          <w:szCs w:val="14"/>
          <w:color w:val="auto"/>
        </w:rPr>
        <w:t>$20.0 million, for the three months ended June 30, 2022 and 2021, respectively, primarily as a result of the Alaska Transaction, which generated $15.4 million of Carrier Services revenue during the three months ended June 30, 2022 and an increase within our wholesale long-distance voice services business of $0.6 million. These increases were partially offset by the $4.2 million revenue reduction in our western United States operations as a result of the restructure of certain carrier contracts.</w:t>
      </w:r>
    </w:p>
    <w:p>
      <w:pPr>
        <w:spacing w:after="0" w:line="148" w:lineRule="exact"/>
        <w:rPr>
          <w:sz w:val="20"/>
          <w:szCs w:val="20"/>
          <w:color w:val="auto"/>
        </w:rPr>
      </w:pPr>
    </w:p>
    <w:p>
      <w:pPr>
        <w:ind w:left="40" w:right="59" w:firstLine="547"/>
        <w:spacing w:after="0" w:line="276" w:lineRule="auto"/>
        <w:rPr>
          <w:sz w:val="20"/>
          <w:szCs w:val="20"/>
          <w:color w:val="auto"/>
        </w:rPr>
      </w:pPr>
      <w:r>
        <w:rPr>
          <w:rFonts w:ascii="Arial" w:cs="Arial" w:eastAsia="Arial" w:hAnsi="Arial"/>
          <w:sz w:val="14"/>
          <w:szCs w:val="14"/>
          <w:color w:val="auto"/>
        </w:rPr>
        <w:t>Within our International Telecom segment, Carrier Services revenue may continue to increase if tourism continues to move toward a return to pre-pandemic levels. Apart from possible government issued travel restrictions, we currently cannot assess how the impact of COVID-19 may influence our subscribers’ procurement behavior for our services or how that behavior will affect our revenues in the foreseeable future. Also, within our International Telecom segment, we expect that Carrier Services revenue from our international long-distance business in Guyana may decrease as consumers seek to use alternative technology services to place long-distance calls. In addition, such revenue may decline as the result of the implementation, by the Government of Guyana, of passed legislation which terminates our right to be the exclusive provider of domestic Fixed and international long-distance service in Guyana. While the loss of our exclusive rights may cause an immediate reduction in our Carrier Services revenue, the complete impact of the new legislation to our operations will not be fully known until the Government of Guyana makes the terms and conditions of licenses issued to two of our competitors available to us. Over the longer term, such declines in Carrier Services revenue may be offset by increased Fixed revenue from broadband services to consumers and enterprises in Guyana, increased Mobility revenue from an increase in regulated local calling rates in Guyana or possible economic growth within that country.</w:t>
      </w:r>
    </w:p>
    <w:p>
      <w:pPr>
        <w:spacing w:after="0" w:line="151" w:lineRule="exact"/>
        <w:rPr>
          <w:sz w:val="20"/>
          <w:szCs w:val="20"/>
          <w:color w:val="auto"/>
        </w:rPr>
      </w:pPr>
    </w:p>
    <w:p>
      <w:pPr>
        <w:ind w:left="40" w:right="239" w:firstLine="547"/>
        <w:spacing w:after="0" w:line="262" w:lineRule="auto"/>
        <w:rPr>
          <w:sz w:val="20"/>
          <w:szCs w:val="20"/>
          <w:color w:val="auto"/>
        </w:rPr>
      </w:pPr>
      <w:r>
        <w:rPr>
          <w:rFonts w:ascii="Arial" w:cs="Arial" w:eastAsia="Arial" w:hAnsi="Arial"/>
          <w:sz w:val="15"/>
          <w:szCs w:val="15"/>
          <w:color w:val="auto"/>
        </w:rPr>
        <w:t>Within our US Telecom segment, Carrier Services revenue may decrease from the impact of continued reduced contractual wholesale roaming rates and imposed revenue caps with our Carrier customers. We believe that maintaining roaming favorable to our carrier customers allows us to preserve revenue for a longer period of time while creating the potential for long-lived shared infrastructure solutions for carriers in areas they may consider to be non-strategic.</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1" w:name="page52"/>
    <w:bookmarkEnd w:id="5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119" w:firstLine="547"/>
        <w:spacing w:after="0" w:line="295" w:lineRule="auto"/>
        <w:rPr>
          <w:sz w:val="20"/>
          <w:szCs w:val="20"/>
          <w:color w:val="auto"/>
        </w:rPr>
      </w:pPr>
      <w:r>
        <w:rPr>
          <w:rFonts w:ascii="Arial" w:cs="Arial" w:eastAsia="Arial" w:hAnsi="Arial"/>
          <w:sz w:val="13"/>
          <w:szCs w:val="13"/>
          <w:color w:val="auto"/>
        </w:rPr>
        <w:t>The most significant competitive factor we face within our US Telecom segment is the extent to which our carrier customers in our wholesale carrier services business choose to roam on our networks and lease our tower space and transport services or elect to build or acquire their own infrastructure in a market, reducing or eliminating their need for our services in those markets. We also face competition from other providers of such shared infrastructure solutions. In the past, we have entered into buildout projects with existing carrier customers to help these customers accelerate the buildout of a given area in exchange for the carrier’s agreement to lease us spectrum in that area and enter into a contract with specific pricing and terms. Historically, these arrangements have differed from our FirstNet Transaction and have typically included</w:t>
      </w:r>
    </w:p>
    <w:p>
      <w:pPr>
        <w:ind w:left="40" w:right="739"/>
        <w:spacing w:after="0" w:line="267" w:lineRule="auto"/>
        <w:rPr>
          <w:sz w:val="20"/>
          <w:szCs w:val="20"/>
          <w:color w:val="auto"/>
        </w:rPr>
      </w:pPr>
      <w:r>
        <w:rPr>
          <w:rFonts w:ascii="Arial" w:cs="Arial" w:eastAsia="Arial" w:hAnsi="Arial"/>
          <w:sz w:val="15"/>
          <w:szCs w:val="15"/>
          <w:color w:val="auto"/>
        </w:rPr>
        <w:t>a purchase right in favor of the carrier to purchase that portion of the network for a predetermined price, depending on when the right to purchase is exercised.</w:t>
      </w:r>
    </w:p>
    <w:p>
      <w:pPr>
        <w:spacing w:after="0" w:line="150" w:lineRule="exact"/>
        <w:rPr>
          <w:sz w:val="20"/>
          <w:szCs w:val="20"/>
          <w:color w:val="auto"/>
        </w:rPr>
      </w:pPr>
    </w:p>
    <w:p>
      <w:pPr>
        <w:ind w:left="40" w:right="399" w:firstLine="547"/>
        <w:spacing w:after="0" w:line="269" w:lineRule="auto"/>
        <w:rPr>
          <w:sz w:val="20"/>
          <w:szCs w:val="20"/>
          <w:color w:val="auto"/>
        </w:rPr>
      </w:pPr>
      <w:r>
        <w:rPr>
          <w:rFonts w:ascii="Arial" w:cs="Arial" w:eastAsia="Arial" w:hAnsi="Arial"/>
          <w:sz w:val="15"/>
          <w:szCs w:val="15"/>
          <w:b w:val="1"/>
          <w:bCs w:val="1"/>
          <w:color w:val="auto"/>
        </w:rPr>
        <w:t xml:space="preserve">Other Communications Services Revenue. </w:t>
      </w:r>
      <w:r>
        <w:rPr>
          <w:rFonts w:ascii="Arial" w:cs="Arial" w:eastAsia="Arial" w:hAnsi="Arial"/>
          <w:sz w:val="15"/>
          <w:szCs w:val="15"/>
          <w:color w:val="auto"/>
        </w:rPr>
        <w:t>Other Communications Services revenue includes miscellaneous services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within our International Telecom segment provide to retail subscribers. Other Communications Services revenue increased to $0.4 million from $0.2 million for the three months ended June 30, 2022 and 2021, respectively.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Construction Revenue</w:t>
      </w:r>
    </w:p>
    <w:p>
      <w:pPr>
        <w:spacing w:after="0" w:line="192" w:lineRule="exact"/>
        <w:rPr>
          <w:sz w:val="20"/>
          <w:szCs w:val="20"/>
          <w:color w:val="auto"/>
        </w:rPr>
      </w:pPr>
    </w:p>
    <w:p>
      <w:pPr>
        <w:ind w:left="40" w:right="139" w:firstLine="547"/>
        <w:spacing w:after="0" w:line="282" w:lineRule="auto"/>
        <w:rPr>
          <w:sz w:val="20"/>
          <w:szCs w:val="20"/>
          <w:color w:val="auto"/>
        </w:rPr>
      </w:pPr>
      <w:r>
        <w:rPr>
          <w:rFonts w:ascii="Arial" w:cs="Arial" w:eastAsia="Arial" w:hAnsi="Arial"/>
          <w:sz w:val="14"/>
          <w:szCs w:val="14"/>
          <w:color w:val="auto"/>
        </w:rPr>
        <w:t>Construction revenue represents revenue generated within our US Telecom segment for the construction of network cell sites related to the FirstNet Agreement. During the three months ended June 30, 2022 and 2021, Construction revenue decreased to $3.3 million from $9.3 million, respectively, as a result of a decrease in the number of sites completed during the three months ended June 30, 2022 as compared to the same period in 2021. As of June 30, 2022, 65% of the cell sites related to the FirstNet Agreement were completed and we expect another 20% of the total build to be completed during second half of 2022 with the remainder to be completed in early 2023.</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Other Revenue</w:t>
      </w:r>
    </w:p>
    <w:p>
      <w:pPr>
        <w:spacing w:after="0" w:line="188" w:lineRule="exact"/>
        <w:rPr>
          <w:sz w:val="20"/>
          <w:szCs w:val="20"/>
          <w:color w:val="auto"/>
        </w:rPr>
      </w:pPr>
    </w:p>
    <w:p>
      <w:pPr>
        <w:ind w:left="40" w:right="139" w:firstLine="547"/>
        <w:spacing w:after="0" w:line="285" w:lineRule="auto"/>
        <w:rPr>
          <w:sz w:val="20"/>
          <w:szCs w:val="20"/>
          <w:color w:val="auto"/>
        </w:rPr>
      </w:pPr>
      <w:r>
        <w:rPr>
          <w:rFonts w:ascii="Arial" w:cs="Arial" w:eastAsia="Arial" w:hAnsi="Arial"/>
          <w:sz w:val="15"/>
          <w:szCs w:val="15"/>
          <w:b w:val="1"/>
          <w:bCs w:val="1"/>
          <w:color w:val="auto"/>
        </w:rPr>
        <w:t xml:space="preserve">Renewable Energy Revenue. </w:t>
      </w:r>
      <w:r>
        <w:rPr>
          <w:rFonts w:ascii="Arial" w:cs="Arial" w:eastAsia="Arial" w:hAnsi="Arial"/>
          <w:sz w:val="15"/>
          <w:szCs w:val="15"/>
          <w:color w:val="auto"/>
        </w:rPr>
        <w:t>We did not generate any renewable energy revenue during the three months ended June 30, 2022 or 2021</w:t>
      </w:r>
      <w:r>
        <w:rPr>
          <w:rFonts w:ascii="Arial" w:cs="Arial" w:eastAsia="Arial" w:hAnsi="Arial"/>
          <w:sz w:val="15"/>
          <w:szCs w:val="15"/>
          <w:b w:val="1"/>
          <w:bCs w:val="1"/>
          <w:color w:val="auto"/>
        </w:rPr>
        <w:t xml:space="preserve"> </w:t>
      </w:r>
      <w:r>
        <w:rPr>
          <w:rFonts w:ascii="Arial" w:cs="Arial" w:eastAsia="Arial" w:hAnsi="Arial"/>
          <w:sz w:val="15"/>
          <w:szCs w:val="15"/>
          <w:color w:val="auto"/>
        </w:rPr>
        <w:t>as a result of the Vibrant Transaction.</w:t>
      </w:r>
    </w:p>
    <w:p>
      <w:pPr>
        <w:spacing w:after="0" w:line="137" w:lineRule="exact"/>
        <w:rPr>
          <w:sz w:val="20"/>
          <w:szCs w:val="20"/>
          <w:color w:val="auto"/>
        </w:rPr>
      </w:pPr>
    </w:p>
    <w:p>
      <w:pPr>
        <w:ind w:left="40" w:right="459" w:firstLine="547"/>
        <w:spacing w:after="0" w:line="285" w:lineRule="auto"/>
        <w:rPr>
          <w:sz w:val="20"/>
          <w:szCs w:val="20"/>
          <w:color w:val="auto"/>
        </w:rPr>
      </w:pPr>
      <w:r>
        <w:rPr>
          <w:rFonts w:ascii="Arial" w:cs="Arial" w:eastAsia="Arial" w:hAnsi="Arial"/>
          <w:sz w:val="15"/>
          <w:szCs w:val="15"/>
          <w:b w:val="1"/>
          <w:bCs w:val="1"/>
          <w:color w:val="auto"/>
        </w:rPr>
        <w:t xml:space="preserve">Managed Services Revenue. </w:t>
      </w:r>
      <w:r>
        <w:rPr>
          <w:rFonts w:ascii="Arial" w:cs="Arial" w:eastAsia="Arial" w:hAnsi="Arial"/>
          <w:sz w:val="15"/>
          <w:szCs w:val="15"/>
          <w:color w:val="auto"/>
        </w:rPr>
        <w:t>Managed Services revenue is generated within both our International and US Telecom segments and</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network, application, infrastructure, and hosting services.</w:t>
      </w:r>
    </w:p>
    <w:p>
      <w:pPr>
        <w:spacing w:after="0" w:line="141" w:lineRule="exact"/>
        <w:rPr>
          <w:sz w:val="20"/>
          <w:szCs w:val="20"/>
          <w:color w:val="auto"/>
        </w:rPr>
      </w:pPr>
    </w:p>
    <w:p>
      <w:pPr>
        <w:jc w:val="both"/>
        <w:ind w:left="40" w:right="359" w:firstLine="547"/>
        <w:spacing w:after="0" w:line="286" w:lineRule="auto"/>
        <w:rPr>
          <w:sz w:val="20"/>
          <w:szCs w:val="20"/>
          <w:color w:val="auto"/>
        </w:rPr>
      </w:pPr>
      <w:r>
        <w:rPr>
          <w:rFonts w:ascii="Arial" w:cs="Arial" w:eastAsia="Arial" w:hAnsi="Arial"/>
          <w:sz w:val="14"/>
          <w:szCs w:val="14"/>
          <w:color w:val="auto"/>
        </w:rPr>
        <w:t>Managed Services revenue increased by $2.8 million to $4.4 million from $1.6 million for the three months ended June 30, 2022 and 2021, respectively, as a result of the Alaska Transaction, which generated $3.2 million of Managed Services revenue during the three months ended June 30, 2022. Our Managed Services revenue in our International Telecom segment decreased $0.4 million, or 25.0%, to $1.2 million from $1.6 million for the three months ended June 30, 2022 and 2021, respectively.</w:t>
      </w:r>
    </w:p>
    <w:p>
      <w:pPr>
        <w:spacing w:after="0" w:line="144" w:lineRule="exact"/>
        <w:rPr>
          <w:sz w:val="20"/>
          <w:szCs w:val="20"/>
          <w:color w:val="auto"/>
        </w:rPr>
      </w:pPr>
    </w:p>
    <w:p>
      <w:pPr>
        <w:ind w:left="40" w:right="579" w:firstLine="547"/>
        <w:spacing w:after="0" w:line="316" w:lineRule="auto"/>
        <w:rPr>
          <w:sz w:val="20"/>
          <w:szCs w:val="20"/>
          <w:color w:val="auto"/>
        </w:rPr>
      </w:pPr>
      <w:r>
        <w:rPr>
          <w:rFonts w:ascii="Arial" w:cs="Arial" w:eastAsia="Arial" w:hAnsi="Arial"/>
          <w:sz w:val="14"/>
          <w:szCs w:val="14"/>
          <w:color w:val="auto"/>
        </w:rPr>
        <w:t>We expect that Managed Services revenue may increase in our both our US and International Telecom segments as a result of our continued effort to sell certain Managed Services solutions to both our consumer and business customers in all of our markets.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88" w:lineRule="exact"/>
        <w:rPr>
          <w:sz w:val="20"/>
          <w:szCs w:val="20"/>
          <w:color w:val="auto"/>
        </w:rPr>
      </w:pPr>
    </w:p>
    <w:p>
      <w:pPr>
        <w:ind w:left="40" w:right="179" w:firstLine="547"/>
        <w:spacing w:after="0" w:line="307" w:lineRule="auto"/>
        <w:rPr>
          <w:sz w:val="20"/>
          <w:szCs w:val="20"/>
          <w:color w:val="auto"/>
        </w:rPr>
      </w:pPr>
      <w:r>
        <w:rPr>
          <w:rFonts w:ascii="Arial" w:cs="Arial" w:eastAsia="Arial" w:hAnsi="Arial"/>
          <w:sz w:val="13"/>
          <w:szCs w:val="13"/>
          <w:b w:val="1"/>
          <w:bCs w:val="1"/>
          <w:color w:val="auto"/>
        </w:rPr>
        <w:t xml:space="preserve">Cost of communication services and other. </w:t>
      </w:r>
      <w:r>
        <w:rPr>
          <w:rFonts w:ascii="Arial" w:cs="Arial" w:eastAsia="Arial" w:hAnsi="Arial"/>
          <w:sz w:val="13"/>
          <w:szCs w:val="13"/>
          <w:color w:val="auto"/>
        </w:rPr>
        <w:t>Cost of communication services and other are charges that we incur for voice and data</w:t>
      </w:r>
      <w:r>
        <w:rPr>
          <w:rFonts w:ascii="Arial" w:cs="Arial" w:eastAsia="Arial" w:hAnsi="Arial"/>
          <w:sz w:val="13"/>
          <w:szCs w:val="13"/>
          <w:b w:val="1"/>
          <w:bCs w:val="1"/>
          <w:color w:val="auto"/>
        </w:rPr>
        <w:t xml:space="preserve"> </w:t>
      </w:r>
      <w:r>
        <w:rPr>
          <w:rFonts w:ascii="Arial" w:cs="Arial" w:eastAsia="Arial" w:hAnsi="Arial"/>
          <w:sz w:val="13"/>
          <w:szCs w:val="13"/>
          <w:color w:val="auto"/>
        </w:rPr>
        <w:t>transport circuits (in particular, the circuits between our Mobility sites and our switches), internet capacity, video programming costs, access fees we pay to terminate our calls, telecommunication spectrum fees and direct costs associated within our managed services businesses. Cost of communication services and other also includes expenses associated with developing, operating, upgrading and supporting our telecommunications networks, including the salaries and benefits paid to employees directly involved in the development and operation of those businesses, as well as bad debt reserves and the cost of handsets and customer resale equipment incurred by our retail businesses.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2" w:name="page53"/>
    <w:bookmarkEnd w:id="5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79" w:firstLine="547"/>
        <w:spacing w:after="0" w:line="266" w:lineRule="auto"/>
        <w:rPr>
          <w:sz w:val="20"/>
          <w:szCs w:val="20"/>
          <w:color w:val="auto"/>
        </w:rPr>
      </w:pPr>
      <w:r>
        <w:rPr>
          <w:rFonts w:ascii="Arial" w:cs="Arial" w:eastAsia="Arial" w:hAnsi="Arial"/>
          <w:sz w:val="15"/>
          <w:szCs w:val="15"/>
          <w:color w:val="auto"/>
        </w:rPr>
        <w:t>Cost of communication services and other increased by $29.4 million, or 60.6%, to $77.9 million from $48.5 million for the three months ended June 30, 2022 and 2021, respectively. The net increase in cost of communication services and other, within our segments, consisted of the following:</w:t>
      </w:r>
    </w:p>
    <w:p>
      <w:pPr>
        <w:spacing w:after="0" w:line="99" w:lineRule="exact"/>
        <w:rPr>
          <w:sz w:val="20"/>
          <w:szCs w:val="20"/>
          <w:color w:val="auto"/>
        </w:rPr>
      </w:pPr>
    </w:p>
    <w:p>
      <w:pPr>
        <w:ind w:left="600" w:right="159" w:hanging="267"/>
        <w:spacing w:after="0"/>
        <w:tabs>
          <w:tab w:leader="none" w:pos="60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i w:val="1"/>
          <w:iCs w:val="1"/>
          <w:color w:val="auto"/>
        </w:rPr>
        <w:t xml:space="preserve">International Telecom. </w:t>
      </w:r>
      <w:r>
        <w:rPr>
          <w:rFonts w:ascii="Arial" w:cs="Arial" w:eastAsia="Arial" w:hAnsi="Arial"/>
          <w:sz w:val="14"/>
          <w:szCs w:val="14"/>
          <w:color w:val="auto"/>
        </w:rPr>
        <w:t>Within our International Telecom segment, cost of communication services and other increased by $1.6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or 4.8%, to $34.9 million from $33.3 million, for the three months ended June 30, 2022 and 2021, respectively. This increase was the result of an increase in roaming expense, due to an increase in related roaming revenues from higher levels of travel and tourism in the US Virgin Islands and Bermuda, increased equipment costs, and increases from certain network enhancements.</w:t>
      </w:r>
    </w:p>
    <w:p>
      <w:pPr>
        <w:spacing w:after="0" w:line="118" w:lineRule="exact"/>
        <w:rPr>
          <w:rFonts w:ascii="Arial" w:cs="Arial" w:eastAsia="Arial" w:hAnsi="Arial"/>
          <w:sz w:val="22"/>
          <w:szCs w:val="22"/>
          <w:color w:val="auto"/>
          <w:vertAlign w:val="superscript"/>
        </w:rPr>
      </w:pPr>
    </w:p>
    <w:p>
      <w:pPr>
        <w:ind w:left="600" w:right="79" w:hanging="267"/>
        <w:spacing w:after="0" w:line="314"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US Telecom</w:t>
      </w:r>
      <w:r>
        <w:rPr>
          <w:rFonts w:ascii="Arial" w:cs="Arial" w:eastAsia="Arial" w:hAnsi="Arial"/>
          <w:sz w:val="13"/>
          <w:szCs w:val="13"/>
          <w:color w:val="auto"/>
        </w:rPr>
        <w:t>. Cost of communication services and other within our US Telecom segment increased by $27.4 million, or 175.6%, to $43.0</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from $15.6 million for the three months ended June 30, 2022 and 2021, respectively. This increase was a result of the Alaska Transaction which incurred $26.9 million of these costs during 2022 and a $0.8 million increase in our wholesale long-distance voice services business needed to support its increased revenue partially offset by a reduction of costs within our private network business.</w:t>
      </w:r>
    </w:p>
    <w:p>
      <w:pPr>
        <w:spacing w:after="0" w:line="129" w:lineRule="exact"/>
        <w:rPr>
          <w:sz w:val="20"/>
          <w:szCs w:val="20"/>
          <w:color w:val="auto"/>
        </w:rPr>
      </w:pPr>
    </w:p>
    <w:p>
      <w:pPr>
        <w:ind w:left="40" w:right="99" w:firstLine="547"/>
        <w:spacing w:after="0" w:line="258" w:lineRule="auto"/>
        <w:rPr>
          <w:sz w:val="20"/>
          <w:szCs w:val="20"/>
          <w:color w:val="auto"/>
        </w:rPr>
      </w:pPr>
      <w:r>
        <w:rPr>
          <w:rFonts w:ascii="Arial" w:cs="Arial" w:eastAsia="Arial" w:hAnsi="Arial"/>
          <w:sz w:val="15"/>
          <w:szCs w:val="15"/>
          <w:color w:val="auto"/>
        </w:rPr>
        <w:t>We expect that cost of communication services and other may increase within both our International and US Telecom segments due to an expected increase in roaming and other termination costs if COVID-19 related travel restrictions continue to be lifted. Within the US Telecom segment, we expect an increase in the expenses associated with our funding award under the CARES Act and anticipated expenses in connection with our performance under the construction phase of our FirstNet Transaction which is expected to be completed in early 2023. In addition, we expect cost of services may increase as a result of continued inflationary pressure, issues facing the global supply chain, and geopolitical uncertainty.</w:t>
      </w:r>
    </w:p>
    <w:p>
      <w:pPr>
        <w:spacing w:after="0" w:line="159" w:lineRule="exact"/>
        <w:rPr>
          <w:sz w:val="20"/>
          <w:szCs w:val="20"/>
          <w:color w:val="auto"/>
        </w:rPr>
      </w:pPr>
    </w:p>
    <w:p>
      <w:pPr>
        <w:ind w:left="40" w:right="79" w:firstLine="547"/>
        <w:spacing w:after="0" w:line="259" w:lineRule="auto"/>
        <w:rPr>
          <w:sz w:val="20"/>
          <w:szCs w:val="20"/>
          <w:color w:val="auto"/>
        </w:rPr>
      </w:pPr>
      <w:r>
        <w:rPr>
          <w:rFonts w:ascii="Arial" w:cs="Arial" w:eastAsia="Arial" w:hAnsi="Arial"/>
          <w:sz w:val="15"/>
          <w:szCs w:val="15"/>
          <w:b w:val="1"/>
          <w:bCs w:val="1"/>
          <w:color w:val="auto"/>
        </w:rPr>
        <w:t xml:space="preserve">Cost of construction revenue. </w:t>
      </w:r>
      <w:r>
        <w:rPr>
          <w:rFonts w:ascii="Arial" w:cs="Arial" w:eastAsia="Arial" w:hAnsi="Arial"/>
          <w:sz w:val="15"/>
          <w:szCs w:val="15"/>
          <w:color w:val="auto"/>
        </w:rPr>
        <w:t>Cost of construction revenue includes the expenses incurred in connection with the construction of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delivery to AT&amp;T of cell sites in accordance with our FirstNet Agreement. During the three months ended June 30, 2022 and June 30, 2021, cost of construction revenue decreased to $3.3 million from $9.5 million as a result of a decrease in the number of sites completed during the three months ended June 30, 2022 as compared to the same period in 2021. As of June 30, 2022, 65% of the cell sites related to the FirstNet Agreement were completed and we expect another 20% of the total build to be completed during the second half of 2022 with the remainder to be completed in early 2023.</w:t>
      </w:r>
    </w:p>
    <w:p>
      <w:pPr>
        <w:spacing w:after="0" w:line="159" w:lineRule="exact"/>
        <w:rPr>
          <w:sz w:val="20"/>
          <w:szCs w:val="20"/>
          <w:color w:val="auto"/>
        </w:rPr>
      </w:pPr>
    </w:p>
    <w:p>
      <w:pPr>
        <w:ind w:left="40" w:right="59" w:firstLine="547"/>
        <w:spacing w:after="0" w:line="310" w:lineRule="auto"/>
        <w:rPr>
          <w:sz w:val="20"/>
          <w:szCs w:val="20"/>
          <w:color w:val="auto"/>
        </w:rPr>
      </w:pPr>
      <w:r>
        <w:rPr>
          <w:rFonts w:ascii="Arial" w:cs="Arial" w:eastAsia="Arial" w:hAnsi="Arial"/>
          <w:sz w:val="13"/>
          <w:szCs w:val="13"/>
          <w:b w:val="1"/>
          <w:bCs w:val="1"/>
          <w:color w:val="auto"/>
        </w:rPr>
        <w:t xml:space="preserve">Selling, general and administrative expenses. </w:t>
      </w:r>
      <w:r>
        <w:rPr>
          <w:rFonts w:ascii="Arial" w:cs="Arial" w:eastAsia="Arial" w:hAnsi="Arial"/>
          <w:sz w:val="13"/>
          <w:szCs w:val="13"/>
          <w:color w:val="auto"/>
        </w:rPr>
        <w:t>Selling, general and administrative expenses include salaries and benefits we pay to</w:t>
      </w:r>
      <w:r>
        <w:rPr>
          <w:rFonts w:ascii="Arial" w:cs="Arial" w:eastAsia="Arial" w:hAnsi="Arial"/>
          <w:sz w:val="13"/>
          <w:szCs w:val="13"/>
          <w:b w:val="1"/>
          <w:bCs w:val="1"/>
          <w:color w:val="auto"/>
        </w:rPr>
        <w:t xml:space="preserve"> </w:t>
      </w:r>
      <w:r>
        <w:rPr>
          <w:rFonts w:ascii="Arial" w:cs="Arial" w:eastAsia="Arial" w:hAnsi="Arial"/>
          <w:sz w:val="13"/>
          <w:szCs w:val="13"/>
          <w:color w:val="auto"/>
        </w:rPr>
        <w:t>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32" w:lineRule="exact"/>
        <w:rPr>
          <w:sz w:val="20"/>
          <w:szCs w:val="20"/>
          <w:color w:val="auto"/>
        </w:rPr>
      </w:pPr>
    </w:p>
    <w:p>
      <w:pPr>
        <w:ind w:left="40" w:right="419" w:firstLine="547"/>
        <w:spacing w:after="0" w:line="266" w:lineRule="auto"/>
        <w:rPr>
          <w:sz w:val="20"/>
          <w:szCs w:val="20"/>
          <w:color w:val="auto"/>
        </w:rPr>
      </w:pPr>
      <w:r>
        <w:rPr>
          <w:rFonts w:ascii="Arial" w:cs="Arial" w:eastAsia="Arial" w:hAnsi="Arial"/>
          <w:sz w:val="15"/>
          <w:szCs w:val="15"/>
          <w:color w:val="auto"/>
        </w:rPr>
        <w:t>Selling, general and administrative expenses increased by $18.5 million, or 45.5%, to $59.2 million from $40.7 million for the three months ended June 30, 2022 and 2021, respectively. The net increase in selling, general and administrative expenses, within our segments, consisted of the following:</w:t>
      </w:r>
    </w:p>
    <w:p>
      <w:pPr>
        <w:spacing w:after="0" w:line="99" w:lineRule="exact"/>
        <w:rPr>
          <w:sz w:val="20"/>
          <w:szCs w:val="20"/>
          <w:color w:val="auto"/>
        </w:rPr>
      </w:pPr>
    </w:p>
    <w:p>
      <w:pPr>
        <w:ind w:left="600" w:right="299" w:hanging="267"/>
        <w:spacing w:after="0" w:line="262"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our selling, general and administrative expenses increased by $1.8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7.3%, to $26.3 million from $24.5 million for the three months ended June 30, 2022 and 2021, respectively. This increase was incurred within all of our international markets primarily as a result of an increase in both our sales and marketing efforts and customer support capabilities to support the expansion of our subscriber base.</w:t>
      </w:r>
    </w:p>
    <w:p>
      <w:pPr>
        <w:spacing w:after="0" w:line="158" w:lineRule="exact"/>
        <w:rPr>
          <w:rFonts w:ascii="Arial" w:cs="Arial" w:eastAsia="Arial" w:hAnsi="Arial"/>
          <w:sz w:val="15"/>
          <w:szCs w:val="15"/>
          <w:color w:val="auto"/>
        </w:rPr>
      </w:pPr>
    </w:p>
    <w:p>
      <w:pPr>
        <w:ind w:left="600" w:right="239" w:hanging="267"/>
        <w:spacing w:after="0" w:line="262" w:lineRule="auto"/>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Selling, general and administrative expenses increased within our US Telecom segment by $16.1 million to $24.1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$8.0 million, for the three months ended June 30, 2022 and 2021, respectively, primarily as a result of the Alaska Transaction, which generated $17.6 million of these costs during the three months ended June 30, 2022 partially offset by a decrease in spending within our private network business.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3" w:name="page54"/>
    <w:bookmarkEnd w:id="5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0" w:right="119" w:hanging="267"/>
        <w:spacing w:after="0" w:line="279"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Renewable Energy. </w:t>
      </w:r>
      <w:r>
        <w:rPr>
          <w:rFonts w:ascii="Arial" w:cs="Arial" w:eastAsia="Arial" w:hAnsi="Arial"/>
          <w:sz w:val="15"/>
          <w:szCs w:val="15"/>
          <w:color w:val="auto"/>
        </w:rPr>
        <w:t>During the three months ended June 30, 2022 and 2021, our Renewable Energy segment incurred a nominal amount</w:t>
      </w:r>
      <w:r>
        <w:rPr>
          <w:rFonts w:ascii="Arial" w:cs="Arial" w:eastAsia="Arial" w:hAnsi="Arial"/>
          <w:sz w:val="15"/>
          <w:szCs w:val="15"/>
          <w:i w:val="1"/>
          <w:iCs w:val="1"/>
          <w:color w:val="auto"/>
        </w:rPr>
        <w:t xml:space="preserve"> </w:t>
      </w:r>
      <w:r>
        <w:rPr>
          <w:rFonts w:ascii="Arial" w:cs="Arial" w:eastAsia="Arial" w:hAnsi="Arial"/>
          <w:sz w:val="15"/>
          <w:szCs w:val="15"/>
          <w:color w:val="auto"/>
        </w:rPr>
        <w:t>and $0.1 million of selling, general and administrative expenses, respectively.</w:t>
      </w:r>
    </w:p>
    <w:p>
      <w:pPr>
        <w:spacing w:after="0" w:line="145" w:lineRule="exact"/>
        <w:rPr>
          <w:rFonts w:ascii="Arial" w:cs="Arial" w:eastAsia="Arial" w:hAnsi="Arial"/>
          <w:sz w:val="15"/>
          <w:szCs w:val="15"/>
          <w:color w:val="auto"/>
        </w:rPr>
      </w:pPr>
    </w:p>
    <w:p>
      <w:pPr>
        <w:ind w:left="600" w:right="119" w:hanging="267"/>
        <w:spacing w:after="0" w:line="266"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Corporate Overhead. </w:t>
      </w:r>
      <w:r>
        <w:rPr>
          <w:rFonts w:ascii="Arial" w:cs="Arial" w:eastAsia="Arial" w:hAnsi="Arial"/>
          <w:sz w:val="15"/>
          <w:szCs w:val="15"/>
          <w:color w:val="auto"/>
        </w:rPr>
        <w:t>Selling, general and administrative expenses within our corporate overhead increased by $0.6 million, or 7.4%, to</w:t>
      </w:r>
      <w:r>
        <w:rPr>
          <w:rFonts w:ascii="Arial" w:cs="Arial" w:eastAsia="Arial" w:hAnsi="Arial"/>
          <w:sz w:val="15"/>
          <w:szCs w:val="15"/>
          <w:i w:val="1"/>
          <w:iCs w:val="1"/>
          <w:color w:val="auto"/>
        </w:rPr>
        <w:t xml:space="preserve"> </w:t>
      </w:r>
      <w:r>
        <w:rPr>
          <w:rFonts w:ascii="Arial" w:cs="Arial" w:eastAsia="Arial" w:hAnsi="Arial"/>
          <w:sz w:val="15"/>
          <w:szCs w:val="15"/>
          <w:color w:val="auto"/>
        </w:rPr>
        <w:t>$8.7 million from $8.1 million, for the three months ended June 30, 2022 and 2021, respectively, primarily related to increased professional service and travel-related expenses.</w:t>
      </w:r>
    </w:p>
    <w:p>
      <w:pPr>
        <w:spacing w:after="0" w:line="156" w:lineRule="exact"/>
        <w:rPr>
          <w:sz w:val="20"/>
          <w:szCs w:val="20"/>
          <w:color w:val="auto"/>
        </w:rPr>
      </w:pPr>
    </w:p>
    <w:p>
      <w:pPr>
        <w:ind w:left="40" w:right="79" w:firstLine="547"/>
        <w:spacing w:after="0" w:line="257" w:lineRule="auto"/>
        <w:rPr>
          <w:sz w:val="20"/>
          <w:szCs w:val="20"/>
          <w:color w:val="auto"/>
        </w:rPr>
      </w:pPr>
      <w:r>
        <w:rPr>
          <w:rFonts w:ascii="Arial" w:cs="Arial" w:eastAsia="Arial" w:hAnsi="Arial"/>
          <w:sz w:val="15"/>
          <w:szCs w:val="15"/>
          <w:color w:val="auto"/>
        </w:rPr>
        <w:t>Within both our International and US Telecom segments, we expect that selling, general and administrative expenses may increase if COVID-19 related travel restrictions continue to be lifted. We also expect an increase in 2022 in these costs as a result of expected costs associated with our recent funding award under the CARES Act, our recently received grant to bring fiber connectivity to certain areas in southern Apache County, Arizona and the cost impact of the construction phase of the FirstNet Transaction which is expected to be completed during early 2023. Our Corporate Overhead segment may also experience an increase in these expenses to support our expanding operations. In addition, we expect our selling, general, and administrative expenses may increase as a result of continued inflationary pressure, issues facing the global supply chain and geopolitical uncertainty.</w:t>
      </w:r>
    </w:p>
    <w:p>
      <w:pPr>
        <w:spacing w:after="0" w:line="161" w:lineRule="exact"/>
        <w:rPr>
          <w:sz w:val="20"/>
          <w:szCs w:val="20"/>
          <w:color w:val="auto"/>
        </w:rPr>
      </w:pPr>
    </w:p>
    <w:p>
      <w:pPr>
        <w:ind w:left="40" w:right="199" w:firstLine="547"/>
        <w:spacing w:after="0" w:line="264" w:lineRule="auto"/>
        <w:rPr>
          <w:sz w:val="20"/>
          <w:szCs w:val="20"/>
          <w:color w:val="auto"/>
        </w:rPr>
      </w:pPr>
      <w:r>
        <w:rPr>
          <w:rFonts w:ascii="Arial" w:cs="Arial" w:eastAsia="Arial" w:hAnsi="Arial"/>
          <w:sz w:val="15"/>
          <w:szCs w:val="15"/>
          <w:b w:val="1"/>
          <w:bCs w:val="1"/>
          <w:color w:val="auto"/>
        </w:rPr>
        <w:t xml:space="preserve">Transaction-related charges. </w:t>
      </w:r>
      <w:r>
        <w:rPr>
          <w:rFonts w:ascii="Arial" w:cs="Arial" w:eastAsia="Arial" w:hAnsi="Arial"/>
          <w:sz w:val="15"/>
          <w:szCs w:val="15"/>
          <w:color w:val="auto"/>
        </w:rPr>
        <w:t>Transaction-related charges include the external costs, such as legal, tax, accounting and consulting fees</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associated with acquisition and disposition-related activities, which are expensed as incurred. Transaction-related charges do not include internal costs, such as employee salary and travel-related expenses, incurred in connection with acquisitions or dispositions or any integration-related costs.</w:t>
      </w:r>
    </w:p>
    <w:p>
      <w:pPr>
        <w:spacing w:after="0" w:line="156" w:lineRule="exact"/>
        <w:rPr>
          <w:sz w:val="20"/>
          <w:szCs w:val="20"/>
          <w:color w:val="auto"/>
        </w:rPr>
      </w:pPr>
    </w:p>
    <w:p>
      <w:pPr>
        <w:ind w:left="40" w:right="319" w:firstLine="547"/>
        <w:spacing w:after="0" w:line="279" w:lineRule="auto"/>
        <w:rPr>
          <w:sz w:val="20"/>
          <w:szCs w:val="20"/>
          <w:color w:val="auto"/>
        </w:rPr>
      </w:pPr>
      <w:r>
        <w:rPr>
          <w:rFonts w:ascii="Arial" w:cs="Arial" w:eastAsia="Arial" w:hAnsi="Arial"/>
          <w:sz w:val="15"/>
          <w:szCs w:val="15"/>
          <w:color w:val="auto"/>
        </w:rPr>
        <w:t>We incurred $0.4 million and $1.4 million of transaction-related charges, primarily related to the Alaska Transaction, during the three months ended June 30, 2022 and 2021, respectively.</w:t>
      </w:r>
    </w:p>
    <w:p>
      <w:pPr>
        <w:spacing w:after="0" w:line="142" w:lineRule="exact"/>
        <w:rPr>
          <w:sz w:val="20"/>
          <w:szCs w:val="20"/>
          <w:color w:val="auto"/>
        </w:rPr>
      </w:pPr>
    </w:p>
    <w:p>
      <w:pPr>
        <w:ind w:left="40" w:right="99" w:firstLine="585"/>
        <w:spacing w:after="0" w:line="285" w:lineRule="auto"/>
        <w:rPr>
          <w:sz w:val="20"/>
          <w:szCs w:val="20"/>
          <w:color w:val="auto"/>
        </w:rPr>
      </w:pPr>
      <w:r>
        <w:rPr>
          <w:rFonts w:ascii="Arial" w:cs="Arial" w:eastAsia="Arial" w:hAnsi="Arial"/>
          <w:sz w:val="15"/>
          <w:szCs w:val="15"/>
          <w:b w:val="1"/>
          <w:bCs w:val="1"/>
          <w:color w:val="auto"/>
        </w:rPr>
        <w:t xml:space="preserve">Depreciation and amortization expenses. </w:t>
      </w:r>
      <w:r>
        <w:rPr>
          <w:rFonts w:ascii="Arial" w:cs="Arial" w:eastAsia="Arial" w:hAnsi="Arial"/>
          <w:sz w:val="15"/>
          <w:szCs w:val="15"/>
          <w:color w:val="auto"/>
        </w:rPr>
        <w:t>Depreciation and amortization expenses represent the depreciation and amortization charges</w:t>
      </w:r>
      <w:r>
        <w:rPr>
          <w:rFonts w:ascii="Arial" w:cs="Arial" w:eastAsia="Arial" w:hAnsi="Arial"/>
          <w:sz w:val="15"/>
          <w:szCs w:val="15"/>
          <w:b w:val="1"/>
          <w:bCs w:val="1"/>
          <w:color w:val="auto"/>
        </w:rPr>
        <w:t xml:space="preserve"> </w:t>
      </w:r>
      <w:r>
        <w:rPr>
          <w:rFonts w:ascii="Arial" w:cs="Arial" w:eastAsia="Arial" w:hAnsi="Arial"/>
          <w:sz w:val="15"/>
          <w:szCs w:val="15"/>
          <w:color w:val="auto"/>
        </w:rPr>
        <w:t>we record on our property and equipment.</w:t>
      </w:r>
    </w:p>
    <w:p>
      <w:pPr>
        <w:spacing w:after="0" w:line="141" w:lineRule="exact"/>
        <w:rPr>
          <w:sz w:val="20"/>
          <w:szCs w:val="20"/>
          <w:color w:val="auto"/>
        </w:rPr>
      </w:pPr>
    </w:p>
    <w:p>
      <w:pPr>
        <w:ind w:left="40" w:right="79" w:firstLine="547"/>
        <w:spacing w:after="0" w:line="266" w:lineRule="auto"/>
        <w:rPr>
          <w:sz w:val="20"/>
          <w:szCs w:val="20"/>
          <w:color w:val="auto"/>
        </w:rPr>
      </w:pPr>
      <w:r>
        <w:rPr>
          <w:rFonts w:ascii="Arial" w:cs="Arial" w:eastAsia="Arial" w:hAnsi="Arial"/>
          <w:sz w:val="15"/>
          <w:szCs w:val="15"/>
          <w:color w:val="auto"/>
        </w:rPr>
        <w:t>Depreciation and amortization expenses increased by $14.1 million, or 71.6%, to $33.8 million from $19.7 million for the three months ended June 30, 2022 and 2021, respectively. The net increase in depreciation and amortization expenses, within our segments, consisted primarily of the following:</w:t>
      </w:r>
    </w:p>
    <w:p>
      <w:pPr>
        <w:spacing w:after="0" w:line="156" w:lineRule="exact"/>
        <w:rPr>
          <w:sz w:val="20"/>
          <w:szCs w:val="20"/>
          <w:color w:val="auto"/>
        </w:rPr>
      </w:pPr>
    </w:p>
    <w:p>
      <w:pPr>
        <w:jc w:val="both"/>
        <w:ind w:left="600" w:right="159" w:hanging="267"/>
        <w:spacing w:after="0" w:line="266"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Depreciation and amortization expenses increased within our International Telecom segment by $1.7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12.7%, to $15.1 million from $13.4 million, for the three months ended June 30, 2022 and 2021, respectively. This increase was a result of recent upgrades and expansions to this segment’s network.</w:t>
      </w:r>
    </w:p>
    <w:p>
      <w:pPr>
        <w:spacing w:after="0" w:line="155" w:lineRule="exact"/>
        <w:rPr>
          <w:rFonts w:ascii="Arial" w:cs="Arial" w:eastAsia="Arial" w:hAnsi="Arial"/>
          <w:sz w:val="15"/>
          <w:szCs w:val="15"/>
          <w:color w:val="auto"/>
        </w:rPr>
      </w:pPr>
    </w:p>
    <w:p>
      <w:pPr>
        <w:ind w:left="600" w:right="179" w:hanging="267"/>
        <w:spacing w:after="0" w:line="316" w:lineRule="auto"/>
        <w:tabs>
          <w:tab w:leader="none" w:pos="60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US Telecom</w:t>
      </w:r>
      <w:r>
        <w:rPr>
          <w:rFonts w:ascii="Arial" w:cs="Arial" w:eastAsia="Arial" w:hAnsi="Arial"/>
          <w:sz w:val="14"/>
          <w:szCs w:val="14"/>
          <w:color w:val="auto"/>
        </w:rPr>
        <w:t>. Depreciation and amortization expenses increased within our US Telecom segment by $12.7 million to $17.8 million from</w:t>
      </w:r>
      <w:r>
        <w:rPr>
          <w:rFonts w:ascii="Arial" w:cs="Arial" w:eastAsia="Arial" w:hAnsi="Arial"/>
          <w:sz w:val="14"/>
          <w:szCs w:val="14"/>
          <w:i w:val="1"/>
          <w:iCs w:val="1"/>
          <w:color w:val="auto"/>
        </w:rPr>
        <w:t xml:space="preserve"> </w:t>
      </w:r>
      <w:r>
        <w:rPr>
          <w:rFonts w:ascii="Arial" w:cs="Arial" w:eastAsia="Arial" w:hAnsi="Arial"/>
          <w:sz w:val="14"/>
          <w:szCs w:val="14"/>
          <w:color w:val="auto"/>
        </w:rPr>
        <w:t>$5.1 million, for the three months ended June 30, 2022 and 2021, respectively, primarily as a result of the Alaska Transaction.</w:t>
      </w:r>
    </w:p>
    <w:p>
      <w:pPr>
        <w:spacing w:after="0" w:line="122" w:lineRule="exact"/>
        <w:rPr>
          <w:rFonts w:ascii="Arial" w:cs="Arial" w:eastAsia="Arial" w:hAnsi="Arial"/>
          <w:sz w:val="14"/>
          <w:szCs w:val="14"/>
          <w:color w:val="auto"/>
        </w:rPr>
      </w:pPr>
    </w:p>
    <w:p>
      <w:pPr>
        <w:jc w:val="both"/>
        <w:ind w:left="600" w:right="279" w:hanging="267"/>
        <w:spacing w:after="0" w:line="266"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Corporate Overhead</w:t>
      </w:r>
      <w:r>
        <w:rPr>
          <w:rFonts w:ascii="Arial" w:cs="Arial" w:eastAsia="Arial" w:hAnsi="Arial"/>
          <w:sz w:val="15"/>
          <w:szCs w:val="15"/>
          <w:color w:val="auto"/>
        </w:rPr>
        <w:t>. Depreciation and amortization expenses decreased within our corporate overhead by $0.3 million, or 23.1%, to</w:t>
      </w:r>
      <w:r>
        <w:rPr>
          <w:rFonts w:ascii="Arial" w:cs="Arial" w:eastAsia="Arial" w:hAnsi="Arial"/>
          <w:sz w:val="15"/>
          <w:szCs w:val="15"/>
          <w:i w:val="1"/>
          <w:iCs w:val="1"/>
          <w:color w:val="auto"/>
        </w:rPr>
        <w:t xml:space="preserve"> </w:t>
      </w:r>
      <w:r>
        <w:rPr>
          <w:rFonts w:ascii="Arial" w:cs="Arial" w:eastAsia="Arial" w:hAnsi="Arial"/>
          <w:sz w:val="15"/>
          <w:szCs w:val="15"/>
          <w:color w:val="auto"/>
        </w:rPr>
        <w:t>$1.0 million from $1.3 million, for the three months ended June 30, 2022 and 2021, respectively, primarily as a result of certain assets becoming fully depreciated in recent periods.</w:t>
      </w:r>
    </w:p>
    <w:p>
      <w:pPr>
        <w:spacing w:after="0" w:line="156" w:lineRule="exact"/>
        <w:rPr>
          <w:sz w:val="20"/>
          <w:szCs w:val="20"/>
          <w:color w:val="auto"/>
        </w:rPr>
      </w:pPr>
    </w:p>
    <w:p>
      <w:pPr>
        <w:ind w:left="40" w:right="539" w:firstLine="547"/>
        <w:spacing w:after="0" w:line="279" w:lineRule="auto"/>
        <w:rPr>
          <w:sz w:val="20"/>
          <w:szCs w:val="20"/>
          <w:color w:val="auto"/>
        </w:rPr>
      </w:pPr>
      <w:r>
        <w:rPr>
          <w:rFonts w:ascii="Arial" w:cs="Arial" w:eastAsia="Arial" w:hAnsi="Arial"/>
          <w:sz w:val="15"/>
          <w:szCs w:val="15"/>
          <w:color w:val="auto"/>
        </w:rPr>
        <w:t>We expect depreciation and amortization expense to increase within all of our segments as we acquire tangible assets to expand or upgrade our telecommunications networks.</w:t>
      </w:r>
    </w:p>
    <w:p>
      <w:pPr>
        <w:spacing w:after="0" w:line="142" w:lineRule="exact"/>
        <w:rPr>
          <w:sz w:val="20"/>
          <w:szCs w:val="20"/>
          <w:color w:val="auto"/>
        </w:rPr>
      </w:pPr>
    </w:p>
    <w:p>
      <w:pPr>
        <w:ind w:left="40" w:right="339" w:firstLine="547"/>
        <w:spacing w:after="0" w:line="285" w:lineRule="auto"/>
        <w:rPr>
          <w:sz w:val="20"/>
          <w:szCs w:val="20"/>
          <w:color w:val="auto"/>
        </w:rPr>
      </w:pPr>
      <w:r>
        <w:rPr>
          <w:rFonts w:ascii="Arial" w:cs="Arial" w:eastAsia="Arial" w:hAnsi="Arial"/>
          <w:sz w:val="15"/>
          <w:szCs w:val="15"/>
          <w:b w:val="1"/>
          <w:bCs w:val="1"/>
          <w:color w:val="auto"/>
        </w:rPr>
        <w:t xml:space="preserve">Amortization of intangibles from acquisitions. </w:t>
      </w:r>
      <w:r>
        <w:rPr>
          <w:rFonts w:ascii="Arial" w:cs="Arial" w:eastAsia="Arial" w:hAnsi="Arial"/>
          <w:sz w:val="15"/>
          <w:szCs w:val="15"/>
          <w:color w:val="auto"/>
        </w:rPr>
        <w:t>Amortization of intangibles from acquisitions include the amortization of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relationships and trade names related to our completed acquisitions.</w:t>
      </w:r>
    </w:p>
    <w:p>
      <w:pPr>
        <w:spacing w:after="0" w:line="141" w:lineRule="exact"/>
        <w:rPr>
          <w:sz w:val="20"/>
          <w:szCs w:val="20"/>
          <w:color w:val="auto"/>
        </w:rPr>
      </w:pPr>
    </w:p>
    <w:p>
      <w:pPr>
        <w:ind w:left="40" w:right="39" w:firstLine="547"/>
        <w:spacing w:after="0" w:line="279" w:lineRule="auto"/>
        <w:rPr>
          <w:sz w:val="20"/>
          <w:szCs w:val="20"/>
          <w:color w:val="auto"/>
        </w:rPr>
      </w:pPr>
      <w:r>
        <w:rPr>
          <w:rFonts w:ascii="Arial" w:cs="Arial" w:eastAsia="Arial" w:hAnsi="Arial"/>
          <w:sz w:val="15"/>
          <w:szCs w:val="15"/>
          <w:color w:val="auto"/>
        </w:rPr>
        <w:t>Amortization of intangibles from acquisitions increased by $2.9 million to $3.3 million from $0.4 million for the three months ended June 30, 2022 and 2021, respectively, as a result of the Alaska Transaction.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4" w:name="page55"/>
    <w:bookmarkEnd w:id="5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right="159" w:firstLine="547"/>
        <w:spacing w:after="0" w:line="285" w:lineRule="auto"/>
        <w:rPr>
          <w:sz w:val="20"/>
          <w:szCs w:val="20"/>
          <w:color w:val="auto"/>
        </w:rPr>
      </w:pPr>
      <w:r>
        <w:rPr>
          <w:rFonts w:ascii="Arial" w:cs="Arial" w:eastAsia="Arial" w:hAnsi="Arial"/>
          <w:sz w:val="15"/>
          <w:szCs w:val="15"/>
          <w:b w:val="1"/>
          <w:bCs w:val="1"/>
          <w:color w:val="auto"/>
        </w:rPr>
        <w:t>Loss on disposition of long-lived assets</w:t>
      </w:r>
      <w:r>
        <w:rPr>
          <w:rFonts w:ascii="Arial" w:cs="Arial" w:eastAsia="Arial" w:hAnsi="Arial"/>
          <w:sz w:val="15"/>
          <w:szCs w:val="15"/>
          <w:color w:val="auto"/>
        </w:rPr>
        <w:t>. During the three months ended June 30, 2022, we recorded a nominal gain on the disposal of</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assets.</w:t>
      </w:r>
    </w:p>
    <w:p>
      <w:pPr>
        <w:spacing w:after="0" w:line="141" w:lineRule="exact"/>
        <w:rPr>
          <w:sz w:val="20"/>
          <w:szCs w:val="20"/>
          <w:color w:val="auto"/>
        </w:rPr>
      </w:pPr>
    </w:p>
    <w:p>
      <w:pPr>
        <w:ind w:left="40" w:right="99" w:firstLine="547"/>
        <w:spacing w:after="0" w:line="279" w:lineRule="auto"/>
        <w:rPr>
          <w:sz w:val="20"/>
          <w:szCs w:val="20"/>
          <w:color w:val="auto"/>
        </w:rPr>
      </w:pPr>
      <w:r>
        <w:rPr>
          <w:rFonts w:ascii="Arial" w:cs="Arial" w:eastAsia="Arial" w:hAnsi="Arial"/>
          <w:sz w:val="15"/>
          <w:szCs w:val="15"/>
          <w:color w:val="auto"/>
        </w:rPr>
        <w:t>During the three months ended June 30, 2021, we recorded a loss on the disposition of long-lived assets of $0.7 million, primarily related to the Vibrant Transaction.</w:t>
      </w:r>
    </w:p>
    <w:p>
      <w:pPr>
        <w:spacing w:after="0" w:line="142" w:lineRule="exact"/>
        <w:rPr>
          <w:sz w:val="20"/>
          <w:szCs w:val="20"/>
          <w:color w:val="auto"/>
        </w:rPr>
      </w:pPr>
    </w:p>
    <w:p>
      <w:pPr>
        <w:ind w:left="40" w:right="399" w:firstLine="547"/>
        <w:spacing w:after="0" w:line="285" w:lineRule="auto"/>
        <w:rPr>
          <w:sz w:val="20"/>
          <w:szCs w:val="20"/>
          <w:color w:val="auto"/>
        </w:rPr>
      </w:pPr>
      <w:r>
        <w:rPr>
          <w:rFonts w:ascii="Arial" w:cs="Arial" w:eastAsia="Arial" w:hAnsi="Arial"/>
          <w:sz w:val="15"/>
          <w:szCs w:val="15"/>
          <w:b w:val="1"/>
          <w:bCs w:val="1"/>
          <w:color w:val="auto"/>
        </w:rPr>
        <w:t xml:space="preserve">Interest income. </w:t>
      </w:r>
      <w:r>
        <w:rPr>
          <w:rFonts w:ascii="Arial" w:cs="Arial" w:eastAsia="Arial" w:hAnsi="Arial"/>
          <w:sz w:val="15"/>
          <w:szCs w:val="15"/>
          <w:color w:val="auto"/>
        </w:rPr>
        <w:t>Interest income represents interest earned on our cash, cash equivalents, restricted cash and short-term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balances and were nominal amounts during both the three months ended June 30, 2022 and 2021.</w:t>
      </w:r>
    </w:p>
    <w:p>
      <w:pPr>
        <w:spacing w:after="0" w:line="137" w:lineRule="exact"/>
        <w:rPr>
          <w:sz w:val="20"/>
          <w:szCs w:val="20"/>
          <w:color w:val="auto"/>
        </w:rPr>
      </w:pPr>
    </w:p>
    <w:p>
      <w:pPr>
        <w:ind w:left="40" w:right="259" w:firstLine="547"/>
        <w:spacing w:after="0" w:line="269" w:lineRule="auto"/>
        <w:rPr>
          <w:sz w:val="20"/>
          <w:szCs w:val="20"/>
          <w:color w:val="auto"/>
        </w:rPr>
      </w:pPr>
      <w:r>
        <w:rPr>
          <w:rFonts w:ascii="Arial" w:cs="Arial" w:eastAsia="Arial" w:hAnsi="Arial"/>
          <w:sz w:val="15"/>
          <w:szCs w:val="15"/>
          <w:b w:val="1"/>
          <w:bCs w:val="1"/>
          <w:color w:val="auto"/>
        </w:rPr>
        <w:t xml:space="preserve">Interest expense. </w:t>
      </w:r>
      <w:r>
        <w:rPr>
          <w:rFonts w:ascii="Arial" w:cs="Arial" w:eastAsia="Arial" w:hAnsi="Arial"/>
          <w:sz w:val="15"/>
          <w:szCs w:val="15"/>
          <w:color w:val="auto"/>
        </w:rPr>
        <w:t>We incur interest expense on the 2019 CoBank Credit Facility, the Alaska Credit Facility (beginning in July 2021),</w:t>
      </w:r>
      <w:r>
        <w:rPr>
          <w:rFonts w:ascii="Arial" w:cs="Arial" w:eastAsia="Arial" w:hAnsi="Arial"/>
          <w:sz w:val="15"/>
          <w:szCs w:val="15"/>
          <w:b w:val="1"/>
          <w:bCs w:val="1"/>
          <w:color w:val="auto"/>
        </w:rPr>
        <w:t xml:space="preserve"> </w:t>
      </w:r>
      <w:r>
        <w:rPr>
          <w:rFonts w:ascii="Arial" w:cs="Arial" w:eastAsia="Arial" w:hAnsi="Arial"/>
          <w:sz w:val="15"/>
          <w:szCs w:val="15"/>
          <w:color w:val="auto"/>
        </w:rPr>
        <w:t>the Viya Debt, the One Communications Debt and the Receivables Credit Facility (each as defined below). Interest expense also includes commitment fees, letter of credit fees and the amortization of debt issuance costs.</w:t>
      </w:r>
    </w:p>
    <w:p>
      <w:pPr>
        <w:spacing w:after="0" w:line="153" w:lineRule="exact"/>
        <w:rPr>
          <w:sz w:val="20"/>
          <w:szCs w:val="20"/>
          <w:color w:val="auto"/>
        </w:rPr>
      </w:pPr>
    </w:p>
    <w:p>
      <w:pPr>
        <w:ind w:left="40" w:right="199" w:firstLine="547"/>
        <w:spacing w:after="0" w:line="266" w:lineRule="auto"/>
        <w:rPr>
          <w:sz w:val="20"/>
          <w:szCs w:val="20"/>
          <w:color w:val="auto"/>
        </w:rPr>
      </w:pPr>
      <w:r>
        <w:rPr>
          <w:rFonts w:ascii="Arial" w:cs="Arial" w:eastAsia="Arial" w:hAnsi="Arial"/>
          <w:sz w:val="15"/>
          <w:szCs w:val="15"/>
          <w:color w:val="auto"/>
        </w:rPr>
        <w:t>Interest expense increased to $4.2 million from $1.1 million for the three months ended June 30, 2022 and 2021, respectively, as additional interest expense was incurred as a result of new borrowings under the 2019 CoBank Credit Facility, the Alaska Credit Facility and the Receivables Credit Facility as well as an increase in interest rates on those facilities.</w:t>
      </w:r>
    </w:p>
    <w:p>
      <w:pPr>
        <w:spacing w:after="0" w:line="156" w:lineRule="exact"/>
        <w:rPr>
          <w:sz w:val="20"/>
          <w:szCs w:val="20"/>
          <w:color w:val="auto"/>
        </w:rPr>
      </w:pPr>
    </w:p>
    <w:p>
      <w:pPr>
        <w:ind w:left="40" w:right="319" w:firstLine="547"/>
        <w:spacing w:after="0" w:line="279" w:lineRule="auto"/>
        <w:rPr>
          <w:sz w:val="20"/>
          <w:szCs w:val="20"/>
          <w:color w:val="auto"/>
        </w:rPr>
      </w:pPr>
      <w:r>
        <w:rPr>
          <w:rFonts w:ascii="Arial" w:cs="Arial" w:eastAsia="Arial" w:hAnsi="Arial"/>
          <w:sz w:val="15"/>
          <w:szCs w:val="15"/>
          <w:color w:val="auto"/>
        </w:rPr>
        <w:t>We expect that interest expense will increase in future periods as a result of an expected increase in both interest rates and borrowings under the 2019 CoBank Credit Facility and the Receivables Credit Facility.</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 xml:space="preserve">Other income (expenses).  </w:t>
      </w:r>
      <w:r>
        <w:rPr>
          <w:rFonts w:ascii="Arial" w:cs="Arial" w:eastAsia="Arial" w:hAnsi="Arial"/>
          <w:sz w:val="13"/>
          <w:szCs w:val="13"/>
          <w:color w:val="auto"/>
        </w:rPr>
        <w:t>Other income (expenses) represents miscellaneous non-operational income earned and expenses incurred.</w:t>
      </w:r>
    </w:p>
    <w:p>
      <w:pPr>
        <w:spacing w:after="0" w:line="219" w:lineRule="exact"/>
        <w:rPr>
          <w:sz w:val="20"/>
          <w:szCs w:val="20"/>
          <w:color w:val="auto"/>
        </w:rPr>
      </w:pPr>
    </w:p>
    <w:p>
      <w:pPr>
        <w:ind w:left="40" w:right="119" w:firstLine="547"/>
        <w:spacing w:after="0" w:line="316" w:lineRule="auto"/>
        <w:rPr>
          <w:sz w:val="20"/>
          <w:szCs w:val="20"/>
          <w:color w:val="auto"/>
        </w:rPr>
      </w:pPr>
      <w:r>
        <w:rPr>
          <w:rFonts w:ascii="Arial" w:cs="Arial" w:eastAsia="Arial" w:hAnsi="Arial"/>
          <w:sz w:val="14"/>
          <w:szCs w:val="14"/>
          <w:color w:val="auto"/>
        </w:rPr>
        <w:t>For the three months ended June 30, 2022, other income (expenses) was $2.7 million of expense primarily related to expenses associated with certain employee benefit plans, losses from our noncontrolling investments and losses on foreign currency transactions.</w:t>
      </w:r>
    </w:p>
    <w:p>
      <w:pPr>
        <w:spacing w:after="0" w:line="123" w:lineRule="exact"/>
        <w:rPr>
          <w:sz w:val="20"/>
          <w:szCs w:val="20"/>
          <w:color w:val="auto"/>
        </w:rPr>
      </w:pPr>
    </w:p>
    <w:p>
      <w:pPr>
        <w:ind w:left="40" w:right="99" w:firstLine="547"/>
        <w:spacing w:after="0" w:line="266" w:lineRule="auto"/>
        <w:rPr>
          <w:sz w:val="20"/>
          <w:szCs w:val="20"/>
          <w:color w:val="auto"/>
        </w:rPr>
      </w:pPr>
      <w:r>
        <w:rPr>
          <w:rFonts w:ascii="Arial" w:cs="Arial" w:eastAsia="Arial" w:hAnsi="Arial"/>
          <w:sz w:val="15"/>
          <w:szCs w:val="15"/>
          <w:color w:val="auto"/>
        </w:rPr>
        <w:t>For the three months ended June 30, 2021, other income (expenses) was an expense of $0.1 million which was primarily related to losses from our noncontrolling investments and on foreign currency transactions. These losses were partially offset by miscellaneous income generated during the quarter.</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Our effective tax rate for the three months ended June 30, 2022 and 2021 was 75.2% and (88.2%), respectively.</w:t>
      </w:r>
    </w:p>
    <w:p>
      <w:pPr>
        <w:spacing w:after="0" w:line="208" w:lineRule="exact"/>
        <w:rPr>
          <w:sz w:val="20"/>
          <w:szCs w:val="20"/>
          <w:color w:val="auto"/>
        </w:rPr>
      </w:pPr>
    </w:p>
    <w:p>
      <w:pPr>
        <w:ind w:left="40" w:right="179" w:firstLine="547"/>
        <w:spacing w:after="0" w:line="286" w:lineRule="auto"/>
        <w:rPr>
          <w:sz w:val="20"/>
          <w:szCs w:val="20"/>
          <w:color w:val="auto"/>
        </w:rPr>
      </w:pPr>
      <w:r>
        <w:rPr>
          <w:rFonts w:ascii="Arial" w:cs="Arial" w:eastAsia="Arial" w:hAnsi="Arial"/>
          <w:sz w:val="14"/>
          <w:szCs w:val="14"/>
          <w:color w:val="auto"/>
        </w:rPr>
        <w:t>We recorded an income tax benefit of $4.0 million in relation to a pre-tax loss of $5.3 million for the three months ended June 30, 2022. The effective tax rate for the three months ended June 30, 2022 was primarily impacted by the following items (i) the mix of income generated among the jurisdictions in which we operate and (ii) discrete items including a $3.3 million benefit from the reversal of an unrecognized tax position due to a statute of limitations expiration and a $0.3 million expense for interest on unrecognized tax positions.</w:t>
      </w:r>
    </w:p>
    <w:p>
      <w:pPr>
        <w:spacing w:after="0" w:line="144" w:lineRule="exact"/>
        <w:rPr>
          <w:sz w:val="20"/>
          <w:szCs w:val="20"/>
          <w:color w:val="auto"/>
        </w:rPr>
      </w:pPr>
    </w:p>
    <w:p>
      <w:pPr>
        <w:ind w:left="40" w:right="79" w:firstLine="547"/>
        <w:spacing w:after="0" w:line="294" w:lineRule="auto"/>
        <w:rPr>
          <w:sz w:val="20"/>
          <w:szCs w:val="20"/>
          <w:color w:val="auto"/>
        </w:rPr>
      </w:pPr>
      <w:r>
        <w:rPr>
          <w:rFonts w:ascii="Arial" w:cs="Arial" w:eastAsia="Arial" w:hAnsi="Arial"/>
          <w:sz w:val="14"/>
          <w:szCs w:val="14"/>
          <w:color w:val="auto"/>
        </w:rPr>
        <w:t>The effective tax rate for the three months ended June 30, 2021 was primarily impacted by the following items: (i) the mix of income generated among the jurisdictions in which we operate and (ii) discrete items including a $3.4 million benefit from the reversal of an unrecognized tax position due to a statute of limitations expiration and a $0.5 million expense for interest on unrecognized tax positions.</w:t>
      </w:r>
    </w:p>
    <w:p>
      <w:pPr>
        <w:spacing w:after="0" w:line="137" w:lineRule="exact"/>
        <w:rPr>
          <w:sz w:val="20"/>
          <w:szCs w:val="20"/>
          <w:color w:val="auto"/>
        </w:rPr>
      </w:pPr>
    </w:p>
    <w:p>
      <w:pPr>
        <w:ind w:left="40" w:right="119" w:firstLine="547"/>
        <w:spacing w:after="0" w:line="280" w:lineRule="auto"/>
        <w:rPr>
          <w:sz w:val="20"/>
          <w:szCs w:val="20"/>
          <w:color w:val="auto"/>
        </w:rPr>
      </w:pPr>
      <w:r>
        <w:rPr>
          <w:rFonts w:ascii="Arial" w:cs="Arial" w:eastAsia="Arial" w:hAnsi="Arial"/>
          <w:sz w:val="14"/>
          <w:szCs w:val="14"/>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5" w:name="page56"/>
    <w:bookmarkEnd w:id="5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359"/>
        <w:spacing w:after="0" w:line="279" w:lineRule="auto"/>
        <w:rPr>
          <w:sz w:val="20"/>
          <w:szCs w:val="20"/>
          <w:color w:val="auto"/>
        </w:rPr>
      </w:pPr>
      <w:r>
        <w:rPr>
          <w:rFonts w:ascii="Arial" w:cs="Arial" w:eastAsia="Arial" w:hAnsi="Arial"/>
          <w:sz w:val="15"/>
          <w:szCs w:val="15"/>
          <w:color w:val="auto"/>
        </w:rPr>
        <w:t>estimates and judgments by management. Accordingly, we could record additional provisions or benefits for US federal, state, and foreign tax matters in future periods as new information becomes available.</w:t>
      </w:r>
    </w:p>
    <w:p>
      <w:pPr>
        <w:spacing w:after="0" w:line="142" w:lineRule="exact"/>
        <w:rPr>
          <w:sz w:val="20"/>
          <w:szCs w:val="20"/>
          <w:color w:val="auto"/>
        </w:rPr>
      </w:pPr>
    </w:p>
    <w:p>
      <w:pPr>
        <w:jc w:val="both"/>
        <w:ind w:left="40" w:right="59" w:firstLine="547"/>
        <w:spacing w:after="0" w:line="264" w:lineRule="auto"/>
        <w:rPr>
          <w:sz w:val="20"/>
          <w:szCs w:val="20"/>
          <w:color w:val="auto"/>
        </w:rPr>
      </w:pPr>
      <w:r>
        <w:rPr>
          <w:rFonts w:ascii="Arial" w:cs="Arial" w:eastAsia="Arial" w:hAnsi="Arial"/>
          <w:sz w:val="15"/>
          <w:szCs w:val="15"/>
          <w:b w:val="1"/>
          <w:bCs w:val="1"/>
          <w:color w:val="auto"/>
        </w:rPr>
        <w:t xml:space="preserve">Net income attributable to noncontrolling interests, net of tax. </w:t>
      </w:r>
      <w:r>
        <w:rPr>
          <w:rFonts w:ascii="Arial" w:cs="Arial" w:eastAsia="Arial" w:hAnsi="Arial"/>
          <w:sz w:val="15"/>
          <w:szCs w:val="15"/>
          <w:color w:val="auto"/>
        </w:rPr>
        <w:t>Net income attributable to noncontrolling interests, net of tax reflected</w:t>
      </w:r>
      <w:r>
        <w:rPr>
          <w:rFonts w:ascii="Arial" w:cs="Arial" w:eastAsia="Arial" w:hAnsi="Arial"/>
          <w:sz w:val="15"/>
          <w:szCs w:val="15"/>
          <w:b w:val="1"/>
          <w:bCs w:val="1"/>
          <w:color w:val="auto"/>
        </w:rPr>
        <w:t xml:space="preserve"> </w:t>
      </w:r>
      <w:r>
        <w:rPr>
          <w:rFonts w:ascii="Arial" w:cs="Arial" w:eastAsia="Arial" w:hAnsi="Arial"/>
          <w:sz w:val="15"/>
          <w:szCs w:val="15"/>
          <w:color w:val="auto"/>
        </w:rPr>
        <w:t>an allocation of $0.8 million of losses and $1.3 million of income generated by our less than wholly owned subsidiaries for the three months ended June 30, 2022 and 2021, respectively. Changes in net income attributable to noncontrolling interests, net of tax, within our segments, consisted of the following:</w:t>
      </w:r>
    </w:p>
    <w:p>
      <w:pPr>
        <w:spacing w:after="0" w:line="156" w:lineRule="exact"/>
        <w:rPr>
          <w:sz w:val="20"/>
          <w:szCs w:val="20"/>
          <w:color w:val="auto"/>
        </w:rPr>
      </w:pPr>
    </w:p>
    <w:p>
      <w:pPr>
        <w:ind w:left="600" w:right="79" w:hanging="267"/>
        <w:spacing w:after="0" w:line="260"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net income attributable to noncontrolling interests, net of tax</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by $0.9 million, or 50.0%, to an allocation of $0.9 million of income from an allocation of $1.8 million of income for the three months ended June 30, 2022 and 2021, respectively, primarily as a result of reduced profitability at our less than wholly owned subsidiaries partially offset by an increase in our ownership of certain less than wholly owned subsidiaries in certain international markets.</w:t>
      </w:r>
    </w:p>
    <w:p>
      <w:pPr>
        <w:spacing w:after="0" w:line="159" w:lineRule="exact"/>
        <w:rPr>
          <w:rFonts w:ascii="Arial" w:cs="Arial" w:eastAsia="Arial" w:hAnsi="Arial"/>
          <w:sz w:val="15"/>
          <w:szCs w:val="15"/>
          <w:color w:val="auto"/>
        </w:rPr>
      </w:pPr>
    </w:p>
    <w:p>
      <w:pPr>
        <w:ind w:left="600" w:right="99" w:hanging="267"/>
        <w:spacing w:after="0" w:line="294"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US Telecom</w:t>
      </w:r>
      <w:r>
        <w:rPr>
          <w:rFonts w:ascii="Arial" w:cs="Arial" w:eastAsia="Arial" w:hAnsi="Arial"/>
          <w:sz w:val="14"/>
          <w:szCs w:val="14"/>
          <w:color w:val="auto"/>
        </w:rPr>
        <w:t>. Within our US Telecom segment, net income attributable to noncontrolling interests, net of tax decreased by $1.1 million to</w:t>
      </w:r>
      <w:r>
        <w:rPr>
          <w:rFonts w:ascii="Arial" w:cs="Arial" w:eastAsia="Arial" w:hAnsi="Arial"/>
          <w:sz w:val="14"/>
          <w:szCs w:val="14"/>
          <w:i w:val="1"/>
          <w:iCs w:val="1"/>
          <w:color w:val="auto"/>
        </w:rPr>
        <w:t xml:space="preserve"> </w:t>
      </w:r>
      <w:r>
        <w:rPr>
          <w:rFonts w:ascii="Arial" w:cs="Arial" w:eastAsia="Arial" w:hAnsi="Arial"/>
          <w:sz w:val="14"/>
          <w:szCs w:val="14"/>
          <w:color w:val="auto"/>
        </w:rPr>
        <w:t>an allocation of losses of $1.7 million from an allocation of losses of $0.6 million for the three months ended June 30, 2022 and 2021, respectively, as a result of reduced profitability in certain less than wholly owned subsidiaries within our US Mobility operations.</w:t>
      </w:r>
    </w:p>
    <w:p>
      <w:pPr>
        <w:spacing w:after="0" w:line="133" w:lineRule="exact"/>
        <w:rPr>
          <w:sz w:val="20"/>
          <w:szCs w:val="20"/>
          <w:color w:val="auto"/>
        </w:rPr>
      </w:pPr>
    </w:p>
    <w:p>
      <w:pPr>
        <w:jc w:val="both"/>
        <w:ind w:left="40" w:right="399" w:firstLine="547"/>
        <w:spacing w:after="0" w:line="269" w:lineRule="auto"/>
        <w:rPr>
          <w:sz w:val="20"/>
          <w:szCs w:val="20"/>
          <w:color w:val="auto"/>
        </w:rPr>
      </w:pPr>
      <w:r>
        <w:rPr>
          <w:rFonts w:ascii="Arial" w:cs="Arial" w:eastAsia="Arial" w:hAnsi="Arial"/>
          <w:sz w:val="15"/>
          <w:szCs w:val="15"/>
          <w:b w:val="1"/>
          <w:bCs w:val="1"/>
          <w:color w:val="auto"/>
        </w:rPr>
        <w:t xml:space="preserve">Net income (loss) attributable to ATN International, Inc. stockholders. </w:t>
      </w:r>
      <w:r>
        <w:rPr>
          <w:rFonts w:ascii="Arial" w:cs="Arial" w:eastAsia="Arial" w:hAnsi="Arial"/>
          <w:sz w:val="15"/>
          <w:szCs w:val="15"/>
          <w:color w:val="auto"/>
        </w:rPr>
        <w:t>Net income (loss) attributable to ATN International, Inc.</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was a loss of $0.5 million for the three months ended June 30, 2022 as compared to income of $2.0 million for the three months ended June 30, 2021.</w:t>
      </w:r>
    </w:p>
    <w:p>
      <w:pPr>
        <w:spacing w:after="0" w:line="153" w:lineRule="exact"/>
        <w:rPr>
          <w:sz w:val="20"/>
          <w:szCs w:val="20"/>
          <w:color w:val="auto"/>
        </w:rPr>
      </w:pPr>
    </w:p>
    <w:p>
      <w:pPr>
        <w:ind w:left="40" w:right="199" w:firstLine="547"/>
        <w:spacing w:after="0" w:line="266" w:lineRule="auto"/>
        <w:rPr>
          <w:sz w:val="20"/>
          <w:szCs w:val="20"/>
          <w:color w:val="auto"/>
        </w:rPr>
      </w:pPr>
      <w:r>
        <w:rPr>
          <w:rFonts w:ascii="Arial" w:cs="Arial" w:eastAsia="Arial" w:hAnsi="Arial"/>
          <w:sz w:val="15"/>
          <w:szCs w:val="15"/>
          <w:color w:val="auto"/>
        </w:rPr>
        <w:t>On a per diluted share basis, net income (loss) was a loss of $0.11 per diluted share for the three months ended June 30, 2022 (which includes the impact of accrued preferred dividends of $1.2 million) as compared to income of $0.13 per diluted share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6" w:name="page57"/>
    <w:bookmarkEnd w:id="5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Selected Segment Financial Information</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represents selected segment information for the six months ended June 30, 2022 and 2021 (in thousands):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66"/>
              <w:spacing w:after="0"/>
              <w:rPr>
                <w:sz w:val="20"/>
                <w:szCs w:val="20"/>
                <w:color w:val="auto"/>
              </w:rPr>
            </w:pPr>
            <w:r>
              <w:rPr>
                <w:rFonts w:ascii="Arial" w:cs="Arial" w:eastAsia="Arial" w:hAnsi="Arial"/>
                <w:sz w:val="12"/>
                <w:szCs w:val="12"/>
                <w:b w:val="1"/>
                <w:bCs w:val="1"/>
                <w:color w:val="auto"/>
              </w:rPr>
              <w:t>International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86"/>
              <w:spacing w:after="0"/>
              <w:rPr>
                <w:sz w:val="20"/>
                <w:szCs w:val="20"/>
                <w:color w:val="auto"/>
              </w:rPr>
            </w:pPr>
            <w:r>
              <w:rPr>
                <w:rFonts w:ascii="Arial" w:cs="Arial" w:eastAsia="Arial" w:hAnsi="Arial"/>
                <w:sz w:val="12"/>
                <w:szCs w:val="12"/>
                <w:b w:val="1"/>
                <w:bCs w:val="1"/>
                <w:color w:val="auto"/>
              </w:rPr>
              <w:t>Telecom</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Consolidated</w:t>
            </w:r>
          </w:p>
        </w:tc>
      </w:tr>
      <w:tr>
        <w:trPr>
          <w:trHeight w:val="174"/>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7,965</w:t>
            </w:r>
          </w:p>
        </w:tc>
        <w:tc>
          <w:tcPr>
            <w:tcW w:w="20" w:type="dxa"/>
            <w:vAlign w:val="bottom"/>
          </w:tcPr>
          <w:p>
            <w:pPr>
              <w:spacing w:after="0"/>
              <w:rPr>
                <w:sz w:val="15"/>
                <w:szCs w:val="15"/>
                <w:color w:val="auto"/>
              </w:rPr>
            </w:pP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41,249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3,006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44,255</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48,540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3,681</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52,220</w:t>
            </w:r>
          </w:p>
        </w:tc>
        <w:tc>
          <w:tcPr>
            <w:tcW w:w="20" w:type="dxa"/>
            <w:vAlign w:val="bottom"/>
          </w:tcPr>
          <w:p>
            <w:pPr>
              <w:spacing w:after="0"/>
              <w:rPr>
                <w:sz w:val="15"/>
                <w:szCs w:val="15"/>
                <w:color w:val="auto"/>
              </w:rPr>
            </w:pP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34,250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59,011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93,261</w:t>
            </w: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82,446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38,136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120,583</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116,696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97,147</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213,843</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71,565</w:t>
            </w: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710</w:t>
            </w:r>
          </w:p>
        </w:tc>
        <w:tc>
          <w:tcPr>
            <w:tcW w:w="20" w:type="dxa"/>
            <w:vAlign w:val="bottom"/>
          </w:tcPr>
          <w:p>
            <w:pPr>
              <w:spacing w:after="0"/>
              <w:rPr>
                <w:sz w:val="15"/>
                <w:szCs w:val="15"/>
                <w:color w:val="auto"/>
              </w:rPr>
            </w:pP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172,769</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165,569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338,338</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5,283</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5,283</w:t>
            </w:r>
          </w:p>
        </w:tc>
        <w:tc>
          <w:tcPr>
            <w:tcW w:w="20" w:type="dxa"/>
            <w:vAlign w:val="bottom"/>
          </w:tcPr>
          <w:p>
            <w:pPr>
              <w:spacing w:after="0"/>
              <w:rPr>
                <w:sz w:val="15"/>
                <w:szCs w:val="15"/>
                <w:color w:val="auto"/>
              </w:rPr>
            </w:pP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7,896</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2,422</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5,474</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7,896</w:t>
            </w:r>
          </w:p>
        </w:tc>
        <w:tc>
          <w:tcPr>
            <w:tcW w:w="20" w:type="dxa"/>
            <w:vAlign w:val="bottom"/>
          </w:tcPr>
          <w:p>
            <w:pPr>
              <w:spacing w:after="0"/>
              <w:rPr>
                <w:sz w:val="15"/>
                <w:szCs w:val="15"/>
                <w:color w:val="auto"/>
              </w:rPr>
            </w:pPr>
          </w:p>
        </w:tc>
      </w:tr>
      <w:tr>
        <w:trPr>
          <w:trHeight w:val="174"/>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175,191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176,326</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351,517</w:t>
            </w:r>
          </w:p>
        </w:tc>
        <w:tc>
          <w:tcPr>
            <w:tcW w:w="20" w:type="dxa"/>
            <w:vAlign w:val="bottom"/>
          </w:tcPr>
          <w:p>
            <w:pPr>
              <w:spacing w:after="0"/>
              <w:rPr>
                <w:sz w:val="15"/>
                <w:szCs w:val="15"/>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23,450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(4,914)</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(16,658)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w:t>
            </w:r>
          </w:p>
        </w:tc>
        <w:tc>
          <w:tcPr>
            <w:tcW w:w="20" w:type="dxa"/>
            <w:vAlign w:val="bottom"/>
          </w:tcPr>
          <w:p>
            <w:pPr>
              <w:spacing w:after="0"/>
              <w:rPr>
                <w:sz w:val="15"/>
                <w:szCs w:val="15"/>
                <w:color w:val="auto"/>
              </w:rPr>
            </w:pPr>
          </w:p>
        </w:tc>
      </w:tr>
      <w:tr>
        <w:trPr>
          <w:trHeight w:val="910"/>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57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1"/>
        </w:trPr>
        <w:tc>
          <w:tcPr>
            <w:tcW w:w="3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57" w:name="page58"/>
    <w:bookmarkEnd w:id="5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4445</wp:posOffset>
            </wp:positionV>
            <wp:extent cx="567118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1185" cy="6985"/>
                    </a:xfrm>
                    <a:prstGeom prst="rect">
                      <a:avLst/>
                    </a:prstGeom>
                    <a:noFill/>
                  </pic:spPr>
                </pic:pic>
              </a:graphicData>
            </a:graphic>
          </wp:anchor>
        </w:drawing>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International</w:t>
            </w:r>
          </w:p>
        </w:tc>
        <w:tc>
          <w:tcPr>
            <w:tcW w:w="200" w:type="dxa"/>
            <w:vAlign w:val="bottom"/>
          </w:tcPr>
          <w:p>
            <w:pPr>
              <w:spacing w:after="0"/>
              <w:rPr>
                <w:sz w:val="13"/>
                <w:szCs w:val="13"/>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US</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Renewable</w:t>
            </w:r>
          </w:p>
        </w:tc>
        <w:tc>
          <w:tcPr>
            <w:tcW w:w="10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Corporate and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Telecom</w:t>
            </w:r>
          </w:p>
        </w:tc>
        <w:tc>
          <w:tcPr>
            <w:tcW w:w="20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Telecom</w:t>
            </w:r>
          </w:p>
        </w:tc>
        <w:tc>
          <w:tcPr>
            <w:tcW w:w="12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Other (1)</w:t>
            </w:r>
          </w:p>
        </w:tc>
        <w:tc>
          <w:tcPr>
            <w:tcW w:w="100" w:type="dxa"/>
            <w:vAlign w:val="bottom"/>
          </w:tcPr>
          <w:p>
            <w:pPr>
              <w:spacing w:after="0"/>
              <w:rPr>
                <w:sz w:val="13"/>
                <w:szCs w:val="13"/>
                <w:color w:val="auto"/>
              </w:rPr>
            </w:pPr>
          </w:p>
        </w:tc>
        <w:tc>
          <w:tcPr>
            <w:tcW w:w="780" w:type="dxa"/>
            <w:vAlign w:val="bottom"/>
          </w:tcPr>
          <w:p>
            <w:pPr>
              <w:jc w:val="right"/>
              <w:ind w:right="25"/>
              <w:spacing w:after="0"/>
              <w:rPr>
                <w:sz w:val="20"/>
                <w:szCs w:val="20"/>
                <w:color w:val="auto"/>
              </w:rPr>
            </w:pPr>
            <w:r>
              <w:rPr>
                <w:rFonts w:ascii="Arial" w:cs="Arial" w:eastAsia="Arial" w:hAnsi="Arial"/>
                <w:sz w:val="12"/>
                <w:szCs w:val="12"/>
                <w:b w:val="1"/>
                <w:bCs w:val="1"/>
                <w:color w:val="auto"/>
                <w:w w:val="86"/>
              </w:rPr>
              <w:t>Consolidated</w:t>
            </w:r>
          </w:p>
        </w:tc>
      </w:tr>
      <w:tr>
        <w:trPr>
          <w:trHeight w:val="174"/>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82"/>
        </w:trPr>
        <w:tc>
          <w:tcPr>
            <w:tcW w:w="3060" w:type="dxa"/>
            <w:vAlign w:val="bottom"/>
          </w:tcPr>
          <w:p>
            <w:pPr>
              <w:spacing w:after="0"/>
              <w:rPr>
                <w:sz w:val="20"/>
                <w:szCs w:val="20"/>
                <w:color w:val="auto"/>
              </w:rPr>
            </w:pPr>
            <w:r>
              <w:rPr>
                <w:rFonts w:ascii="Arial" w:cs="Arial" w:eastAsia="Arial" w:hAnsi="Arial"/>
                <w:sz w:val="15"/>
                <w:szCs w:val="15"/>
                <w:color w:val="auto"/>
              </w:rPr>
              <w:t>Communication Services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2"/>
        </w:trPr>
        <w:tc>
          <w:tcPr>
            <w:tcW w:w="3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Mobility - Business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3,413</w:t>
            </w:r>
          </w:p>
        </w:tc>
      </w:tr>
      <w:tr>
        <w:trPr>
          <w:trHeight w:val="182"/>
        </w:trPr>
        <w:tc>
          <w:tcPr>
            <w:tcW w:w="3060" w:type="dxa"/>
            <w:vAlign w:val="bottom"/>
          </w:tcPr>
          <w:p>
            <w:pPr>
              <w:ind w:left="140"/>
              <w:spacing w:after="0"/>
              <w:rPr>
                <w:sz w:val="20"/>
                <w:szCs w:val="20"/>
                <w:color w:val="auto"/>
              </w:rPr>
            </w:pPr>
            <w:r>
              <w:rPr>
                <w:rFonts w:ascii="Arial" w:cs="Arial" w:eastAsia="Arial" w:hAnsi="Arial"/>
                <w:sz w:val="15"/>
                <w:szCs w:val="15"/>
                <w:color w:val="auto"/>
              </w:rPr>
              <w:t>Mobility - Consumer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42,080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4,349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46,429</w:t>
            </w:r>
          </w:p>
        </w:tc>
      </w:tr>
      <w:tr>
        <w:trPr>
          <w:trHeight w:val="174"/>
        </w:trPr>
        <w:tc>
          <w:tcPr>
            <w:tcW w:w="30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Total Mobility</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44,575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5,267</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49,842</w:t>
            </w:r>
          </w:p>
        </w:tc>
      </w:tr>
      <w:tr>
        <w:trPr>
          <w:trHeight w:val="174"/>
        </w:trPr>
        <w:tc>
          <w:tcPr>
            <w:tcW w:w="3060" w:type="dxa"/>
            <w:vAlign w:val="bottom"/>
          </w:tcPr>
          <w:p>
            <w:pPr>
              <w:ind w:left="180"/>
              <w:spacing w:after="0"/>
              <w:rPr>
                <w:sz w:val="20"/>
                <w:szCs w:val="20"/>
                <w:color w:val="auto"/>
              </w:rPr>
            </w:pPr>
            <w:r>
              <w:rPr>
                <w:rFonts w:ascii="Arial" w:cs="Arial" w:eastAsia="Arial" w:hAnsi="Arial"/>
                <w:sz w:val="15"/>
                <w:szCs w:val="15"/>
                <w:color w:val="auto"/>
              </w:rPr>
              <w:t>Fixed - Business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33,488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4,728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38,216</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Fixed - Consumer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84,385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91,905</w:t>
            </w:r>
          </w:p>
        </w:tc>
      </w:tr>
      <w:tr>
        <w:trPr>
          <w:trHeight w:val="174"/>
        </w:trPr>
        <w:tc>
          <w:tcPr>
            <w:tcW w:w="306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Fixed</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117,873</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12,248</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130,121</w:t>
            </w:r>
          </w:p>
        </w:tc>
      </w:tr>
      <w:tr>
        <w:trPr>
          <w:trHeight w:val="174"/>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Carrier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43,180</w:t>
            </w: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456</w:t>
            </w:r>
          </w:p>
        </w:tc>
      </w:tr>
      <w:tr>
        <w:trPr>
          <w:trHeight w:val="174"/>
        </w:trPr>
        <w:tc>
          <w:tcPr>
            <w:tcW w:w="3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167,310</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56,289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223,599</w:t>
            </w:r>
          </w:p>
        </w:tc>
      </w:tr>
      <w:tr>
        <w:trPr>
          <w:trHeight w:val="174"/>
        </w:trPr>
        <w:tc>
          <w:tcPr>
            <w:tcW w:w="30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Construction</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21,632</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21,632</w:t>
            </w:r>
          </w:p>
        </w:tc>
      </w:tr>
      <w:tr>
        <w:trPr>
          <w:trHeight w:val="174"/>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2"/>
        </w:trPr>
        <w:tc>
          <w:tcPr>
            <w:tcW w:w="3060" w:type="dxa"/>
            <w:vAlign w:val="bottom"/>
          </w:tcPr>
          <w:p>
            <w:pPr>
              <w:ind w:left="180"/>
              <w:spacing w:after="0"/>
              <w:rPr>
                <w:sz w:val="20"/>
                <w:szCs w:val="20"/>
                <w:color w:val="auto"/>
              </w:rPr>
            </w:pPr>
            <w:r>
              <w:rPr>
                <w:rFonts w:ascii="Arial" w:cs="Arial" w:eastAsia="Arial" w:hAnsi="Arial"/>
                <w:sz w:val="15"/>
                <w:szCs w:val="15"/>
                <w:color w:val="auto"/>
              </w:rPr>
              <w:t>Renewable Energy</w:t>
            </w:r>
          </w:p>
        </w:tc>
        <w:tc>
          <w:tcPr>
            <w:tcW w:w="18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418</w:t>
            </w:r>
          </w:p>
        </w:tc>
      </w:tr>
      <w:tr>
        <w:trPr>
          <w:trHeight w:val="182"/>
        </w:trPr>
        <w:tc>
          <w:tcPr>
            <w:tcW w:w="3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Managed Services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w:t>
            </w:r>
          </w:p>
        </w:tc>
      </w:tr>
      <w:tr>
        <w:trPr>
          <w:trHeight w:val="174"/>
        </w:trPr>
        <w:tc>
          <w:tcPr>
            <w:tcW w:w="30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Total Other Revenue</w:t>
            </w: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2,726</w:t>
            </w:r>
          </w:p>
        </w:tc>
        <w:tc>
          <w:tcPr>
            <w:tcW w:w="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418</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3,144</w:t>
            </w:r>
          </w:p>
        </w:tc>
      </w:tr>
      <w:tr>
        <w:trPr>
          <w:trHeight w:val="174"/>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170,036</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77,921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248,375</w:t>
            </w: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27,786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(1,090)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(1,433)</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(19,009)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6,254</w:t>
            </w:r>
          </w:p>
        </w:tc>
      </w:tr>
    </w:tbl>
    <w:p>
      <w:pPr>
        <w:spacing w:after="0" w:line="17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  Reconciling items refer to corporate overhead costs and consolidating adjustments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 comparison of our segment results for the six months ended June 30, 2022, and 2021 is as follows: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 xml:space="preserve">International Telecom. </w:t>
      </w:r>
      <w:r>
        <w:rPr>
          <w:rFonts w:ascii="Arial" w:cs="Arial" w:eastAsia="Arial" w:hAnsi="Arial"/>
          <w:sz w:val="14"/>
          <w:szCs w:val="14"/>
          <w:color w:val="auto"/>
        </w:rPr>
        <w:t>Revenues within our International Telecom segment increased $5.2 million, or 3.1%, to $175.2 million from</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$170.0 million for the six months ended June 30, 2022 and 2021, respectively, as a result of an increase in Fixed and Mobility subscribers within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our international markets. In addition, our US Virgin Islands and Bermuda markets recognized an increase in Carrier Services revenue as a result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of increased tourism as certain COVID-19 related travel and stay-at-home restrictions were lifted. These increases, however, were partially offset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by a $2.7 million reduction in federal support revenues in the US Virgin Islands.</w:t>
      </w:r>
    </w:p>
    <w:p>
      <w:pPr>
        <w:spacing w:after="0" w:line="183" w:lineRule="exact"/>
        <w:rPr>
          <w:sz w:val="20"/>
          <w:szCs w:val="20"/>
          <w:color w:val="auto"/>
        </w:rPr>
      </w:pPr>
    </w:p>
    <w:p>
      <w:pPr>
        <w:ind w:left="40" w:right="139" w:firstLine="547"/>
        <w:spacing w:after="0" w:line="262" w:lineRule="auto"/>
        <w:rPr>
          <w:sz w:val="20"/>
          <w:szCs w:val="20"/>
          <w:color w:val="auto"/>
        </w:rPr>
      </w:pPr>
      <w:r>
        <w:rPr>
          <w:rFonts w:ascii="Arial" w:cs="Arial" w:eastAsia="Arial" w:hAnsi="Arial"/>
          <w:sz w:val="15"/>
          <w:szCs w:val="15"/>
          <w:color w:val="auto"/>
        </w:rPr>
        <w:t>Operating expenses within our International Telecom segment increased by $9.5 million, or 6.7%, to $151.7 million from $142.2 million for the six months ended June 30, 2022 and 2021, respectively. The increase was primarily the result of an increase in direct costs, primarily roaming expenses due to increased tourism in the US Virgin Islands and Bermuda, equipment expenses due to increased handset sales and an increase in sales and marketing expenses to support the expansion of our subscriber base.</w:t>
      </w:r>
    </w:p>
    <w:p>
      <w:pPr>
        <w:spacing w:after="0" w:line="158" w:lineRule="exact"/>
        <w:rPr>
          <w:sz w:val="20"/>
          <w:szCs w:val="20"/>
          <w:color w:val="auto"/>
        </w:rPr>
      </w:pPr>
    </w:p>
    <w:p>
      <w:pPr>
        <w:ind w:left="40" w:right="99" w:firstLine="547"/>
        <w:spacing w:after="0" w:line="279" w:lineRule="auto"/>
        <w:rPr>
          <w:sz w:val="20"/>
          <w:szCs w:val="20"/>
          <w:color w:val="auto"/>
        </w:rPr>
      </w:pPr>
      <w:r>
        <w:rPr>
          <w:rFonts w:ascii="Arial" w:cs="Arial" w:eastAsia="Arial" w:hAnsi="Arial"/>
          <w:sz w:val="15"/>
          <w:szCs w:val="15"/>
          <w:color w:val="auto"/>
        </w:rPr>
        <w:t>As a result, our International Telecom segment’s operating income decreased $4.3 million, or 15.5%, to $23.5 million from $27.8 million for the six months ended June 30, 2022 and 2021, respectively.</w:t>
      </w:r>
    </w:p>
    <w:p>
      <w:pPr>
        <w:spacing w:after="0" w:line="146" w:lineRule="exact"/>
        <w:rPr>
          <w:sz w:val="20"/>
          <w:szCs w:val="20"/>
          <w:color w:val="auto"/>
        </w:rPr>
      </w:pPr>
    </w:p>
    <w:p>
      <w:pPr>
        <w:ind w:left="40" w:right="79" w:firstLine="547"/>
        <w:spacing w:after="0" w:line="262" w:lineRule="auto"/>
        <w:rPr>
          <w:sz w:val="20"/>
          <w:szCs w:val="20"/>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Revenue within our US Telecom segment increased by $98.4 million, or 126.3%, to $176.3 million from $77.9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six months ended June 30, 2022 and 2021, respectively, primarily as a result of $120.9 million associated with the Alaska Transaction partially offset by a $16.3 million reduction in construction revenue related to the FirstNet Transaction as well as a reduction in roaming revenue due to the restructuring of certain carrier contracts in our western United States operations.</w:t>
      </w:r>
    </w:p>
    <w:p>
      <w:pPr>
        <w:spacing w:after="0" w:line="158" w:lineRule="exact"/>
        <w:rPr>
          <w:sz w:val="20"/>
          <w:szCs w:val="20"/>
          <w:color w:val="auto"/>
        </w:rPr>
      </w:pPr>
    </w:p>
    <w:p>
      <w:pPr>
        <w:jc w:val="both"/>
        <w:ind w:left="40" w:right="279" w:firstLine="547"/>
        <w:spacing w:after="0" w:line="266" w:lineRule="auto"/>
        <w:rPr>
          <w:sz w:val="20"/>
          <w:szCs w:val="20"/>
          <w:color w:val="auto"/>
        </w:rPr>
      </w:pPr>
      <w:r>
        <w:rPr>
          <w:rFonts w:ascii="Arial" w:cs="Arial" w:eastAsia="Arial" w:hAnsi="Arial"/>
          <w:sz w:val="15"/>
          <w:szCs w:val="15"/>
          <w:color w:val="auto"/>
        </w:rPr>
        <w:t>Operating expenses within our US Telecom segment increased $102.2 million to $181.2 million from $79.0 million for the six months ended June 30, 2022 and 2021, respectively, as a result of the Alaska Transaction and increases in other expenses being incurred in connection with both the FirstNet Transaction and the CARES Act-funded</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8" w:name="page59"/>
    <w:bookmarkEnd w:id="5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319"/>
        <w:spacing w:after="0" w:line="266" w:lineRule="auto"/>
        <w:rPr>
          <w:sz w:val="20"/>
          <w:szCs w:val="20"/>
          <w:color w:val="auto"/>
        </w:rPr>
      </w:pPr>
      <w:r>
        <w:rPr>
          <w:rFonts w:ascii="Arial" w:cs="Arial" w:eastAsia="Arial" w:hAnsi="Arial"/>
          <w:sz w:val="15"/>
          <w:szCs w:val="15"/>
          <w:color w:val="auto"/>
        </w:rPr>
        <w:t>build-out of rural broadband operations, partially offset be a decrease in FirstNet construction costs of $16.8 million. In addition, certain costs were incurred during the six months ended June 30, 2022 that were not incurred during the six months ended June 30, 2021 as a result of the impact of COVID-19 restrictions.</w:t>
      </w:r>
    </w:p>
    <w:p>
      <w:pPr>
        <w:spacing w:after="0" w:line="156" w:lineRule="exact"/>
        <w:rPr>
          <w:sz w:val="20"/>
          <w:szCs w:val="20"/>
          <w:color w:val="auto"/>
        </w:rPr>
      </w:pPr>
    </w:p>
    <w:p>
      <w:pPr>
        <w:ind w:left="40" w:right="159" w:firstLine="547"/>
        <w:spacing w:after="0" w:line="279" w:lineRule="auto"/>
        <w:rPr>
          <w:sz w:val="20"/>
          <w:szCs w:val="20"/>
          <w:color w:val="auto"/>
        </w:rPr>
      </w:pPr>
      <w:r>
        <w:rPr>
          <w:rFonts w:ascii="Arial" w:cs="Arial" w:eastAsia="Arial" w:hAnsi="Arial"/>
          <w:sz w:val="15"/>
          <w:szCs w:val="15"/>
          <w:color w:val="auto"/>
        </w:rPr>
        <w:t>As a result of the above, our US Telecom segment’s operating loss increased by $3.8 million to a loss of $4.9 million from a loss of $1.1 million for the six months ended June 30, 2022 and 2021, respectively.</w:t>
      </w:r>
    </w:p>
    <w:p>
      <w:pPr>
        <w:spacing w:after="0" w:line="146" w:lineRule="exact"/>
        <w:rPr>
          <w:sz w:val="20"/>
          <w:szCs w:val="20"/>
          <w:color w:val="auto"/>
        </w:rPr>
      </w:pPr>
    </w:p>
    <w:p>
      <w:pPr>
        <w:ind w:left="40" w:right="79" w:firstLine="547"/>
        <w:spacing w:after="0" w:line="286" w:lineRule="auto"/>
        <w:rPr>
          <w:sz w:val="20"/>
          <w:szCs w:val="20"/>
          <w:color w:val="auto"/>
        </w:rPr>
      </w:pPr>
      <w:r>
        <w:rPr>
          <w:rFonts w:ascii="Arial" w:cs="Arial" w:eastAsia="Arial" w:hAnsi="Arial"/>
          <w:sz w:val="14"/>
          <w:szCs w:val="14"/>
          <w:i w:val="1"/>
          <w:iCs w:val="1"/>
          <w:color w:val="auto"/>
        </w:rPr>
        <w:t xml:space="preserve">Renewable Energy. </w:t>
      </w:r>
      <w:r>
        <w:rPr>
          <w:rFonts w:ascii="Arial" w:cs="Arial" w:eastAsia="Arial" w:hAnsi="Arial"/>
          <w:sz w:val="14"/>
          <w:szCs w:val="14"/>
          <w:color w:val="auto"/>
        </w:rPr>
        <w:t>Until the completion of the Vibrant Transaction on January 27, 2021, we distributed generation solar power to</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and industrial customers under the Vibrant name in India. Accordingly, we did not generate revenue or incur operating expenses within our Renewable Energy segment subsequent to that date. For the six months ended June 30, 2021, we generated revenue, incurred operating expenses and reported an operating loss of $0.4 million, $1.1 million and $0.7 million, respectively.</w:t>
      </w:r>
    </w:p>
    <w:p>
      <w:pPr>
        <w:spacing w:after="0" w:line="144" w:lineRule="exact"/>
        <w:rPr>
          <w:sz w:val="20"/>
          <w:szCs w:val="20"/>
          <w:color w:val="auto"/>
        </w:rPr>
      </w:pPr>
    </w:p>
    <w:p>
      <w:pPr>
        <w:ind w:left="40" w:right="99" w:firstLine="547"/>
        <w:spacing w:after="0" w:line="279" w:lineRule="auto"/>
        <w:rPr>
          <w:sz w:val="20"/>
          <w:szCs w:val="20"/>
          <w:color w:val="auto"/>
        </w:rPr>
      </w:pPr>
      <w:r>
        <w:rPr>
          <w:rFonts w:ascii="Arial" w:cs="Arial" w:eastAsia="Arial" w:hAnsi="Arial"/>
          <w:sz w:val="15"/>
          <w:szCs w:val="15"/>
          <w:color w:val="auto"/>
        </w:rPr>
        <w:t>The following represents a year over year discussion and analysis of our results of operations for the six months ended June 30, 2022 and 2021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center"/>
              <w:ind w:right="260"/>
              <w:spacing w:after="0"/>
              <w:rPr>
                <w:sz w:val="20"/>
                <w:szCs w:val="20"/>
                <w:color w:val="auto"/>
              </w:rPr>
            </w:pPr>
            <w:r>
              <w:rPr>
                <w:rFonts w:ascii="Arial" w:cs="Arial" w:eastAsia="Arial" w:hAnsi="Arial"/>
                <w:sz w:val="12"/>
                <w:szCs w:val="12"/>
                <w:b w:val="1"/>
                <w:bCs w:val="1"/>
                <w:color w:val="auto"/>
                <w:w w:val="92"/>
              </w:rPr>
              <w:t>Six Months Ended</w:t>
            </w: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Amount of</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Percent</w:t>
            </w: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left="426"/>
              <w:spacing w:after="0"/>
              <w:rPr>
                <w:sz w:val="20"/>
                <w:szCs w:val="20"/>
                <w:color w:val="auto"/>
              </w:rPr>
            </w:pPr>
            <w:r>
              <w:rPr>
                <w:rFonts w:ascii="Arial" w:cs="Arial" w:eastAsia="Arial" w:hAnsi="Arial"/>
                <w:sz w:val="12"/>
                <w:szCs w:val="12"/>
                <w:b w:val="1"/>
                <w:bCs w:val="1"/>
                <w:color w:val="auto"/>
                <w:w w:val="91"/>
              </w:rPr>
              <w:t>June 30,</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Increase</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Increase</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06"/>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(Decrease)</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(Decrease)</w:t>
            </w:r>
          </w:p>
        </w:tc>
        <w:tc>
          <w:tcPr>
            <w:tcW w:w="0" w:type="dxa"/>
            <w:vAlign w:val="bottom"/>
          </w:tcPr>
          <w:p>
            <w:pPr>
              <w:spacing w:after="0"/>
              <w:rPr>
                <w:sz w:val="1"/>
                <w:szCs w:val="1"/>
                <w:color w:val="auto"/>
              </w:rPr>
            </w:pPr>
          </w:p>
        </w:tc>
      </w:tr>
      <w:tr>
        <w:trPr>
          <w:trHeight w:val="151"/>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Communication 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338,338</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223,599</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114,739</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Construction</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21,632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(16,349)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(75.6)</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4,752</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151.1</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revenue</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351,517</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248,375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103,142</w:t>
            </w: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line="152" w:lineRule="exact"/>
              <w:rPr>
                <w:sz w:val="20"/>
                <w:szCs w:val="20"/>
                <w:color w:val="auto"/>
              </w:rPr>
            </w:pPr>
            <w:r>
              <w:rPr>
                <w:rFonts w:ascii="Arial" w:cs="Arial" w:eastAsia="Arial" w:hAnsi="Arial"/>
                <w:sz w:val="15"/>
                <w:szCs w:val="15"/>
                <w:b w:val="1"/>
                <w:bCs w:val="1"/>
                <w:color w:val="auto"/>
              </w:rPr>
              <w:t xml:space="preserve">OPERATING EXPENSES </w:t>
            </w:r>
            <w:r>
              <w:rPr>
                <w:rFonts w:ascii="Arial" w:cs="Arial" w:eastAsia="Arial" w:hAnsi="Arial"/>
                <w:sz w:val="15"/>
                <w:szCs w:val="15"/>
                <w:color w:val="auto"/>
              </w:rPr>
              <w:t>(</w:t>
            </w:r>
            <w:r>
              <w:rPr>
                <w:rFonts w:ascii="Arial" w:cs="Arial" w:eastAsia="Arial" w:hAnsi="Arial"/>
                <w:sz w:val="15"/>
                <w:szCs w:val="15"/>
                <w:i w:val="1"/>
                <w:iCs w:val="1"/>
                <w:color w:val="auto"/>
              </w:rPr>
              <w:t>excluding depreciation and amortization unless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20"/>
                <w:szCs w:val="20"/>
                <w:color w:val="auto"/>
              </w:rPr>
            </w:pPr>
            <w:r>
              <w:rPr>
                <w:rFonts w:ascii="Arial" w:cs="Arial" w:eastAsia="Arial" w:hAnsi="Arial"/>
                <w:sz w:val="15"/>
                <w:szCs w:val="15"/>
                <w:i w:val="1"/>
                <w:iCs w:val="1"/>
                <w:color w:val="auto"/>
              </w:rPr>
              <w:t>otherwise indicated</w:t>
            </w: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communication services and other</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150,871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97,986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52,885</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Cost of construction revenue</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5,319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22,142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(16,823)</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(76.0)</w:t>
            </w: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115,519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78,344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37,175</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Transaction-related charges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966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(1,160)</w:t>
            </w: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39,849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27,260</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Amortization of intangibles from acquisitions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6,508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5,695</w:t>
            </w:r>
          </w:p>
        </w:tc>
        <w:tc>
          <w:tcPr>
            <w:tcW w:w="18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on disposition of long-lived assets</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3,392</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2,531</w:t>
            </w: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Total operating expenses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349,684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242,121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107,563</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Income (loss) from operations</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6,254</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(4,421)</w:t>
            </w: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(92.5)</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(7,593)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(2,285)</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(5,308)</w:t>
            </w:r>
          </w:p>
        </w:tc>
        <w:tc>
          <w:tcPr>
            <w:tcW w:w="680" w:type="dxa"/>
            <w:vAlign w:val="bottom"/>
          </w:tcPr>
          <w:p>
            <w:pPr>
              <w:jc w:val="right"/>
              <w:spacing w:after="0"/>
              <w:rPr>
                <w:sz w:val="20"/>
                <w:szCs w:val="20"/>
                <w:color w:val="auto"/>
              </w:rPr>
            </w:pPr>
            <w:r>
              <w:rPr>
                <w:rFonts w:ascii="Arial" w:cs="Arial" w:eastAsia="Arial" w:hAnsi="Arial"/>
                <w:sz w:val="15"/>
                <w:szCs w:val="15"/>
                <w:color w:val="auto"/>
              </w:rPr>
              <w:t>232.3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(expense)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74"/>
        </w:trPr>
        <w:tc>
          <w:tcPr>
            <w:tcW w:w="5060" w:type="dxa"/>
            <w:vAlign w:val="bottom"/>
            <w:tcBorders>
              <w:bottom w:val="single" w:sz="8" w:color="CCEEFF"/>
            </w:tcBorders>
          </w:tcPr>
          <w:p>
            <w:pPr>
              <w:ind w:left="280"/>
              <w:spacing w:after="0" w:line="172" w:lineRule="exact"/>
              <w:rPr>
                <w:sz w:val="20"/>
                <w:szCs w:val="20"/>
                <w:color w:val="auto"/>
              </w:rPr>
            </w:pPr>
            <w:r>
              <w:rPr>
                <w:rFonts w:ascii="Arial" w:cs="Arial" w:eastAsia="Arial" w:hAnsi="Arial"/>
                <w:sz w:val="15"/>
                <w:szCs w:val="15"/>
                <w:color w:val="auto"/>
              </w:rPr>
              <w:t>Other income (expense), net</w:t>
            </w: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(6,116)</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(6,180)</w:t>
            </w:r>
          </w:p>
        </w:tc>
        <w:tc>
          <w:tcPr>
            <w:tcW w:w="1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(LOSS) BEFORE INCOME TAXES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280"/>
              <w:spacing w:after="0"/>
              <w:rPr>
                <w:sz w:val="20"/>
                <w:szCs w:val="20"/>
                <w:color w:val="auto"/>
              </w:rPr>
            </w:pPr>
            <w:r>
              <w:rPr>
                <w:rFonts w:ascii="Arial" w:cs="Arial" w:eastAsia="Arial" w:hAnsi="Arial"/>
                <w:sz w:val="15"/>
                <w:szCs w:val="15"/>
                <w:color w:val="auto"/>
              </w:rPr>
              <w:t>Income tax provision (benefit)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(1,247)</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229</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74"/>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(3,265)</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7,565</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(10,830)</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(143.2)</w:t>
            </w: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Arial" w:cs="Arial" w:eastAsia="Arial" w:hAnsi="Arial"/>
                <w:sz w:val="15"/>
                <w:szCs w:val="15"/>
                <w:color w:val="auto"/>
              </w:rPr>
              <w:t>Net income attributable to noncontrolling interests, net of tax:</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1,794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(2,842)</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4,636</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(163.1)</w:t>
            </w: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CEEFF"/>
          </w:tcPr>
          <w:p>
            <w:pPr>
              <w:spacing w:after="0" w:line="168" w:lineRule="exact"/>
              <w:rPr>
                <w:sz w:val="20"/>
                <w:szCs w:val="20"/>
                <w:color w:val="auto"/>
              </w:rPr>
            </w:pPr>
            <w:r>
              <w:rPr>
                <w:rFonts w:ascii="Arial" w:cs="Arial" w:eastAsia="Arial" w:hAnsi="Arial"/>
                <w:sz w:val="15"/>
                <w:szCs w:val="15"/>
                <w:b w:val="1"/>
                <w:bCs w:val="1"/>
                <w:color w:val="auto"/>
              </w:rPr>
              <w:t>NET LOSS ATTRIBUTABLE TO ATN INTERNATIONAL, INC.</w:t>
            </w: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60" w:type="dxa"/>
            <w:vAlign w:val="bottom"/>
            <w:vMerge w:val="continue"/>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(1,471)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4,723</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(6,194)</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(131.1)%</w:t>
            </w:r>
          </w:p>
        </w:tc>
        <w:tc>
          <w:tcPr>
            <w:tcW w:w="0" w:type="dxa"/>
            <w:vAlign w:val="bottom"/>
          </w:tcPr>
          <w:p>
            <w:pPr>
              <w:spacing w:after="0"/>
              <w:rPr>
                <w:sz w:val="1"/>
                <w:szCs w:val="1"/>
                <w:color w:val="auto"/>
              </w:rPr>
            </w:pPr>
          </w:p>
        </w:tc>
      </w:tr>
      <w:tr>
        <w:trPr>
          <w:trHeight w:val="185"/>
        </w:trPr>
        <w:tc>
          <w:tcPr>
            <w:tcW w:w="50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w:t>
            </w: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color w:val="auto"/>
        </w:rPr>
        <w:t>n/m = not meaningful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59" w:name="page60"/>
    <w:bookmarkEnd w:id="5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Communications Services Revenue</w:t>
      </w:r>
    </w:p>
    <w:p>
      <w:pPr>
        <w:spacing w:after="0" w:line="188" w:lineRule="exact"/>
        <w:rPr>
          <w:sz w:val="20"/>
          <w:szCs w:val="20"/>
          <w:color w:val="auto"/>
        </w:rPr>
      </w:pPr>
    </w:p>
    <w:p>
      <w:pPr>
        <w:ind w:left="40" w:right="179" w:firstLine="547"/>
        <w:spacing w:after="0" w:line="297" w:lineRule="auto"/>
        <w:rPr>
          <w:sz w:val="20"/>
          <w:szCs w:val="20"/>
          <w:color w:val="auto"/>
        </w:rPr>
      </w:pPr>
      <w:r>
        <w:rPr>
          <w:rFonts w:ascii="Arial" w:cs="Arial" w:eastAsia="Arial" w:hAnsi="Arial"/>
          <w:sz w:val="14"/>
          <w:szCs w:val="14"/>
          <w:b w:val="1"/>
          <w:bCs w:val="1"/>
          <w:color w:val="auto"/>
        </w:rPr>
        <w:t xml:space="preserve">Mobility Revenue. </w:t>
      </w:r>
      <w:r>
        <w:rPr>
          <w:rFonts w:ascii="Arial" w:cs="Arial" w:eastAsia="Arial" w:hAnsi="Arial"/>
          <w:sz w:val="14"/>
          <w:szCs w:val="14"/>
          <w:color w:val="auto"/>
        </w:rPr>
        <w:t>Mobility revenue increased by $2.4 million, or 4.8%, to $52.2 million for the six months ended June 30, 2022 from</w:t>
      </w:r>
      <w:r>
        <w:rPr>
          <w:rFonts w:ascii="Arial" w:cs="Arial" w:eastAsia="Arial" w:hAnsi="Arial"/>
          <w:sz w:val="14"/>
          <w:szCs w:val="14"/>
          <w:b w:val="1"/>
          <w:bCs w:val="1"/>
          <w:color w:val="auto"/>
        </w:rPr>
        <w:t xml:space="preserve"> </w:t>
      </w:r>
      <w:r>
        <w:rPr>
          <w:rFonts w:ascii="Arial" w:cs="Arial" w:eastAsia="Arial" w:hAnsi="Arial"/>
          <w:sz w:val="14"/>
          <w:szCs w:val="14"/>
          <w:color w:val="auto"/>
        </w:rPr>
        <w:t>$49.8 million for the six months ended June 30, 2021. Of this increase, $4.6 million related to an increase in revenue from business customers while revenue from consumers declined by $2.2 million. The increase in Mobility revenue, within our segments, consisted of the following:</w:t>
      </w:r>
    </w:p>
    <w:p>
      <w:pPr>
        <w:spacing w:after="0" w:line="135" w:lineRule="exact"/>
        <w:rPr>
          <w:sz w:val="20"/>
          <w:szCs w:val="20"/>
          <w:color w:val="auto"/>
        </w:rPr>
      </w:pPr>
    </w:p>
    <w:p>
      <w:pPr>
        <w:ind w:left="600" w:right="79" w:hanging="267"/>
        <w:spacing w:after="0" w:line="260" w:lineRule="auto"/>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Mobility revenue increased by $3.9 million, or 8.7%, to $48.5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six months ended June 30, 2022 from $44.6 million for the six months ended June 30, 2021. Mobility revenue increased in each of our markets as total revenue from business customers increased by $4.8 million which was partially offset by a decline of $0.8 million in revenue from consumers. The increases were the result of improved retail and marketing strategies which lead to an increase in subscribers and equipment sales in certain markets.</w:t>
      </w:r>
    </w:p>
    <w:p>
      <w:pPr>
        <w:spacing w:after="0" w:line="159" w:lineRule="exact"/>
        <w:rPr>
          <w:rFonts w:ascii="Arial" w:cs="Arial" w:eastAsia="Arial" w:hAnsi="Arial"/>
          <w:sz w:val="15"/>
          <w:szCs w:val="15"/>
          <w:color w:val="auto"/>
        </w:rPr>
      </w:pPr>
    </w:p>
    <w:p>
      <w:pPr>
        <w:ind w:left="600" w:right="199" w:hanging="267"/>
        <w:spacing w:after="0" w:line="262" w:lineRule="auto"/>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Mobility revenue within our US Telecom segment decreased by $1.6 million, or 30.2%, to $3.7 million from $5.3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six months ended June 30, 2022 and 2021, respectively. Of this decrease, $1.3 million related to a decrease in revenue from consumers within our retail operations due to a decrease in subscribers while the remaining $0.2 million decrease was the result of a decrease in revenue from our private networks business.</w:t>
      </w:r>
    </w:p>
    <w:p>
      <w:pPr>
        <w:spacing w:after="0" w:line="154" w:lineRule="exact"/>
        <w:rPr>
          <w:sz w:val="20"/>
          <w:szCs w:val="20"/>
          <w:color w:val="auto"/>
        </w:rPr>
      </w:pPr>
    </w:p>
    <w:p>
      <w:pPr>
        <w:ind w:left="40" w:right="159" w:firstLine="547"/>
        <w:spacing w:after="0" w:line="269" w:lineRule="auto"/>
        <w:rPr>
          <w:sz w:val="20"/>
          <w:szCs w:val="20"/>
          <w:color w:val="auto"/>
        </w:rPr>
      </w:pPr>
      <w:r>
        <w:rPr>
          <w:rFonts w:ascii="Arial" w:cs="Arial" w:eastAsia="Arial" w:hAnsi="Arial"/>
          <w:sz w:val="15"/>
          <w:szCs w:val="15"/>
          <w:b w:val="1"/>
          <w:bCs w:val="1"/>
          <w:color w:val="auto"/>
        </w:rPr>
        <w:t xml:space="preserve">Fixed Revenue. </w:t>
      </w:r>
      <w:r>
        <w:rPr>
          <w:rFonts w:ascii="Arial" w:cs="Arial" w:eastAsia="Arial" w:hAnsi="Arial"/>
          <w:sz w:val="15"/>
          <w:szCs w:val="15"/>
          <w:color w:val="auto"/>
        </w:rPr>
        <w:t>Fixed revenue increased by $83.7 million, or 64.3%, to $213.8 million from $130.1 million for the six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June 30, 2022 and 2021, respectively. Of this increase, $55.0 million and $28.7 million relate to revenue from business and consumer customers, respectively. The increase in Fixed revenue, within our segments, consisted of the following:</w:t>
      </w:r>
    </w:p>
    <w:p>
      <w:pPr>
        <w:spacing w:after="0" w:line="153" w:lineRule="exact"/>
        <w:rPr>
          <w:sz w:val="20"/>
          <w:szCs w:val="20"/>
          <w:color w:val="auto"/>
        </w:rPr>
      </w:pPr>
    </w:p>
    <w:p>
      <w:pPr>
        <w:jc w:val="both"/>
        <w:ind w:left="600" w:right="159" w:hanging="267"/>
        <w:spacing w:after="0" w:line="314" w:lineRule="auto"/>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International Telecom</w:t>
      </w:r>
      <w:r>
        <w:rPr>
          <w:rFonts w:ascii="Arial" w:cs="Arial" w:eastAsia="Arial" w:hAnsi="Arial"/>
          <w:sz w:val="13"/>
          <w:szCs w:val="13"/>
          <w:color w:val="auto"/>
        </w:rPr>
        <w:t>. Within our International Telecom segment, Fixed revenue decreased by $1.2 million, or 1.0%, to $116.7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from $117.9 million for the six months ended June 30, 2022 and 2021, respectively, primarily as a result of the previously disclosed and scheduled $2.7 million reduction in revenue from the FCC’s High Cost Program. Partially offsetting these decreases was an increase in revenue from fixed broadband fiber subscribers and services to further enable and support remote working in our markets.</w:t>
      </w:r>
    </w:p>
    <w:p>
      <w:pPr>
        <w:spacing w:after="0" w:line="128" w:lineRule="exact"/>
        <w:rPr>
          <w:rFonts w:ascii="Arial" w:cs="Arial" w:eastAsia="Arial" w:hAnsi="Arial"/>
          <w:sz w:val="13"/>
          <w:szCs w:val="13"/>
          <w:color w:val="auto"/>
        </w:rPr>
      </w:pPr>
    </w:p>
    <w:p>
      <w:pPr>
        <w:jc w:val="both"/>
        <w:ind w:left="600" w:right="139" w:hanging="267"/>
        <w:spacing w:after="0" w:line="286"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US Telecom</w:t>
      </w:r>
      <w:r>
        <w:rPr>
          <w:rFonts w:ascii="Arial" w:cs="Arial" w:eastAsia="Arial" w:hAnsi="Arial"/>
          <w:sz w:val="14"/>
          <w:szCs w:val="14"/>
          <w:color w:val="auto"/>
        </w:rPr>
        <w:t>. Fixed revenue within our US Telecom segment increased by $84.9 million, to $97.1 million from $12.2 million for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and 2021, respectively. This increase was related to the Alaska Transaction, which generated $83.5 million of Fixed revenue during the six months ended June 30, 2022, and a $1.4 million increase, within the western United States, related to an increase in usage for both business and consumer subscribers to support increased remote working.</w:t>
      </w:r>
    </w:p>
    <w:p>
      <w:pPr>
        <w:spacing w:after="0" w:line="140" w:lineRule="exact"/>
        <w:rPr>
          <w:sz w:val="20"/>
          <w:szCs w:val="20"/>
          <w:color w:val="auto"/>
        </w:rPr>
      </w:pPr>
    </w:p>
    <w:p>
      <w:pPr>
        <w:ind w:left="40" w:right="199" w:firstLine="547"/>
        <w:spacing w:after="0" w:line="322" w:lineRule="auto"/>
        <w:rPr>
          <w:sz w:val="20"/>
          <w:szCs w:val="20"/>
          <w:color w:val="auto"/>
        </w:rPr>
      </w:pPr>
      <w:r>
        <w:rPr>
          <w:rFonts w:ascii="Arial" w:cs="Arial" w:eastAsia="Arial" w:hAnsi="Arial"/>
          <w:sz w:val="14"/>
          <w:szCs w:val="14"/>
          <w:b w:val="1"/>
          <w:bCs w:val="1"/>
          <w:color w:val="auto"/>
        </w:rPr>
        <w:t xml:space="preserve">Carrier Services Revenue. </w:t>
      </w:r>
      <w:r>
        <w:rPr>
          <w:rFonts w:ascii="Arial" w:cs="Arial" w:eastAsia="Arial" w:hAnsi="Arial"/>
          <w:sz w:val="14"/>
          <w:szCs w:val="14"/>
          <w:color w:val="auto"/>
        </w:rPr>
        <w:t>Carrier Services revenue increased by $28.4 million, or 65.7%, to $71.6 million from $43.2 million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six months ended June 30, 2022 and 2021, respectively. The increase, within our segments, consisted of the following:</w:t>
      </w:r>
    </w:p>
    <w:p>
      <w:pPr>
        <w:spacing w:after="0" w:line="119" w:lineRule="exact"/>
        <w:rPr>
          <w:sz w:val="20"/>
          <w:szCs w:val="20"/>
          <w:color w:val="auto"/>
        </w:rPr>
      </w:pPr>
    </w:p>
    <w:p>
      <w:pPr>
        <w:jc w:val="both"/>
        <w:ind w:left="600" w:right="99" w:hanging="267"/>
        <w:spacing w:after="0" w:line="266" w:lineRule="auto"/>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Carrier Services revenue increased by $2.4 million, or 54.5%, to $6.8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from $4.4 million for the six months ended June 30, 2022 and 2021, respectively, as a result of an increase in tourism, primarily within the US Virgin Islands and Bermuda, that resulted in increased roaming revenues.</w:t>
      </w:r>
    </w:p>
    <w:p>
      <w:pPr>
        <w:spacing w:after="0" w:line="155" w:lineRule="exact"/>
        <w:rPr>
          <w:rFonts w:ascii="Arial" w:cs="Arial" w:eastAsia="Arial" w:hAnsi="Arial"/>
          <w:sz w:val="15"/>
          <w:szCs w:val="15"/>
          <w:color w:val="auto"/>
        </w:rPr>
      </w:pPr>
    </w:p>
    <w:p>
      <w:pPr>
        <w:ind w:left="600" w:right="139" w:hanging="267"/>
        <w:spacing w:after="0" w:line="260" w:lineRule="auto"/>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Carrier Services revenue within our US Telecom segment increased by $25.9 million, or 66.8%, to $64.7 million from</w:t>
      </w:r>
      <w:r>
        <w:rPr>
          <w:rFonts w:ascii="Arial" w:cs="Arial" w:eastAsia="Arial" w:hAnsi="Arial"/>
          <w:sz w:val="15"/>
          <w:szCs w:val="15"/>
          <w:i w:val="1"/>
          <w:iCs w:val="1"/>
          <w:color w:val="auto"/>
        </w:rPr>
        <w:t xml:space="preserve"> </w:t>
      </w:r>
      <w:r>
        <w:rPr>
          <w:rFonts w:ascii="Arial" w:cs="Arial" w:eastAsia="Arial" w:hAnsi="Arial"/>
          <w:sz w:val="15"/>
          <w:szCs w:val="15"/>
          <w:color w:val="auto"/>
        </w:rPr>
        <w:t>$38.8 million, for the six months ended June 30, 2022 and 2021, respectively, primarily as a result of the Alaska Transaction, which generated $31.9 million of Carrier Services revenue during the six months ended June 30, 2022 and a $0.9 million increase in revenue from our wholesale long-distance business. These increases were partially offset by the revenue reductions in our western United States operations as a result of the restructure of certain carrier contracts.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0" w:name="page61"/>
    <w:bookmarkEnd w:id="6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right="259" w:firstLine="547"/>
        <w:spacing w:after="0" w:line="285" w:lineRule="auto"/>
        <w:rPr>
          <w:sz w:val="20"/>
          <w:szCs w:val="20"/>
          <w:color w:val="auto"/>
        </w:rPr>
      </w:pPr>
      <w:r>
        <w:rPr>
          <w:rFonts w:ascii="Arial" w:cs="Arial" w:eastAsia="Arial" w:hAnsi="Arial"/>
          <w:sz w:val="15"/>
          <w:szCs w:val="15"/>
          <w:b w:val="1"/>
          <w:bCs w:val="1"/>
          <w:color w:val="auto"/>
        </w:rPr>
        <w:t xml:space="preserve">Other Communications Services Revenue. </w:t>
      </w:r>
      <w:r>
        <w:rPr>
          <w:rFonts w:ascii="Arial" w:cs="Arial" w:eastAsia="Arial" w:hAnsi="Arial"/>
          <w:sz w:val="15"/>
          <w:szCs w:val="15"/>
          <w:color w:val="auto"/>
        </w:rPr>
        <w:t>Other Communications Services revenue increased to $0.7 million from $0.5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six months ended June 30, 2022 and 2021, respectively.</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Construction Revenue</w:t>
      </w:r>
    </w:p>
    <w:p>
      <w:pPr>
        <w:spacing w:after="0" w:line="192" w:lineRule="exact"/>
        <w:rPr>
          <w:sz w:val="20"/>
          <w:szCs w:val="20"/>
          <w:color w:val="auto"/>
        </w:rPr>
      </w:pPr>
    </w:p>
    <w:p>
      <w:pPr>
        <w:ind w:left="40" w:right="59" w:firstLine="547"/>
        <w:spacing w:after="0" w:line="262" w:lineRule="auto"/>
        <w:rPr>
          <w:sz w:val="20"/>
          <w:szCs w:val="20"/>
          <w:color w:val="auto"/>
        </w:rPr>
      </w:pPr>
      <w:r>
        <w:rPr>
          <w:rFonts w:ascii="Arial" w:cs="Arial" w:eastAsia="Arial" w:hAnsi="Arial"/>
          <w:sz w:val="15"/>
          <w:szCs w:val="15"/>
          <w:color w:val="auto"/>
        </w:rPr>
        <w:t>During the six months ended June 30, 2022 and 2021, Construction revenue decreased to $5.3 million from $21.6 million, respectively, as a result of a decrease in the number of sites completed during 2022 as compared to 2021. As of June 30, 2022, 65% of the cell sites related to the FirstNet Agreement were completed and we expect another 20% of the total build to be completed during the second half 2022 with the remainder to be completed in early 2023.</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Other Revenue</w:t>
      </w:r>
    </w:p>
    <w:p>
      <w:pPr>
        <w:spacing w:after="0" w:line="188" w:lineRule="exact"/>
        <w:rPr>
          <w:sz w:val="20"/>
          <w:szCs w:val="20"/>
          <w:color w:val="auto"/>
        </w:rPr>
      </w:pPr>
    </w:p>
    <w:p>
      <w:pPr>
        <w:ind w:left="40" w:right="199" w:firstLine="547"/>
        <w:spacing w:after="0" w:line="322" w:lineRule="auto"/>
        <w:rPr>
          <w:sz w:val="20"/>
          <w:szCs w:val="20"/>
          <w:color w:val="auto"/>
        </w:rPr>
      </w:pPr>
      <w:r>
        <w:rPr>
          <w:rFonts w:ascii="Arial" w:cs="Arial" w:eastAsia="Arial" w:hAnsi="Arial"/>
          <w:sz w:val="14"/>
          <w:szCs w:val="14"/>
          <w:b w:val="1"/>
          <w:bCs w:val="1"/>
          <w:color w:val="auto"/>
        </w:rPr>
        <w:t xml:space="preserve">Renewable Energy Revenue. </w:t>
      </w:r>
      <w:r>
        <w:rPr>
          <w:rFonts w:ascii="Arial" w:cs="Arial" w:eastAsia="Arial" w:hAnsi="Arial"/>
          <w:sz w:val="14"/>
          <w:szCs w:val="14"/>
          <w:color w:val="auto"/>
        </w:rPr>
        <w:t>As a result of the Vibrant Transaction, we did not generate any renewable energy revenue during the six</w:t>
      </w:r>
      <w:r>
        <w:rPr>
          <w:rFonts w:ascii="Arial" w:cs="Arial" w:eastAsia="Arial" w:hAnsi="Arial"/>
          <w:sz w:val="14"/>
          <w:szCs w:val="14"/>
          <w:b w:val="1"/>
          <w:bCs w:val="1"/>
          <w:color w:val="auto"/>
        </w:rPr>
        <w:t xml:space="preserve"> </w:t>
      </w:r>
      <w:r>
        <w:rPr>
          <w:rFonts w:ascii="Arial" w:cs="Arial" w:eastAsia="Arial" w:hAnsi="Arial"/>
          <w:sz w:val="14"/>
          <w:szCs w:val="14"/>
          <w:color w:val="auto"/>
        </w:rPr>
        <w:t>months ended June 30, 2022 and generated $0.4 million of renewable energy revenue during the six months ended June 30, 2021.</w:t>
      </w:r>
    </w:p>
    <w:p>
      <w:pPr>
        <w:spacing w:after="0" w:line="115" w:lineRule="exact"/>
        <w:rPr>
          <w:sz w:val="20"/>
          <w:szCs w:val="20"/>
          <w:color w:val="auto"/>
        </w:rPr>
      </w:pPr>
    </w:p>
    <w:p>
      <w:pPr>
        <w:ind w:left="40" w:right="119" w:firstLine="547"/>
        <w:spacing w:after="0" w:line="264" w:lineRule="auto"/>
        <w:rPr>
          <w:sz w:val="20"/>
          <w:szCs w:val="20"/>
          <w:color w:val="auto"/>
        </w:rPr>
      </w:pPr>
      <w:r>
        <w:rPr>
          <w:rFonts w:ascii="Arial" w:cs="Arial" w:eastAsia="Arial" w:hAnsi="Arial"/>
          <w:sz w:val="15"/>
          <w:szCs w:val="15"/>
          <w:b w:val="1"/>
          <w:bCs w:val="1"/>
          <w:color w:val="auto"/>
        </w:rPr>
        <w:t xml:space="preserve">Managed Services Revenue. </w:t>
      </w:r>
      <w:r>
        <w:rPr>
          <w:rFonts w:ascii="Arial" w:cs="Arial" w:eastAsia="Arial" w:hAnsi="Arial"/>
          <w:sz w:val="15"/>
          <w:szCs w:val="15"/>
          <w:color w:val="auto"/>
        </w:rPr>
        <w:t>Managed Services revenue increased by $5.2 million to $7.9 million from $2.7 million for the six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June 30, 2022 and 2021, respectively, as a result of the Alaska Transaction, which generated $5.5 million during the six months ended June 30, 2022. Our Managed Services revenue in our International Telecom segment decreased $0.3 million, or 11.1%, to $2.4 million from $2.7 million for the six months ended June 30, 2022 and 2021, respectively.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88" w:lineRule="exact"/>
        <w:rPr>
          <w:sz w:val="20"/>
          <w:szCs w:val="20"/>
          <w:color w:val="auto"/>
        </w:rPr>
      </w:pPr>
    </w:p>
    <w:p>
      <w:pPr>
        <w:jc w:val="both"/>
        <w:ind w:left="40" w:right="59" w:firstLine="547"/>
        <w:spacing w:after="0" w:line="269" w:lineRule="auto"/>
        <w:rPr>
          <w:sz w:val="20"/>
          <w:szCs w:val="20"/>
          <w:color w:val="auto"/>
        </w:rPr>
      </w:pPr>
      <w:r>
        <w:rPr>
          <w:rFonts w:ascii="Arial" w:cs="Arial" w:eastAsia="Arial" w:hAnsi="Arial"/>
          <w:sz w:val="15"/>
          <w:szCs w:val="15"/>
          <w:b w:val="1"/>
          <w:bCs w:val="1"/>
          <w:color w:val="auto"/>
        </w:rPr>
        <w:t xml:space="preserve">Cost of communication services and other. </w:t>
      </w:r>
      <w:r>
        <w:rPr>
          <w:rFonts w:ascii="Arial" w:cs="Arial" w:eastAsia="Arial" w:hAnsi="Arial"/>
          <w:sz w:val="15"/>
          <w:szCs w:val="15"/>
          <w:color w:val="auto"/>
        </w:rPr>
        <w:t>Cost of communication services and other increased by $52.9 million, or 54.0%, to $150.9</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from $98.0 million for the six months ended June 30, 2022 and 2021, respectively. The net increase in cost of communication services and other, within our segments, consisted of the following:</w:t>
      </w:r>
    </w:p>
    <w:p>
      <w:pPr>
        <w:spacing w:after="0" w:line="96" w:lineRule="exact"/>
        <w:rPr>
          <w:sz w:val="20"/>
          <w:szCs w:val="20"/>
          <w:color w:val="auto"/>
        </w:rPr>
      </w:pPr>
    </w:p>
    <w:p>
      <w:pPr>
        <w:ind w:left="600" w:right="159" w:hanging="267"/>
        <w:spacing w:after="0" w:line="272" w:lineRule="auto"/>
        <w:tabs>
          <w:tab w:leader="none" w:pos="600" w:val="left"/>
        </w:tabs>
        <w:numPr>
          <w:ilvl w:val="0"/>
          <w:numId w:val="26"/>
        </w:numPr>
        <w:rPr>
          <w:rFonts w:ascii="Arial" w:cs="Arial" w:eastAsia="Arial" w:hAnsi="Arial"/>
          <w:sz w:val="20"/>
          <w:szCs w:val="20"/>
          <w:color w:val="auto"/>
          <w:vertAlign w:val="superscript"/>
        </w:rPr>
      </w:pPr>
      <w:r>
        <w:rPr>
          <w:rFonts w:ascii="Arial" w:cs="Arial" w:eastAsia="Arial" w:hAnsi="Arial"/>
          <w:sz w:val="13"/>
          <w:szCs w:val="13"/>
          <w:i w:val="1"/>
          <w:iCs w:val="1"/>
          <w:color w:val="auto"/>
        </w:rPr>
        <w:t xml:space="preserve">International Telecom. </w:t>
      </w:r>
      <w:r>
        <w:rPr>
          <w:rFonts w:ascii="Arial" w:cs="Arial" w:eastAsia="Arial" w:hAnsi="Arial"/>
          <w:sz w:val="13"/>
          <w:szCs w:val="13"/>
          <w:color w:val="auto"/>
        </w:rPr>
        <w:t>Within our International Telecom segment, cost of communication services and other increased by $1.4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or 2.1%, to $69.1 million from $67.7 million, for the six months ended June 30, 2022 and 2021, respectively. This increase was the result of an increase in roaming expense, due to an increase in related roaming revenues from higher levels of travel and tourism in the US Virgin Islands and Bermuda, as well as an increase in equipment expense as a result of improved retail and marketing strategies which lead to an increase in handset sales. These increases were partially offset by reduced network maintenance and facility costs</w:t>
      </w:r>
    </w:p>
    <w:p>
      <w:pPr>
        <w:spacing w:after="0" w:line="98" w:lineRule="exact"/>
        <w:rPr>
          <w:rFonts w:ascii="Arial" w:cs="Arial" w:eastAsia="Arial" w:hAnsi="Arial"/>
          <w:sz w:val="20"/>
          <w:szCs w:val="20"/>
          <w:color w:val="auto"/>
          <w:vertAlign w:val="superscript"/>
        </w:rPr>
      </w:pPr>
    </w:p>
    <w:p>
      <w:pPr>
        <w:ind w:left="600" w:right="79" w:hanging="267"/>
        <w:spacing w:after="0" w:line="258"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Cost of communication services and other within our US Telecom segment increased by $51.7 million, or 168.4%, to $82.4</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from $30.7 million for the six months ended June 30, 2022 and 2021, respectively, as a result of the Alaska Transaction which incurred $50.8 million of these costs during the six months ended June 30, 2022, a $1.1 million increase in data transport costs in connection with the fully constructed cell sites as part of the FirstNet Transaction and a $1.1 million increase within our wholesale long-distance voice services business to support its increase in revenues. These increases were partially offset by decreases in our private network business.</w:t>
      </w:r>
    </w:p>
    <w:p>
      <w:pPr>
        <w:spacing w:after="0" w:line="159" w:lineRule="exact"/>
        <w:rPr>
          <w:sz w:val="20"/>
          <w:szCs w:val="20"/>
          <w:color w:val="auto"/>
        </w:rPr>
      </w:pPr>
    </w:p>
    <w:p>
      <w:pPr>
        <w:ind w:left="40" w:right="99" w:firstLine="547"/>
        <w:spacing w:after="0" w:line="264" w:lineRule="auto"/>
        <w:rPr>
          <w:sz w:val="20"/>
          <w:szCs w:val="20"/>
          <w:color w:val="auto"/>
        </w:rPr>
      </w:pPr>
      <w:r>
        <w:rPr>
          <w:rFonts w:ascii="Arial" w:cs="Arial" w:eastAsia="Arial" w:hAnsi="Arial"/>
          <w:sz w:val="15"/>
          <w:szCs w:val="15"/>
          <w:b w:val="1"/>
          <w:bCs w:val="1"/>
          <w:color w:val="auto"/>
        </w:rPr>
        <w:t xml:space="preserve">Cost of construction revenue. </w:t>
      </w:r>
      <w:r>
        <w:rPr>
          <w:rFonts w:ascii="Arial" w:cs="Arial" w:eastAsia="Arial" w:hAnsi="Arial"/>
          <w:sz w:val="15"/>
          <w:szCs w:val="15"/>
          <w:color w:val="auto"/>
        </w:rPr>
        <w:t>During the six months ended June 30, 2022 and June 30, 2021, cost of construction revenue decreased to</w:t>
      </w:r>
      <w:r>
        <w:rPr>
          <w:rFonts w:ascii="Arial" w:cs="Arial" w:eastAsia="Arial" w:hAnsi="Arial"/>
          <w:sz w:val="15"/>
          <w:szCs w:val="15"/>
          <w:b w:val="1"/>
          <w:bCs w:val="1"/>
          <w:color w:val="auto"/>
        </w:rPr>
        <w:t xml:space="preserve"> </w:t>
      </w:r>
      <w:r>
        <w:rPr>
          <w:rFonts w:ascii="Arial" w:cs="Arial" w:eastAsia="Arial" w:hAnsi="Arial"/>
          <w:sz w:val="15"/>
          <w:szCs w:val="15"/>
          <w:color w:val="auto"/>
        </w:rPr>
        <w:t>$5.3 million from $22.1 million as a result of a decrease in the number of sites completed during 2022 as compared to 2021. As of June 30, 2022, 65% of the cell sites related to the FirstNet Agreement were completed and we expect another 20% of the total build to be completed during the second half of 2022 with the remainder to be completed in early 2023.</w:t>
      </w:r>
    </w:p>
    <w:p>
      <w:pPr>
        <w:spacing w:after="0" w:line="152" w:lineRule="exact"/>
        <w:rPr>
          <w:sz w:val="20"/>
          <w:szCs w:val="20"/>
          <w:color w:val="auto"/>
        </w:rPr>
      </w:pPr>
    </w:p>
    <w:p>
      <w:pPr>
        <w:ind w:left="40" w:right="279" w:firstLine="547"/>
        <w:spacing w:after="0" w:line="269" w:lineRule="auto"/>
        <w:rPr>
          <w:sz w:val="20"/>
          <w:szCs w:val="20"/>
          <w:color w:val="auto"/>
        </w:rPr>
      </w:pPr>
      <w:r>
        <w:rPr>
          <w:rFonts w:ascii="Arial" w:cs="Arial" w:eastAsia="Arial" w:hAnsi="Arial"/>
          <w:sz w:val="15"/>
          <w:szCs w:val="15"/>
          <w:b w:val="1"/>
          <w:bCs w:val="1"/>
          <w:color w:val="auto"/>
        </w:rPr>
        <w:t xml:space="preserve">Selling, general and administrative expenses. </w:t>
      </w:r>
      <w:r>
        <w:rPr>
          <w:rFonts w:ascii="Arial" w:cs="Arial" w:eastAsia="Arial" w:hAnsi="Arial"/>
          <w:sz w:val="15"/>
          <w:szCs w:val="15"/>
          <w:color w:val="auto"/>
        </w:rPr>
        <w:t>Selling, general and administrative expenses increased by $37.2 million, or 47.5%, to</w:t>
      </w:r>
      <w:r>
        <w:rPr>
          <w:rFonts w:ascii="Arial" w:cs="Arial" w:eastAsia="Arial" w:hAnsi="Arial"/>
          <w:sz w:val="15"/>
          <w:szCs w:val="15"/>
          <w:b w:val="1"/>
          <w:bCs w:val="1"/>
          <w:color w:val="auto"/>
        </w:rPr>
        <w:t xml:space="preserve"> </w:t>
      </w:r>
      <w:r>
        <w:rPr>
          <w:rFonts w:ascii="Arial" w:cs="Arial" w:eastAsia="Arial" w:hAnsi="Arial"/>
          <w:sz w:val="15"/>
          <w:szCs w:val="15"/>
          <w:color w:val="auto"/>
        </w:rPr>
        <w:t>$115.5 million from $78.3 million for the six months ended June 30, 2022 and 2021, respectively. The net increase in selling, general and administrative expenses, within our segments, consisted of the following:</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1" w:name="page62"/>
    <w:bookmarkEnd w:id="6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0" w:right="79" w:hanging="267"/>
        <w:spacing w:after="0" w:line="262"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our selling, general and administrative expenses increased by $4.9</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10.4%, to $51.9 million from $47.0 million for the six months ended June 30, 2022 and 2021, respectively. This increase was incurred within all of our international markets primarily as a result of an increase in our sales and marketing capabilities to support the expansion of our subscriber base.</w:t>
      </w:r>
    </w:p>
    <w:p>
      <w:pPr>
        <w:spacing w:after="0" w:line="158" w:lineRule="exact"/>
        <w:rPr>
          <w:rFonts w:ascii="Arial" w:cs="Arial" w:eastAsia="Arial" w:hAnsi="Arial"/>
          <w:sz w:val="15"/>
          <w:szCs w:val="15"/>
          <w:color w:val="auto"/>
        </w:rPr>
      </w:pPr>
    </w:p>
    <w:p>
      <w:pPr>
        <w:ind w:left="600" w:right="79" w:hanging="267"/>
        <w:spacing w:after="0" w:line="262"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Selling, general and administrative expenses increased within our US Telecom segment by $32.4 million to $48.3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$15.9 million, for the six months ended June 30, 2022 and 2021, respectively, primarily as a result of the Alaska Transaction, which generated $35.5 million of these costs during the six months ended June 30, 2022 partially offset by a decrease in spending within our private network business.</w:t>
      </w:r>
    </w:p>
    <w:p>
      <w:pPr>
        <w:spacing w:after="0" w:line="158" w:lineRule="exact"/>
        <w:rPr>
          <w:rFonts w:ascii="Arial" w:cs="Arial" w:eastAsia="Arial" w:hAnsi="Arial"/>
          <w:sz w:val="15"/>
          <w:szCs w:val="15"/>
          <w:color w:val="auto"/>
        </w:rPr>
      </w:pPr>
    </w:p>
    <w:p>
      <w:pPr>
        <w:ind w:left="600" w:right="239" w:hanging="267"/>
        <w:spacing w:after="0" w:line="316" w:lineRule="auto"/>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Renewable Energy. </w:t>
      </w:r>
      <w:r>
        <w:rPr>
          <w:rFonts w:ascii="Arial" w:cs="Arial" w:eastAsia="Arial" w:hAnsi="Arial"/>
          <w:sz w:val="14"/>
          <w:szCs w:val="14"/>
          <w:color w:val="auto"/>
        </w:rPr>
        <w:t>During the six months ended June 30, 2022 and 2021, our Renewable Energy segment incurred a nominal amount</w:t>
      </w:r>
      <w:r>
        <w:rPr>
          <w:rFonts w:ascii="Arial" w:cs="Arial" w:eastAsia="Arial" w:hAnsi="Arial"/>
          <w:sz w:val="14"/>
          <w:szCs w:val="14"/>
          <w:i w:val="1"/>
          <w:iCs w:val="1"/>
          <w:color w:val="auto"/>
        </w:rPr>
        <w:t xml:space="preserve"> </w:t>
      </w:r>
      <w:r>
        <w:rPr>
          <w:rFonts w:ascii="Arial" w:cs="Arial" w:eastAsia="Arial" w:hAnsi="Arial"/>
          <w:sz w:val="14"/>
          <w:szCs w:val="14"/>
          <w:color w:val="auto"/>
        </w:rPr>
        <w:t>and $0.4 million of selling, general and administrative expenses, respectively, as a result of the Vibrant Transaction.</w:t>
      </w:r>
    </w:p>
    <w:p>
      <w:pPr>
        <w:spacing w:after="0" w:line="122" w:lineRule="exact"/>
        <w:rPr>
          <w:rFonts w:ascii="Arial" w:cs="Arial" w:eastAsia="Arial" w:hAnsi="Arial"/>
          <w:sz w:val="14"/>
          <w:szCs w:val="14"/>
          <w:color w:val="auto"/>
        </w:rPr>
      </w:pPr>
    </w:p>
    <w:p>
      <w:pPr>
        <w:ind w:left="600" w:right="59" w:hanging="267"/>
        <w:spacing w:after="0" w:line="262"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Corporate Overhead. </w:t>
      </w:r>
      <w:r>
        <w:rPr>
          <w:rFonts w:ascii="Arial" w:cs="Arial" w:eastAsia="Arial" w:hAnsi="Arial"/>
          <w:sz w:val="15"/>
          <w:szCs w:val="15"/>
          <w:color w:val="auto"/>
        </w:rPr>
        <w:t>Selling, general and administrative expenses within our corporate overhead increased by $0.3 million, or 2.0%, to</w:t>
      </w:r>
      <w:r>
        <w:rPr>
          <w:rFonts w:ascii="Arial" w:cs="Arial" w:eastAsia="Arial" w:hAnsi="Arial"/>
          <w:sz w:val="15"/>
          <w:szCs w:val="15"/>
          <w:i w:val="1"/>
          <w:iCs w:val="1"/>
          <w:color w:val="auto"/>
        </w:rPr>
        <w:t xml:space="preserve"> </w:t>
      </w:r>
      <w:r>
        <w:rPr>
          <w:rFonts w:ascii="Arial" w:cs="Arial" w:eastAsia="Arial" w:hAnsi="Arial"/>
          <w:sz w:val="15"/>
          <w:szCs w:val="15"/>
          <w:color w:val="auto"/>
        </w:rPr>
        <w:t>$15.3 million from $15.0 million, for the six months ended June 30, 2022 and 2021, respectively, primarily related to an increase in professional service expenses, integration costs associated with the completion of the Alaska Transaction and an increase in travel related costs.</w:t>
      </w:r>
    </w:p>
    <w:p>
      <w:pPr>
        <w:spacing w:after="0" w:line="154" w:lineRule="exact"/>
        <w:rPr>
          <w:sz w:val="20"/>
          <w:szCs w:val="20"/>
          <w:color w:val="auto"/>
        </w:rPr>
      </w:pPr>
    </w:p>
    <w:p>
      <w:pPr>
        <w:ind w:left="40" w:right="159" w:firstLine="547"/>
        <w:spacing w:after="0" w:line="366" w:lineRule="auto"/>
        <w:rPr>
          <w:sz w:val="20"/>
          <w:szCs w:val="20"/>
          <w:color w:val="auto"/>
        </w:rPr>
      </w:pPr>
      <w:r>
        <w:rPr>
          <w:rFonts w:ascii="Arial" w:cs="Arial" w:eastAsia="Arial" w:hAnsi="Arial"/>
          <w:sz w:val="13"/>
          <w:szCs w:val="13"/>
          <w:b w:val="1"/>
          <w:bCs w:val="1"/>
          <w:color w:val="auto"/>
        </w:rPr>
        <w:t xml:space="preserve">Transaction-related charges. </w:t>
      </w:r>
      <w:r>
        <w:rPr>
          <w:rFonts w:ascii="Arial" w:cs="Arial" w:eastAsia="Arial" w:hAnsi="Arial"/>
          <w:sz w:val="13"/>
          <w:szCs w:val="13"/>
          <w:color w:val="auto"/>
        </w:rPr>
        <w:t>We incurred $1.0 million and $2.1 million of transaction-related charges during the six months ended</w:t>
      </w:r>
      <w:r>
        <w:rPr>
          <w:rFonts w:ascii="Arial" w:cs="Arial" w:eastAsia="Arial" w:hAnsi="Arial"/>
          <w:sz w:val="13"/>
          <w:szCs w:val="13"/>
          <w:b w:val="1"/>
          <w:bCs w:val="1"/>
          <w:color w:val="auto"/>
        </w:rPr>
        <w:t xml:space="preserve"> </w:t>
      </w:r>
      <w:r>
        <w:rPr>
          <w:rFonts w:ascii="Arial" w:cs="Arial" w:eastAsia="Arial" w:hAnsi="Arial"/>
          <w:sz w:val="13"/>
          <w:szCs w:val="13"/>
          <w:color w:val="auto"/>
        </w:rPr>
        <w:t>June 30, 2022 and 2021, respectively. Transaction-related charges incurred during both periods were primarily related to the Alaska Transaction.</w:t>
      </w:r>
    </w:p>
    <w:p>
      <w:pPr>
        <w:spacing w:after="0" w:line="91" w:lineRule="exact"/>
        <w:rPr>
          <w:sz w:val="20"/>
          <w:szCs w:val="20"/>
          <w:color w:val="auto"/>
        </w:rPr>
      </w:pPr>
    </w:p>
    <w:p>
      <w:pPr>
        <w:jc w:val="both"/>
        <w:ind w:left="40" w:right="399" w:firstLine="585"/>
        <w:spacing w:after="0" w:line="269" w:lineRule="auto"/>
        <w:rPr>
          <w:sz w:val="20"/>
          <w:szCs w:val="20"/>
          <w:color w:val="auto"/>
        </w:rPr>
      </w:pPr>
      <w:r>
        <w:rPr>
          <w:rFonts w:ascii="Arial" w:cs="Arial" w:eastAsia="Arial" w:hAnsi="Arial"/>
          <w:sz w:val="15"/>
          <w:szCs w:val="15"/>
          <w:b w:val="1"/>
          <w:bCs w:val="1"/>
          <w:color w:val="auto"/>
        </w:rPr>
        <w:t xml:space="preserve">Depreciation and amortization expenses. </w:t>
      </w:r>
      <w:r>
        <w:rPr>
          <w:rFonts w:ascii="Arial" w:cs="Arial" w:eastAsia="Arial" w:hAnsi="Arial"/>
          <w:sz w:val="15"/>
          <w:szCs w:val="15"/>
          <w:color w:val="auto"/>
        </w:rPr>
        <w:t>Depreciation and amortization expenses increased by $27.3 million, or 68.6%, to $67.1</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from $39.8 million for the six months ended June 30, 2022 and 2021, respectively. The net increase in depreciation and amortization expenses, within our segments, consisted primarily of the following:</w:t>
      </w:r>
    </w:p>
    <w:p>
      <w:pPr>
        <w:spacing w:after="0" w:line="153" w:lineRule="exact"/>
        <w:rPr>
          <w:sz w:val="20"/>
          <w:szCs w:val="20"/>
          <w:color w:val="auto"/>
        </w:rPr>
      </w:pPr>
    </w:p>
    <w:p>
      <w:pPr>
        <w:jc w:val="both"/>
        <w:ind w:left="600" w:right="199" w:hanging="267"/>
        <w:spacing w:after="0" w:line="266"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Depreciation and amortization expenses increased within our International Telecom segment by $2.2 million, or</w:t>
      </w:r>
      <w:r>
        <w:rPr>
          <w:rFonts w:ascii="Arial" w:cs="Arial" w:eastAsia="Arial" w:hAnsi="Arial"/>
          <w:sz w:val="15"/>
          <w:szCs w:val="15"/>
          <w:i w:val="1"/>
          <w:iCs w:val="1"/>
          <w:color w:val="auto"/>
        </w:rPr>
        <w:t xml:space="preserve"> </w:t>
      </w:r>
      <w:r>
        <w:rPr>
          <w:rFonts w:ascii="Arial" w:cs="Arial" w:eastAsia="Arial" w:hAnsi="Arial"/>
          <w:sz w:val="15"/>
          <w:szCs w:val="15"/>
          <w:color w:val="auto"/>
        </w:rPr>
        <w:t>8.2%, to $29.0 million from $26.8 million, for the six months ended June 30, 2022 and 2021, respectively. This increase was a result of recent upgrades and expansions to this segment’s network.</w:t>
      </w:r>
    </w:p>
    <w:p>
      <w:pPr>
        <w:spacing w:after="0" w:line="155" w:lineRule="exact"/>
        <w:rPr>
          <w:rFonts w:ascii="Arial" w:cs="Arial" w:eastAsia="Arial" w:hAnsi="Arial"/>
          <w:sz w:val="15"/>
          <w:szCs w:val="15"/>
          <w:color w:val="auto"/>
        </w:rPr>
      </w:pPr>
    </w:p>
    <w:p>
      <w:pPr>
        <w:ind w:left="600" w:right="179" w:hanging="267"/>
        <w:spacing w:after="0" w:line="316" w:lineRule="auto"/>
        <w:tabs>
          <w:tab w:leader="none" w:pos="60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US Telecom</w:t>
      </w:r>
      <w:r>
        <w:rPr>
          <w:rFonts w:ascii="Arial" w:cs="Arial" w:eastAsia="Arial" w:hAnsi="Arial"/>
          <w:sz w:val="14"/>
          <w:szCs w:val="14"/>
          <w:color w:val="auto"/>
        </w:rPr>
        <w:t>. Depreciation and amortization expenses increased within our US Telecom segment by $25.9 million to $36.2 million from</w:t>
      </w:r>
      <w:r>
        <w:rPr>
          <w:rFonts w:ascii="Arial" w:cs="Arial" w:eastAsia="Arial" w:hAnsi="Arial"/>
          <w:sz w:val="14"/>
          <w:szCs w:val="14"/>
          <w:i w:val="1"/>
          <w:iCs w:val="1"/>
          <w:color w:val="auto"/>
        </w:rPr>
        <w:t xml:space="preserve"> </w:t>
      </w:r>
      <w:r>
        <w:rPr>
          <w:rFonts w:ascii="Arial" w:cs="Arial" w:eastAsia="Arial" w:hAnsi="Arial"/>
          <w:sz w:val="14"/>
          <w:szCs w:val="14"/>
          <w:color w:val="auto"/>
        </w:rPr>
        <w:t>$10.3 million, for the six months ended June 30, 2022 and 2021, respectively, primarily as a result of the Alaska Transaction.</w:t>
      </w:r>
    </w:p>
    <w:p>
      <w:pPr>
        <w:spacing w:after="0" w:line="122" w:lineRule="exact"/>
        <w:rPr>
          <w:rFonts w:ascii="Arial" w:cs="Arial" w:eastAsia="Arial" w:hAnsi="Arial"/>
          <w:sz w:val="14"/>
          <w:szCs w:val="14"/>
          <w:color w:val="auto"/>
        </w:rPr>
      </w:pPr>
    </w:p>
    <w:p>
      <w:pPr>
        <w:ind w:left="600" w:right="439" w:hanging="267"/>
        <w:spacing w:after="0" w:line="279"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Renewable Energy</w:t>
      </w:r>
      <w:r>
        <w:rPr>
          <w:rFonts w:ascii="Arial" w:cs="Arial" w:eastAsia="Arial" w:hAnsi="Arial"/>
          <w:sz w:val="15"/>
          <w:szCs w:val="15"/>
          <w:color w:val="auto"/>
        </w:rPr>
        <w:t>. Our Renewable Energy segment incurred $0.2 million of depreciation and amortization expenses during the six</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June 30, 2021.</w:t>
      </w:r>
    </w:p>
    <w:p>
      <w:pPr>
        <w:spacing w:after="0" w:line="145" w:lineRule="exact"/>
        <w:rPr>
          <w:rFonts w:ascii="Arial" w:cs="Arial" w:eastAsia="Arial" w:hAnsi="Arial"/>
          <w:sz w:val="15"/>
          <w:szCs w:val="15"/>
          <w:color w:val="auto"/>
        </w:rPr>
      </w:pPr>
    </w:p>
    <w:p>
      <w:pPr>
        <w:ind w:left="600" w:right="299" w:hanging="267"/>
        <w:spacing w:after="0" w:line="266"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Corporate Overhead</w:t>
      </w:r>
      <w:r>
        <w:rPr>
          <w:rFonts w:ascii="Arial" w:cs="Arial" w:eastAsia="Arial" w:hAnsi="Arial"/>
          <w:sz w:val="15"/>
          <w:szCs w:val="15"/>
          <w:color w:val="auto"/>
        </w:rPr>
        <w:t>. Depreciation and amortization expenses decreased within our corporate overhead by $0.7 million, or 26.9%, to</w:t>
      </w:r>
      <w:r>
        <w:rPr>
          <w:rFonts w:ascii="Arial" w:cs="Arial" w:eastAsia="Arial" w:hAnsi="Arial"/>
          <w:sz w:val="15"/>
          <w:szCs w:val="15"/>
          <w:i w:val="1"/>
          <w:iCs w:val="1"/>
          <w:color w:val="auto"/>
        </w:rPr>
        <w:t xml:space="preserve"> </w:t>
      </w:r>
      <w:r>
        <w:rPr>
          <w:rFonts w:ascii="Arial" w:cs="Arial" w:eastAsia="Arial" w:hAnsi="Arial"/>
          <w:sz w:val="15"/>
          <w:szCs w:val="15"/>
          <w:color w:val="auto"/>
        </w:rPr>
        <w:t>$1.9 million from $2.6 million, for the six months ended June 30, 2022 and 2021, respectively, primarily as a result of certain assets becoming fully depreciated in recent periods.</w:t>
      </w:r>
    </w:p>
    <w:p>
      <w:pPr>
        <w:spacing w:after="0" w:line="152" w:lineRule="exact"/>
        <w:rPr>
          <w:sz w:val="20"/>
          <w:szCs w:val="20"/>
          <w:color w:val="auto"/>
        </w:rPr>
      </w:pPr>
    </w:p>
    <w:p>
      <w:pPr>
        <w:ind w:left="40" w:right="79" w:firstLine="547"/>
        <w:spacing w:after="0" w:line="285" w:lineRule="auto"/>
        <w:rPr>
          <w:sz w:val="20"/>
          <w:szCs w:val="20"/>
          <w:color w:val="auto"/>
        </w:rPr>
      </w:pPr>
      <w:r>
        <w:rPr>
          <w:rFonts w:ascii="Arial" w:cs="Arial" w:eastAsia="Arial" w:hAnsi="Arial"/>
          <w:sz w:val="15"/>
          <w:szCs w:val="15"/>
          <w:b w:val="1"/>
          <w:bCs w:val="1"/>
          <w:color w:val="auto"/>
        </w:rPr>
        <w:t xml:space="preserve">Amortization of intangibles from acquisitions. </w:t>
      </w:r>
      <w:r>
        <w:rPr>
          <w:rFonts w:ascii="Arial" w:cs="Arial" w:eastAsia="Arial" w:hAnsi="Arial"/>
          <w:sz w:val="15"/>
          <w:szCs w:val="15"/>
          <w:color w:val="auto"/>
        </w:rPr>
        <w:t>Amortization of intangibles from acquisitions increased by $5.7 million to $6.5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from $0.8 million for the six months ended June 30, 2022 and 2021, respectively, as a result of the Alaska Transaction.</w:t>
      </w:r>
    </w:p>
    <w:p>
      <w:pPr>
        <w:spacing w:after="0" w:line="137" w:lineRule="exact"/>
        <w:rPr>
          <w:sz w:val="20"/>
          <w:szCs w:val="20"/>
          <w:color w:val="auto"/>
        </w:rPr>
      </w:pPr>
    </w:p>
    <w:p>
      <w:pPr>
        <w:ind w:left="40" w:right="159" w:firstLine="547"/>
        <w:spacing w:after="0" w:line="329" w:lineRule="auto"/>
        <w:rPr>
          <w:sz w:val="20"/>
          <w:szCs w:val="20"/>
          <w:color w:val="auto"/>
        </w:rPr>
      </w:pPr>
      <w:r>
        <w:rPr>
          <w:rFonts w:ascii="Arial" w:cs="Arial" w:eastAsia="Arial" w:hAnsi="Arial"/>
          <w:sz w:val="13"/>
          <w:szCs w:val="13"/>
          <w:b w:val="1"/>
          <w:bCs w:val="1"/>
          <w:color w:val="auto"/>
        </w:rPr>
        <w:t>Loss on disposition of long-lived assets</w:t>
      </w:r>
      <w:r>
        <w:rPr>
          <w:rFonts w:ascii="Arial" w:cs="Arial" w:eastAsia="Arial" w:hAnsi="Arial"/>
          <w:sz w:val="13"/>
          <w:szCs w:val="13"/>
          <w:color w:val="auto"/>
        </w:rPr>
        <w:t>. During the six months ended June 30, 2022, we recorded a loss on the disposition of long-lived assets of $3.4 million. Of this amount, $2.4 million was incurred in our US Telecom segment relating to the disposal of certain assets while $1.0 million was incurred in our International Telecom segment as a result of the modification of agreements for the use of other certain assets.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2" w:name="page63"/>
    <w:bookmarkEnd w:id="6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5"/>
          <w:szCs w:val="15"/>
          <w:color w:val="auto"/>
        </w:rPr>
        <w:t>During the six months ended June 30, 2021, we recorded a loss on the disposition of long-lived assets of $0.9 million, primarily related to the Vibrant Transaction.</w:t>
      </w:r>
    </w:p>
    <w:p>
      <w:pPr>
        <w:spacing w:after="0" w:line="142" w:lineRule="exact"/>
        <w:rPr>
          <w:sz w:val="20"/>
          <w:szCs w:val="20"/>
          <w:color w:val="auto"/>
        </w:rPr>
      </w:pPr>
    </w:p>
    <w:p>
      <w:pPr>
        <w:ind w:left="40" w:right="399" w:firstLine="547"/>
        <w:spacing w:after="0" w:line="285" w:lineRule="auto"/>
        <w:rPr>
          <w:sz w:val="20"/>
          <w:szCs w:val="20"/>
          <w:color w:val="auto"/>
        </w:rPr>
      </w:pPr>
      <w:r>
        <w:rPr>
          <w:rFonts w:ascii="Arial" w:cs="Arial" w:eastAsia="Arial" w:hAnsi="Arial"/>
          <w:sz w:val="15"/>
          <w:szCs w:val="15"/>
          <w:b w:val="1"/>
          <w:bCs w:val="1"/>
          <w:color w:val="auto"/>
        </w:rPr>
        <w:t xml:space="preserve">Interest income. </w:t>
      </w:r>
      <w:r>
        <w:rPr>
          <w:rFonts w:ascii="Arial" w:cs="Arial" w:eastAsia="Arial" w:hAnsi="Arial"/>
          <w:sz w:val="15"/>
          <w:szCs w:val="15"/>
          <w:color w:val="auto"/>
        </w:rPr>
        <w:t>Interest income represents interest earned on our cash, cash equivalents, restricted cash and short-term investment</w:t>
      </w:r>
      <w:r>
        <w:rPr>
          <w:rFonts w:ascii="Arial" w:cs="Arial" w:eastAsia="Arial" w:hAnsi="Arial"/>
          <w:sz w:val="15"/>
          <w:szCs w:val="15"/>
          <w:b w:val="1"/>
          <w:bCs w:val="1"/>
          <w:color w:val="auto"/>
        </w:rPr>
        <w:t xml:space="preserve"> </w:t>
      </w:r>
      <w:r>
        <w:rPr>
          <w:rFonts w:ascii="Arial" w:cs="Arial" w:eastAsia="Arial" w:hAnsi="Arial"/>
          <w:sz w:val="15"/>
          <w:szCs w:val="15"/>
          <w:color w:val="auto"/>
        </w:rPr>
        <w:t>balances and were nominal amounts during both the six months ended June 30, 2022 and 2021.</w:t>
      </w:r>
    </w:p>
    <w:p>
      <w:pPr>
        <w:spacing w:after="0" w:line="137" w:lineRule="exact"/>
        <w:rPr>
          <w:sz w:val="20"/>
          <w:szCs w:val="20"/>
          <w:color w:val="auto"/>
        </w:rPr>
      </w:pPr>
    </w:p>
    <w:p>
      <w:pPr>
        <w:ind w:left="40" w:right="219" w:firstLine="547"/>
        <w:spacing w:after="0" w:line="269" w:lineRule="auto"/>
        <w:rPr>
          <w:sz w:val="20"/>
          <w:szCs w:val="20"/>
          <w:color w:val="auto"/>
        </w:rPr>
      </w:pPr>
      <w:r>
        <w:rPr>
          <w:rFonts w:ascii="Arial" w:cs="Arial" w:eastAsia="Arial" w:hAnsi="Arial"/>
          <w:sz w:val="15"/>
          <w:szCs w:val="15"/>
          <w:b w:val="1"/>
          <w:bCs w:val="1"/>
          <w:color w:val="auto"/>
        </w:rPr>
        <w:t xml:space="preserve">Interest expense. </w:t>
      </w:r>
      <w:r>
        <w:rPr>
          <w:rFonts w:ascii="Arial" w:cs="Arial" w:eastAsia="Arial" w:hAnsi="Arial"/>
          <w:sz w:val="15"/>
          <w:szCs w:val="15"/>
          <w:color w:val="auto"/>
        </w:rPr>
        <w:t>Interest expense increased to $7.6 million from $2.3 million for the six months ended June 30, 2022 and 2021,</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as additional interest expense was incurred as a result of new borrowings under the 2019 CoBank Credit Facility, the Alaska Credit Facility and the Receivables Credit Facility as well as an increase in interest rates.</w:t>
      </w:r>
    </w:p>
    <w:p>
      <w:pPr>
        <w:spacing w:after="0" w:line="149" w:lineRule="exact"/>
        <w:rPr>
          <w:sz w:val="20"/>
          <w:szCs w:val="20"/>
          <w:color w:val="auto"/>
        </w:rPr>
      </w:pPr>
    </w:p>
    <w:p>
      <w:pPr>
        <w:jc w:val="both"/>
        <w:ind w:left="40" w:right="359" w:firstLine="547"/>
        <w:spacing w:after="0" w:line="269" w:lineRule="auto"/>
        <w:rPr>
          <w:sz w:val="20"/>
          <w:szCs w:val="20"/>
          <w:color w:val="auto"/>
        </w:rPr>
      </w:pPr>
      <w:r>
        <w:rPr>
          <w:rFonts w:ascii="Arial" w:cs="Arial" w:eastAsia="Arial" w:hAnsi="Arial"/>
          <w:sz w:val="15"/>
          <w:szCs w:val="15"/>
          <w:b w:val="1"/>
          <w:bCs w:val="1"/>
          <w:color w:val="auto"/>
        </w:rPr>
        <w:t xml:space="preserve">Other income (expenses). </w:t>
      </w:r>
      <w:r>
        <w:rPr>
          <w:rFonts w:ascii="Arial" w:cs="Arial" w:eastAsia="Arial" w:hAnsi="Arial"/>
          <w:sz w:val="15"/>
          <w:szCs w:val="15"/>
          <w:color w:val="auto"/>
        </w:rPr>
        <w:t>For the six months ended June 30, 2022, other income (expenses) was $1.5 million of income primarily</w:t>
      </w:r>
      <w:r>
        <w:rPr>
          <w:rFonts w:ascii="Arial" w:cs="Arial" w:eastAsia="Arial" w:hAnsi="Arial"/>
          <w:sz w:val="15"/>
          <w:szCs w:val="15"/>
          <w:b w:val="1"/>
          <w:bCs w:val="1"/>
          <w:color w:val="auto"/>
        </w:rPr>
        <w:t xml:space="preserve"> </w:t>
      </w:r>
      <w:r>
        <w:rPr>
          <w:rFonts w:ascii="Arial" w:cs="Arial" w:eastAsia="Arial" w:hAnsi="Arial"/>
          <w:sz w:val="15"/>
          <w:szCs w:val="15"/>
          <w:color w:val="auto"/>
        </w:rPr>
        <w:t>related to gains from our noncontrolling investments partially offset by increased expenses associated with certain employee benefit plans and losses on foreign currency transactions.</w:t>
      </w:r>
    </w:p>
    <w:p>
      <w:pPr>
        <w:spacing w:after="0" w:line="153" w:lineRule="exact"/>
        <w:rPr>
          <w:sz w:val="20"/>
          <w:szCs w:val="20"/>
          <w:color w:val="auto"/>
        </w:rPr>
      </w:pPr>
    </w:p>
    <w:p>
      <w:pPr>
        <w:ind w:left="40" w:right="219" w:firstLine="547"/>
        <w:spacing w:after="0" w:line="279" w:lineRule="auto"/>
        <w:rPr>
          <w:sz w:val="20"/>
          <w:szCs w:val="20"/>
          <w:color w:val="auto"/>
        </w:rPr>
      </w:pPr>
      <w:r>
        <w:rPr>
          <w:rFonts w:ascii="Arial" w:cs="Arial" w:eastAsia="Arial" w:hAnsi="Arial"/>
          <w:sz w:val="15"/>
          <w:szCs w:val="15"/>
          <w:color w:val="auto"/>
        </w:rPr>
        <w:t>For the six months ended June 30, 2021, other income (expense) was income of $2.3 million which was primarily related to gains from our noncontrolling investments partially offset by a net loss on foreign currency transactions.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color w:val="auto"/>
        </w:rPr>
        <w:t>Our effective tax rate for the six months ended June 30, 2022 and 2021 was 23.8% and (19.7%), respectively.</w:t>
      </w:r>
    </w:p>
    <w:p>
      <w:pPr>
        <w:spacing w:after="0" w:line="196" w:lineRule="exact"/>
        <w:rPr>
          <w:sz w:val="20"/>
          <w:szCs w:val="20"/>
          <w:color w:val="auto"/>
        </w:rPr>
      </w:pPr>
    </w:p>
    <w:p>
      <w:pPr>
        <w:ind w:left="40" w:right="159" w:firstLine="547"/>
        <w:spacing w:after="0" w:line="258" w:lineRule="auto"/>
        <w:rPr>
          <w:sz w:val="20"/>
          <w:szCs w:val="20"/>
          <w:color w:val="auto"/>
        </w:rPr>
      </w:pPr>
      <w:r>
        <w:rPr>
          <w:rFonts w:ascii="Arial" w:cs="Arial" w:eastAsia="Arial" w:hAnsi="Arial"/>
          <w:sz w:val="15"/>
          <w:szCs w:val="15"/>
          <w:color w:val="auto"/>
        </w:rPr>
        <w:t>We recorded an income tax benefit of $1.0 million in relation to a pretax loss of $4.3 million for the six months ended June 30, 2022. The effective tax rate for the six months ended June 30, 2022 was primarily impacted by the following items (i) the mix of income generated among the jurisdictions in which we operate,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$0.8 million expense for interest on unrecognized tax positions.</w:t>
      </w:r>
    </w:p>
    <w:p>
      <w:pPr>
        <w:spacing w:after="0" w:line="163" w:lineRule="exact"/>
        <w:rPr>
          <w:sz w:val="20"/>
          <w:szCs w:val="20"/>
          <w:color w:val="auto"/>
        </w:rPr>
      </w:pPr>
    </w:p>
    <w:p>
      <w:pPr>
        <w:ind w:left="40" w:right="79" w:firstLine="547"/>
        <w:spacing w:after="0" w:line="294" w:lineRule="auto"/>
        <w:rPr>
          <w:sz w:val="20"/>
          <w:szCs w:val="20"/>
          <w:color w:val="auto"/>
        </w:rPr>
      </w:pPr>
      <w:r>
        <w:rPr>
          <w:rFonts w:ascii="Arial" w:cs="Arial" w:eastAsia="Arial" w:hAnsi="Arial"/>
          <w:sz w:val="14"/>
          <w:szCs w:val="14"/>
          <w:color w:val="auto"/>
        </w:rPr>
        <w:t>The effective tax rate for the six months ended June 30, 2021 was primarily impacted by the following items: (i) the mix of income generated among the jurisdictions in which we operate and (ii) discrete items including a $3.4 million benefit from the reversal of an unrecognized tax position due to a statute of limitations expiration and a $1.0 million expense for interest on unrecognized tax positions.</w:t>
      </w:r>
    </w:p>
    <w:p>
      <w:pPr>
        <w:spacing w:after="0" w:line="137" w:lineRule="exact"/>
        <w:rPr>
          <w:sz w:val="20"/>
          <w:szCs w:val="20"/>
          <w:color w:val="auto"/>
        </w:rPr>
      </w:pPr>
    </w:p>
    <w:p>
      <w:pPr>
        <w:ind w:left="40" w:right="119" w:firstLine="547"/>
        <w:spacing w:after="0" w:line="257" w:lineRule="auto"/>
        <w:rPr>
          <w:sz w:val="20"/>
          <w:szCs w:val="20"/>
          <w:color w:val="auto"/>
        </w:rPr>
      </w:pPr>
      <w:r>
        <w:rPr>
          <w:rFonts w:ascii="Arial" w:cs="Arial" w:eastAsia="Arial" w:hAnsi="Arial"/>
          <w:sz w:val="15"/>
          <w:szCs w:val="15"/>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159" w:lineRule="exact"/>
        <w:rPr>
          <w:sz w:val="20"/>
          <w:szCs w:val="20"/>
          <w:color w:val="auto"/>
        </w:rPr>
      </w:pPr>
    </w:p>
    <w:p>
      <w:pPr>
        <w:ind w:left="40" w:right="79" w:firstLine="547"/>
        <w:spacing w:after="0" w:line="264" w:lineRule="auto"/>
        <w:rPr>
          <w:sz w:val="20"/>
          <w:szCs w:val="20"/>
          <w:color w:val="auto"/>
        </w:rPr>
      </w:pPr>
      <w:r>
        <w:rPr>
          <w:rFonts w:ascii="Arial" w:cs="Arial" w:eastAsia="Arial" w:hAnsi="Arial"/>
          <w:sz w:val="15"/>
          <w:szCs w:val="15"/>
          <w:b w:val="1"/>
          <w:bCs w:val="1"/>
          <w:color w:val="auto"/>
        </w:rPr>
        <w:t xml:space="preserve">Net income attributable to noncontrolling interests, net of tax. </w:t>
      </w:r>
      <w:r>
        <w:rPr>
          <w:rFonts w:ascii="Arial" w:cs="Arial" w:eastAsia="Arial" w:hAnsi="Arial"/>
          <w:sz w:val="15"/>
          <w:szCs w:val="15"/>
          <w:color w:val="auto"/>
        </w:rPr>
        <w:t>Net income attributable to noncontrolling interests, net of tax reflected</w:t>
      </w:r>
      <w:r>
        <w:rPr>
          <w:rFonts w:ascii="Arial" w:cs="Arial" w:eastAsia="Arial" w:hAnsi="Arial"/>
          <w:sz w:val="15"/>
          <w:szCs w:val="15"/>
          <w:b w:val="1"/>
          <w:bCs w:val="1"/>
          <w:color w:val="auto"/>
        </w:rPr>
        <w:t xml:space="preserve"> </w:t>
      </w:r>
      <w:r>
        <w:rPr>
          <w:rFonts w:ascii="Arial" w:cs="Arial" w:eastAsia="Arial" w:hAnsi="Arial"/>
          <w:sz w:val="15"/>
          <w:szCs w:val="15"/>
          <w:color w:val="auto"/>
        </w:rPr>
        <w:t>an allocation of $1.8 million of losses and $2.8 million of income generated by our less than wholly owned subsidiaries for the six months ended June 30, 2022 and 2021, respectively. Changes in net income attributable to noncontrolling interests, net of tax, within our segments, consisted of the following:</w:t>
      </w:r>
    </w:p>
    <w:p>
      <w:pPr>
        <w:spacing w:after="0" w:line="156" w:lineRule="exact"/>
        <w:rPr>
          <w:sz w:val="20"/>
          <w:szCs w:val="20"/>
          <w:color w:val="auto"/>
        </w:rPr>
      </w:pPr>
    </w:p>
    <w:p>
      <w:pPr>
        <w:ind w:left="600" w:right="199" w:hanging="267"/>
        <w:spacing w:after="0" w:line="266" w:lineRule="auto"/>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International Telecom</w:t>
      </w:r>
      <w:r>
        <w:rPr>
          <w:rFonts w:ascii="Arial" w:cs="Arial" w:eastAsia="Arial" w:hAnsi="Arial"/>
          <w:sz w:val="15"/>
          <w:szCs w:val="15"/>
          <w:color w:val="auto"/>
        </w:rPr>
        <w:t>. Within our International Telecom segment, net income attributable to noncontrolling interests, net of tax</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by $1.1 million, or 31.4%, to an allocation of $2.4 million of income from an allocation of $3.5 million of income for the six months ended June 30, 2022 and 2021, respectively, primarily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3" w:name="page64"/>
    <w:bookmarkEnd w:id="6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0" w:right="239"/>
        <w:spacing w:after="0" w:line="279" w:lineRule="auto"/>
        <w:rPr>
          <w:sz w:val="20"/>
          <w:szCs w:val="20"/>
          <w:color w:val="auto"/>
        </w:rPr>
      </w:pPr>
      <w:r>
        <w:rPr>
          <w:rFonts w:ascii="Arial" w:cs="Arial" w:eastAsia="Arial" w:hAnsi="Arial"/>
          <w:sz w:val="15"/>
          <w:szCs w:val="15"/>
          <w:color w:val="auto"/>
        </w:rPr>
        <w:t>as a result of reduced profitability at our less than wholly owned subsidiaries partially offset by an increase in our ownership in certain international markets.</w:t>
      </w:r>
    </w:p>
    <w:p>
      <w:pPr>
        <w:spacing w:after="0" w:line="146" w:lineRule="exact"/>
        <w:rPr>
          <w:sz w:val="20"/>
          <w:szCs w:val="20"/>
          <w:color w:val="auto"/>
        </w:rPr>
      </w:pPr>
    </w:p>
    <w:p>
      <w:pPr>
        <w:ind w:left="600" w:right="99" w:hanging="267"/>
        <w:spacing w:after="0" w:line="262" w:lineRule="auto"/>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US Telecom</w:t>
      </w:r>
      <w:r>
        <w:rPr>
          <w:rFonts w:ascii="Arial" w:cs="Arial" w:eastAsia="Arial" w:hAnsi="Arial"/>
          <w:sz w:val="15"/>
          <w:szCs w:val="15"/>
          <w:color w:val="auto"/>
        </w:rPr>
        <w:t>. Within our US Telecom segment, net income attributable to noncontrolling interests, net of tax decreased by $4.3 million to</w:t>
      </w:r>
      <w:r>
        <w:rPr>
          <w:rFonts w:ascii="Arial" w:cs="Arial" w:eastAsia="Arial" w:hAnsi="Arial"/>
          <w:sz w:val="15"/>
          <w:szCs w:val="15"/>
          <w:i w:val="1"/>
          <w:iCs w:val="1"/>
          <w:color w:val="auto"/>
        </w:rPr>
        <w:t xml:space="preserve"> </w:t>
      </w:r>
      <w:r>
        <w:rPr>
          <w:rFonts w:ascii="Arial" w:cs="Arial" w:eastAsia="Arial" w:hAnsi="Arial"/>
          <w:sz w:val="15"/>
          <w:szCs w:val="15"/>
          <w:color w:val="auto"/>
        </w:rPr>
        <w:t>an allocation of losses of $4.2 million from an allocation of income of $0.1 million for the six months ended June 30, 2022 and 2021, respectively, as a result of the Alaska Transaction and reduced profitability in certain less than wholly owned subsidiaries within our US Mobility operations.</w:t>
      </w:r>
    </w:p>
    <w:p>
      <w:pPr>
        <w:spacing w:after="0" w:line="154" w:lineRule="exact"/>
        <w:rPr>
          <w:sz w:val="20"/>
          <w:szCs w:val="20"/>
          <w:color w:val="auto"/>
        </w:rPr>
      </w:pPr>
    </w:p>
    <w:p>
      <w:pPr>
        <w:ind w:left="40" w:right="259" w:firstLine="547"/>
        <w:spacing w:after="0" w:line="269" w:lineRule="auto"/>
        <w:rPr>
          <w:sz w:val="20"/>
          <w:szCs w:val="20"/>
          <w:color w:val="auto"/>
        </w:rPr>
      </w:pPr>
      <w:r>
        <w:rPr>
          <w:rFonts w:ascii="Arial" w:cs="Arial" w:eastAsia="Arial" w:hAnsi="Arial"/>
          <w:sz w:val="15"/>
          <w:szCs w:val="15"/>
          <w:b w:val="1"/>
          <w:bCs w:val="1"/>
          <w:color w:val="auto"/>
        </w:rPr>
        <w:t xml:space="preserve">Net income (loss) attributable to ATN International, Inc. stockholders. </w:t>
      </w:r>
      <w:r>
        <w:rPr>
          <w:rFonts w:ascii="Arial" w:cs="Arial" w:eastAsia="Arial" w:hAnsi="Arial"/>
          <w:sz w:val="15"/>
          <w:szCs w:val="15"/>
          <w:color w:val="auto"/>
        </w:rPr>
        <w:t>Net income (loss) attributable to ATN International, Inc.</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was a loss of $1.5 million for the six months ended June 30, 2022 as compared to income of $4.7 million for the six months ended June 30, 2021.</w:t>
      </w:r>
    </w:p>
    <w:p>
      <w:pPr>
        <w:spacing w:after="0" w:line="153" w:lineRule="exact"/>
        <w:rPr>
          <w:sz w:val="20"/>
          <w:szCs w:val="20"/>
          <w:color w:val="auto"/>
        </w:rPr>
      </w:pPr>
    </w:p>
    <w:p>
      <w:pPr>
        <w:ind w:left="40" w:right="339" w:firstLine="547"/>
        <w:spacing w:after="0" w:line="266" w:lineRule="auto"/>
        <w:rPr>
          <w:sz w:val="20"/>
          <w:szCs w:val="20"/>
          <w:color w:val="auto"/>
        </w:rPr>
      </w:pPr>
      <w:r>
        <w:rPr>
          <w:rFonts w:ascii="Arial" w:cs="Arial" w:eastAsia="Arial" w:hAnsi="Arial"/>
          <w:sz w:val="15"/>
          <w:szCs w:val="15"/>
          <w:color w:val="auto"/>
        </w:rPr>
        <w:t>On a per diluted share basis, net income (loss) was a loss of $0.24 per diluted share for the six months ended June 30, 2022 (which includes the impact of accrued preferred dividends of $2.3 million) as compared to income of $0.30 per diluted share for the six months ended June 30, 2021.</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Regulatory and Tax Issues</w:t>
      </w:r>
    </w:p>
    <w:p>
      <w:pPr>
        <w:spacing w:after="0" w:line="196" w:lineRule="exact"/>
        <w:rPr>
          <w:sz w:val="20"/>
          <w:szCs w:val="20"/>
          <w:color w:val="auto"/>
        </w:rPr>
      </w:pPr>
    </w:p>
    <w:p>
      <w:pPr>
        <w:ind w:left="40" w:right="259" w:firstLine="547"/>
        <w:spacing w:after="0" w:line="266" w:lineRule="auto"/>
        <w:rPr>
          <w:sz w:val="20"/>
          <w:szCs w:val="20"/>
          <w:color w:val="auto"/>
        </w:rPr>
      </w:pPr>
      <w:r>
        <w:rPr>
          <w:rFonts w:ascii="Arial" w:cs="Arial" w:eastAsia="Arial" w:hAnsi="Arial"/>
          <w:sz w:val="15"/>
          <w:szCs w:val="15"/>
          <w:color w:val="auto"/>
        </w:rPr>
        <w:t>We are involved in a number of regulatory and tax proceedings. A material and adverse outcome in one or more of these proceedings could have a material adverse impact on our financial condition and future operations. For a discussion of ongoing proceedings, see Note 14 to the Consolidated Financial Statements in this Report.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Tax Reform</w:t>
      </w:r>
    </w:p>
    <w:p>
      <w:pPr>
        <w:spacing w:after="0" w:line="192" w:lineRule="exact"/>
        <w:rPr>
          <w:sz w:val="20"/>
          <w:szCs w:val="20"/>
          <w:color w:val="auto"/>
        </w:rPr>
      </w:pPr>
    </w:p>
    <w:p>
      <w:pPr>
        <w:ind w:left="40" w:right="59" w:firstLine="547"/>
        <w:spacing w:after="0" w:line="277" w:lineRule="auto"/>
        <w:rPr>
          <w:sz w:val="20"/>
          <w:szCs w:val="20"/>
          <w:color w:val="auto"/>
        </w:rPr>
      </w:pPr>
      <w:r>
        <w:rPr>
          <w:rFonts w:ascii="Arial" w:cs="Arial" w:eastAsia="Arial" w:hAnsi="Arial"/>
          <w:sz w:val="14"/>
          <w:szCs w:val="14"/>
          <w:color w:val="auto"/>
        </w:rPr>
        <w:t>The Tax Cuts and Jobs Act of 2017 (the “Tax Act”), which was signed into law on December 22, 2017, has resulted in significant changes to the US corporate income tax system and the US Virgin Islands mirror code which replaces “United States” with “US Virgin Islands” throughout the Internal Revenue Code. The Tax Act transitions international taxation from a worldwide system to a modified territorial system and includes two base erosion prevention measures on non-US earnings, which has the effect of subjecting certain earnings of our foreign subsidiaries to US taxation as global intangible low taxed income (“GILTI”), eliminates the deduction of certain payments made to related foreign corporations, and imposes a minimum tax if greater than regular tax under the base-erosion and anti-abuse tax (“BEAT”). These changes became effective beginning in 2018 but did not have an impact on us in the initial or following years. Based on our forecasted income for 2022, we are not currently projecting a GILTI inclusion. We do not expect we will be subject to BEAT and therefore have not included any tax impacts of BEAT in our consolidated financial statements for the quarter ended June 30,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Liquidity and Capital Resources</w:t>
      </w:r>
    </w:p>
    <w:p>
      <w:pPr>
        <w:spacing w:after="0" w:line="196" w:lineRule="exact"/>
        <w:rPr>
          <w:sz w:val="20"/>
          <w:szCs w:val="20"/>
          <w:color w:val="auto"/>
        </w:rPr>
      </w:pPr>
    </w:p>
    <w:p>
      <w:pPr>
        <w:ind w:left="40" w:right="159" w:firstLine="547"/>
        <w:spacing w:after="0" w:line="286" w:lineRule="auto"/>
        <w:rPr>
          <w:sz w:val="20"/>
          <w:szCs w:val="20"/>
          <w:color w:val="auto"/>
        </w:rPr>
      </w:pPr>
      <w:r>
        <w:rPr>
          <w:rFonts w:ascii="Arial" w:cs="Arial" w:eastAsia="Arial" w:hAnsi="Arial"/>
          <w:sz w:val="14"/>
          <w:szCs w:val="14"/>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 xml:space="preserve">Total liquidity. </w:t>
      </w:r>
      <w:r>
        <w:rPr>
          <w:rFonts w:ascii="Arial" w:cs="Arial" w:eastAsia="Arial" w:hAnsi="Arial"/>
          <w:sz w:val="14"/>
          <w:szCs w:val="14"/>
          <w:color w:val="auto"/>
        </w:rPr>
        <w:t>As of June 30, 2022, we had approximately $72.2 million in cash, cash equivalents and restricted cash. Of this amount,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$25.5 million was held by our foreign subsidiaries and is indefinitely invested outside the United States. In addition, we had approximately $396.6</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million of debt, net of unamortized deferred financing costs, as of June 30, 2022. How and when we deploy our balance sheet capacity will figure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prominently in our longer-term growth prospects and stockholder returns.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Uses of Cash</w:t>
      </w:r>
    </w:p>
    <w:p>
      <w:pPr>
        <w:spacing w:after="0" w:line="192" w:lineRule="exact"/>
        <w:rPr>
          <w:sz w:val="20"/>
          <w:szCs w:val="20"/>
          <w:color w:val="auto"/>
        </w:rPr>
      </w:pPr>
    </w:p>
    <w:p>
      <w:pPr>
        <w:ind w:left="40" w:right="239" w:firstLine="547"/>
        <w:spacing w:after="0" w:line="279" w:lineRule="auto"/>
        <w:rPr>
          <w:sz w:val="20"/>
          <w:szCs w:val="20"/>
          <w:color w:val="auto"/>
        </w:rPr>
      </w:pPr>
      <w:r>
        <w:rPr>
          <w:rFonts w:ascii="Arial" w:cs="Arial" w:eastAsia="Arial" w:hAnsi="Arial"/>
          <w:sz w:val="15"/>
          <w:szCs w:val="15"/>
          <w:i w:val="1"/>
          <w:iCs w:val="1"/>
          <w:color w:val="auto"/>
        </w:rPr>
        <w:t xml:space="preserve">Acquisitions and investments. </w:t>
      </w:r>
      <w:r>
        <w:rPr>
          <w:rFonts w:ascii="Arial" w:cs="Arial" w:eastAsia="Arial" w:hAnsi="Arial"/>
          <w:sz w:val="15"/>
          <w:szCs w:val="15"/>
          <w:color w:val="auto"/>
        </w:rPr>
        <w:t>We have historically funded our acquisitions with a combination of cash-on-hand, borrowings under our</w:t>
      </w:r>
      <w:r>
        <w:rPr>
          <w:rFonts w:ascii="Arial" w:cs="Arial" w:eastAsia="Arial" w:hAnsi="Arial"/>
          <w:sz w:val="15"/>
          <w:szCs w:val="15"/>
          <w:i w:val="1"/>
          <w:iCs w:val="1"/>
          <w:color w:val="auto"/>
        </w:rPr>
        <w:t xml:space="preserve"> </w:t>
      </w:r>
      <w:r>
        <w:rPr>
          <w:rFonts w:ascii="Arial" w:cs="Arial" w:eastAsia="Arial" w:hAnsi="Arial"/>
          <w:sz w:val="15"/>
          <w:szCs w:val="15"/>
          <w:color w:val="auto"/>
        </w:rPr>
        <w:t>credit facilities as well as equity investor and seller financings.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4" w:name="page65"/>
    <w:bookmarkEnd w:id="6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639" w:firstLine="547"/>
        <w:spacing w:after="0" w:line="279" w:lineRule="auto"/>
        <w:rPr>
          <w:sz w:val="20"/>
          <w:szCs w:val="20"/>
          <w:color w:val="auto"/>
        </w:rPr>
      </w:pPr>
      <w:r>
        <w:rPr>
          <w:rFonts w:ascii="Arial" w:cs="Arial" w:eastAsia="Arial" w:hAnsi="Arial"/>
          <w:sz w:val="15"/>
          <w:szCs w:val="15"/>
          <w:i w:val="1"/>
          <w:iCs w:val="1"/>
          <w:color w:val="auto"/>
        </w:rPr>
        <w:t xml:space="preserve">Alaska Transaction. </w:t>
      </w:r>
      <w:r>
        <w:rPr>
          <w:rFonts w:ascii="Arial" w:cs="Arial" w:eastAsia="Arial" w:hAnsi="Arial"/>
          <w:sz w:val="15"/>
          <w:szCs w:val="15"/>
          <w:color w:val="auto"/>
        </w:rPr>
        <w:t>On July 22, 2021, Alaska Communications entered into a new debt financing in connection with the Alaska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Transaction. See </w:t>
      </w:r>
      <w:r>
        <w:rPr>
          <w:rFonts w:ascii="Arial" w:cs="Arial" w:eastAsia="Arial" w:hAnsi="Arial"/>
          <w:sz w:val="15"/>
          <w:szCs w:val="15"/>
          <w:i w:val="1"/>
          <w:iCs w:val="1"/>
          <w:color w:val="auto"/>
        </w:rPr>
        <w:t>Acquisition of Alaska Communications System Group, Inc.</w:t>
      </w:r>
    </w:p>
    <w:p>
      <w:pPr>
        <w:spacing w:after="0" w:line="89" w:lineRule="exact"/>
        <w:rPr>
          <w:sz w:val="20"/>
          <w:szCs w:val="20"/>
          <w:color w:val="auto"/>
        </w:rPr>
      </w:pPr>
    </w:p>
    <w:p>
      <w:pPr>
        <w:ind w:left="40" w:right="139" w:firstLine="547"/>
        <w:spacing w:after="0" w:line="309" w:lineRule="auto"/>
        <w:rPr>
          <w:sz w:val="20"/>
          <w:szCs w:val="20"/>
          <w:color w:val="auto"/>
        </w:rPr>
      </w:pPr>
      <w:r>
        <w:rPr>
          <w:rFonts w:ascii="Arial" w:cs="Arial" w:eastAsia="Arial" w:hAnsi="Arial"/>
          <w:sz w:val="13"/>
          <w:szCs w:val="13"/>
          <w:color w:val="auto"/>
        </w:rPr>
        <w:t>We continue to explore opportunities to expand our telecommunications business or acquire new businesses and telecommunications licenses in the United States, the Caribbean and elsewhere. Such acquisitions may require external financing. While there can be no assurance as to whether, when or on what terms we will be able to acquire any such businesses or licenses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74"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4"/>
          <w:szCs w:val="14"/>
          <w:i w:val="1"/>
          <w:iCs w:val="1"/>
          <w:color w:val="auto"/>
        </w:rPr>
        <w:t xml:space="preserve">Cash used in investing activities. </w:t>
      </w:r>
      <w:r>
        <w:rPr>
          <w:rFonts w:ascii="Arial" w:cs="Arial" w:eastAsia="Arial" w:hAnsi="Arial"/>
          <w:sz w:val="14"/>
          <w:szCs w:val="14"/>
          <w:color w:val="auto"/>
        </w:rPr>
        <w:t>Cash used in investing activities increased by $49.4 million to $74.7 million from $25.3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six months ended June 30, 2022 and 2021, respectively. Capital expenditures for the six months ended June 30, 2022 and 2021 were $75.1 million and $41.9 million, respectively. Of these capital expenditure amounts, $3.9 million and $6.5 million for the six months ended June 30, 2022 and 2021, respectively, are reimbursable. We also incurred expenditures of $1.4 million and $5.2 million during the six months ended June 30, 2022 and 2021, respectively, for strategic investments. Partially offsetting these expenditures were cash receipts of $1.8 million and $18.6 million during the six months ended June 30, 2022 and 2021, respectively, for the proceeds from the Vibrant Transaction and a receipt of $3.3 million during the six months ended June 30, 2021 for certain government grants.</w:t>
      </w:r>
    </w:p>
    <w:p>
      <w:pPr>
        <w:spacing w:after="0" w:line="148" w:lineRule="exact"/>
        <w:rPr>
          <w:sz w:val="20"/>
          <w:szCs w:val="20"/>
          <w:color w:val="auto"/>
        </w:rPr>
      </w:pPr>
    </w:p>
    <w:p>
      <w:pPr>
        <w:ind w:left="40" w:right="79" w:firstLine="585"/>
        <w:spacing w:after="0" w:line="280" w:lineRule="auto"/>
        <w:rPr>
          <w:sz w:val="20"/>
          <w:szCs w:val="20"/>
          <w:color w:val="auto"/>
        </w:rPr>
      </w:pPr>
      <w:r>
        <w:rPr>
          <w:rFonts w:ascii="Arial" w:cs="Arial" w:eastAsia="Arial" w:hAnsi="Arial"/>
          <w:sz w:val="14"/>
          <w:szCs w:val="14"/>
          <w:i w:val="1"/>
          <w:iCs w:val="1"/>
          <w:color w:val="auto"/>
        </w:rPr>
        <w:t xml:space="preserve">Cash provided by (used in) financing activities. </w:t>
      </w:r>
      <w:r>
        <w:rPr>
          <w:rFonts w:ascii="Arial" w:cs="Arial" w:eastAsia="Arial" w:hAnsi="Arial"/>
          <w:sz w:val="14"/>
          <w:szCs w:val="14"/>
          <w:color w:val="auto"/>
        </w:rPr>
        <w:t>Our financing activities provided us with $15.4 million during the six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June 30, 2022. For the six months ended June 30, 2021, we used $11.2 million for our financing activities. The net change of $26.6 million was primarily a result of an increase in borrowings from our credit facilities of $39.4 million partially offset by the increase in our repayments under those facilities of $25.4 million. Other significant changes in financing activities included the decreases in payments made for the repurchase of noncontrolling interests in our less than wholly-owned subsidiaries, distributions made to the minority stockholders of our less than wholly-owned subsidiaries and the repurchase of our common stock of $8.2 million, $3.1 million and $1.3 million, respectively.</w:t>
      </w:r>
    </w:p>
    <w:p>
      <w:pPr>
        <w:spacing w:after="0" w:line="149" w:lineRule="exact"/>
        <w:rPr>
          <w:sz w:val="20"/>
          <w:szCs w:val="20"/>
          <w:color w:val="auto"/>
        </w:rPr>
      </w:pPr>
    </w:p>
    <w:p>
      <w:pPr>
        <w:jc w:val="both"/>
        <w:ind w:left="40" w:right="79" w:firstLine="547"/>
        <w:spacing w:after="0" w:line="266" w:lineRule="auto"/>
        <w:rPr>
          <w:sz w:val="20"/>
          <w:szCs w:val="20"/>
          <w:color w:val="auto"/>
        </w:rPr>
      </w:pPr>
      <w:r>
        <w:rPr>
          <w:rFonts w:ascii="Arial" w:cs="Arial" w:eastAsia="Arial" w:hAnsi="Arial"/>
          <w:sz w:val="15"/>
          <w:szCs w:val="15"/>
          <w:i w:val="1"/>
          <w:iCs w:val="1"/>
          <w:color w:val="auto"/>
        </w:rPr>
        <w:t xml:space="preserve">Working Capital. </w:t>
      </w:r>
      <w:r>
        <w:rPr>
          <w:rFonts w:ascii="Arial" w:cs="Arial" w:eastAsia="Arial" w:hAnsi="Arial"/>
          <w:sz w:val="15"/>
          <w:szCs w:val="15"/>
          <w:color w:val="auto"/>
        </w:rPr>
        <w:t>Historically, we have internally funded our working capital needs. Pursuant to the FirstNet Agreement, AT&amp;T has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156" w:lineRule="exact"/>
        <w:rPr>
          <w:sz w:val="20"/>
          <w:szCs w:val="20"/>
          <w:color w:val="auto"/>
        </w:rPr>
      </w:pPr>
    </w:p>
    <w:p>
      <w:pPr>
        <w:ind w:left="40" w:right="879" w:firstLine="547"/>
        <w:spacing w:after="0" w:line="279" w:lineRule="auto"/>
        <w:rPr>
          <w:sz w:val="20"/>
          <w:szCs w:val="20"/>
          <w:color w:val="auto"/>
        </w:rPr>
      </w:pPr>
      <w:r>
        <w:rPr>
          <w:rFonts w:ascii="Arial" w:cs="Arial" w:eastAsia="Arial" w:hAnsi="Arial"/>
          <w:sz w:val="15"/>
          <w:szCs w:val="15"/>
          <w:i w:val="1"/>
          <w:iCs w:val="1"/>
          <w:color w:val="auto"/>
        </w:rPr>
        <w:t xml:space="preserve">Capital expenditures. </w:t>
      </w:r>
      <w:r>
        <w:rPr>
          <w:rFonts w:ascii="Arial" w:cs="Arial" w:eastAsia="Arial" w:hAnsi="Arial"/>
          <w:sz w:val="15"/>
          <w:szCs w:val="15"/>
          <w:color w:val="auto"/>
        </w:rPr>
        <w:t>Historically, a significant use of our cash has been for capital expenditures to expand and upgrade our</w:t>
      </w:r>
      <w:r>
        <w:rPr>
          <w:rFonts w:ascii="Arial" w:cs="Arial" w:eastAsia="Arial" w:hAnsi="Arial"/>
          <w:sz w:val="15"/>
          <w:szCs w:val="15"/>
          <w:i w:val="1"/>
          <w:iCs w:val="1"/>
          <w:color w:val="auto"/>
        </w:rPr>
        <w:t xml:space="preserve"> </w:t>
      </w:r>
      <w:r>
        <w:rPr>
          <w:rFonts w:ascii="Arial" w:cs="Arial" w:eastAsia="Arial" w:hAnsi="Arial"/>
          <w:sz w:val="15"/>
          <w:szCs w:val="15"/>
          <w:color w:val="auto"/>
        </w:rPr>
        <w:t>telecommunications networks and to expand our previously owned renewable energy operations.</w:t>
      </w:r>
    </w:p>
    <w:p>
      <w:pPr>
        <w:spacing w:after="0" w:line="55" w:lineRule="exact"/>
        <w:rPr>
          <w:sz w:val="20"/>
          <w:szCs w:val="20"/>
          <w:color w:val="auto"/>
        </w:rPr>
      </w:pPr>
    </w:p>
    <w:p>
      <w:pPr>
        <w:ind w:left="40" w:right="159" w:firstLine="547"/>
        <w:spacing w:after="0" w:line="278" w:lineRule="auto"/>
        <w:rPr>
          <w:sz w:val="20"/>
          <w:szCs w:val="20"/>
          <w:color w:val="auto"/>
        </w:rPr>
      </w:pPr>
      <w:r>
        <w:rPr>
          <w:rFonts w:ascii="Arial" w:cs="Arial" w:eastAsia="Arial" w:hAnsi="Arial"/>
          <w:sz w:val="14"/>
          <w:szCs w:val="14"/>
          <w:color w:val="auto"/>
        </w:rPr>
        <w:t>For the six months ended June 30, 2022 and 2021, we spent approximately $75.1 million and $41.9 million, respectively, on capital expenditures relating to our telecommunications networks and our business support systems of which $3.9 million and $6.5 million, respectively, are reimbursable. The following notes our capital expenditures, by operating segment, for these periods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rPr>
              <w:t>Capital Expenditures</w:t>
            </w: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3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Six months ended June 30,</w:t>
            </w: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7"/>
              </w:rPr>
              <w:t>International</w:t>
            </w:r>
          </w:p>
        </w:tc>
        <w:tc>
          <w:tcPr>
            <w:tcW w:w="28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US</w:t>
            </w:r>
          </w:p>
        </w:tc>
        <w:tc>
          <w:tcPr>
            <w:tcW w:w="220" w:type="dxa"/>
            <w:vAlign w:val="bottom"/>
          </w:tcPr>
          <w:p>
            <w:pPr>
              <w:spacing w:after="0"/>
              <w:rPr>
                <w:sz w:val="24"/>
                <w:szCs w:val="24"/>
                <w:color w:val="auto"/>
              </w:rPr>
            </w:pPr>
          </w:p>
        </w:tc>
        <w:tc>
          <w:tcPr>
            <w:tcW w:w="1140" w:type="dxa"/>
            <w:vAlign w:val="bottom"/>
          </w:tcPr>
          <w:p>
            <w:pPr>
              <w:jc w:val="right"/>
              <w:ind w:right="192"/>
              <w:spacing w:after="0"/>
              <w:rPr>
                <w:sz w:val="20"/>
                <w:szCs w:val="20"/>
                <w:color w:val="auto"/>
              </w:rPr>
            </w:pPr>
            <w:r>
              <w:rPr>
                <w:rFonts w:ascii="Arial" w:cs="Arial" w:eastAsia="Arial" w:hAnsi="Arial"/>
                <w:sz w:val="12"/>
                <w:szCs w:val="12"/>
                <w:b w:val="1"/>
                <w:bCs w:val="1"/>
                <w:color w:val="auto"/>
              </w:rPr>
              <w:t>Corporate and</w:t>
            </w:r>
          </w:p>
        </w:tc>
        <w:tc>
          <w:tcPr>
            <w:tcW w:w="360" w:type="dxa"/>
            <w:vAlign w:val="bottom"/>
          </w:tcPr>
          <w:p>
            <w:pPr>
              <w:spacing w:after="0"/>
              <w:rPr>
                <w:sz w:val="24"/>
                <w:szCs w:val="24"/>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45"/>
        </w:trPr>
        <w:tc>
          <w:tcPr>
            <w:tcW w:w="3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Telecom</w:t>
            </w:r>
          </w:p>
        </w:tc>
        <w:tc>
          <w:tcPr>
            <w:tcW w:w="2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Telecom</w:t>
            </w:r>
          </w:p>
        </w:tc>
        <w:tc>
          <w:tcPr>
            <w:tcW w:w="220" w:type="dxa"/>
            <w:vAlign w:val="bottom"/>
          </w:tcPr>
          <w:p>
            <w:pPr>
              <w:spacing w:after="0"/>
              <w:rPr>
                <w:sz w:val="12"/>
                <w:szCs w:val="12"/>
                <w:color w:val="auto"/>
              </w:rPr>
            </w:pPr>
          </w:p>
        </w:tc>
        <w:tc>
          <w:tcPr>
            <w:tcW w:w="1140" w:type="dxa"/>
            <w:vAlign w:val="bottom"/>
          </w:tcPr>
          <w:p>
            <w:pPr>
              <w:jc w:val="right"/>
              <w:ind w:right="332"/>
              <w:spacing w:after="0"/>
              <w:rPr>
                <w:sz w:val="20"/>
                <w:szCs w:val="20"/>
                <w:color w:val="auto"/>
              </w:rPr>
            </w:pPr>
            <w:r>
              <w:rPr>
                <w:rFonts w:ascii="Arial" w:cs="Arial" w:eastAsia="Arial" w:hAnsi="Arial"/>
                <w:sz w:val="12"/>
                <w:szCs w:val="12"/>
                <w:b w:val="1"/>
                <w:bCs w:val="1"/>
                <w:color w:val="auto"/>
              </w:rPr>
              <w:t>Other (1)</w:t>
            </w:r>
          </w:p>
        </w:tc>
        <w:tc>
          <w:tcPr>
            <w:tcW w:w="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2022</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33,870</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5"/>
                <w:szCs w:val="15"/>
                <w:color w:val="auto"/>
                <w:w w:val="95"/>
              </w:rPr>
              <w:t>40,804</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5"/>
                <w:szCs w:val="15"/>
                <w:color w:val="auto"/>
              </w:rPr>
              <w:t>424</w:t>
            </w:r>
          </w:p>
        </w:tc>
        <w:tc>
          <w:tcPr>
            <w:tcW w:w="36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75,098</w:t>
            </w:r>
          </w:p>
        </w:tc>
        <w:tc>
          <w:tcPr>
            <w:tcW w:w="0" w:type="dxa"/>
            <w:vAlign w:val="bottom"/>
          </w:tcPr>
          <w:p>
            <w:pPr>
              <w:spacing w:after="0"/>
              <w:rPr>
                <w:sz w:val="1"/>
                <w:szCs w:val="1"/>
                <w:color w:val="auto"/>
              </w:rPr>
            </w:pPr>
          </w:p>
        </w:tc>
      </w:tr>
      <w:tr>
        <w:trPr>
          <w:trHeight w:val="191"/>
        </w:trPr>
        <w:tc>
          <w:tcPr>
            <w:tcW w:w="3100" w:type="dxa"/>
            <w:vAlign w:val="bottom"/>
          </w:tcPr>
          <w:p>
            <w:pPr>
              <w:spacing w:after="0"/>
              <w:rPr>
                <w:sz w:val="20"/>
                <w:szCs w:val="20"/>
                <w:color w:val="auto"/>
              </w:rPr>
            </w:pPr>
            <w:r>
              <w:rPr>
                <w:rFonts w:ascii="Arial" w:cs="Arial" w:eastAsia="Arial" w:hAnsi="Arial"/>
                <w:sz w:val="15"/>
                <w:szCs w:val="15"/>
                <w:color w:val="auto"/>
              </w:rPr>
              <w:t>2021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21,843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ind w:left="480"/>
              <w:spacing w:after="0"/>
              <w:rPr>
                <w:sz w:val="20"/>
                <w:szCs w:val="20"/>
                <w:color w:val="auto"/>
              </w:rPr>
            </w:pPr>
            <w:r>
              <w:rPr>
                <w:rFonts w:ascii="Arial" w:cs="Arial" w:eastAsia="Arial" w:hAnsi="Arial"/>
                <w:sz w:val="15"/>
                <w:szCs w:val="15"/>
                <w:color w:val="auto"/>
                <w:w w:val="95"/>
              </w:rPr>
              <w:t>18,792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Arial" w:cs="Arial" w:eastAsia="Arial" w:hAnsi="Arial"/>
                <w:sz w:val="15"/>
                <w:szCs w:val="15"/>
                <w:color w:val="auto"/>
              </w:rPr>
              <w:t>1,297</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41,932</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  Corporate and other items refer to corporate overhead costs and consolidating adjustments</w:t>
      </w:r>
    </w:p>
    <w:p>
      <w:pPr>
        <w:spacing w:after="0" w:line="192" w:lineRule="exact"/>
        <w:rPr>
          <w:sz w:val="20"/>
          <w:szCs w:val="20"/>
          <w:color w:val="auto"/>
        </w:rPr>
      </w:pPr>
    </w:p>
    <w:p>
      <w:pPr>
        <w:ind w:left="40" w:right="119" w:firstLine="547"/>
        <w:spacing w:after="0" w:line="266" w:lineRule="auto"/>
        <w:rPr>
          <w:sz w:val="20"/>
          <w:szCs w:val="20"/>
          <w:color w:val="auto"/>
        </w:rPr>
      </w:pPr>
      <w:r>
        <w:rPr>
          <w:rFonts w:ascii="Arial" w:cs="Arial" w:eastAsia="Arial" w:hAnsi="Arial"/>
          <w:sz w:val="15"/>
          <w:szCs w:val="15"/>
          <w:color w:val="auto"/>
        </w:rPr>
        <w:t>We are continuing to invest in our telecommunication networks along with our operating and business support systems in many of our markets. Such investments primarily relate to the upgrade and expansion of our networks and are expected to total approximately $150 million to $160 million, net of reimbursable amounts, for the full year 2022.</w:t>
      </w:r>
    </w:p>
    <w:p>
      <w:pPr>
        <w:spacing w:after="0" w:line="156" w:lineRule="exact"/>
        <w:rPr>
          <w:sz w:val="20"/>
          <w:szCs w:val="20"/>
          <w:color w:val="auto"/>
        </w:rPr>
      </w:pPr>
    </w:p>
    <w:p>
      <w:pPr>
        <w:ind w:left="40" w:right="379" w:firstLine="547"/>
        <w:spacing w:after="0" w:line="279" w:lineRule="auto"/>
        <w:rPr>
          <w:sz w:val="20"/>
          <w:szCs w:val="20"/>
          <w:color w:val="auto"/>
        </w:rPr>
      </w:pPr>
      <w:r>
        <w:rPr>
          <w:rFonts w:ascii="Arial" w:cs="Arial" w:eastAsia="Arial" w:hAnsi="Arial"/>
          <w:sz w:val="15"/>
          <w:szCs w:val="15"/>
          <w:color w:val="auto"/>
        </w:rPr>
        <w:t>We expect to fund our current capital expenditures primarily from our current cash balances, cash generated from operations and our existing credit facilities including the Receivables Credit Facility.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5" w:name="page66"/>
    <w:bookmarkEnd w:id="65"/>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99" w:firstLine="547"/>
        <w:spacing w:after="0" w:line="262"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We have historically used cash-on-hand to make payments for income taxes. Our policy is to allocate capital where we</w:t>
      </w:r>
      <w:r>
        <w:rPr>
          <w:rFonts w:ascii="Arial" w:cs="Arial" w:eastAsia="Arial" w:hAnsi="Arial"/>
          <w:sz w:val="15"/>
          <w:szCs w:val="15"/>
          <w:i w:val="1"/>
          <w:iCs w:val="1"/>
          <w:color w:val="auto"/>
        </w:rPr>
        <w:t xml:space="preserve"> </w:t>
      </w:r>
      <w:r>
        <w:rPr>
          <w:rFonts w:ascii="Arial" w:cs="Arial" w:eastAsia="Arial" w:hAnsi="Arial"/>
          <w:sz w:val="15"/>
          <w:szCs w:val="15"/>
          <w:color w:val="auto"/>
        </w:rPr>
        <w:t>believe we will get the best returns and to 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158" w:lineRule="exact"/>
        <w:rPr>
          <w:sz w:val="20"/>
          <w:szCs w:val="20"/>
          <w:color w:val="auto"/>
        </w:rPr>
      </w:pPr>
    </w:p>
    <w:p>
      <w:pPr>
        <w:ind w:left="40" w:right="239" w:firstLine="547"/>
        <w:spacing w:after="0" w:line="294" w:lineRule="auto"/>
        <w:rPr>
          <w:sz w:val="20"/>
          <w:szCs w:val="20"/>
          <w:color w:val="auto"/>
        </w:rPr>
      </w:pPr>
      <w:r>
        <w:rPr>
          <w:rFonts w:ascii="Arial" w:cs="Arial" w:eastAsia="Arial" w:hAnsi="Arial"/>
          <w:sz w:val="14"/>
          <w:szCs w:val="14"/>
          <w:i w:val="1"/>
          <w:iCs w:val="1"/>
          <w:color w:val="auto"/>
        </w:rPr>
        <w:t xml:space="preserve">Dividends. </w:t>
      </w:r>
      <w:r>
        <w:rPr>
          <w:rFonts w:ascii="Arial" w:cs="Arial" w:eastAsia="Arial" w:hAnsi="Arial"/>
          <w:sz w:val="14"/>
          <w:szCs w:val="14"/>
          <w:color w:val="auto"/>
        </w:rPr>
        <w:t>We use cash-on-hand to make dividend payments to our stockholders when declared by our Board of Directors. For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2022, our Board of Directors declared $5.4 million of dividends to our stockholders which includes a $0.17 per share dividend declared on June 13, 2022 and paid on July 8, 2022. We have declared quarterly dividends since the fourth quarter of 1998.</w:t>
      </w:r>
    </w:p>
    <w:p>
      <w:pPr>
        <w:spacing w:after="0" w:line="80" w:lineRule="exact"/>
        <w:rPr>
          <w:sz w:val="20"/>
          <w:szCs w:val="20"/>
          <w:color w:val="auto"/>
        </w:rPr>
      </w:pPr>
    </w:p>
    <w:p>
      <w:pPr>
        <w:ind w:left="40" w:right="79" w:firstLine="547"/>
        <w:spacing w:after="0" w:line="286" w:lineRule="auto"/>
        <w:rPr>
          <w:sz w:val="20"/>
          <w:szCs w:val="20"/>
          <w:color w:val="auto"/>
        </w:rPr>
      </w:pPr>
      <w:r>
        <w:rPr>
          <w:rFonts w:ascii="Arial" w:cs="Arial" w:eastAsia="Arial" w:hAnsi="Arial"/>
          <w:sz w:val="14"/>
          <w:szCs w:val="14"/>
          <w:i w:val="1"/>
          <w:iCs w:val="1"/>
          <w:color w:val="auto"/>
        </w:rPr>
        <w:t xml:space="preserve">Stock Repurchase Plan. </w:t>
      </w:r>
      <w:r>
        <w:rPr>
          <w:rFonts w:ascii="Arial" w:cs="Arial" w:eastAsia="Arial" w:hAnsi="Arial"/>
          <w:sz w:val="14"/>
          <w:szCs w:val="14"/>
          <w:color w:val="auto"/>
        </w:rPr>
        <w:t>On September 19, 2016, our Board of Directors authorized the repurchase of up to $50.0 million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from time to time on the open market or in privately negotiated transactions (the “2016 Repurchase Plan”). We repurchased $0.9 million and $2.2 million of our common stock under the 2016 Repurchase Plan during the six months ended June 30, 2022 and 2021, respectively. As of June 30, 2022, we had $19.5 million authorized and available for share repurchases under the 2016 Repurchase Plan.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Sources of Cash</w:t>
      </w:r>
    </w:p>
    <w:p>
      <w:pPr>
        <w:spacing w:after="0" w:line="192" w:lineRule="exact"/>
        <w:rPr>
          <w:sz w:val="20"/>
          <w:szCs w:val="20"/>
          <w:color w:val="auto"/>
        </w:rPr>
      </w:pPr>
    </w:p>
    <w:p>
      <w:pPr>
        <w:jc w:val="both"/>
        <w:ind w:left="40" w:right="519" w:firstLine="547"/>
        <w:spacing w:after="0" w:line="294" w:lineRule="auto"/>
        <w:rPr>
          <w:sz w:val="20"/>
          <w:szCs w:val="20"/>
          <w:color w:val="auto"/>
        </w:rPr>
      </w:pPr>
      <w:r>
        <w:rPr>
          <w:rFonts w:ascii="Arial" w:cs="Arial" w:eastAsia="Arial" w:hAnsi="Arial"/>
          <w:sz w:val="14"/>
          <w:szCs w:val="14"/>
          <w:i w:val="1"/>
          <w:iCs w:val="1"/>
          <w:color w:val="auto"/>
        </w:rPr>
        <w:t xml:space="preserve">Cash provided by operations. </w:t>
      </w:r>
      <w:r>
        <w:rPr>
          <w:rFonts w:ascii="Arial" w:cs="Arial" w:eastAsia="Arial" w:hAnsi="Arial"/>
          <w:sz w:val="14"/>
          <w:szCs w:val="14"/>
          <w:color w:val="auto"/>
        </w:rPr>
        <w:t>Cash provided by operating activities was $50.7 million for the six months ended June 30, 2022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$27.5 million for the six months ended June 30, 2021. The increase of $23.2 million was primarily related to a decrease in net income of $10.8 million offset by an increase in depreciation and amortization expenses of $33.0 million.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CoBank Credit Facility</w:t>
      </w:r>
    </w:p>
    <w:p>
      <w:pPr>
        <w:spacing w:after="0" w:line="192" w:lineRule="exact"/>
        <w:rPr>
          <w:sz w:val="20"/>
          <w:szCs w:val="20"/>
          <w:color w:val="auto"/>
        </w:rPr>
      </w:pPr>
    </w:p>
    <w:p>
      <w:pPr>
        <w:ind w:left="40" w:right="119" w:firstLine="547"/>
        <w:spacing w:after="0" w:line="286" w:lineRule="auto"/>
        <w:rPr>
          <w:sz w:val="20"/>
          <w:szCs w:val="20"/>
          <w:color w:val="auto"/>
        </w:rPr>
      </w:pPr>
      <w:r>
        <w:rPr>
          <w:rFonts w:ascii="Arial" w:cs="Arial" w:eastAsia="Arial" w:hAnsi="Arial"/>
          <w:sz w:val="14"/>
          <w:szCs w:val="14"/>
          <w:color w:val="auto"/>
        </w:rPr>
        <w:t>On April 10, 2019, we entered into a credit facility, with CoBank, ACB and a syndicate of other lenders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June 30, 2022. The 2019 CoBank Credit Facility matures on April 10, 2024.</w:t>
      </w:r>
    </w:p>
    <w:p>
      <w:pPr>
        <w:spacing w:after="0" w:line="144" w:lineRule="exact"/>
        <w:rPr>
          <w:sz w:val="20"/>
          <w:szCs w:val="20"/>
          <w:color w:val="auto"/>
        </w:rPr>
      </w:pPr>
    </w:p>
    <w:p>
      <w:pPr>
        <w:ind w:left="40" w:right="219" w:firstLine="547"/>
        <w:spacing w:after="0" w:line="299" w:lineRule="auto"/>
        <w:rPr>
          <w:sz w:val="20"/>
          <w:szCs w:val="20"/>
          <w:color w:val="auto"/>
        </w:rPr>
      </w:pPr>
      <w:r>
        <w:rPr>
          <w:rFonts w:ascii="Arial" w:cs="Arial" w:eastAsia="Arial" w:hAnsi="Arial"/>
          <w:sz w:val="13"/>
          <w:szCs w:val="13"/>
          <w:color w:val="auto"/>
        </w:rPr>
        <w:t>Amounts borrowed under the 2019 CoBank Credit Facility bear interest at a rate equal to, at our option, either (i) the London Interbank Offered Rate (“LIBOR”) plus an applicable margin ranging between 1.25% to 2.25% or (ii) a base rate plus an applicable margin ranging from</w:t>
      </w:r>
    </w:p>
    <w:p>
      <w:pPr>
        <w:spacing w:after="0" w:line="1" w:lineRule="exact"/>
        <w:rPr>
          <w:sz w:val="20"/>
          <w:szCs w:val="20"/>
          <w:color w:val="auto"/>
        </w:rPr>
      </w:pPr>
    </w:p>
    <w:p>
      <w:pPr>
        <w:ind w:left="40" w:right="79"/>
        <w:spacing w:after="0" w:line="256" w:lineRule="auto"/>
        <w:rPr>
          <w:sz w:val="20"/>
          <w:szCs w:val="20"/>
          <w:color w:val="auto"/>
        </w:rPr>
      </w:pPr>
      <w:r>
        <w:rPr>
          <w:rFonts w:ascii="Arial" w:cs="Arial" w:eastAsia="Arial" w:hAnsi="Arial"/>
          <w:sz w:val="15"/>
          <w:szCs w:val="15"/>
          <w:color w:val="auto"/>
        </w:rPr>
        <w:t>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we must also pay a fee ranging from 0.150% to 0.375% of the average daily unused portion of the 2019 CoBank Credit Facility over each calendar quarter.</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2019 CoBank Credit Facility contains customary representations, warranties and covenants, including a financial covenant that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imposes a maximum ratio of indebtedness to EBITDA as well as covenants limiting additional indebtedness, liens, guaranties, mergers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consolidations, substantial asset sales, investments and loans, sale and leasebacks, transactions with affiliates and fundamental changes. Our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investments in “unrestricted” subsidiaries and certain dividend payments to our stockholders are not limited unless the Total Net Leverage Ratio is</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equal to or greater than 1.75 to 1.0. The Total Net Leverage Ratio is measured each fiscal quarter and is required to be less than or equal to 2.75 to</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 In the event of a Qualifying Acquisition (as defined in the 2019 CoBank Credit Facility), the Total Net Leverage Ratio increases to 3.25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 for the subsequent three fiscal quarters.</w:t>
      </w:r>
    </w:p>
    <w:p>
      <w:pPr>
        <w:spacing w:after="0" w:line="183" w:lineRule="exact"/>
        <w:rPr>
          <w:sz w:val="20"/>
          <w:szCs w:val="20"/>
          <w:color w:val="auto"/>
        </w:rPr>
      </w:pPr>
    </w:p>
    <w:p>
      <w:pPr>
        <w:ind w:left="40" w:right="639" w:firstLine="547"/>
        <w:spacing w:after="0" w:line="279" w:lineRule="auto"/>
        <w:rPr>
          <w:sz w:val="20"/>
          <w:szCs w:val="20"/>
          <w:color w:val="auto"/>
        </w:rPr>
      </w:pPr>
      <w:r>
        <w:rPr>
          <w:rFonts w:ascii="Arial" w:cs="Arial" w:eastAsia="Arial" w:hAnsi="Arial"/>
          <w:sz w:val="15"/>
          <w:szCs w:val="15"/>
          <w:color w:val="auto"/>
        </w:rPr>
        <w:t>The 2019 CoBank Credit Facility also provides for the incurrence by us of incremental term loan facilities, when combined with increases to revolving loan commitments, in an aggregate amount not to exceed $200 million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6" w:name="page67"/>
    <w:bookmarkEnd w:id="66"/>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“Accordion”). Amounts borrowed under the Accordion are also subject to proforma compliance with a net leverage ratio financial covenant.</w:t>
      </w:r>
    </w:p>
    <w:p>
      <w:pPr>
        <w:spacing w:after="0" w:line="204" w:lineRule="exact"/>
        <w:rPr>
          <w:sz w:val="20"/>
          <w:szCs w:val="20"/>
          <w:color w:val="auto"/>
        </w:rPr>
      </w:pPr>
    </w:p>
    <w:p>
      <w:pPr>
        <w:ind w:left="40" w:right="179" w:firstLine="547"/>
        <w:spacing w:after="0" w:line="316" w:lineRule="auto"/>
        <w:rPr>
          <w:sz w:val="20"/>
          <w:szCs w:val="20"/>
          <w:color w:val="auto"/>
        </w:rPr>
      </w:pPr>
      <w:r>
        <w:rPr>
          <w:rFonts w:ascii="Arial" w:cs="Arial" w:eastAsia="Arial" w:hAnsi="Arial"/>
          <w:sz w:val="14"/>
          <w:szCs w:val="14"/>
          <w:color w:val="auto"/>
        </w:rPr>
        <w:t>As of June 30, 2022, we were in compliance with all of the financial covenants, had $78.0 million outstanding in borrowings and, net of the $26.0 million of outstanding performance letters of credit, had $96.0 million of availability under the 2019 CoBank Credit Facility.</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Alaska Credit Facility</w:t>
      </w:r>
    </w:p>
    <w:p>
      <w:pPr>
        <w:spacing w:after="0" w:line="226" w:lineRule="exact"/>
        <w:rPr>
          <w:sz w:val="20"/>
          <w:szCs w:val="20"/>
          <w:color w:val="auto"/>
        </w:rPr>
      </w:pPr>
    </w:p>
    <w:p>
      <w:pPr>
        <w:ind w:left="40" w:right="79" w:firstLine="547"/>
        <w:spacing w:after="0" w:line="286" w:lineRule="auto"/>
        <w:rPr>
          <w:sz w:val="20"/>
          <w:szCs w:val="20"/>
          <w:color w:val="auto"/>
        </w:rPr>
      </w:pPr>
      <w:r>
        <w:rPr>
          <w:rFonts w:ascii="Arial" w:cs="Arial" w:eastAsia="Arial" w:hAnsi="Arial"/>
          <w:sz w:val="14"/>
          <w:szCs w:val="14"/>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 As of June 30, 2022, $210.0 million was outstanding under the Alaska Term Loan and $10.0 million was outstanding under the Alaska Revolving Facility. Both facilities mature on July 22, 2026.</w:t>
      </w:r>
    </w:p>
    <w:p>
      <w:pPr>
        <w:spacing w:after="0" w:line="178"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5"/>
          <w:szCs w:val="15"/>
          <w:color w:val="auto"/>
        </w:rPr>
        <w:t>We capitalized $6.6 million of fees associated with the Alaska Credit Facility which are being amortized over the life of the debt and $5.6 million were unamortized as of June 30, 2022.</w:t>
      </w:r>
    </w:p>
    <w:p>
      <w:pPr>
        <w:spacing w:after="0" w:line="169" w:lineRule="exact"/>
        <w:rPr>
          <w:sz w:val="20"/>
          <w:szCs w:val="20"/>
          <w:color w:val="auto"/>
        </w:rPr>
      </w:pPr>
    </w:p>
    <w:p>
      <w:pPr>
        <w:ind w:left="40" w:right="239" w:firstLine="547"/>
        <w:spacing w:after="0" w:line="279" w:lineRule="auto"/>
        <w:rPr>
          <w:sz w:val="20"/>
          <w:szCs w:val="20"/>
          <w:color w:val="auto"/>
        </w:rPr>
      </w:pPr>
      <w:r>
        <w:rPr>
          <w:rFonts w:ascii="Arial" w:cs="Arial" w:eastAsia="Arial" w:hAnsi="Arial"/>
          <w:sz w:val="15"/>
          <w:szCs w:val="15"/>
          <w:color w:val="auto"/>
        </w:rPr>
        <w:t>The Alaska Credit Facility also provides for incremental term loans up to an aggregate principal amount of the greater of $70.0 million and Alaska Communications’ trailing twelve-month Consolidated EBITDA (as defined in the Alaska Credit Facility).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key terms and conditions of the Alaska Credit Facility include the following:</w:t>
      </w:r>
    </w:p>
    <w:p>
      <w:pPr>
        <w:spacing w:after="0" w:line="192" w:lineRule="exact"/>
        <w:rPr>
          <w:sz w:val="20"/>
          <w:szCs w:val="20"/>
          <w:color w:val="auto"/>
        </w:rPr>
      </w:pPr>
    </w:p>
    <w:p>
      <w:pPr>
        <w:ind w:left="1160" w:right="259" w:hanging="280"/>
        <w:spacing w:after="0" w:line="294" w:lineRule="auto"/>
        <w:tabs>
          <w:tab w:leader="none" w:pos="1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outstanding bear an interest rate of LIBOR, or a LIBOR replacement rate as applicable, plus a margin ranging from 3.00% to 4.00% based on Alaska Communications’ Consolidated Total Net Leverage Ratio (as defined in the Credit Agreement) or an alternate base rate may be selected at a margin that is 1% lower than the counterpart LIBOR margin;</w:t>
      </w:r>
    </w:p>
    <w:p>
      <w:pPr>
        <w:spacing w:after="0" w:line="137" w:lineRule="exact"/>
        <w:rPr>
          <w:rFonts w:ascii="Arial" w:cs="Arial" w:eastAsia="Arial" w:hAnsi="Arial"/>
          <w:sz w:val="14"/>
          <w:szCs w:val="14"/>
          <w:color w:val="auto"/>
        </w:rPr>
      </w:pPr>
    </w:p>
    <w:p>
      <w:pPr>
        <w:jc w:val="both"/>
        <w:ind w:left="1160" w:right="379" w:hanging="280"/>
        <w:spacing w:after="0" w:line="294" w:lineRule="auto"/>
        <w:tabs>
          <w:tab w:leader="none" w:pos="1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Principal repayments are due quarterly commencing in the fourth quarter of 2023 in quarterly amounts as follows: from the fourth quarter of 2023 through the third quarter of 2024, $1.3 million; and from the fourth quarter of 2024 through the third quarter of 2026, $2.6 million. The remaining unpaid balance is due on the final maturity date;</w:t>
      </w:r>
    </w:p>
    <w:p>
      <w:pPr>
        <w:spacing w:after="0" w:line="137" w:lineRule="exact"/>
        <w:rPr>
          <w:rFonts w:ascii="Arial" w:cs="Arial" w:eastAsia="Arial" w:hAnsi="Arial"/>
          <w:sz w:val="14"/>
          <w:szCs w:val="14"/>
          <w:color w:val="auto"/>
        </w:rPr>
      </w:pPr>
    </w:p>
    <w:p>
      <w:pPr>
        <w:ind w:left="1160" w:right="139" w:hanging="280"/>
        <w:spacing w:after="0" w:line="294" w:lineRule="auto"/>
        <w:tabs>
          <w:tab w:leader="none" w:pos="1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37" w:lineRule="exact"/>
        <w:rPr>
          <w:rFonts w:ascii="Arial" w:cs="Arial" w:eastAsia="Arial" w:hAnsi="Arial"/>
          <w:sz w:val="14"/>
          <w:szCs w:val="14"/>
          <w:color w:val="auto"/>
        </w:rPr>
      </w:pPr>
    </w:p>
    <w:p>
      <w:pPr>
        <w:ind w:left="1160" w:right="439" w:hanging="280"/>
        <w:spacing w:after="0" w:line="279" w:lineRule="auto"/>
        <w:tabs>
          <w:tab w:leader="none" w:pos="11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Alaska Credit Facility is non-recourse to the Company and is secured by substantially all of the personal property and certain material real property owned by Alaska Communications.</w:t>
      </w:r>
    </w:p>
    <w:p>
      <w:pPr>
        <w:spacing w:after="0" w:line="146"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5"/>
          <w:szCs w:val="15"/>
          <w:color w:val="auto"/>
        </w:rPr>
        <w:t>Alaska Communication’s interest rate swap, which had been designated as a cash flow hedge with an interest rate of 1.6735%, expired on June 30,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FirstNet Receivables Credit Facility</w:t>
      </w:r>
    </w:p>
    <w:p>
      <w:pPr>
        <w:spacing w:after="0" w:line="192" w:lineRule="exact"/>
        <w:rPr>
          <w:sz w:val="20"/>
          <w:szCs w:val="20"/>
          <w:color w:val="auto"/>
        </w:rPr>
      </w:pPr>
    </w:p>
    <w:p>
      <w:pPr>
        <w:ind w:left="40" w:right="199" w:firstLine="547"/>
        <w:spacing w:after="0" w:line="279" w:lineRule="auto"/>
        <w:rPr>
          <w:sz w:val="20"/>
          <w:szCs w:val="20"/>
          <w:color w:val="auto"/>
        </w:rPr>
      </w:pPr>
      <w:r>
        <w:rPr>
          <w:rFonts w:ascii="Arial" w:cs="Arial" w:eastAsia="Arial" w:hAnsi="Arial"/>
          <w:sz w:val="15"/>
          <w:szCs w:val="15"/>
          <w:color w:val="auto"/>
        </w:rPr>
        <w:t>On March 26, 2020, Commnet Finance, a wholly owned subsidiary of Commnet Wireless, entered into a receivables credit facility with the Company, Commnet Wireless, and CoBank, ACB (the “Receivables Credit Facility”).</w:t>
      </w:r>
    </w:p>
    <w:p>
      <w:pPr>
        <w:spacing w:after="0" w:line="146" w:lineRule="exact"/>
        <w:rPr>
          <w:sz w:val="20"/>
          <w:szCs w:val="20"/>
          <w:color w:val="auto"/>
        </w:rPr>
      </w:pPr>
    </w:p>
    <w:p>
      <w:pPr>
        <w:ind w:left="40" w:right="219" w:firstLine="547"/>
        <w:spacing w:after="0" w:line="266" w:lineRule="auto"/>
        <w:rPr>
          <w:sz w:val="20"/>
          <w:szCs w:val="20"/>
          <w:color w:val="auto"/>
        </w:rPr>
      </w:pPr>
      <w:r>
        <w:rPr>
          <w:rFonts w:ascii="Arial" w:cs="Arial" w:eastAsia="Arial" w:hAnsi="Arial"/>
          <w:sz w:val="15"/>
          <w:szCs w:val="15"/>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7" w:name="page68"/>
    <w:bookmarkEnd w:id="67"/>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479"/>
        <w:spacing w:after="0" w:line="279" w:lineRule="auto"/>
        <w:rPr>
          <w:sz w:val="20"/>
          <w:szCs w:val="20"/>
          <w:color w:val="auto"/>
        </w:rPr>
      </w:pPr>
      <w:r>
        <w:rPr>
          <w:rFonts w:ascii="Arial" w:cs="Arial" w:eastAsia="Arial" w:hAnsi="Arial"/>
          <w:sz w:val="15"/>
          <w:szCs w:val="15"/>
          <w:color w:val="auto"/>
        </w:rPr>
        <w:t>security, relate to the obligations of AT&amp;T under the FirstNet Agreement. On December 29, 2021, CoBank amended the Receivables Credit Facility and extended the delayed draw period to December 31, 2022.</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maturity date for each loan will be set by CoBank and will match the weighted average maturity of the certain receivables financed.</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Interest on the loans accrues at a fixed annual interest rate to be quoted by CoBank.</w:t>
      </w:r>
    </w:p>
    <w:p>
      <w:pPr>
        <w:spacing w:after="0" w:line="192" w:lineRule="exact"/>
        <w:rPr>
          <w:sz w:val="20"/>
          <w:szCs w:val="20"/>
          <w:color w:val="auto"/>
        </w:rPr>
      </w:pPr>
    </w:p>
    <w:p>
      <w:pPr>
        <w:ind w:left="40" w:right="479" w:firstLine="547"/>
        <w:spacing w:after="0" w:line="279" w:lineRule="auto"/>
        <w:rPr>
          <w:sz w:val="20"/>
          <w:szCs w:val="20"/>
          <w:color w:val="auto"/>
        </w:rPr>
      </w:pPr>
      <w:r>
        <w:rPr>
          <w:rFonts w:ascii="Arial" w:cs="Arial" w:eastAsia="Arial" w:hAnsi="Arial"/>
          <w:sz w:val="15"/>
          <w:szCs w:val="15"/>
          <w:color w:val="auto"/>
        </w:rPr>
        <w:t>The Receivables Credit Facility contains customary events of termination, representations and warranties, affirmative and negative covenants and events of default customary for facilities of this type.</w:t>
      </w:r>
    </w:p>
    <w:p>
      <w:pPr>
        <w:spacing w:after="0" w:line="180" w:lineRule="exact"/>
        <w:rPr>
          <w:sz w:val="20"/>
          <w:szCs w:val="20"/>
          <w:color w:val="auto"/>
        </w:rPr>
      </w:pPr>
    </w:p>
    <w:p>
      <w:pPr>
        <w:jc w:val="both"/>
        <w:ind w:left="40" w:right="259" w:firstLine="547"/>
        <w:spacing w:after="0" w:line="266" w:lineRule="auto"/>
        <w:rPr>
          <w:sz w:val="20"/>
          <w:szCs w:val="20"/>
          <w:color w:val="auto"/>
        </w:rPr>
      </w:pPr>
      <w:r>
        <w:rPr>
          <w:rFonts w:ascii="Arial" w:cs="Arial" w:eastAsia="Arial" w:hAnsi="Arial"/>
          <w:sz w:val="15"/>
          <w:szCs w:val="15"/>
          <w:color w:val="auto"/>
        </w:rPr>
        <w:t>As of June 30, 2022, we had $41.3 million outstanding, of which $5.3 million was current, and $29.7 million of availability under the Receivables Credit Facility. We capitalized $0.9 million of fees associated with the Receivables Credit Facility which are being amortized over the life of the debt and $0.7 million were unamortized as of June 30, 2022.</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Viya Debt</w:t>
      </w:r>
    </w:p>
    <w:p>
      <w:pPr>
        <w:spacing w:after="0" w:line="192" w:lineRule="exact"/>
        <w:rPr>
          <w:sz w:val="20"/>
          <w:szCs w:val="20"/>
          <w:color w:val="auto"/>
        </w:rPr>
      </w:pPr>
    </w:p>
    <w:p>
      <w:pPr>
        <w:ind w:left="40" w:right="119" w:firstLine="547"/>
        <w:spacing w:after="0" w:line="274" w:lineRule="auto"/>
        <w:rPr>
          <w:sz w:val="20"/>
          <w:szCs w:val="20"/>
          <w:color w:val="auto"/>
        </w:rPr>
      </w:pPr>
      <w:r>
        <w:rPr>
          <w:rFonts w:ascii="Arial" w:cs="Arial" w:eastAsia="Arial" w:hAnsi="Arial"/>
          <w:sz w:val="14"/>
          <w:szCs w:val="14"/>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w:t>
      </w:r>
    </w:p>
    <w:p>
      <w:pPr>
        <w:spacing w:after="0" w:line="1" w:lineRule="exact"/>
        <w:rPr>
          <w:sz w:val="20"/>
          <w:szCs w:val="20"/>
          <w:color w:val="auto"/>
        </w:rPr>
      </w:pPr>
    </w:p>
    <w:p>
      <w:pPr>
        <w:ind w:left="40" w:right="579"/>
        <w:spacing w:after="0" w:line="267" w:lineRule="auto"/>
        <w:rPr>
          <w:sz w:val="20"/>
          <w:szCs w:val="20"/>
          <w:color w:val="auto"/>
        </w:rPr>
      </w:pPr>
      <w:r>
        <w:rPr>
          <w:rFonts w:ascii="Arial" w:cs="Arial" w:eastAsia="Arial" w:hAnsi="Arial"/>
          <w:sz w:val="15"/>
          <w:szCs w:val="15"/>
          <w:color w:val="auto"/>
        </w:rPr>
        <w:t>2026. Prepayment of the Viya Debt may be subject to a fee under certain circumstances. The debt is secured by certain assets of our Viya subsidiaries and is guaranteed by us.</w:t>
      </w:r>
    </w:p>
    <w:p>
      <w:pPr>
        <w:spacing w:after="0" w:line="154" w:lineRule="exact"/>
        <w:rPr>
          <w:sz w:val="20"/>
          <w:szCs w:val="20"/>
          <w:color w:val="auto"/>
        </w:rPr>
      </w:pPr>
    </w:p>
    <w:p>
      <w:pPr>
        <w:ind w:left="40" w:right="79" w:firstLine="547"/>
        <w:spacing w:after="0" w:line="279" w:lineRule="auto"/>
        <w:rPr>
          <w:sz w:val="20"/>
          <w:szCs w:val="20"/>
          <w:color w:val="auto"/>
        </w:rPr>
      </w:pPr>
      <w:r>
        <w:rPr>
          <w:rFonts w:ascii="Arial" w:cs="Arial" w:eastAsia="Arial" w:hAnsi="Arial"/>
          <w:sz w:val="15"/>
          <w:szCs w:val="15"/>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 of June 30, 2022, $60.0 million of the Viya Debt remained outstanding and $0.4 million of the rate lock fee was unamortized.</w:t>
      </w:r>
    </w:p>
    <w:p>
      <w:pPr>
        <w:spacing w:after="0" w:line="204" w:lineRule="exact"/>
        <w:rPr>
          <w:sz w:val="20"/>
          <w:szCs w:val="20"/>
          <w:color w:val="auto"/>
        </w:rPr>
      </w:pPr>
    </w:p>
    <w:p>
      <w:pPr>
        <w:ind w:left="40" w:right="279" w:firstLine="547"/>
        <w:spacing w:after="0" w:line="279" w:lineRule="auto"/>
        <w:rPr>
          <w:sz w:val="20"/>
          <w:szCs w:val="20"/>
          <w:color w:val="auto"/>
        </w:rPr>
      </w:pPr>
      <w:r>
        <w:rPr>
          <w:rFonts w:ascii="Arial" w:cs="Arial" w:eastAsia="Arial" w:hAnsi="Arial"/>
          <w:sz w:val="15"/>
          <w:szCs w:val="15"/>
          <w:color w:val="auto"/>
        </w:rPr>
        <w:t>On May 5, 2022, RTFC agreed to amend the Net Leverage Ratio to 7.0 to 1.0 through the maturity date of July 1, 2026. This covenant will be tested on December 31, 2022.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One Communications Debt</w:t>
      </w:r>
    </w:p>
    <w:p>
      <w:pPr>
        <w:spacing w:after="0" w:line="192" w:lineRule="exact"/>
        <w:rPr>
          <w:sz w:val="20"/>
          <w:szCs w:val="20"/>
          <w:color w:val="auto"/>
        </w:rPr>
      </w:pPr>
    </w:p>
    <w:p>
      <w:pPr>
        <w:ind w:left="40" w:right="279" w:firstLine="547"/>
        <w:spacing w:after="0" w:line="316" w:lineRule="auto"/>
        <w:rPr>
          <w:sz w:val="20"/>
          <w:szCs w:val="20"/>
          <w:color w:val="auto"/>
        </w:rPr>
      </w:pPr>
      <w:r>
        <w:rPr>
          <w:rFonts w:ascii="Arial" w:cs="Arial" w:eastAsia="Arial" w:hAnsi="Arial"/>
          <w:sz w:val="14"/>
          <w:szCs w:val="14"/>
          <w:color w:val="auto"/>
        </w:rPr>
        <w:t>We have an outstanding loan from HSBC Bank Bermuda Limited (the “One Communications Debt”) which is scheduled to mature on August 31, 2022 and bears interest at the one-month LIBOR plus a margin ranging between 2.5% to 2.75% per annum paid quarterly.</w:t>
      </w:r>
    </w:p>
    <w:p>
      <w:pPr>
        <w:spacing w:after="0" w:line="123" w:lineRule="exact"/>
        <w:rPr>
          <w:sz w:val="20"/>
          <w:szCs w:val="20"/>
          <w:color w:val="auto"/>
        </w:rPr>
      </w:pPr>
    </w:p>
    <w:p>
      <w:pPr>
        <w:ind w:left="40" w:right="179" w:firstLine="547"/>
        <w:spacing w:after="0" w:line="262" w:lineRule="auto"/>
        <w:rPr>
          <w:sz w:val="20"/>
          <w:szCs w:val="20"/>
          <w:color w:val="auto"/>
        </w:rPr>
      </w:pPr>
      <w:r>
        <w:rPr>
          <w:rFonts w:ascii="Arial" w:cs="Arial" w:eastAsia="Arial" w:hAnsi="Arial"/>
          <w:sz w:val="15"/>
          <w:szCs w:val="15"/>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As of June 30, 2022, $3.8 million of the One Communications Debt was outstanding.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8" w:name="page69"/>
    <w:bookmarkEnd w:id="68"/>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Factors Affecting Sources of Liquidity</w:t>
      </w:r>
    </w:p>
    <w:p>
      <w:pPr>
        <w:spacing w:after="0" w:line="135" w:lineRule="exact"/>
        <w:rPr>
          <w:sz w:val="20"/>
          <w:szCs w:val="20"/>
          <w:color w:val="auto"/>
        </w:rPr>
      </w:pPr>
    </w:p>
    <w:p>
      <w:pPr>
        <w:ind w:left="40" w:right="139" w:firstLine="547"/>
        <w:spacing w:after="0" w:line="266" w:lineRule="auto"/>
        <w:rPr>
          <w:sz w:val="20"/>
          <w:szCs w:val="20"/>
          <w:color w:val="auto"/>
        </w:rPr>
      </w:pPr>
      <w:r>
        <w:rPr>
          <w:rFonts w:ascii="Arial" w:cs="Arial" w:eastAsia="Arial" w:hAnsi="Arial"/>
          <w:sz w:val="15"/>
          <w:szCs w:val="15"/>
          <w:i w:val="1"/>
          <w:iCs w:val="1"/>
          <w:color w:val="auto"/>
        </w:rPr>
        <w:t xml:space="preserve">Internally generated funds. </w:t>
      </w:r>
      <w:r>
        <w:rPr>
          <w:rFonts w:ascii="Arial" w:cs="Arial" w:eastAsia="Arial" w:hAnsi="Arial"/>
          <w:sz w:val="15"/>
          <w:szCs w:val="15"/>
          <w:color w:val="auto"/>
        </w:rPr>
        <w:t>The key factors affecting our internally generated funds are demand for our services, competition,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developments, economic conditions in the markets where we operate our businesses and industry trends within the telecommunications and renewable energy industries.</w:t>
      </w:r>
    </w:p>
    <w:p>
      <w:pPr>
        <w:spacing w:after="0" w:line="156" w:lineRule="exact"/>
        <w:rPr>
          <w:sz w:val="20"/>
          <w:szCs w:val="20"/>
          <w:color w:val="auto"/>
        </w:rPr>
      </w:pPr>
    </w:p>
    <w:p>
      <w:pPr>
        <w:ind w:left="40" w:right="139" w:firstLine="547"/>
        <w:spacing w:after="0" w:line="266" w:lineRule="auto"/>
        <w:rPr>
          <w:sz w:val="20"/>
          <w:szCs w:val="20"/>
          <w:color w:val="auto"/>
        </w:rPr>
      </w:pPr>
      <w:r>
        <w:rPr>
          <w:rFonts w:ascii="Arial" w:cs="Arial" w:eastAsia="Arial" w:hAnsi="Arial"/>
          <w:sz w:val="15"/>
          <w:szCs w:val="15"/>
          <w:i w:val="1"/>
          <w:iCs w:val="1"/>
          <w:color w:val="auto"/>
        </w:rPr>
        <w:t xml:space="preserve">Restrictions under Credit Facility. </w:t>
      </w:r>
      <w:r>
        <w:rPr>
          <w:rFonts w:ascii="Arial" w:cs="Arial" w:eastAsia="Arial" w:hAnsi="Arial"/>
          <w:sz w:val="15"/>
          <w:szCs w:val="15"/>
          <w:color w:val="auto"/>
        </w:rPr>
        <w:t>Our 2019 CoBank Credit Facility contains customary representations, warranties and covenants,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covenants limiting additional indebtedness, liens, guaranties, mergers and consolidations, substantial asset sales, investments and loans, sale and leasebacks, transactions with affiliates and fundamental changes.</w:t>
      </w:r>
    </w:p>
    <w:p>
      <w:pPr>
        <w:spacing w:after="0" w:line="156"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5"/>
          <w:szCs w:val="15"/>
          <w:color w:val="auto"/>
        </w:rPr>
        <w:t>In addition, the 2019 CoBank Credit Facility contains a financial covenant that imposes a maximum ratio of indebtedness to EBITDA. As of June 30, 2022, we were in compliance with all of the financial covenants of the 2019 CoBank Credit Facility.</w:t>
      </w:r>
    </w:p>
    <w:p>
      <w:pPr>
        <w:spacing w:after="0" w:line="146" w:lineRule="exact"/>
        <w:rPr>
          <w:sz w:val="20"/>
          <w:szCs w:val="20"/>
          <w:color w:val="auto"/>
        </w:rPr>
      </w:pPr>
    </w:p>
    <w:p>
      <w:pPr>
        <w:ind w:left="40" w:right="439" w:firstLine="547"/>
        <w:spacing w:after="0" w:line="266" w:lineRule="auto"/>
        <w:rPr>
          <w:sz w:val="20"/>
          <w:szCs w:val="20"/>
          <w:color w:val="auto"/>
        </w:rPr>
      </w:pPr>
      <w:r>
        <w:rPr>
          <w:rFonts w:ascii="Arial" w:cs="Arial" w:eastAsia="Arial" w:hAnsi="Arial"/>
          <w:sz w:val="15"/>
          <w:szCs w:val="15"/>
          <w:i w:val="1"/>
          <w:iCs w:val="1"/>
          <w:color w:val="auto"/>
        </w:rPr>
        <w:t xml:space="preserve">Capital markets. </w:t>
      </w:r>
      <w:r>
        <w:rPr>
          <w:rFonts w:ascii="Arial" w:cs="Arial" w:eastAsia="Arial" w:hAnsi="Arial"/>
          <w:sz w:val="15"/>
          <w:szCs w:val="15"/>
          <w:color w:val="auto"/>
        </w:rPr>
        <w:t>Our ability to raise funds in the capital markets depends on, among other things, general economic conditions, the</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of the telecommunications and renewable energy industries, our financial performance, the state of the capital markets and our compliance with SEC requirements for the offering of securities.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Foreign Currency</w:t>
      </w:r>
    </w:p>
    <w:p>
      <w:pPr>
        <w:spacing w:after="0" w:line="192" w:lineRule="exact"/>
        <w:rPr>
          <w:sz w:val="20"/>
          <w:szCs w:val="20"/>
          <w:color w:val="auto"/>
        </w:rPr>
      </w:pPr>
    </w:p>
    <w:p>
      <w:pPr>
        <w:ind w:left="40" w:right="119" w:firstLine="547"/>
        <w:spacing w:after="0" w:line="277" w:lineRule="auto"/>
        <w:rPr>
          <w:sz w:val="20"/>
          <w:szCs w:val="20"/>
          <w:color w:val="auto"/>
        </w:rPr>
      </w:pPr>
      <w:r>
        <w:rPr>
          <w:rFonts w:ascii="Arial" w:cs="Arial" w:eastAsia="Arial" w:hAnsi="Arial"/>
          <w:sz w:val="14"/>
          <w:szCs w:val="14"/>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June 30, 2022 and 2021, we recorded $0.2 million and $0.3 million, respectively, in losses on foreign currency transactions. During each of the six months ended June 30, 2022 and 2021, we recorded $0.4 million in losses on foreign currency transactions. We will continue to assess the impact of our exposure to the Guyana Dollar.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Inflation</w:t>
      </w:r>
    </w:p>
    <w:p>
      <w:pPr>
        <w:spacing w:after="0" w:line="283" w:lineRule="exact"/>
        <w:rPr>
          <w:sz w:val="20"/>
          <w:szCs w:val="20"/>
          <w:color w:val="auto"/>
        </w:rPr>
      </w:pPr>
    </w:p>
    <w:p>
      <w:pPr>
        <w:ind w:left="40" w:right="59" w:firstLine="547"/>
        <w:spacing w:after="0" w:line="257" w:lineRule="auto"/>
        <w:rPr>
          <w:sz w:val="20"/>
          <w:szCs w:val="20"/>
          <w:color w:val="auto"/>
        </w:rPr>
      </w:pPr>
      <w:r>
        <w:rPr>
          <w:rFonts w:ascii="Arial" w:cs="Arial" w:eastAsia="Arial" w:hAnsi="Arial"/>
          <w:sz w:val="15"/>
          <w:szCs w:val="15"/>
          <w:color w:val="auto"/>
        </w:rPr>
        <w:t>Several of our markets have experienced increases in operating costs, some of which we believe, are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Recent Accounting Pronouncements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Note 2 to the Unaudited Condensed Consolidated Financial Statements included in this Report.</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Critical Accounting Estimates</w:t>
      </w:r>
    </w:p>
    <w:p>
      <w:pPr>
        <w:spacing w:after="0" w:line="196" w:lineRule="exact"/>
        <w:rPr>
          <w:sz w:val="20"/>
          <w:szCs w:val="20"/>
          <w:color w:val="auto"/>
        </w:rPr>
      </w:pPr>
    </w:p>
    <w:p>
      <w:pPr>
        <w:jc w:val="both"/>
        <w:ind w:left="40" w:right="59" w:firstLine="465"/>
        <w:spacing w:after="0" w:line="266" w:lineRule="auto"/>
        <w:rPr>
          <w:sz w:val="20"/>
          <w:szCs w:val="20"/>
          <w:color w:val="auto"/>
        </w:rPr>
      </w:pPr>
      <w:r>
        <w:rPr>
          <w:rFonts w:ascii="Arial" w:cs="Arial" w:eastAsia="Arial" w:hAnsi="Arial"/>
          <w:sz w:val="15"/>
          <w:szCs w:val="15"/>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2021.</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69" w:name="page70"/>
    <w:bookmarkEnd w:id="69"/>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39" w:lineRule="exact"/>
        <w:rPr>
          <w:sz w:val="20"/>
          <w:szCs w:val="20"/>
          <w:color w:val="auto"/>
        </w:rPr>
      </w:pPr>
    </w:p>
    <w:p>
      <w:pPr>
        <w:ind w:left="40" w:right="139" w:firstLine="547"/>
        <w:spacing w:after="0" w:line="260" w:lineRule="auto"/>
        <w:rPr>
          <w:sz w:val="20"/>
          <w:szCs w:val="20"/>
          <w:color w:val="auto"/>
        </w:rPr>
      </w:pPr>
      <w:r>
        <w:rPr>
          <w:rFonts w:ascii="Arial" w:cs="Arial" w:eastAsia="Arial" w:hAnsi="Arial"/>
          <w:sz w:val="15"/>
          <w:szCs w:val="15"/>
          <w:i w:val="1"/>
          <w:iCs w:val="1"/>
          <w:color w:val="auto"/>
        </w:rPr>
        <w:t xml:space="preserve">Translation and Remeasurement. </w:t>
      </w:r>
      <w:r>
        <w:rPr>
          <w:rFonts w:ascii="Arial" w:cs="Arial" w:eastAsia="Arial" w:hAnsi="Arial"/>
          <w:sz w:val="15"/>
          <w:szCs w:val="15"/>
          <w:color w:val="auto"/>
        </w:rPr>
        <w:t>We translate the assets and liabilities of our foreign subsidiaries from their respective functional</w:t>
      </w:r>
      <w:r>
        <w:rPr>
          <w:rFonts w:ascii="Arial" w:cs="Arial" w:eastAsia="Arial" w:hAnsi="Arial"/>
          <w:sz w:val="15"/>
          <w:szCs w:val="15"/>
          <w:i w:val="1"/>
          <w:iCs w:val="1"/>
          <w:color w:val="auto"/>
        </w:rPr>
        <w:t xml:space="preserve"> </w:t>
      </w:r>
      <w:r>
        <w:rPr>
          <w:rFonts w:ascii="Arial" w:cs="Arial" w:eastAsia="Arial" w:hAnsi="Arial"/>
          <w:sz w:val="15"/>
          <w:szCs w:val="15"/>
          <w:color w:val="auto"/>
        </w:rPr>
        <w:t>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102" w:lineRule="exact"/>
        <w:rPr>
          <w:sz w:val="20"/>
          <w:szCs w:val="20"/>
          <w:color w:val="auto"/>
        </w:rPr>
      </w:pPr>
    </w:p>
    <w:p>
      <w:pPr>
        <w:jc w:val="both"/>
        <w:ind w:left="40" w:right="59" w:firstLine="547"/>
        <w:spacing w:after="0" w:line="266" w:lineRule="auto"/>
        <w:rPr>
          <w:sz w:val="20"/>
          <w:szCs w:val="20"/>
          <w:color w:val="auto"/>
        </w:rPr>
      </w:pPr>
      <w:r>
        <w:rPr>
          <w:rFonts w:ascii="Arial" w:cs="Arial" w:eastAsia="Arial" w:hAnsi="Arial"/>
          <w:sz w:val="15"/>
          <w:szCs w:val="15"/>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99" w:lineRule="exact"/>
        <w:rPr>
          <w:sz w:val="20"/>
          <w:szCs w:val="20"/>
          <w:color w:val="auto"/>
        </w:rPr>
      </w:pPr>
    </w:p>
    <w:p>
      <w:pPr>
        <w:jc w:val="both"/>
        <w:ind w:left="40" w:right="39" w:firstLine="547"/>
        <w:spacing w:after="0" w:line="262" w:lineRule="auto"/>
        <w:rPr>
          <w:sz w:val="20"/>
          <w:szCs w:val="20"/>
          <w:color w:val="auto"/>
        </w:rPr>
      </w:pPr>
      <w:r>
        <w:rPr>
          <w:rFonts w:ascii="Arial" w:cs="Arial" w:eastAsia="Arial" w:hAnsi="Arial"/>
          <w:sz w:val="15"/>
          <w:szCs w:val="15"/>
          <w:i w:val="1"/>
          <w:iCs w:val="1"/>
          <w:color w:val="auto"/>
        </w:rPr>
        <w:t xml:space="preserve">Employee Benefit Plans. </w:t>
      </w:r>
      <w:r>
        <w:rPr>
          <w:rFonts w:ascii="Arial" w:cs="Arial" w:eastAsia="Arial" w:hAnsi="Arial"/>
          <w:sz w:val="15"/>
          <w:szCs w:val="15"/>
          <w:color w:val="auto"/>
        </w:rPr>
        <w:t>We sponsor pension and other postretirement benefit plans for employees of certain subsidiaries. Net periodic</w:t>
      </w:r>
      <w:r>
        <w:rPr>
          <w:rFonts w:ascii="Arial" w:cs="Arial" w:eastAsia="Arial" w:hAnsi="Arial"/>
          <w:sz w:val="15"/>
          <w:szCs w:val="15"/>
          <w:i w:val="1"/>
          <w:iCs w:val="1"/>
          <w:color w:val="auto"/>
        </w:rPr>
        <w:t xml:space="preserve"> </w:t>
      </w:r>
      <w:r>
        <w:rPr>
          <w:rFonts w:ascii="Arial" w:cs="Arial" w:eastAsia="Arial" w:hAnsi="Arial"/>
          <w:sz w:val="15"/>
          <w:szCs w:val="15"/>
          <w:color w:val="auto"/>
        </w:rPr>
        <w:t>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158" w:lineRule="exact"/>
        <w:rPr>
          <w:sz w:val="20"/>
          <w:szCs w:val="20"/>
          <w:color w:val="auto"/>
        </w:rPr>
      </w:pPr>
    </w:p>
    <w:p>
      <w:pPr>
        <w:ind w:left="40" w:right="99" w:firstLine="547"/>
        <w:spacing w:after="0" w:line="279" w:lineRule="auto"/>
        <w:rPr>
          <w:sz w:val="20"/>
          <w:szCs w:val="20"/>
          <w:color w:val="auto"/>
        </w:rPr>
      </w:pPr>
      <w:r>
        <w:rPr>
          <w:rFonts w:ascii="Arial" w:cs="Arial" w:eastAsia="Arial" w:hAnsi="Arial"/>
          <w:sz w:val="15"/>
          <w:szCs w:val="15"/>
          <w:color w:val="auto"/>
        </w:rPr>
        <w:t>As of June 30, 2022, we had $301.8 million of outstanding variable rate debt which is subject to fluctuations in interest rates. We believe that a 100-basis-point change in interest rates would result in a $3.1 million change in our annual interest expense.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4. CONTROLS AND PROCEDURES</w:t>
      </w:r>
    </w:p>
    <w:p>
      <w:pPr>
        <w:spacing w:after="0" w:line="139" w:lineRule="exact"/>
        <w:rPr>
          <w:sz w:val="20"/>
          <w:szCs w:val="20"/>
          <w:color w:val="auto"/>
        </w:rPr>
      </w:pPr>
    </w:p>
    <w:p>
      <w:pPr>
        <w:jc w:val="both"/>
        <w:ind w:left="40" w:right="39" w:firstLine="547"/>
        <w:spacing w:after="0" w:line="275" w:lineRule="auto"/>
        <w:rPr>
          <w:sz w:val="20"/>
          <w:szCs w:val="20"/>
          <w:color w:val="auto"/>
        </w:rPr>
      </w:pPr>
      <w:r>
        <w:rPr>
          <w:rFonts w:ascii="Arial" w:cs="Arial" w:eastAsia="Arial" w:hAnsi="Arial"/>
          <w:sz w:val="14"/>
          <w:szCs w:val="14"/>
          <w:i w:val="1"/>
          <w:iCs w:val="1"/>
          <w:color w:val="auto"/>
        </w:rPr>
        <w:t xml:space="preserve">Management’s Evaluation of Disclosure Controls and Procedures. </w:t>
      </w:r>
      <w:r>
        <w:rPr>
          <w:rFonts w:ascii="Arial" w:cs="Arial" w:eastAsia="Arial" w:hAnsi="Arial"/>
          <w:sz w:val="14"/>
          <w:szCs w:val="14"/>
          <w:color w:val="auto"/>
        </w:rPr>
        <w:t>Our management, with the participation of our Chief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and Chief Financial Officer, evaluated the effectiveness of our disclosure controls and procedures as of June 30, 2022.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53" w:lineRule="exact"/>
        <w:rPr>
          <w:sz w:val="20"/>
          <w:szCs w:val="20"/>
          <w:color w:val="auto"/>
        </w:rPr>
      </w:pPr>
    </w:p>
    <w:p>
      <w:pPr>
        <w:jc w:val="both"/>
        <w:ind w:left="40" w:right="59" w:firstLine="547"/>
        <w:spacing w:after="0" w:line="266"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There were no changes in our internal control over financial reporting that occurred</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three months ended June 30, 2022 that have materially affected, or are reasonably likely to materially affect, our internal control over financial reporting.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II—OTHER INFORMATION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 Legal Proceedings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Note 14 to the Unaudited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0" w:name="page71"/>
    <w:bookmarkEnd w:id="70"/>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1A. Risk Factors</w:t>
      </w:r>
    </w:p>
    <w:p>
      <w:pPr>
        <w:spacing w:after="0" w:line="185" w:lineRule="exact"/>
        <w:rPr>
          <w:sz w:val="20"/>
          <w:szCs w:val="20"/>
          <w:color w:val="auto"/>
        </w:rPr>
      </w:pPr>
    </w:p>
    <w:p>
      <w:pPr>
        <w:ind w:left="40" w:right="159" w:firstLine="547"/>
        <w:spacing w:after="0" w:line="262" w:lineRule="auto"/>
        <w:rPr>
          <w:sz w:val="20"/>
          <w:szCs w:val="20"/>
          <w:color w:val="auto"/>
        </w:rPr>
      </w:pPr>
      <w:r>
        <w:rPr>
          <w:rFonts w:ascii="Arial" w:cs="Arial" w:eastAsia="Arial" w:hAnsi="Arial"/>
          <w:sz w:val="15"/>
          <w:szCs w:val="15"/>
          <w:color w:val="auto"/>
        </w:rPr>
        <w:t>In addition to the other information set forth in this Report, you should carefully consider the factors discussed under Part I, Item 1A “Risk Factors” of our 2021 Annual Report on Form 10-K. The risks described herein and in our 2021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We may not be able to consummate our merger with Sacred Wind on a timely basis or at all.</w:t>
      </w:r>
    </w:p>
    <w:p>
      <w:pPr>
        <w:spacing w:after="0" w:line="192" w:lineRule="exact"/>
        <w:rPr>
          <w:sz w:val="20"/>
          <w:szCs w:val="20"/>
          <w:color w:val="auto"/>
        </w:rPr>
      </w:pPr>
    </w:p>
    <w:p>
      <w:pPr>
        <w:ind w:left="40" w:right="179" w:firstLine="547"/>
        <w:spacing w:after="0" w:line="257" w:lineRule="auto"/>
        <w:rPr>
          <w:sz w:val="20"/>
          <w:szCs w:val="20"/>
          <w:color w:val="auto"/>
        </w:rPr>
      </w:pPr>
      <w:r>
        <w:rPr>
          <w:rFonts w:ascii="Arial" w:cs="Arial" w:eastAsia="Arial" w:hAnsi="Arial"/>
          <w:sz w:val="15"/>
          <w:szCs w:val="15"/>
          <w:color w:val="auto"/>
        </w:rPr>
        <w:t>On July 26, 2022, we entered into a stock purchase agreement (the “Purchase Agreement”) with Sacred Wind Enterprises, Inc. (“Sacred Wind”) to purchase all of the issued and outstanding Sacred Wind stock (the “SWE Transaction”). The SWE Transaction remains subject to customary closing terms and conditions including (i) obtaining the necessary consents of third parties, including the Federal Communications Commission (“FCC”), (ii) obtaining the consent of the Rural Utility Service to the continuation of Sacred Wind’s current loan facilities, and (iii) the absence of certain legal impediments. There can be no guarantee that the regulatory authorities will grant such required approvals. In addition, the FCC may impose conditions on any approval, such as requiring the divestiture of certain markets and spectrum licenses. These conditions, if imposed and if sufficiently significant, may permit Sacred Wind not to consummate the transaction or may have other negative impacts on our business.</w:t>
      </w:r>
    </w:p>
    <w:p>
      <w:pPr>
        <w:spacing w:after="0" w:line="197" w:lineRule="exact"/>
        <w:rPr>
          <w:sz w:val="20"/>
          <w:szCs w:val="20"/>
          <w:color w:val="auto"/>
        </w:rPr>
      </w:pPr>
    </w:p>
    <w:p>
      <w:pPr>
        <w:ind w:left="40" w:right="479"/>
        <w:spacing w:after="0" w:line="279" w:lineRule="auto"/>
        <w:rPr>
          <w:sz w:val="20"/>
          <w:szCs w:val="20"/>
          <w:color w:val="auto"/>
        </w:rPr>
      </w:pPr>
      <w:r>
        <w:rPr>
          <w:rFonts w:ascii="Arial" w:cs="Arial" w:eastAsia="Arial" w:hAnsi="Arial"/>
          <w:sz w:val="15"/>
          <w:szCs w:val="15"/>
          <w:i w:val="1"/>
          <w:iCs w:val="1"/>
          <w:color w:val="auto"/>
        </w:rPr>
        <w:t>If we are able to successfully consummate the SWE Transaction, we may have difficulties integrating its operations and its business and our business, financial condition and results of operations could be adversely affected</w:t>
      </w:r>
      <w:r>
        <w:rPr>
          <w:rFonts w:ascii="Arial" w:cs="Arial" w:eastAsia="Arial" w:hAnsi="Arial"/>
          <w:sz w:val="15"/>
          <w:szCs w:val="15"/>
          <w:b w:val="1"/>
          <w:bCs w:val="1"/>
          <w:i w:val="1"/>
          <w:iCs w:val="1"/>
          <w:color w:val="auto"/>
        </w:rPr>
        <w:t>.</w:t>
      </w:r>
    </w:p>
    <w:p>
      <w:pPr>
        <w:spacing w:after="0" w:line="180" w:lineRule="exact"/>
        <w:rPr>
          <w:sz w:val="20"/>
          <w:szCs w:val="20"/>
          <w:color w:val="auto"/>
        </w:rPr>
      </w:pPr>
    </w:p>
    <w:p>
      <w:pPr>
        <w:ind w:left="40" w:right="59" w:firstLine="547"/>
        <w:spacing w:after="0" w:line="279" w:lineRule="auto"/>
        <w:rPr>
          <w:sz w:val="20"/>
          <w:szCs w:val="20"/>
          <w:color w:val="auto"/>
        </w:rPr>
      </w:pPr>
      <w:r>
        <w:rPr>
          <w:rFonts w:ascii="Arial" w:cs="Arial" w:eastAsia="Arial" w:hAnsi="Arial"/>
          <w:sz w:val="14"/>
          <w:szCs w:val="14"/>
          <w:color w:val="auto"/>
        </w:rPr>
        <w:t>The SWE Transaction will occur as we are engaged in the transformation of our rural Southwest business from a primarily wholesale wireless business to a rural broadband and carrier service business model. We anticipate that the SWE Transaction will contribute to business transformation needed in our US Telecom segment by growing our fiber assets and increasing internal operational experience running those fiber assets. The complexities of the integration and expansion of Sacred Wind’s operations are not yet known, and our team will be executing on the integration alongside the transformation of our existing business. We have devoted and will continue to devote a significant amount of time and attention to integrating these operations with our existing operations. If we have difficulties with the integration or transition process, it could harm our reputation and have a material adverse effect on our business, financial condition or results of operations.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We are reliant on government funding to comply with the FCC’s “Replace and Remove” Program.</w:t>
      </w:r>
    </w:p>
    <w:p>
      <w:pPr>
        <w:spacing w:after="0" w:line="192" w:lineRule="exact"/>
        <w:rPr>
          <w:sz w:val="20"/>
          <w:szCs w:val="20"/>
          <w:color w:val="auto"/>
        </w:rPr>
      </w:pPr>
    </w:p>
    <w:p>
      <w:pPr>
        <w:jc w:val="both"/>
        <w:ind w:left="60" w:right="119" w:firstLine="446"/>
        <w:spacing w:after="0" w:line="256" w:lineRule="auto"/>
        <w:rPr>
          <w:sz w:val="20"/>
          <w:szCs w:val="20"/>
          <w:color w:val="auto"/>
        </w:rPr>
      </w:pPr>
      <w:r>
        <w:rPr>
          <w:rFonts w:ascii="Arial" w:cs="Arial" w:eastAsia="Arial" w:hAnsi="Arial"/>
          <w:sz w:val="15"/>
          <w:szCs w:val="15"/>
          <w:color w:val="auto"/>
        </w:rPr>
        <w:t>A number of our equipment suppliers and vendors are based outside the United States, with China serving as a significant non-US source for our telecommunications network equipment in the United States. The FCC, and other governmental restrictions on the procurement of equipment and services from certain Chinese vendors, will result in a costly network replacement build in our western United States operations that, if not offset by government support, could adversely affect our results of operations. We have been allocated more than $207 million to reimburse us for our demonstrated costs attributable to the FCC’s Replace and Remove Program for our Chinese vendor equipment and services, however, due to a universal reduction in funding to all applicants in the Replace and Remove Program by the FCC, this represents less than the total amount of funding that we initially applied for. Although Congress is currently considering increasing funding to the FCC for the Replace and Remove Program, there can be no assurances that the FCC will actually receive such additional funding, that it will allocate any such additional funds to us, or that any such funds will be adequate to completely remove, securely destroy, and replace all prohibited equipment from our network.</w:t>
      </w:r>
    </w:p>
    <w:p>
      <w:pPr>
        <w:spacing w:after="0" w:line="165" w:lineRule="exact"/>
        <w:rPr>
          <w:sz w:val="20"/>
          <w:szCs w:val="20"/>
          <w:color w:val="auto"/>
        </w:rPr>
      </w:pPr>
    </w:p>
    <w:p>
      <w:pPr>
        <w:ind w:left="40" w:right="139" w:firstLine="547"/>
        <w:spacing w:after="0" w:line="309" w:lineRule="auto"/>
        <w:rPr>
          <w:sz w:val="20"/>
          <w:szCs w:val="20"/>
          <w:color w:val="auto"/>
        </w:rPr>
      </w:pPr>
      <w:r>
        <w:rPr>
          <w:rFonts w:ascii="Arial" w:cs="Arial" w:eastAsia="Arial" w:hAnsi="Arial"/>
          <w:sz w:val="13"/>
          <w:szCs w:val="13"/>
          <w:color w:val="auto"/>
        </w:rPr>
        <w:t>In addition, the FCC has mandated an aggressive timeline for the completion of the Replace and Remove Program, requiring that participants only receive funding in reimbursement for costs incurred in program-related activities, and that the initial reimbursement request be submitted no later than July 14, 2023. In addition, we must complete the project no later than one year after submitting our initial reimbursement request, in effect requiring that build activities be concluded no later than July 2024. If we are unable to complete the removal and replacement in that time frame, cannot secure advanced funding for the program activities on terms and conditions that are acceptable to us,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1" w:name="page72"/>
    <w:bookmarkEnd w:id="71"/>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right="659"/>
        <w:spacing w:after="0" w:line="279" w:lineRule="auto"/>
        <w:rPr>
          <w:sz w:val="20"/>
          <w:szCs w:val="20"/>
          <w:color w:val="auto"/>
        </w:rPr>
      </w:pPr>
      <w:r>
        <w:rPr>
          <w:rFonts w:ascii="Arial" w:cs="Arial" w:eastAsia="Arial" w:hAnsi="Arial"/>
          <w:sz w:val="15"/>
          <w:szCs w:val="15"/>
          <w:color w:val="auto"/>
        </w:rPr>
        <w:t>or have underestimated the cost of replacement, it could adversely affect our ability to operate, maintain or expand our domestic network infrastructure.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Changes in interest rates and credit markets could impact our ability to service and expand our financing.</w:t>
      </w:r>
    </w:p>
    <w:p>
      <w:pPr>
        <w:spacing w:after="0" w:line="183" w:lineRule="exact"/>
        <w:rPr>
          <w:sz w:val="20"/>
          <w:szCs w:val="20"/>
          <w:color w:val="auto"/>
        </w:rPr>
      </w:pPr>
    </w:p>
    <w:p>
      <w:pPr>
        <w:jc w:val="both"/>
        <w:ind w:left="40" w:right="59" w:firstLine="372"/>
        <w:spacing w:after="0" w:line="261" w:lineRule="auto"/>
        <w:rPr>
          <w:sz w:val="20"/>
          <w:szCs w:val="20"/>
          <w:color w:val="auto"/>
        </w:rPr>
      </w:pPr>
      <w:r>
        <w:rPr>
          <w:rFonts w:ascii="Arial" w:cs="Arial" w:eastAsia="Arial" w:hAnsi="Arial"/>
          <w:sz w:val="14"/>
          <w:szCs w:val="14"/>
          <w:color w:val="auto"/>
        </w:rPr>
        <w:t>We require a significant amount of capital to expand our networks and grow our business that we fund partially from cash from operations and in part from borrowings under our credit facilities. Interest rates are highly sensitive to many factors which are beyond our control, including general economic conditions and policies of various governmental and regulatory agencies and, in particular, the U.S. Federal Reserve. Changes in monetary policy, including changes in interest rates, could increase our costs of borrowing.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Purchases of Equity Securities by the Issuer</w:t>
      </w:r>
    </w:p>
    <w:p>
      <w:pPr>
        <w:spacing w:after="0" w:line="192" w:lineRule="exact"/>
        <w:rPr>
          <w:sz w:val="20"/>
          <w:szCs w:val="20"/>
          <w:color w:val="auto"/>
        </w:rPr>
      </w:pPr>
    </w:p>
    <w:p>
      <w:pPr>
        <w:jc w:val="both"/>
        <w:ind w:left="40" w:right="59" w:firstLine="547"/>
        <w:spacing w:after="0" w:line="266" w:lineRule="auto"/>
        <w:rPr>
          <w:sz w:val="20"/>
          <w:szCs w:val="20"/>
          <w:color w:val="auto"/>
        </w:rPr>
      </w:pPr>
      <w:r>
        <w:rPr>
          <w:rFonts w:ascii="Arial" w:cs="Arial" w:eastAsia="Arial" w:hAnsi="Arial"/>
          <w:sz w:val="15"/>
          <w:szCs w:val="15"/>
          <w:color w:val="auto"/>
        </w:rPr>
        <w:t>On September 19, 2016, our Board of Directors authorized the repurchase of up to $50.0 million of our common stock from time to time on the open market or in privately negotiated transactions (the “2016 Repurchase Plan”). We have $19.5 million available to be repurchased under that plan as of June 30, 2022.</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 reflects the repurchases by us of our common stock during the quarter ended June 30, 2022:</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5"/>
              <w:spacing w:after="0"/>
              <w:rPr>
                <w:sz w:val="20"/>
                <w:szCs w:val="20"/>
                <w:color w:val="auto"/>
              </w:rPr>
            </w:pPr>
            <w:r>
              <w:rPr>
                <w:rFonts w:ascii="Arial" w:cs="Arial" w:eastAsia="Arial" w:hAnsi="Arial"/>
                <w:sz w:val="12"/>
                <w:szCs w:val="12"/>
                <w:b w:val="1"/>
                <w:bCs w:val="1"/>
                <w:color w:val="auto"/>
                <w:w w:val="91"/>
              </w:rPr>
              <w:t>(d)</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97"/>
              </w:rPr>
              <w:t>Maximum</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5"/>
              </w:rPr>
              <w:t>(c)</w:t>
            </w: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95"/>
              </w:rPr>
              <w:t>Number (or</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(b)</w:t>
            </w: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95"/>
              </w:rPr>
              <w:t>Approximate</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center"/>
              <w:ind w:right="104"/>
              <w:spacing w:after="0"/>
              <w:rPr>
                <w:sz w:val="20"/>
                <w:szCs w:val="20"/>
                <w:color w:val="auto"/>
              </w:rPr>
            </w:pPr>
            <w:r>
              <w:rPr>
                <w:rFonts w:ascii="Arial" w:cs="Arial" w:eastAsia="Arial" w:hAnsi="Arial"/>
                <w:sz w:val="12"/>
                <w:szCs w:val="12"/>
                <w:b w:val="1"/>
                <w:bCs w:val="1"/>
                <w:color w:val="auto"/>
                <w:w w:val="95"/>
              </w:rPr>
              <w:t>(a)</w:t>
            </w: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3"/>
              </w:rPr>
              <w:t>Total Number of</w:t>
            </w: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93"/>
              </w:rPr>
              <w:t>Dollar Value) of</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8"/>
              </w:rPr>
              <w:t>Average</w:t>
            </w:r>
          </w:p>
        </w:tc>
        <w:tc>
          <w:tcPr>
            <w:tcW w:w="13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87"/>
              </w:rPr>
              <w:t>Shares Purchased</w:t>
            </w: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93"/>
              </w:rPr>
              <w:t>Shares that May</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124"/>
              <w:spacing w:after="0" w:line="125" w:lineRule="exact"/>
              <w:rPr>
                <w:sz w:val="20"/>
                <w:szCs w:val="20"/>
                <w:color w:val="auto"/>
              </w:rPr>
            </w:pPr>
            <w:r>
              <w:rPr>
                <w:rFonts w:ascii="Arial" w:cs="Arial" w:eastAsia="Arial" w:hAnsi="Arial"/>
                <w:sz w:val="12"/>
                <w:szCs w:val="12"/>
                <w:b w:val="1"/>
                <w:bCs w:val="1"/>
                <w:color w:val="auto"/>
                <w:w w:val="93"/>
              </w:rPr>
              <w:t>Total Number</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88"/>
              </w:rPr>
              <w:t>Price</w:t>
            </w:r>
          </w:p>
        </w:tc>
        <w:tc>
          <w:tcPr>
            <w:tcW w:w="1300" w:type="dxa"/>
            <w:vAlign w:val="bottom"/>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w w:val="92"/>
              </w:rPr>
              <w:t>as Part of Publicly</w:t>
            </w:r>
          </w:p>
        </w:tc>
        <w:tc>
          <w:tcPr>
            <w:tcW w:w="100" w:type="dxa"/>
            <w:vAlign w:val="bottom"/>
          </w:tcPr>
          <w:p>
            <w:pPr>
              <w:spacing w:after="0"/>
              <w:rPr>
                <w:sz w:val="10"/>
                <w:szCs w:val="10"/>
                <w:color w:val="auto"/>
              </w:rPr>
            </w:pPr>
          </w:p>
        </w:tc>
        <w:tc>
          <w:tcPr>
            <w:tcW w:w="1100" w:type="dxa"/>
            <w:vAlign w:val="bottom"/>
          </w:tcPr>
          <w:p>
            <w:pPr>
              <w:jc w:val="center"/>
              <w:ind w:right="15"/>
              <w:spacing w:after="0" w:line="125" w:lineRule="exact"/>
              <w:rPr>
                <w:sz w:val="20"/>
                <w:szCs w:val="20"/>
                <w:color w:val="auto"/>
              </w:rPr>
            </w:pPr>
            <w:r>
              <w:rPr>
                <w:rFonts w:ascii="Arial" w:cs="Arial" w:eastAsia="Arial" w:hAnsi="Arial"/>
                <w:sz w:val="12"/>
                <w:szCs w:val="12"/>
                <w:b w:val="1"/>
                <w:bCs w:val="1"/>
                <w:color w:val="auto"/>
                <w:w w:val="88"/>
              </w:rPr>
              <w:t>be Purchased</w:t>
            </w: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24"/>
              <w:spacing w:after="0"/>
              <w:rPr>
                <w:sz w:val="20"/>
                <w:szCs w:val="20"/>
                <w:color w:val="auto"/>
              </w:rPr>
            </w:pPr>
            <w:r>
              <w:rPr>
                <w:rFonts w:ascii="Arial" w:cs="Arial" w:eastAsia="Arial" w:hAnsi="Arial"/>
                <w:sz w:val="12"/>
                <w:szCs w:val="12"/>
                <w:b w:val="1"/>
                <w:bCs w:val="1"/>
                <w:color w:val="auto"/>
                <w:w w:val="87"/>
              </w:rPr>
              <w:t>of Shares</w:t>
            </w:r>
          </w:p>
        </w:tc>
        <w:tc>
          <w:tcPr>
            <w:tcW w:w="8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Paid per</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Announced Plans</w:t>
            </w:r>
          </w:p>
        </w:tc>
        <w:tc>
          <w:tcPr>
            <w:tcW w:w="100" w:type="dxa"/>
            <w:vAlign w:val="bottom"/>
          </w:tcPr>
          <w:p>
            <w:pPr>
              <w:spacing w:after="0"/>
              <w:rPr>
                <w:sz w:val="13"/>
                <w:szCs w:val="13"/>
                <w:color w:val="auto"/>
              </w:rPr>
            </w:pPr>
          </w:p>
        </w:tc>
        <w:tc>
          <w:tcPr>
            <w:tcW w:w="1100" w:type="dxa"/>
            <w:vAlign w:val="bottom"/>
          </w:tcPr>
          <w:p>
            <w:pPr>
              <w:jc w:val="center"/>
              <w:ind w:right="15"/>
              <w:spacing w:after="0"/>
              <w:rPr>
                <w:sz w:val="20"/>
                <w:szCs w:val="20"/>
                <w:color w:val="auto"/>
              </w:rPr>
            </w:pPr>
            <w:r>
              <w:rPr>
                <w:rFonts w:ascii="Arial" w:cs="Arial" w:eastAsia="Arial" w:hAnsi="Arial"/>
                <w:sz w:val="12"/>
                <w:szCs w:val="12"/>
                <w:b w:val="1"/>
                <w:bCs w:val="1"/>
                <w:color w:val="auto"/>
                <w:w w:val="91"/>
              </w:rPr>
              <w:t>Under the Plans or</w:t>
            </w:r>
          </w:p>
        </w:tc>
        <w:tc>
          <w:tcPr>
            <w:tcW w:w="0" w:type="dxa"/>
            <w:vAlign w:val="bottom"/>
          </w:tcPr>
          <w:p>
            <w:pPr>
              <w:spacing w:after="0"/>
              <w:rPr>
                <w:sz w:val="1"/>
                <w:szCs w:val="1"/>
                <w:color w:val="auto"/>
              </w:rPr>
            </w:pPr>
          </w:p>
        </w:tc>
      </w:tr>
      <w:tr>
        <w:trPr>
          <w:trHeight w:val="169"/>
        </w:trPr>
        <w:tc>
          <w:tcPr>
            <w:tcW w:w="4600" w:type="dxa"/>
            <w:vAlign w:val="bottom"/>
            <w:gridSpan w:val="2"/>
          </w:tcPr>
          <w:p>
            <w:pPr>
              <w:spacing w:after="0"/>
              <w:rPr>
                <w:sz w:val="20"/>
                <w:szCs w:val="20"/>
                <w:color w:val="auto"/>
              </w:rPr>
            </w:pPr>
            <w:r>
              <w:rPr>
                <w:rFonts w:ascii="Arial" w:cs="Arial" w:eastAsia="Arial" w:hAnsi="Arial"/>
                <w:sz w:val="12"/>
                <w:szCs w:val="12"/>
                <w:b w:val="1"/>
                <w:bCs w:val="1"/>
                <w:color w:val="auto"/>
              </w:rPr>
              <w:t>Period</w:t>
            </w:r>
          </w:p>
        </w:tc>
        <w:tc>
          <w:tcPr>
            <w:tcW w:w="1080" w:type="dxa"/>
            <w:vAlign w:val="bottom"/>
            <w:gridSpan w:val="2"/>
          </w:tcPr>
          <w:p>
            <w:pPr>
              <w:jc w:val="center"/>
              <w:ind w:right="104"/>
              <w:spacing w:after="0"/>
              <w:rPr>
                <w:sz w:val="20"/>
                <w:szCs w:val="20"/>
                <w:color w:val="auto"/>
              </w:rPr>
            </w:pPr>
            <w:r>
              <w:rPr>
                <w:rFonts w:ascii="Arial" w:cs="Arial" w:eastAsia="Arial" w:hAnsi="Arial"/>
                <w:sz w:val="12"/>
                <w:szCs w:val="12"/>
                <w:b w:val="1"/>
                <w:bCs w:val="1"/>
                <w:color w:val="auto"/>
                <w:w w:val="87"/>
              </w:rPr>
              <w:t>Purchased</w:t>
            </w:r>
          </w:p>
        </w:tc>
        <w:tc>
          <w:tcPr>
            <w:tcW w:w="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Share</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or Programs</w:t>
            </w:r>
          </w:p>
        </w:tc>
        <w:tc>
          <w:tcPr>
            <w:tcW w:w="100" w:type="dxa"/>
            <w:vAlign w:val="bottom"/>
          </w:tcPr>
          <w:p>
            <w:pPr>
              <w:spacing w:after="0"/>
              <w:rPr>
                <w:sz w:val="14"/>
                <w:szCs w:val="14"/>
                <w:color w:val="auto"/>
              </w:rPr>
            </w:pPr>
          </w:p>
        </w:tc>
        <w:tc>
          <w:tcPr>
            <w:tcW w:w="110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Programs</w:t>
            </w:r>
          </w:p>
        </w:tc>
        <w:tc>
          <w:tcPr>
            <w:tcW w:w="0" w:type="dxa"/>
            <w:vAlign w:val="bottom"/>
          </w:tcPr>
          <w:p>
            <w:pPr>
              <w:spacing w:after="0"/>
              <w:rPr>
                <w:sz w:val="1"/>
                <w:szCs w:val="1"/>
                <w:color w:val="auto"/>
              </w:rPr>
            </w:pPr>
          </w:p>
        </w:tc>
      </w:tr>
      <w:tr>
        <w:trPr>
          <w:trHeight w:val="174"/>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April 1, 2022 — April 30, 2022</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39.53</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19,451,514</w:t>
            </w:r>
          </w:p>
        </w:tc>
        <w:tc>
          <w:tcPr>
            <w:tcW w:w="0" w:type="dxa"/>
            <w:vAlign w:val="bottom"/>
          </w:tcPr>
          <w:p>
            <w:pPr>
              <w:spacing w:after="0"/>
              <w:rPr>
                <w:sz w:val="1"/>
                <w:szCs w:val="1"/>
                <w:color w:val="auto"/>
              </w:rPr>
            </w:pPr>
          </w:p>
        </w:tc>
      </w:tr>
      <w:tr>
        <w:trPr>
          <w:trHeight w:val="182"/>
        </w:trPr>
        <w:tc>
          <w:tcPr>
            <w:tcW w:w="4600" w:type="dxa"/>
            <w:vAlign w:val="bottom"/>
            <w:gridSpan w:val="2"/>
          </w:tcPr>
          <w:p>
            <w:pPr>
              <w:spacing w:after="0"/>
              <w:rPr>
                <w:sz w:val="20"/>
                <w:szCs w:val="20"/>
                <w:color w:val="auto"/>
              </w:rPr>
            </w:pPr>
            <w:r>
              <w:rPr>
                <w:rFonts w:ascii="Arial" w:cs="Arial" w:eastAsia="Arial" w:hAnsi="Arial"/>
                <w:sz w:val="15"/>
                <w:szCs w:val="15"/>
                <w:color w:val="auto"/>
              </w:rPr>
              <w:t>May 1, 2022 — May 31, 2022</w:t>
            </w: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gridSpan w:val="2"/>
          </w:tcPr>
          <w:p>
            <w:pPr>
              <w:ind w:left="9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19,451,514</w:t>
            </w:r>
          </w:p>
        </w:tc>
        <w:tc>
          <w:tcPr>
            <w:tcW w:w="0" w:type="dxa"/>
            <w:vAlign w:val="bottom"/>
          </w:tcPr>
          <w:p>
            <w:pPr>
              <w:spacing w:after="0"/>
              <w:rPr>
                <w:sz w:val="1"/>
                <w:szCs w:val="1"/>
                <w:color w:val="auto"/>
              </w:rPr>
            </w:pPr>
          </w:p>
        </w:tc>
      </w:tr>
      <w:tr>
        <w:trPr>
          <w:trHeight w:val="182"/>
        </w:trPr>
        <w:tc>
          <w:tcPr>
            <w:tcW w:w="4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 2022 — June 30, 2022</w:t>
            </w:r>
          </w:p>
        </w:tc>
        <w:tc>
          <w:tcPr>
            <w:tcW w:w="108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19,451,514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00" w:right="119" w:hanging="267"/>
        <w:spacing w:after="0" w:line="262" w:lineRule="auto"/>
        <w:tabs>
          <w:tab w:leader="none" w:pos="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shares purchased on April 30, 2022 from our executive officers and other employees who tendered these shares to us to satisfy their tax withholding obligations incurred in connection with the vesting of restricted stock units at such date. These shares were not purchased under the 2016 Repurchase Plan discussed above. The price paid per share was the closing price per share of our common stock on the Nasdaq Stock Market on the date those shares were purchased.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8170" cy="1460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2" w:name="page73"/>
    <w:bookmarkEnd w:id="72"/>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5. Other Information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Replace and Remove Program</w:t>
      </w:r>
    </w:p>
    <w:p>
      <w:pPr>
        <w:spacing w:after="0" w:line="192" w:lineRule="exact"/>
        <w:rPr>
          <w:sz w:val="20"/>
          <w:szCs w:val="20"/>
          <w:color w:val="auto"/>
        </w:rPr>
      </w:pPr>
    </w:p>
    <w:p>
      <w:pPr>
        <w:ind w:left="40" w:right="59" w:firstLine="547"/>
        <w:spacing w:after="0" w:line="300" w:lineRule="auto"/>
        <w:rPr>
          <w:sz w:val="20"/>
          <w:szCs w:val="20"/>
          <w:color w:val="auto"/>
        </w:rPr>
      </w:pPr>
      <w:r>
        <w:rPr>
          <w:rFonts w:ascii="Arial" w:cs="Arial" w:eastAsia="Arial" w:hAnsi="Arial"/>
          <w:sz w:val="13"/>
          <w:szCs w:val="13"/>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its first request for reimbursement for services performed under the program no later than July 14, 2023 and that it complete the project no later than one year from submitting its initial reimbursement request. The Company is currently assessing the impact of this program on its financial statements and anticipates that it will be able to meet the deadlines and requirements of the program.</w:t>
      </w:r>
    </w:p>
    <w:p>
      <w:pPr>
        <w:spacing w:after="0" w:line="232" w:lineRule="exact"/>
        <w:rPr>
          <w:sz w:val="20"/>
          <w:szCs w:val="20"/>
          <w:color w:val="auto"/>
        </w:rPr>
      </w:pPr>
    </w:p>
    <w:p>
      <w:pPr>
        <w:ind w:left="40" w:right="179" w:firstLine="372"/>
        <w:spacing w:after="0" w:line="266" w:lineRule="auto"/>
        <w:rPr>
          <w:sz w:val="20"/>
          <w:szCs w:val="20"/>
          <w:color w:val="auto"/>
        </w:rPr>
      </w:pPr>
      <w:r>
        <w:rPr>
          <w:rFonts w:ascii="Arial" w:cs="Arial" w:eastAsia="Arial" w:hAnsi="Arial"/>
          <w:sz w:val="15"/>
          <w:szCs w:val="15"/>
          <w:color w:val="auto"/>
        </w:rPr>
        <w:t>On August 4, 2022, we amended our FirstNet Agreement with AT&amp;T to extend the overall build schedule. For more information about our FirstNet Agreement with AT&amp;T, please refer to “FirstNet Agreement” under Item 2 –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3" w:name="page74"/>
    <w:bookmarkEnd w:id="73"/>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Arial" w:cs="Arial" w:eastAsia="Arial" w:hAnsi="Arial"/>
                <w:sz w:val="15"/>
                <w:szCs w:val="15"/>
                <w:b w:val="1"/>
                <w:bCs w:val="1"/>
                <w:color w:val="auto"/>
              </w:rPr>
              <w:t>Item 6. Exhibits: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5"/>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88"/>
              </w:rPr>
              <w:t>10.1</w:t>
            </w:r>
          </w:p>
        </w:tc>
        <w:tc>
          <w:tcPr>
            <w:tcW w:w="7440" w:type="dxa"/>
            <w:vAlign w:val="bottom"/>
            <w:gridSpan w:val="14"/>
          </w:tcPr>
          <w:p>
            <w:pPr>
              <w:spacing w:after="0"/>
              <w:rPr>
                <w:rFonts w:ascii="Arial" w:cs="Arial" w:eastAsia="Arial" w:hAnsi="Arial"/>
                <w:sz w:val="15"/>
                <w:szCs w:val="15"/>
                <w:color w:val="0000EE"/>
                <w:w w:val="98"/>
              </w:rPr>
            </w:pPr>
            <w:hyperlink r:id="rId97">
              <w:r>
                <w:rPr>
                  <w:rFonts w:ascii="Arial" w:cs="Arial" w:eastAsia="Arial" w:hAnsi="Arial"/>
                  <w:sz w:val="15"/>
                  <w:szCs w:val="15"/>
                  <w:color w:val="0000EE"/>
                  <w:w w:val="98"/>
                </w:rPr>
                <w:t>Amendment to Loan Agreement dated May 5, 2022 between ATN VI Holdings, LLC and Rural Telephone Finance</w:t>
              </w:r>
            </w:hyperlink>
          </w:p>
        </w:tc>
      </w:tr>
      <w:tr>
        <w:trPr>
          <w:trHeight w:val="20"/>
        </w:trPr>
        <w:tc>
          <w:tcPr>
            <w:tcW w:w="1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1420" w:type="dxa"/>
            <w:vAlign w:val="bottom"/>
          </w:tcPr>
          <w:p>
            <w:pPr>
              <w:spacing w:after="0"/>
              <w:rPr>
                <w:sz w:val="14"/>
                <w:szCs w:val="14"/>
                <w:color w:val="auto"/>
              </w:rPr>
            </w:pPr>
          </w:p>
        </w:tc>
        <w:tc>
          <w:tcPr>
            <w:tcW w:w="7300" w:type="dxa"/>
            <w:vAlign w:val="bottom"/>
            <w:tcBorders>
              <w:bottom w:val="single" w:sz="8" w:color="0000EE"/>
            </w:tcBorders>
            <w:gridSpan w:val="13"/>
          </w:tcPr>
          <w:p>
            <w:pPr>
              <w:spacing w:after="0" w:line="162" w:lineRule="exact"/>
              <w:rPr>
                <w:rFonts w:ascii="Arial" w:cs="Arial" w:eastAsia="Arial" w:hAnsi="Arial"/>
                <w:sz w:val="15"/>
                <w:szCs w:val="15"/>
                <w:color w:val="0000EE"/>
                <w:w w:val="92"/>
              </w:rPr>
            </w:pPr>
            <w:hyperlink r:id="rId97">
              <w:r>
                <w:rPr>
                  <w:rFonts w:ascii="Arial" w:cs="Arial" w:eastAsia="Arial" w:hAnsi="Arial"/>
                  <w:sz w:val="15"/>
                  <w:szCs w:val="15"/>
                  <w:color w:val="0000EE"/>
                  <w:w w:val="92"/>
                </w:rPr>
                <w:t>Cooperative (incorporated by reference to Exhibit 10.1 to the Company’s Quarterly Report on Form 10-Q (file No. 001-</w:t>
              </w:r>
            </w:hyperlink>
          </w:p>
        </w:tc>
        <w:tc>
          <w:tcPr>
            <w:tcW w:w="14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7440" w:type="dxa"/>
            <w:vAlign w:val="bottom"/>
            <w:gridSpan w:val="14"/>
          </w:tcPr>
          <w:p>
            <w:pPr>
              <w:spacing w:after="0" w:line="162" w:lineRule="exact"/>
              <w:rPr>
                <w:rFonts w:ascii="Arial" w:cs="Arial" w:eastAsia="Arial" w:hAnsi="Arial"/>
                <w:sz w:val="15"/>
                <w:szCs w:val="15"/>
                <w:color w:val="0000EE"/>
              </w:rPr>
            </w:pPr>
            <w:hyperlink r:id="rId97">
              <w:r>
                <w:rPr>
                  <w:rFonts w:ascii="Arial" w:cs="Arial" w:eastAsia="Arial" w:hAnsi="Arial"/>
                  <w:sz w:val="15"/>
                  <w:szCs w:val="15"/>
                  <w:color w:val="0000EE"/>
                </w:rPr>
                <w:t>12593) for the quarterly period ended March 31, 2022 filed on May 10, 2022).</w:t>
              </w:r>
            </w:hyperlink>
          </w:p>
        </w:tc>
      </w:tr>
      <w:tr>
        <w:trPr>
          <w:trHeight w:val="20"/>
        </w:trPr>
        <w:tc>
          <w:tcPr>
            <w:tcW w:w="14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45"/>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6"/>
              </w:rPr>
              <w:t>10.2*</w:t>
            </w:r>
          </w:p>
        </w:tc>
        <w:tc>
          <w:tcPr>
            <w:tcW w:w="7440" w:type="dxa"/>
            <w:vAlign w:val="bottom"/>
            <w:tcBorders>
              <w:bottom w:val="single" w:sz="8" w:color="0000EE"/>
            </w:tcBorders>
            <w:gridSpan w:val="14"/>
          </w:tcPr>
          <w:p>
            <w:pPr>
              <w:spacing w:after="0"/>
              <w:rPr>
                <w:rFonts w:ascii="Arial" w:cs="Arial" w:eastAsia="Arial" w:hAnsi="Arial"/>
                <w:sz w:val="15"/>
                <w:szCs w:val="15"/>
                <w:color w:val="0000EE"/>
                <w:w w:val="92"/>
              </w:rPr>
            </w:pPr>
            <w:hyperlink w:anchor="page76">
              <w:r>
                <w:rPr>
                  <w:rFonts w:ascii="Arial" w:cs="Arial" w:eastAsia="Arial" w:hAnsi="Arial"/>
                  <w:sz w:val="15"/>
                  <w:szCs w:val="15"/>
                  <w:color w:val="0000EE"/>
                  <w:w w:val="92"/>
                </w:rPr>
                <w:t xml:space="preserve">Third </w:t>
              </w:r>
              <w:r>
                <w:rPr>
                  <w:rFonts w:ascii="Arial" w:cs="Arial" w:eastAsia="Arial" w:hAnsi="Arial"/>
                  <w:sz w:val="15"/>
                  <w:szCs w:val="15"/>
                  <w:color w:val="0000EE"/>
                  <w:highlight w:val="white"/>
                  <w:w w:val="92"/>
                </w:rPr>
                <w:t>Amendment to Network Build and Maintenance Agreement dated as of the 4th day of August, 2022 and effective as</w:t>
              </w:r>
            </w:hyperlink>
          </w:p>
        </w:tc>
      </w:tr>
      <w:tr>
        <w:trPr>
          <w:trHeight w:val="162"/>
        </w:trPr>
        <w:tc>
          <w:tcPr>
            <w:tcW w:w="1420" w:type="dxa"/>
            <w:vAlign w:val="bottom"/>
          </w:tcPr>
          <w:p>
            <w:pPr>
              <w:spacing w:after="0"/>
              <w:rPr>
                <w:sz w:val="14"/>
                <w:szCs w:val="14"/>
                <w:color w:val="auto"/>
              </w:rPr>
            </w:pPr>
          </w:p>
        </w:tc>
        <w:tc>
          <w:tcPr>
            <w:tcW w:w="7440" w:type="dxa"/>
            <w:vAlign w:val="bottom"/>
            <w:gridSpan w:val="14"/>
          </w:tcPr>
          <w:p>
            <w:pPr>
              <w:spacing w:after="0" w:line="162" w:lineRule="exact"/>
              <w:rPr>
                <w:rFonts w:ascii="Arial" w:cs="Arial" w:eastAsia="Arial" w:hAnsi="Arial"/>
                <w:sz w:val="15"/>
                <w:szCs w:val="15"/>
                <w:color w:val="0000EE"/>
              </w:rPr>
            </w:pPr>
            <w:hyperlink w:anchor="page76">
              <w:r>
                <w:rPr>
                  <w:rFonts w:ascii="Arial" w:cs="Arial" w:eastAsia="Arial" w:hAnsi="Arial"/>
                  <w:sz w:val="15"/>
                  <w:szCs w:val="15"/>
                  <w:color w:val="0000EE"/>
                </w:rPr>
                <w:t>of the 1st day of January, 2022 by and between Commnet Wireless, LLC and AT&amp;T Mobility LLC.</w:t>
              </w:r>
            </w:hyperlink>
          </w:p>
        </w:tc>
      </w:tr>
      <w:tr>
        <w:trPr>
          <w:trHeight w:val="20"/>
        </w:trPr>
        <w:tc>
          <w:tcPr>
            <w:tcW w:w="14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45"/>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6"/>
              </w:rPr>
              <w:t>31.1*</w:t>
            </w:r>
          </w:p>
        </w:tc>
        <w:tc>
          <w:tcPr>
            <w:tcW w:w="7440" w:type="dxa"/>
            <w:vAlign w:val="bottom"/>
            <w:gridSpan w:val="14"/>
          </w:tcPr>
          <w:p>
            <w:pPr>
              <w:spacing w:after="0"/>
              <w:rPr>
                <w:rFonts w:ascii="Arial" w:cs="Arial" w:eastAsia="Arial" w:hAnsi="Arial"/>
                <w:sz w:val="15"/>
                <w:szCs w:val="15"/>
                <w:color w:val="0000EE"/>
                <w:w w:val="94"/>
              </w:rPr>
            </w:pPr>
            <w:hyperlink w:anchor="page80">
              <w:r>
                <w:rPr>
                  <w:rFonts w:ascii="Arial" w:cs="Arial" w:eastAsia="Arial" w:hAnsi="Arial"/>
                  <w:sz w:val="15"/>
                  <w:szCs w:val="15"/>
                  <w:color w:val="0000EE"/>
                  <w:w w:val="94"/>
                </w:rPr>
                <w:t>Certification of Chief Executive Officer pursuant to Rule 13a-14(a) of the Securities Exchange Act of 1934, as adopted</w:t>
              </w:r>
            </w:hyperlink>
          </w:p>
        </w:tc>
      </w:tr>
      <w:tr>
        <w:trPr>
          <w:trHeight w:val="162"/>
        </w:trPr>
        <w:tc>
          <w:tcPr>
            <w:tcW w:w="142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5"/>
          </w:tcPr>
          <w:p>
            <w:pPr>
              <w:spacing w:after="0" w:line="162" w:lineRule="exact"/>
              <w:rPr>
                <w:rFonts w:ascii="Arial" w:cs="Arial" w:eastAsia="Arial" w:hAnsi="Arial"/>
                <w:sz w:val="15"/>
                <w:szCs w:val="15"/>
                <w:color w:val="0000EE"/>
                <w:w w:val="91"/>
              </w:rPr>
            </w:pPr>
            <w:hyperlink w:anchor="page80">
              <w:r>
                <w:rPr>
                  <w:rFonts w:ascii="Arial" w:cs="Arial" w:eastAsia="Arial" w:hAnsi="Arial"/>
                  <w:sz w:val="15"/>
                  <w:szCs w:val="15"/>
                  <w:color w:val="0000EE"/>
                  <w:w w:val="91"/>
                </w:rPr>
                <w:t>pursuant to Section 302 of the Sarbanes-Oxley Act of 2002.</w:t>
              </w:r>
            </w:hyperlink>
          </w:p>
        </w:tc>
        <w:tc>
          <w:tcPr>
            <w:tcW w:w="3600" w:type="dxa"/>
            <w:vAlign w:val="bottom"/>
            <w:tcBorders>
              <w:top w:val="single" w:sz="8" w:color="0000EE"/>
            </w:tcBorders>
            <w:gridSpan w:val="7"/>
          </w:tcPr>
          <w:p>
            <w:pPr>
              <w:spacing w:after="0"/>
              <w:rPr>
                <w:sz w:val="14"/>
                <w:szCs w:val="14"/>
                <w:color w:val="auto"/>
              </w:rPr>
            </w:pPr>
          </w:p>
        </w:tc>
        <w:tc>
          <w:tcPr>
            <w:tcW w:w="200" w:type="dxa"/>
            <w:vAlign w:val="bottom"/>
            <w:gridSpan w:val="2"/>
          </w:tcPr>
          <w:p>
            <w:pPr>
              <w:spacing w:after="0"/>
              <w:rPr>
                <w:sz w:val="14"/>
                <w:szCs w:val="14"/>
                <w:color w:val="auto"/>
              </w:rPr>
            </w:pPr>
          </w:p>
        </w:tc>
      </w:tr>
      <w:tr>
        <w:trPr>
          <w:trHeight w:val="310"/>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6"/>
              </w:rPr>
              <w:t>31.2*</w:t>
            </w:r>
          </w:p>
        </w:tc>
        <w:tc>
          <w:tcPr>
            <w:tcW w:w="7440" w:type="dxa"/>
            <w:vAlign w:val="bottom"/>
            <w:gridSpan w:val="14"/>
          </w:tcPr>
          <w:p>
            <w:pPr>
              <w:spacing w:after="0"/>
              <w:rPr>
                <w:rFonts w:ascii="Arial" w:cs="Arial" w:eastAsia="Arial" w:hAnsi="Arial"/>
                <w:sz w:val="15"/>
                <w:szCs w:val="15"/>
                <w:color w:val="0000EE"/>
                <w:w w:val="95"/>
              </w:rPr>
            </w:pPr>
            <w:hyperlink w:anchor="page81">
              <w:r>
                <w:rPr>
                  <w:rFonts w:ascii="Arial" w:cs="Arial" w:eastAsia="Arial" w:hAnsi="Arial"/>
                  <w:sz w:val="15"/>
                  <w:szCs w:val="15"/>
                  <w:color w:val="0000EE"/>
                  <w:w w:val="95"/>
                </w:rPr>
                <w:t>Certification of Chief Financial Officer pursuant to Rule 13a-14(a) of the Securities Exchange Act of 1934, as adopted</w:t>
              </w:r>
            </w:hyperlink>
          </w:p>
        </w:tc>
      </w:tr>
      <w:tr>
        <w:trPr>
          <w:trHeight w:val="162"/>
        </w:trPr>
        <w:tc>
          <w:tcPr>
            <w:tcW w:w="1420" w:type="dxa"/>
            <w:vAlign w:val="bottom"/>
          </w:tcPr>
          <w:p>
            <w:pPr>
              <w:spacing w:after="0"/>
              <w:rPr>
                <w:sz w:val="14"/>
                <w:szCs w:val="14"/>
                <w:color w:val="auto"/>
              </w:rPr>
            </w:pPr>
          </w:p>
        </w:tc>
        <w:tc>
          <w:tcPr>
            <w:tcW w:w="3640" w:type="dxa"/>
            <w:vAlign w:val="bottom"/>
            <w:tcBorders>
              <w:top w:val="single" w:sz="8" w:color="0000EE"/>
              <w:bottom w:val="single" w:sz="8" w:color="0000EE"/>
            </w:tcBorders>
            <w:gridSpan w:val="5"/>
          </w:tcPr>
          <w:p>
            <w:pPr>
              <w:spacing w:after="0" w:line="162" w:lineRule="exact"/>
              <w:rPr>
                <w:rFonts w:ascii="Arial" w:cs="Arial" w:eastAsia="Arial" w:hAnsi="Arial"/>
                <w:sz w:val="15"/>
                <w:szCs w:val="15"/>
                <w:color w:val="0000EE"/>
                <w:w w:val="91"/>
              </w:rPr>
            </w:pPr>
            <w:hyperlink w:anchor="page81">
              <w:r>
                <w:rPr>
                  <w:rFonts w:ascii="Arial" w:cs="Arial" w:eastAsia="Arial" w:hAnsi="Arial"/>
                  <w:sz w:val="15"/>
                  <w:szCs w:val="15"/>
                  <w:color w:val="0000EE"/>
                  <w:w w:val="91"/>
                </w:rPr>
                <w:t>pursuant to Section 302 of the Sarbanes-Oxley Act of 2002.</w:t>
              </w:r>
            </w:hyperlink>
          </w:p>
        </w:tc>
        <w:tc>
          <w:tcPr>
            <w:tcW w:w="3560" w:type="dxa"/>
            <w:vAlign w:val="bottom"/>
            <w:tcBorders>
              <w:top w:val="single" w:sz="8" w:color="0000EE"/>
            </w:tcBorders>
            <w:gridSpan w:val="6"/>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310"/>
        </w:trPr>
        <w:tc>
          <w:tcPr>
            <w:tcW w:w="1420" w:type="dxa"/>
            <w:vAlign w:val="bottom"/>
          </w:tcPr>
          <w:p>
            <w:pPr>
              <w:jc w:val="center"/>
              <w:ind w:right="484"/>
              <w:spacing w:after="0"/>
              <w:rPr>
                <w:sz w:val="20"/>
                <w:szCs w:val="20"/>
                <w:color w:val="auto"/>
              </w:rPr>
            </w:pPr>
            <w:r>
              <w:rPr>
                <w:rFonts w:ascii="Arial" w:cs="Arial" w:eastAsia="Arial" w:hAnsi="Arial"/>
                <w:sz w:val="15"/>
                <w:szCs w:val="15"/>
                <w:color w:val="auto"/>
              </w:rPr>
              <w:t>32.1**</w:t>
            </w:r>
          </w:p>
        </w:tc>
        <w:tc>
          <w:tcPr>
            <w:tcW w:w="7440" w:type="dxa"/>
            <w:vAlign w:val="bottom"/>
            <w:gridSpan w:val="14"/>
          </w:tcPr>
          <w:p>
            <w:pPr>
              <w:spacing w:after="0"/>
              <w:rPr>
                <w:rFonts w:ascii="Arial" w:cs="Arial" w:eastAsia="Arial" w:hAnsi="Arial"/>
                <w:sz w:val="15"/>
                <w:szCs w:val="15"/>
                <w:color w:val="0000EE"/>
                <w:w w:val="96"/>
              </w:rPr>
            </w:pPr>
            <w:hyperlink w:anchor="page82">
              <w:r>
                <w:rPr>
                  <w:rFonts w:ascii="Arial" w:cs="Arial" w:eastAsia="Arial" w:hAnsi="Arial"/>
                  <w:sz w:val="15"/>
                  <w:szCs w:val="15"/>
                  <w:color w:val="0000EE"/>
                  <w:w w:val="96"/>
                </w:rPr>
                <w:t>Certification of Chief Executive Officer pursuant to 18 USC Section 1350, as adopted pursuant to Section 906 of the</w:t>
              </w:r>
            </w:hyperlink>
          </w:p>
        </w:tc>
      </w:tr>
      <w:tr>
        <w:trPr>
          <w:trHeight w:val="162"/>
        </w:trPr>
        <w:tc>
          <w:tcPr>
            <w:tcW w:w="1420" w:type="dxa"/>
            <w:vAlign w:val="bottom"/>
          </w:tcPr>
          <w:p>
            <w:pPr>
              <w:spacing w:after="0"/>
              <w:rPr>
                <w:sz w:val="14"/>
                <w:szCs w:val="14"/>
                <w:color w:val="auto"/>
              </w:rPr>
            </w:pPr>
          </w:p>
        </w:tc>
        <w:tc>
          <w:tcPr>
            <w:tcW w:w="1780" w:type="dxa"/>
            <w:vAlign w:val="bottom"/>
            <w:tcBorders>
              <w:top w:val="single" w:sz="8" w:color="0000EE"/>
              <w:bottom w:val="single" w:sz="8" w:color="0000EE"/>
            </w:tcBorders>
            <w:gridSpan w:val="4"/>
          </w:tcPr>
          <w:p>
            <w:pPr>
              <w:spacing w:after="0" w:line="162" w:lineRule="exact"/>
              <w:rPr>
                <w:rFonts w:ascii="Arial" w:cs="Arial" w:eastAsia="Arial" w:hAnsi="Arial"/>
                <w:sz w:val="15"/>
                <w:szCs w:val="15"/>
                <w:color w:val="0000EE"/>
                <w:w w:val="91"/>
              </w:rPr>
            </w:pPr>
            <w:hyperlink w:anchor="page82">
              <w:r>
                <w:rPr>
                  <w:rFonts w:ascii="Arial" w:cs="Arial" w:eastAsia="Arial" w:hAnsi="Arial"/>
                  <w:sz w:val="15"/>
                  <w:szCs w:val="15"/>
                  <w:color w:val="0000EE"/>
                  <w:w w:val="91"/>
                </w:rPr>
                <w:t>Sarbanes-Oxley Act of 2002.</w:t>
              </w:r>
            </w:hyperlink>
          </w:p>
        </w:tc>
        <w:tc>
          <w:tcPr>
            <w:tcW w:w="5300" w:type="dxa"/>
            <w:vAlign w:val="bottom"/>
            <w:tcBorders>
              <w:top w:val="single" w:sz="8" w:color="0000EE"/>
            </w:tcBorders>
            <w:gridSpan w:val="6"/>
          </w:tcPr>
          <w:p>
            <w:pPr>
              <w:spacing w:after="0"/>
              <w:rPr>
                <w:sz w:val="14"/>
                <w:szCs w:val="14"/>
                <w:color w:val="auto"/>
              </w:rPr>
            </w:pPr>
          </w:p>
        </w:tc>
        <w:tc>
          <w:tcPr>
            <w:tcW w:w="360" w:type="dxa"/>
            <w:vAlign w:val="bottom"/>
            <w:gridSpan w:val="4"/>
          </w:tcPr>
          <w:p>
            <w:pPr>
              <w:spacing w:after="0"/>
              <w:rPr>
                <w:sz w:val="14"/>
                <w:szCs w:val="14"/>
                <w:color w:val="auto"/>
              </w:rPr>
            </w:pPr>
          </w:p>
        </w:tc>
      </w:tr>
      <w:tr>
        <w:trPr>
          <w:trHeight w:val="345"/>
        </w:trPr>
        <w:tc>
          <w:tcPr>
            <w:tcW w:w="1420" w:type="dxa"/>
            <w:vAlign w:val="bottom"/>
          </w:tcPr>
          <w:p>
            <w:pPr>
              <w:jc w:val="center"/>
              <w:ind w:right="484"/>
              <w:spacing w:after="0"/>
              <w:rPr>
                <w:sz w:val="20"/>
                <w:szCs w:val="20"/>
                <w:color w:val="auto"/>
              </w:rPr>
            </w:pPr>
            <w:r>
              <w:rPr>
                <w:rFonts w:ascii="Arial" w:cs="Arial" w:eastAsia="Arial" w:hAnsi="Arial"/>
                <w:sz w:val="15"/>
                <w:szCs w:val="15"/>
                <w:color w:val="auto"/>
              </w:rPr>
              <w:t>32.2**</w:t>
            </w:r>
          </w:p>
        </w:tc>
        <w:tc>
          <w:tcPr>
            <w:tcW w:w="7440" w:type="dxa"/>
            <w:vAlign w:val="bottom"/>
            <w:gridSpan w:val="14"/>
          </w:tcPr>
          <w:p>
            <w:pPr>
              <w:spacing w:after="0"/>
              <w:rPr>
                <w:rFonts w:ascii="Arial" w:cs="Arial" w:eastAsia="Arial" w:hAnsi="Arial"/>
                <w:sz w:val="15"/>
                <w:szCs w:val="15"/>
                <w:color w:val="0000EE"/>
                <w:w w:val="97"/>
              </w:rPr>
            </w:pPr>
            <w:hyperlink w:anchor="page83">
              <w:r>
                <w:rPr>
                  <w:rFonts w:ascii="Arial" w:cs="Arial" w:eastAsia="Arial" w:hAnsi="Arial"/>
                  <w:sz w:val="15"/>
                  <w:szCs w:val="15"/>
                  <w:color w:val="0000EE"/>
                  <w:w w:val="97"/>
                </w:rPr>
                <w:t>Certification of Chief Financial Officer pursuant to 18 USC Section 1350, as adopted pursuant to Section 906 of the</w:t>
              </w:r>
            </w:hyperlink>
          </w:p>
        </w:tc>
      </w:tr>
      <w:tr>
        <w:trPr>
          <w:trHeight w:val="162"/>
        </w:trPr>
        <w:tc>
          <w:tcPr>
            <w:tcW w:w="1420" w:type="dxa"/>
            <w:vAlign w:val="bottom"/>
          </w:tcPr>
          <w:p>
            <w:pPr>
              <w:spacing w:after="0"/>
              <w:rPr>
                <w:sz w:val="14"/>
                <w:szCs w:val="14"/>
                <w:color w:val="auto"/>
              </w:rPr>
            </w:pPr>
          </w:p>
        </w:tc>
        <w:tc>
          <w:tcPr>
            <w:tcW w:w="7040" w:type="dxa"/>
            <w:vAlign w:val="bottom"/>
            <w:tcBorders>
              <w:top w:val="single" w:sz="8" w:color="0000EE"/>
            </w:tcBorders>
            <w:gridSpan w:val="9"/>
          </w:tcPr>
          <w:p>
            <w:pPr>
              <w:spacing w:after="0" w:line="162" w:lineRule="exact"/>
              <w:rPr>
                <w:rFonts w:ascii="Arial" w:cs="Arial" w:eastAsia="Arial" w:hAnsi="Arial"/>
                <w:sz w:val="15"/>
                <w:szCs w:val="15"/>
                <w:color w:val="0000EE"/>
              </w:rPr>
            </w:pPr>
            <w:hyperlink w:anchor="page83">
              <w:r>
                <w:rPr>
                  <w:rFonts w:ascii="Arial" w:cs="Arial" w:eastAsia="Arial" w:hAnsi="Arial"/>
                  <w:sz w:val="15"/>
                  <w:szCs w:val="15"/>
                  <w:color w:val="0000EE"/>
                </w:rPr>
                <w:t>Sarbanes-Oxley Act of 2002</w:t>
              </w:r>
              <w:r>
                <w:rPr>
                  <w:rFonts w:ascii="Arial" w:cs="Arial" w:eastAsia="Arial" w:hAnsi="Arial"/>
                  <w:sz w:val="15"/>
                  <w:szCs w:val="15"/>
                  <w:color w:val="000000"/>
                </w:rPr>
                <w:t>.</w:t>
              </w:r>
            </w:hyperlink>
          </w:p>
        </w:tc>
        <w:tc>
          <w:tcPr>
            <w:tcW w:w="400" w:type="dxa"/>
            <w:vAlign w:val="bottom"/>
            <w:gridSpan w:val="5"/>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5700" w:type="dxa"/>
            <w:vAlign w:val="bottom"/>
            <w:gridSpan w:val="11"/>
          </w:tcPr>
          <w:p>
            <w:pPr>
              <w:spacing w:after="0" w:line="20" w:lineRule="exact"/>
              <w:rPr>
                <w:sz w:val="1"/>
                <w:szCs w:val="1"/>
                <w:color w:val="auto"/>
              </w:rPr>
            </w:pPr>
          </w:p>
        </w:tc>
      </w:tr>
      <w:tr>
        <w:trPr>
          <w:trHeight w:val="368"/>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2"/>
              </w:rPr>
              <w:t>101.INS</w:t>
            </w:r>
          </w:p>
        </w:tc>
        <w:tc>
          <w:tcPr>
            <w:tcW w:w="7440" w:type="dxa"/>
            <w:vAlign w:val="bottom"/>
            <w:gridSpan w:val="14"/>
          </w:tcPr>
          <w:p>
            <w:pPr>
              <w:spacing w:after="0"/>
              <w:rPr>
                <w:sz w:val="20"/>
                <w:szCs w:val="20"/>
                <w:color w:val="auto"/>
              </w:rPr>
            </w:pPr>
            <w:r>
              <w:rPr>
                <w:rFonts w:ascii="Arial" w:cs="Arial" w:eastAsia="Arial" w:hAnsi="Arial"/>
                <w:sz w:val="15"/>
                <w:szCs w:val="15"/>
                <w:color w:val="auto"/>
                <w:w w:val="93"/>
              </w:rPr>
              <w:t>Inline XBRL Instance Document - the instance document does not appear in the Interactive Data File because its XBRL</w:t>
            </w:r>
          </w:p>
        </w:tc>
      </w:tr>
      <w:tr>
        <w:trPr>
          <w:trHeight w:val="191"/>
        </w:trPr>
        <w:tc>
          <w:tcPr>
            <w:tcW w:w="1420" w:type="dxa"/>
            <w:vAlign w:val="bottom"/>
          </w:tcPr>
          <w:p>
            <w:pPr>
              <w:spacing w:after="0"/>
              <w:rPr>
                <w:sz w:val="16"/>
                <w:szCs w:val="16"/>
                <w:color w:val="auto"/>
              </w:rPr>
            </w:pPr>
          </w:p>
        </w:tc>
        <w:tc>
          <w:tcPr>
            <w:tcW w:w="7440" w:type="dxa"/>
            <w:vAlign w:val="bottom"/>
            <w:gridSpan w:val="14"/>
          </w:tcPr>
          <w:p>
            <w:pPr>
              <w:spacing w:after="0"/>
              <w:rPr>
                <w:sz w:val="20"/>
                <w:szCs w:val="20"/>
                <w:color w:val="auto"/>
              </w:rPr>
            </w:pPr>
            <w:r>
              <w:rPr>
                <w:rFonts w:ascii="Arial" w:cs="Arial" w:eastAsia="Arial" w:hAnsi="Arial"/>
                <w:sz w:val="15"/>
                <w:szCs w:val="15"/>
                <w:color w:val="auto"/>
              </w:rPr>
              <w:t>tags are embedded within the Inline XBRL document</w:t>
            </w:r>
          </w:p>
        </w:tc>
      </w:tr>
      <w:tr>
        <w:trPr>
          <w:trHeight w:val="330"/>
        </w:trPr>
        <w:tc>
          <w:tcPr>
            <w:tcW w:w="1420" w:type="dxa"/>
            <w:vAlign w:val="bottom"/>
          </w:tcPr>
          <w:p>
            <w:pPr>
              <w:jc w:val="center"/>
              <w:ind w:right="464"/>
              <w:spacing w:after="0"/>
              <w:rPr>
                <w:sz w:val="20"/>
                <w:szCs w:val="20"/>
                <w:color w:val="auto"/>
              </w:rPr>
            </w:pPr>
            <w:r>
              <w:rPr>
                <w:rFonts w:ascii="Arial" w:cs="Arial" w:eastAsia="Arial" w:hAnsi="Arial"/>
                <w:sz w:val="15"/>
                <w:szCs w:val="15"/>
                <w:color w:val="auto"/>
                <w:w w:val="95"/>
              </w:rPr>
              <w:t>101.SCH*</w:t>
            </w:r>
          </w:p>
        </w:tc>
        <w:tc>
          <w:tcPr>
            <w:tcW w:w="7440" w:type="dxa"/>
            <w:vAlign w:val="bottom"/>
            <w:gridSpan w:val="14"/>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330"/>
        </w:trPr>
        <w:tc>
          <w:tcPr>
            <w:tcW w:w="1420" w:type="dxa"/>
            <w:vAlign w:val="bottom"/>
          </w:tcPr>
          <w:p>
            <w:pPr>
              <w:jc w:val="center"/>
              <w:ind w:right="484"/>
              <w:spacing w:after="0"/>
              <w:rPr>
                <w:sz w:val="20"/>
                <w:szCs w:val="20"/>
                <w:color w:val="auto"/>
              </w:rPr>
            </w:pPr>
            <w:r>
              <w:rPr>
                <w:rFonts w:ascii="Arial" w:cs="Arial" w:eastAsia="Arial" w:hAnsi="Arial"/>
                <w:sz w:val="15"/>
                <w:szCs w:val="15"/>
                <w:color w:val="auto"/>
              </w:rPr>
              <w:t>101.CAL*</w:t>
            </w:r>
          </w:p>
        </w:tc>
        <w:tc>
          <w:tcPr>
            <w:tcW w:w="7440" w:type="dxa"/>
            <w:vAlign w:val="bottom"/>
            <w:gridSpan w:val="14"/>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330"/>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5"/>
              </w:rPr>
              <w:t>101.DEF*</w:t>
            </w:r>
          </w:p>
        </w:tc>
        <w:tc>
          <w:tcPr>
            <w:tcW w:w="7440" w:type="dxa"/>
            <w:vAlign w:val="bottom"/>
            <w:gridSpan w:val="14"/>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330"/>
        </w:trPr>
        <w:tc>
          <w:tcPr>
            <w:tcW w:w="1420" w:type="dxa"/>
            <w:vAlign w:val="bottom"/>
          </w:tcPr>
          <w:p>
            <w:pPr>
              <w:jc w:val="center"/>
              <w:ind w:right="484"/>
              <w:spacing w:after="0"/>
              <w:rPr>
                <w:sz w:val="20"/>
                <w:szCs w:val="20"/>
                <w:color w:val="auto"/>
              </w:rPr>
            </w:pPr>
            <w:r>
              <w:rPr>
                <w:rFonts w:ascii="Arial" w:cs="Arial" w:eastAsia="Arial" w:hAnsi="Arial"/>
                <w:sz w:val="15"/>
                <w:szCs w:val="15"/>
                <w:color w:val="auto"/>
              </w:rPr>
              <w:t>101.LAB*</w:t>
            </w:r>
          </w:p>
        </w:tc>
        <w:tc>
          <w:tcPr>
            <w:tcW w:w="7440" w:type="dxa"/>
            <w:vAlign w:val="bottom"/>
            <w:gridSpan w:val="14"/>
          </w:tcPr>
          <w:p>
            <w:pPr>
              <w:spacing w:after="0"/>
              <w:rPr>
                <w:sz w:val="20"/>
                <w:szCs w:val="20"/>
                <w:color w:val="auto"/>
              </w:rPr>
            </w:pPr>
            <w:r>
              <w:rPr>
                <w:rFonts w:ascii="Arial" w:cs="Arial" w:eastAsia="Arial" w:hAnsi="Arial"/>
                <w:sz w:val="15"/>
                <w:szCs w:val="15"/>
                <w:color w:val="auto"/>
              </w:rPr>
              <w:t>Inline XBRL Taxonomy Extension Label Linkbase Document</w:t>
            </w:r>
          </w:p>
        </w:tc>
      </w:tr>
      <w:tr>
        <w:trPr>
          <w:trHeight w:val="330"/>
        </w:trPr>
        <w:tc>
          <w:tcPr>
            <w:tcW w:w="1420" w:type="dxa"/>
            <w:vAlign w:val="bottom"/>
          </w:tcPr>
          <w:p>
            <w:pPr>
              <w:jc w:val="center"/>
              <w:ind w:right="484"/>
              <w:spacing w:after="0"/>
              <w:rPr>
                <w:sz w:val="20"/>
                <w:szCs w:val="20"/>
                <w:color w:val="auto"/>
              </w:rPr>
            </w:pPr>
            <w:r>
              <w:rPr>
                <w:rFonts w:ascii="Arial" w:cs="Arial" w:eastAsia="Arial" w:hAnsi="Arial"/>
                <w:sz w:val="15"/>
                <w:szCs w:val="15"/>
                <w:color w:val="auto"/>
                <w:w w:val="94"/>
              </w:rPr>
              <w:t>101.PRE*</w:t>
            </w:r>
          </w:p>
        </w:tc>
        <w:tc>
          <w:tcPr>
            <w:tcW w:w="7440" w:type="dxa"/>
            <w:vAlign w:val="bottom"/>
            <w:gridSpan w:val="14"/>
          </w:tcPr>
          <w:p>
            <w:pPr>
              <w:spacing w:after="0"/>
              <w:rPr>
                <w:sz w:val="20"/>
                <w:szCs w:val="20"/>
                <w:color w:val="auto"/>
              </w:rPr>
            </w:pPr>
            <w:r>
              <w:rPr>
                <w:rFonts w:ascii="Arial" w:cs="Arial" w:eastAsia="Arial" w:hAnsi="Arial"/>
                <w:sz w:val="15"/>
                <w:szCs w:val="15"/>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-3434080</wp:posOffset>
            </wp:positionV>
            <wp:extent cx="3971290" cy="108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971290" cy="108585"/>
                    </a:xfrm>
                    <a:prstGeom prst="rect">
                      <a:avLst/>
                    </a:prstGeom>
                    <a:noFill/>
                  </pic:spPr>
                </pic:pic>
              </a:graphicData>
            </a:graphic>
          </wp:anchor>
        </w:drawing>
      </w:r>
    </w:p>
    <w:p>
      <w:pPr>
        <w:spacing w:after="0" w:line="153" w:lineRule="exact"/>
        <w:rPr>
          <w:sz w:val="20"/>
          <w:szCs w:val="20"/>
          <w:color w:val="auto"/>
        </w:rPr>
      </w:pPr>
    </w:p>
    <w:p>
      <w:pPr>
        <w:ind w:left="1460" w:hanging="1102"/>
        <w:spacing w:after="0"/>
        <w:tabs>
          <w:tab w:leader="none" w:pos="1460" w:val="left"/>
        </w:tabs>
        <w:numPr>
          <w:ilvl w:val="1"/>
          <w:numId w:val="33"/>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embedded within Exhibit 101).</w:t>
      </w:r>
    </w:p>
    <w:p>
      <w:pPr>
        <w:spacing w:after="0" w:line="397" w:lineRule="exact"/>
        <w:rPr>
          <w:rFonts w:ascii="Arial" w:cs="Arial" w:eastAsia="Arial" w:hAnsi="Arial"/>
          <w:sz w:val="15"/>
          <w:szCs w:val="15"/>
          <w:color w:val="auto"/>
        </w:rPr>
      </w:pPr>
    </w:p>
    <w:p>
      <w:pPr>
        <w:ind w:left="40"/>
        <w:spacing w:after="0"/>
        <w:rPr>
          <w:rFonts w:ascii="Arial" w:cs="Arial" w:eastAsia="Arial" w:hAnsi="Arial"/>
          <w:sz w:val="15"/>
          <w:szCs w:val="15"/>
          <w:color w:val="auto"/>
        </w:rPr>
      </w:pPr>
      <w:r>
        <w:rPr>
          <w:rFonts w:ascii="Arial" w:cs="Arial" w:eastAsia="Arial" w:hAnsi="Arial"/>
          <w:sz w:val="15"/>
          <w:szCs w:val="15"/>
          <w:color w:val="auto"/>
        </w:rPr>
        <w:t>* Filed herewith.</w:t>
      </w:r>
    </w:p>
    <w:p>
      <w:pPr>
        <w:spacing w:after="0" w:line="192" w:lineRule="exact"/>
        <w:rPr>
          <w:rFonts w:ascii="Arial" w:cs="Arial" w:eastAsia="Arial" w:hAnsi="Arial"/>
          <w:sz w:val="15"/>
          <w:szCs w:val="15"/>
          <w:color w:val="auto"/>
        </w:rPr>
      </w:pPr>
    </w:p>
    <w:p>
      <w:pPr>
        <w:ind w:left="40" w:right="139" w:hanging="3"/>
        <w:spacing w:after="0" w:line="266" w:lineRule="auto"/>
        <w:tabs>
          <w:tab w:leader="none" w:pos="23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302260</wp:posOffset>
            </wp:positionV>
            <wp:extent cx="567817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78170" cy="215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4" w:name="page75"/>
    <w:bookmarkEnd w:id="74"/>
    <w:p>
      <w:pPr>
        <w:ind w:left="4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ind w:left="40" w:right="159" w:firstLine="372"/>
        <w:spacing w:after="0" w:line="27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ATN International, Inc.</w:t>
            </w:r>
          </w:p>
        </w:tc>
      </w:tr>
      <w:tr>
        <w:trPr>
          <w:trHeight w:val="365"/>
        </w:trPr>
        <w:tc>
          <w:tcPr>
            <w:tcW w:w="2840" w:type="dxa"/>
            <w:vAlign w:val="bottom"/>
          </w:tcPr>
          <w:p>
            <w:pPr>
              <w:spacing w:after="0"/>
              <w:rPr>
                <w:sz w:val="20"/>
                <w:szCs w:val="20"/>
                <w:color w:val="auto"/>
              </w:rPr>
            </w:pPr>
            <w:r>
              <w:rPr>
                <w:rFonts w:ascii="Arial" w:cs="Arial" w:eastAsia="Arial" w:hAnsi="Arial"/>
                <w:sz w:val="15"/>
                <w:szCs w:val="15"/>
                <w:color w:val="auto"/>
              </w:rPr>
              <w:t>Date: August 8, 2022</w:t>
            </w:r>
          </w:p>
        </w:tc>
        <w:tc>
          <w:tcPr>
            <w:tcW w:w="16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/s/ Michael T. Prior</w:t>
            </w:r>
          </w:p>
        </w:tc>
      </w:tr>
      <w:tr>
        <w:trPr>
          <w:trHeight w:val="164"/>
        </w:trPr>
        <w:tc>
          <w:tcPr>
            <w:tcW w:w="2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6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Michael T. Prior</w:t>
            </w:r>
          </w:p>
        </w:tc>
        <w:tc>
          <w:tcPr>
            <w:tcW w:w="20" w:type="dxa"/>
            <w:vAlign w:val="bottom"/>
          </w:tcPr>
          <w:p>
            <w:pPr>
              <w:spacing w:after="0"/>
              <w:rPr>
                <w:sz w:val="14"/>
                <w:szCs w:val="14"/>
                <w:color w:val="auto"/>
              </w:rPr>
            </w:pPr>
          </w:p>
        </w:tc>
      </w:tr>
      <w:tr>
        <w:trPr>
          <w:trHeight w:val="191"/>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President and Chief Executive Officer</w:t>
            </w:r>
          </w:p>
        </w:tc>
      </w:tr>
      <w:tr>
        <w:trPr>
          <w:trHeight w:val="365"/>
        </w:trPr>
        <w:tc>
          <w:tcPr>
            <w:tcW w:w="2840" w:type="dxa"/>
            <w:vAlign w:val="bottom"/>
          </w:tcPr>
          <w:p>
            <w:pPr>
              <w:spacing w:after="0"/>
              <w:rPr>
                <w:sz w:val="20"/>
                <w:szCs w:val="20"/>
                <w:color w:val="auto"/>
              </w:rPr>
            </w:pPr>
            <w:r>
              <w:rPr>
                <w:rFonts w:ascii="Arial" w:cs="Arial" w:eastAsia="Arial" w:hAnsi="Arial"/>
                <w:sz w:val="15"/>
                <w:szCs w:val="15"/>
                <w:color w:val="auto"/>
              </w:rPr>
              <w:t>Date: August 8, 2022</w:t>
            </w:r>
          </w:p>
        </w:tc>
        <w:tc>
          <w:tcPr>
            <w:tcW w:w="16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/s/ Justin D. Benincasa</w:t>
            </w:r>
          </w:p>
        </w:tc>
      </w:tr>
      <w:tr>
        <w:trPr>
          <w:trHeight w:val="164"/>
        </w:trPr>
        <w:tc>
          <w:tcPr>
            <w:tcW w:w="2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6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Justin D. Benincasa</w:t>
            </w:r>
          </w:p>
        </w:tc>
        <w:tc>
          <w:tcPr>
            <w:tcW w:w="20" w:type="dxa"/>
            <w:vAlign w:val="bottom"/>
          </w:tcPr>
          <w:p>
            <w:pPr>
              <w:spacing w:after="0"/>
              <w:rPr>
                <w:sz w:val="14"/>
                <w:szCs w:val="14"/>
                <w:color w:val="auto"/>
              </w:rPr>
            </w:pPr>
          </w:p>
        </w:tc>
      </w:tr>
      <w:tr>
        <w:trPr>
          <w:trHeight w:val="191"/>
        </w:trPr>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r>
      <w:tr>
        <w:trPr>
          <w:trHeight w:val="923"/>
        </w:trPr>
        <w:tc>
          <w:tcPr>
            <w:tcW w:w="2840" w:type="dxa"/>
            <w:vAlign w:val="bottom"/>
          </w:tcPr>
          <w:p>
            <w:pPr>
              <w:spacing w:after="0"/>
              <w:rPr>
                <w:sz w:val="24"/>
                <w:szCs w:val="24"/>
                <w:color w:val="auto"/>
              </w:rPr>
            </w:pPr>
          </w:p>
        </w:tc>
        <w:tc>
          <w:tcPr>
            <w:tcW w:w="6080" w:type="dxa"/>
            <w:vAlign w:val="bottom"/>
            <w:gridSpan w:val="2"/>
          </w:tcPr>
          <w:p>
            <w:pPr>
              <w:jc w:val="right"/>
              <w:ind w:right="4304"/>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24"/>
                <w:szCs w:val="24"/>
                <w:color w:val="auto"/>
              </w:rPr>
            </w:pPr>
          </w:p>
        </w:tc>
      </w:tr>
      <w:tr>
        <w:trPr>
          <w:trHeight w:val="471"/>
        </w:trPr>
        <w:tc>
          <w:tcPr>
            <w:tcW w:w="2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75" w:name="page76"/>
    <w:bookmarkEnd w:id="75"/>
    <w:p>
      <w:pPr>
        <w:ind w:left="9007"/>
        <w:spacing w:after="0"/>
        <w:rPr>
          <w:sz w:val="20"/>
          <w:szCs w:val="20"/>
          <w:color w:val="auto"/>
        </w:rPr>
      </w:pPr>
      <w:r>
        <w:rPr>
          <w:rFonts w:ascii="Arial" w:cs="Arial" w:eastAsia="Arial" w:hAnsi="Arial"/>
          <w:sz w:val="16"/>
          <w:szCs w:val="16"/>
          <w:b w:val="1"/>
          <w:bCs w:val="1"/>
          <w:color w:val="auto"/>
        </w:rPr>
        <w:t>Exhibit 10.2</w:t>
      </w:r>
    </w:p>
    <w:p>
      <w:pPr>
        <w:spacing w:after="0" w:line="193" w:lineRule="exact"/>
        <w:rPr>
          <w:sz w:val="20"/>
          <w:szCs w:val="20"/>
          <w:color w:val="auto"/>
        </w:rPr>
      </w:pPr>
    </w:p>
    <w:p>
      <w:pPr>
        <w:jc w:val="center"/>
        <w:ind w:left="980" w:right="120"/>
        <w:spacing w:after="0" w:line="266" w:lineRule="auto"/>
        <w:rPr>
          <w:sz w:val="20"/>
          <w:szCs w:val="20"/>
          <w:color w:val="auto"/>
        </w:rPr>
      </w:pPr>
      <w:r>
        <w:rPr>
          <w:rFonts w:ascii="Arial" w:cs="Arial" w:eastAsia="Arial" w:hAnsi="Arial"/>
          <w:sz w:val="15"/>
          <w:szCs w:val="15"/>
          <w:i w:val="1"/>
          <w:iCs w:val="1"/>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Third Amendment to</w:t>
      </w:r>
    </w:p>
    <w:p>
      <w:pPr>
        <w:spacing w:after="0" w:line="14"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color w:val="auto"/>
        </w:rPr>
        <w:t>Network Build and Maintenance Agreement</w:t>
      </w:r>
    </w:p>
    <w:p>
      <w:pPr>
        <w:jc w:val="center"/>
        <w:ind w:right="-6"/>
        <w:spacing w:after="0" w:line="237" w:lineRule="auto"/>
        <w:rPr>
          <w:sz w:val="20"/>
          <w:szCs w:val="20"/>
          <w:color w:val="auto"/>
        </w:rPr>
      </w:pPr>
      <w:r>
        <w:rPr>
          <w:rFonts w:ascii="Arial" w:cs="Arial" w:eastAsia="Arial" w:hAnsi="Arial"/>
          <w:sz w:val="17"/>
          <w:szCs w:val="17"/>
          <w:b w:val="1"/>
          <w:bCs w:val="1"/>
          <w:color w:val="auto"/>
        </w:rPr>
        <w:t>Between</w:t>
      </w:r>
    </w:p>
    <w:p>
      <w:pPr>
        <w:jc w:val="center"/>
        <w:ind w:right="-6"/>
        <w:spacing w:after="0" w:line="238" w:lineRule="auto"/>
        <w:rPr>
          <w:sz w:val="20"/>
          <w:szCs w:val="20"/>
          <w:color w:val="auto"/>
        </w:rPr>
      </w:pPr>
      <w:r>
        <w:rPr>
          <w:rFonts w:ascii="Arial" w:cs="Arial" w:eastAsia="Arial" w:hAnsi="Arial"/>
          <w:sz w:val="17"/>
          <w:szCs w:val="17"/>
          <w:b w:val="1"/>
          <w:bCs w:val="1"/>
          <w:color w:val="auto"/>
        </w:rPr>
        <w:t>Commnet Wireless, LLC and</w:t>
      </w:r>
    </w:p>
    <w:p>
      <w:pPr>
        <w:jc w:val="center"/>
        <w:ind w:right="-6"/>
        <w:spacing w:after="0"/>
        <w:rPr>
          <w:sz w:val="20"/>
          <w:szCs w:val="20"/>
          <w:color w:val="auto"/>
        </w:rPr>
      </w:pPr>
      <w:r>
        <w:rPr>
          <w:rFonts w:ascii="Arial" w:cs="Arial" w:eastAsia="Arial" w:hAnsi="Arial"/>
          <w:sz w:val="17"/>
          <w:szCs w:val="17"/>
          <w:b w:val="1"/>
          <w:bCs w:val="1"/>
          <w:color w:val="auto"/>
        </w:rPr>
        <w:t>AT&amp;T Mobility LLC</w:t>
      </w:r>
    </w:p>
    <w:p>
      <w:pPr>
        <w:spacing w:after="0" w:line="174" w:lineRule="exact"/>
        <w:rPr>
          <w:sz w:val="20"/>
          <w:szCs w:val="20"/>
          <w:color w:val="auto"/>
        </w:rPr>
      </w:pPr>
    </w:p>
    <w:p>
      <w:pPr>
        <w:jc w:val="both"/>
        <w:ind w:left="7" w:firstLine="547"/>
        <w:spacing w:after="0" w:line="24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Third Amendment to Network Build and Maintenance Agreement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Third Amendment</w:t>
      </w:r>
      <w:r>
        <w:rPr>
          <w:rFonts w:ascii="Arial" w:cs="Arial" w:eastAsia="Arial" w:hAnsi="Arial"/>
          <w:sz w:val="17"/>
          <w:szCs w:val="17"/>
          <w:color w:val="auto"/>
        </w:rPr>
        <w:t>”) is dated as of 26 July, 2022 and effective as of the 31st day of December, 2021 (the “</w:t>
      </w:r>
      <w:r>
        <w:rPr>
          <w:rFonts w:ascii="Arial" w:cs="Arial" w:eastAsia="Arial" w:hAnsi="Arial"/>
          <w:sz w:val="17"/>
          <w:szCs w:val="17"/>
          <w:u w:val="single" w:color="auto"/>
          <w:color w:val="auto"/>
        </w:rPr>
        <w:t>Third Amendment Effective Date</w:t>
      </w:r>
      <w:r>
        <w:rPr>
          <w:rFonts w:ascii="Arial" w:cs="Arial" w:eastAsia="Arial" w:hAnsi="Arial"/>
          <w:sz w:val="17"/>
          <w:szCs w:val="17"/>
          <w:color w:val="auto"/>
        </w:rPr>
        <w:t>”), by and between Commnet Wireless, LLC, a Delaware limited liability company on behalf of itself and its Affiliates (hereinafter referred to as “</w:t>
      </w:r>
      <w:r>
        <w:rPr>
          <w:rFonts w:ascii="Arial" w:cs="Arial" w:eastAsia="Arial" w:hAnsi="Arial"/>
          <w:sz w:val="17"/>
          <w:szCs w:val="17"/>
          <w:u w:val="single" w:color="auto"/>
          <w:color w:val="auto"/>
        </w:rPr>
        <w:t>Vendor</w:t>
      </w:r>
      <w:r>
        <w:rPr>
          <w:rFonts w:ascii="Arial" w:cs="Arial" w:eastAsia="Arial" w:hAnsi="Arial"/>
          <w:sz w:val="17"/>
          <w:szCs w:val="17"/>
          <w:color w:val="auto"/>
        </w:rPr>
        <w:t xml:space="preserve">”), and </w:t>
      </w:r>
      <w:r>
        <w:rPr>
          <w:rFonts w:ascii="Arial" w:cs="Arial" w:eastAsia="Arial" w:hAnsi="Arial"/>
          <w:sz w:val="17"/>
          <w:szCs w:val="17"/>
          <w:b w:val="1"/>
          <w:bCs w:val="1"/>
          <w:color w:val="auto"/>
        </w:rPr>
        <w:t>AT&amp;T Mobility LLC</w:t>
      </w:r>
      <w:r>
        <w:rPr>
          <w:rFonts w:ascii="Arial" w:cs="Arial" w:eastAsia="Arial" w:hAnsi="Arial"/>
          <w:sz w:val="17"/>
          <w:szCs w:val="17"/>
          <w:color w:val="auto"/>
        </w:rPr>
        <w:t>, a Delaware limited liability company on behalf of itself and its Affiliates (“</w:t>
      </w:r>
      <w:r>
        <w:rPr>
          <w:rFonts w:ascii="Arial" w:cs="Arial" w:eastAsia="Arial" w:hAnsi="Arial"/>
          <w:sz w:val="17"/>
          <w:szCs w:val="17"/>
          <w:u w:val="single" w:color="auto"/>
          <w:color w:val="auto"/>
        </w:rPr>
        <w:t>AT&amp;T</w:t>
      </w:r>
      <w:r>
        <w:rPr>
          <w:rFonts w:ascii="Arial" w:cs="Arial" w:eastAsia="Arial" w:hAnsi="Arial"/>
          <w:sz w:val="17"/>
          <w:szCs w:val="17"/>
          <w:color w:val="auto"/>
        </w:rPr>
        <w:t>”), each of which may be referred to in the singular as a “</w:t>
      </w:r>
      <w:r>
        <w:rPr>
          <w:rFonts w:ascii="Arial" w:cs="Arial" w:eastAsia="Arial" w:hAnsi="Arial"/>
          <w:sz w:val="17"/>
          <w:szCs w:val="17"/>
          <w:u w:val="single" w:color="auto"/>
          <w:color w:val="auto"/>
        </w:rPr>
        <w:t>Party</w:t>
      </w:r>
      <w:r>
        <w:rPr>
          <w:rFonts w:ascii="Arial" w:cs="Arial" w:eastAsia="Arial" w:hAnsi="Arial"/>
          <w:sz w:val="17"/>
          <w:szCs w:val="17"/>
          <w:color w:val="auto"/>
        </w:rPr>
        <w:t>” or in the plural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68" w:lineRule="exact"/>
        <w:rPr>
          <w:sz w:val="20"/>
          <w:szCs w:val="20"/>
          <w:color w:val="auto"/>
        </w:rPr>
      </w:pPr>
    </w:p>
    <w:p>
      <w:pPr>
        <w:jc w:val="center"/>
        <w:ind w:right="-6"/>
        <w:spacing w:after="0"/>
        <w:rPr>
          <w:sz w:val="20"/>
          <w:szCs w:val="20"/>
          <w:color w:val="auto"/>
        </w:rPr>
      </w:pPr>
      <w:r>
        <w:rPr>
          <w:rFonts w:ascii="Arial" w:cs="Arial" w:eastAsia="Arial" w:hAnsi="Arial"/>
          <w:sz w:val="17"/>
          <w:szCs w:val="17"/>
          <w:b w:val="1"/>
          <w:bCs w:val="1"/>
          <w:u w:val="single" w:color="auto"/>
          <w:color w:val="auto"/>
        </w:rPr>
        <w:t>Recitals</w:t>
      </w:r>
    </w:p>
    <w:p>
      <w:pPr>
        <w:spacing w:after="0" w:line="192" w:lineRule="exact"/>
        <w:rPr>
          <w:sz w:val="20"/>
          <w:szCs w:val="20"/>
          <w:color w:val="auto"/>
        </w:rPr>
      </w:pPr>
    </w:p>
    <w:p>
      <w:pPr>
        <w:jc w:val="both"/>
        <w:ind w:left="7" w:firstLine="547"/>
        <w:spacing w:after="0" w:line="22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that certain Network Build and Maintenance Agreement dated as of the 31</w:t>
      </w:r>
      <w:r>
        <w:rPr>
          <w:rFonts w:ascii="Arial" w:cs="Arial" w:eastAsia="Arial" w:hAnsi="Arial"/>
          <w:sz w:val="25"/>
          <w:szCs w:val="25"/>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July, 2019 and</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as of August 6, 2020 and January 1, 2021 (the “</w:t>
      </w:r>
      <w:r>
        <w:rPr>
          <w:rFonts w:ascii="Arial" w:cs="Arial" w:eastAsia="Arial" w:hAnsi="Arial"/>
          <w:sz w:val="17"/>
          <w:szCs w:val="17"/>
          <w:u w:val="single" w:color="auto"/>
          <w:color w:val="auto"/>
        </w:rPr>
        <w:t>NBMA</w:t>
      </w:r>
      <w:r>
        <w:rPr>
          <w:rFonts w:ascii="Arial" w:cs="Arial" w:eastAsia="Arial" w:hAnsi="Arial"/>
          <w:sz w:val="17"/>
          <w:szCs w:val="17"/>
          <w:color w:val="auto"/>
        </w:rPr>
        <w:t xml:space="preserve">”) pursuant to which Vendor has agreed to build, install and deploy a RAN at certain Cell Sites for AT&amp;T as described in </w:t>
      </w:r>
      <w:r>
        <w:rPr>
          <w:rFonts w:ascii="Arial" w:cs="Arial" w:eastAsia="Arial" w:hAnsi="Arial"/>
          <w:sz w:val="17"/>
          <w:szCs w:val="17"/>
          <w:b w:val="1"/>
          <w:bCs w:val="1"/>
          <w:color w:val="auto"/>
        </w:rPr>
        <w:t>Addendum 1: Network Build and Structured Payments</w:t>
      </w:r>
      <w:r>
        <w:rPr>
          <w:rFonts w:ascii="Arial" w:cs="Arial" w:eastAsia="Arial" w:hAnsi="Arial"/>
          <w:sz w:val="17"/>
          <w:szCs w:val="17"/>
          <w:color w:val="auto"/>
        </w:rPr>
        <w:t xml:space="preserve"> attached thereto (the “</w:t>
      </w:r>
      <w:r>
        <w:rPr>
          <w:rFonts w:ascii="Arial" w:cs="Arial" w:eastAsia="Arial" w:hAnsi="Arial"/>
          <w:sz w:val="17"/>
          <w:szCs w:val="17"/>
          <w:u w:val="single" w:color="auto"/>
          <w:color w:val="auto"/>
        </w:rPr>
        <w:t>Build Addendum</w:t>
      </w:r>
      <w:r>
        <w:rPr>
          <w:rFonts w:ascii="Arial" w:cs="Arial" w:eastAsia="Arial" w:hAnsi="Arial"/>
          <w:sz w:val="17"/>
          <w:szCs w:val="17"/>
          <w:color w:val="auto"/>
        </w:rPr>
        <w:t xml:space="preserve">”) and to provide ongoing maintenance of such RAN as described in </w:t>
      </w:r>
      <w:r>
        <w:rPr>
          <w:rFonts w:ascii="Arial" w:cs="Arial" w:eastAsia="Arial" w:hAnsi="Arial"/>
          <w:sz w:val="17"/>
          <w:szCs w:val="17"/>
          <w:b w:val="1"/>
          <w:bCs w:val="1"/>
          <w:color w:val="auto"/>
        </w:rPr>
        <w:t>Addendum 2: Maintenance Addendum</w:t>
      </w:r>
      <w:r>
        <w:rPr>
          <w:rFonts w:ascii="Arial" w:cs="Arial" w:eastAsia="Arial" w:hAnsi="Arial"/>
          <w:sz w:val="17"/>
          <w:szCs w:val="17"/>
          <w:color w:val="auto"/>
        </w:rPr>
        <w:t xml:space="preserve"> attached thereto (the “</w:t>
      </w:r>
      <w:r>
        <w:rPr>
          <w:rFonts w:ascii="Arial" w:cs="Arial" w:eastAsia="Arial" w:hAnsi="Arial"/>
          <w:sz w:val="17"/>
          <w:szCs w:val="17"/>
          <w:u w:val="single" w:color="auto"/>
          <w:color w:val="auto"/>
        </w:rPr>
        <w:t>Maintenance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Addendum</w:t>
      </w:r>
      <w:r>
        <w:rPr>
          <w:rFonts w:ascii="Arial" w:cs="Arial" w:eastAsia="Arial" w:hAnsi="Arial"/>
          <w:sz w:val="17"/>
          <w:szCs w:val="17"/>
          <w:color w:val="auto"/>
        </w:rPr>
        <w:t>” and, together with the NBMA, the Build Addendum and all other addendums, schedules, amendments and modifications thereto,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75" w:lineRule="exact"/>
        <w:rPr>
          <w:sz w:val="20"/>
          <w:szCs w:val="20"/>
          <w:color w:val="auto"/>
        </w:rPr>
      </w:pPr>
    </w:p>
    <w:p>
      <w:pPr>
        <w:jc w:val="both"/>
        <w:ind w:left="7" w:firstLine="547"/>
        <w:spacing w:after="0" w:line="26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now desire to amend the Agreement in accordance with the terms set forth in this Third Amendment to amend</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provisions of the Build Addendum.</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these covenants, and for good and valuable consideration, and intending to be legally bound, the</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7"/>
          <w:szCs w:val="17"/>
          <w:color w:val="auto"/>
        </w:rPr>
        <w:t>Parties agree as follows:</w:t>
      </w:r>
    </w:p>
    <w:p>
      <w:pPr>
        <w:spacing w:after="0" w:line="185" w:lineRule="exact"/>
        <w:rPr>
          <w:sz w:val="20"/>
          <w:szCs w:val="20"/>
          <w:color w:val="auto"/>
        </w:rPr>
      </w:pPr>
    </w:p>
    <w:p>
      <w:pPr>
        <w:ind w:left="547" w:hanging="547"/>
        <w:spacing w:after="0"/>
        <w:tabs>
          <w:tab w:leader="none" w:pos="547" w:val="left"/>
        </w:tabs>
        <w:numPr>
          <w:ilvl w:val="0"/>
          <w:numId w:val="35"/>
        </w:numPr>
        <w:rPr>
          <w:rFonts w:ascii="Arial" w:cs="Arial" w:eastAsia="Arial" w:hAnsi="Arial"/>
          <w:sz w:val="18"/>
          <w:szCs w:val="18"/>
          <w:b w:val="1"/>
          <w:bCs w:val="1"/>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w:t>
      </w:r>
    </w:p>
    <w:p>
      <w:pPr>
        <w:spacing w:after="0" w:line="4" w:lineRule="exact"/>
        <w:rPr>
          <w:rFonts w:ascii="Arial" w:cs="Arial" w:eastAsia="Arial" w:hAnsi="Arial"/>
          <w:sz w:val="18"/>
          <w:szCs w:val="18"/>
          <w:b w:val="1"/>
          <w:bCs w:val="1"/>
          <w:color w:val="auto"/>
        </w:rPr>
      </w:pPr>
    </w:p>
    <w:p>
      <w:pPr>
        <w:ind w:left="547" w:right="20"/>
        <w:spacing w:after="0" w:line="241" w:lineRule="auto"/>
        <w:rPr>
          <w:rFonts w:ascii="Arial" w:cs="Arial" w:eastAsia="Arial" w:hAnsi="Arial"/>
          <w:sz w:val="18"/>
          <w:szCs w:val="18"/>
          <w:b w:val="1"/>
          <w:bCs w:val="1"/>
          <w:color w:val="auto"/>
        </w:rPr>
      </w:pPr>
      <w:r>
        <w:rPr>
          <w:rFonts w:ascii="Arial" w:cs="Arial" w:eastAsia="Arial" w:hAnsi="Arial"/>
          <w:sz w:val="17"/>
          <w:szCs w:val="17"/>
          <w:color w:val="auto"/>
        </w:rPr>
        <w:t>All capitalized terms used herein shall have the same meaning ascribed to them in the Agreement, unless otherwise expressly defined in this Third Amendment.</w:t>
      </w:r>
    </w:p>
    <w:p>
      <w:pPr>
        <w:spacing w:after="0" w:line="170" w:lineRule="exact"/>
        <w:rPr>
          <w:rFonts w:ascii="Arial" w:cs="Arial" w:eastAsia="Arial" w:hAnsi="Arial"/>
          <w:sz w:val="18"/>
          <w:szCs w:val="18"/>
          <w:b w:val="1"/>
          <w:bCs w:val="1"/>
          <w:color w:val="auto"/>
        </w:rPr>
      </w:pPr>
    </w:p>
    <w:p>
      <w:pPr>
        <w:ind w:left="547" w:hanging="547"/>
        <w:spacing w:after="0"/>
        <w:tabs>
          <w:tab w:leader="none" w:pos="547" w:val="left"/>
        </w:tabs>
        <w:numPr>
          <w:ilvl w:val="0"/>
          <w:numId w:val="35"/>
        </w:numPr>
        <w:rPr>
          <w:rFonts w:ascii="Arial" w:cs="Arial" w:eastAsia="Arial" w:hAnsi="Arial"/>
          <w:sz w:val="16"/>
          <w:szCs w:val="16"/>
          <w:b w:val="1"/>
          <w:bCs w:val="1"/>
          <w:color w:val="auto"/>
        </w:rPr>
      </w:pPr>
      <w:r>
        <w:rPr>
          <w:rFonts w:ascii="Arial" w:cs="Arial" w:eastAsia="Arial" w:hAnsi="Arial"/>
          <w:sz w:val="15"/>
          <w:szCs w:val="15"/>
          <w:b w:val="1"/>
          <w:bCs w:val="1"/>
          <w:color w:val="auto"/>
        </w:rPr>
        <w:t xml:space="preserve">Amendment to the Agreement. </w:t>
      </w:r>
      <w:r>
        <w:rPr>
          <w:rFonts w:ascii="Arial" w:cs="Arial" w:eastAsia="Arial" w:hAnsi="Arial"/>
          <w:sz w:val="15"/>
          <w:szCs w:val="15"/>
          <w:color w:val="auto"/>
        </w:rPr>
        <w:t>As of the Third Amendment Effective Date, the Agreement is hereby amended and modified as follows:</w:t>
      </w:r>
    </w:p>
    <w:p>
      <w:pPr>
        <w:spacing w:after="0" w:line="226" w:lineRule="exact"/>
        <w:rPr>
          <w:sz w:val="20"/>
          <w:szCs w:val="20"/>
          <w:color w:val="auto"/>
        </w:rPr>
      </w:pPr>
    </w:p>
    <w:p>
      <w:pPr>
        <w:ind w:left="827" w:right="20" w:hanging="280"/>
        <w:spacing w:after="0" w:line="295" w:lineRule="auto"/>
        <w:tabs>
          <w:tab w:leader="none" w:pos="799"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Build Addendum: Section 16: Termination Events; Remedies. </w:t>
      </w:r>
      <w:r>
        <w:rPr>
          <w:rFonts w:ascii="Arial" w:cs="Arial" w:eastAsia="Arial" w:hAnsi="Arial"/>
          <w:sz w:val="16"/>
          <w:szCs w:val="16"/>
          <w:color w:val="auto"/>
        </w:rPr>
        <w:t>Section 16: Termination Events; Remedies, of the Build Addendum, is</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amended by deleting Sections 16(a)(iii) and (iv) in their entirety and replacing them with the following:</w:t>
      </w:r>
    </w:p>
    <w:p>
      <w:pPr>
        <w:spacing w:after="0" w:line="129" w:lineRule="exact"/>
        <w:rPr>
          <w:sz w:val="20"/>
          <w:szCs w:val="20"/>
          <w:color w:val="auto"/>
        </w:rPr>
      </w:pPr>
    </w:p>
    <w:p>
      <w:pPr>
        <w:jc w:val="both"/>
        <w:ind w:left="1027" w:right="20"/>
        <w:spacing w:after="0" w:line="263" w:lineRule="auto"/>
        <w:rPr>
          <w:sz w:val="20"/>
          <w:szCs w:val="20"/>
          <w:color w:val="auto"/>
        </w:rPr>
      </w:pPr>
      <w:r>
        <w:rPr>
          <w:rFonts w:ascii="Arial" w:cs="Arial" w:eastAsia="Arial" w:hAnsi="Arial"/>
          <w:sz w:val="16"/>
          <w:szCs w:val="16"/>
          <w:b w:val="1"/>
          <w:bCs w:val="1"/>
          <w:color w:val="auto"/>
        </w:rPr>
        <w:t>“(a)(iii) Vendor fails to obtain Location Acceptance of a Cell Site on or before the Phase Completion Date for such Cell Site set forth in Schedule 4 and does not cure such failure to obtain Location Acceptance within ninety (90) days from the applicable Phase Completion Date but in no event shall such cure period extend beyond [***], subject to the provisions in the Agreement pertaining to any Excusable Delay; or (a)(iv) A Cell Site has not reached Location Acceptance by [***] for any reason other than as caused by an Excusable Delay.”</w:t>
      </w:r>
    </w:p>
    <w:p>
      <w:pPr>
        <w:spacing w:after="0" w:line="154" w:lineRule="exact"/>
        <w:rPr>
          <w:sz w:val="20"/>
          <w:szCs w:val="20"/>
          <w:color w:val="auto"/>
        </w:rPr>
      </w:pPr>
    </w:p>
    <w:p>
      <w:pPr>
        <w:ind w:left="827" w:right="20" w:hanging="272"/>
        <w:spacing w:after="0" w:line="263" w:lineRule="auto"/>
        <w:rPr>
          <w:sz w:val="20"/>
          <w:szCs w:val="20"/>
          <w:color w:val="auto"/>
        </w:rPr>
      </w:pPr>
      <w:r>
        <w:rPr>
          <w:rFonts w:ascii="Arial" w:cs="Arial" w:eastAsia="Arial" w:hAnsi="Arial"/>
          <w:sz w:val="17"/>
          <w:szCs w:val="17"/>
          <w:b w:val="1"/>
          <w:bCs w:val="1"/>
          <w:color w:val="auto"/>
        </w:rPr>
        <w:t>B. Build Addendum: Section 17: Additional Termination Rights</w:t>
      </w:r>
      <w:r>
        <w:rPr>
          <w:rFonts w:ascii="Arial" w:cs="Arial" w:eastAsia="Arial" w:hAnsi="Arial"/>
          <w:sz w:val="17"/>
          <w:szCs w:val="17"/>
          <w:color w:val="auto"/>
        </w:rPr>
        <w:t>. Section 17: Additional Termination Rights, of the Build Addendum is</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amended by deleting Section 17(b) in its entirety and replacing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390525</wp:posOffset>
            </wp:positionV>
            <wp:extent cx="631444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314440" cy="21590"/>
                    </a:xfrm>
                    <a:prstGeom prst="rect">
                      <a:avLst/>
                    </a:prstGeom>
                    <a:noFill/>
                  </pic:spPr>
                </pic:pic>
              </a:graphicData>
            </a:graphic>
          </wp:anchor>
        </w:drawing>
      </w:r>
    </w:p>
    <w:p>
      <w:pPr>
        <w:sectPr>
          <w:pgSz w:w="11900" w:h="16838" w:orient="portrait"/>
          <w:cols w:equalWidth="0" w:num="1">
            <w:col w:w="9947"/>
          </w:cols>
          <w:pgMar w:left="973" w:top="299" w:right="97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360"/>
        <w:spacing w:after="0" w:line="271" w:lineRule="auto"/>
        <w:rPr>
          <w:sz w:val="20"/>
          <w:szCs w:val="20"/>
          <w:color w:val="auto"/>
        </w:rPr>
      </w:pPr>
      <w:r>
        <w:rPr>
          <w:rFonts w:ascii="Arial" w:cs="Arial" w:eastAsia="Arial" w:hAnsi="Arial"/>
          <w:sz w:val="15"/>
          <w:szCs w:val="15"/>
          <w:b w:val="1"/>
          <w:bCs w:val="1"/>
          <w:color w:val="auto"/>
        </w:rPr>
        <w:t xml:space="preserve">“(b) </w:t>
      </w:r>
      <w:r>
        <w:rPr>
          <w:rFonts w:ascii="Arial" w:cs="Arial" w:eastAsia="Arial" w:hAnsi="Arial"/>
          <w:sz w:val="15"/>
          <w:szCs w:val="15"/>
          <w:b w:val="1"/>
          <w:bCs w:val="1"/>
          <w:i w:val="1"/>
          <w:iCs w:val="1"/>
          <w:color w:val="auto"/>
        </w:rPr>
        <w:t>Termination due to Excusable Delay</w:t>
      </w:r>
      <w:r>
        <w:rPr>
          <w:rFonts w:ascii="Arial" w:cs="Arial" w:eastAsia="Arial" w:hAnsi="Arial"/>
          <w:sz w:val="15"/>
          <w:szCs w:val="15"/>
          <w:b w:val="1"/>
          <w:bCs w:val="1"/>
          <w:color w:val="auto"/>
        </w:rPr>
        <w:t>. In the event that a Cell Site never reaches Location Acceptance due to an Excusable Delay (other than a Force Majeure Event or Permitting Delay), then on or after [***]either Party may remove such Cell Site from the Build Out Plan and terminate this Build Addendum with respect to such Cell Site; provided, however, that Vendor shall only be able to exercise the termination right set forth in this Section 17(b) if Vendor is not otherwise in breach of the Agreement or this Build Addendum with respect to such Cell Site. Upon such termination, Vendor shall sell or transfer all of the Vendor Provided Equipment ordered by Vendor for construction of the Cell Site together with any Work completed (in accordance with applicable Specifications and requirements) in connection with the Cell Site through the date of termination to AT&amp;T at a purchase price equal to Vendor’s reasonable and demonstrated costs for such Work (including its documented procurement costs for such Vendor Provided Equipment without any margin or mark-up by Vendor); provided, however, that in no event shall AT&amp;T be required to pay in excess of $[***]for any such Vendor Provided Equipment and Work completed by Vendor prior to the date of termination. In addition to the foregoing, at AT&amp;T’s sole election upon such termination, either (i) Vendor shall assign the tower lease for such Cell Site to AT&amp;T in the case of any Third Party Cell Site or require Vendor to enter into a Site License with AT&amp;T pursuant to the Master License Agreement in the case of any Vendor Cell Site and assign to AT&amp;T any subcontract entered into by Vendor to provide any portion of the backhaul at such Cell Site pursuant to the Transport Agreement or (ii) AT&amp;T shall reimburse Vendor for all of Vendor’s reasonable and demonstrated costs, if any, up to an aggregate amount equal to $[***]per Cell Site, to terminate (A) in the case of a Third Party Cell Site, the Tower Lease entered into by Vendor in accordance with the terms of this Agreement but only to the extent that such Tower Lease is solely for the location of the AT&amp;T Provided Equipment, Vendor Provided Equipment and other Material contemplated herein, and (B) any subcontract entered into by Vendor to provide any portion of the backhaul at such Cell Site pursuant to the Transport Agreement. To the extent that AT&amp;T elects to assume the Tower Lease or transport contract and/or enter into a Site License with respect to a Cell Site, then upon completion of such Cell Site, AT&amp;T may elect to include such Cell Site in the Maintenance Addendum and the Agreement and Maintenance Addendum shall not terminate with respect to such Cell Site. To the extent AT&amp;T elects to reimburse Vendor for the costs described in subsection (ii) of the preceding sentence, then AT&amp;T shall pay such amounts within sixty (60) days of receipt of an invoice from Vendor for such costs and expenses. In the event that either Party exercises the termination right set forth in this Section 17(b), the Parties agree that Location Acceptance shall not occur with respect to such Cell Site and AT&amp;T shall have no obligation to make the Structured Payments for such Cell Site.”</w:t>
      </w:r>
    </w:p>
    <w:p>
      <w:pPr>
        <w:spacing w:after="0" w:line="165" w:lineRule="exact"/>
        <w:rPr>
          <w:sz w:val="20"/>
          <w:szCs w:val="20"/>
          <w:color w:val="auto"/>
        </w:rPr>
      </w:pPr>
    </w:p>
    <w:p>
      <w:pPr>
        <w:ind w:left="360" w:hanging="280"/>
        <w:spacing w:after="0" w:line="263" w:lineRule="auto"/>
        <w:tabs>
          <w:tab w:leader="none" w:pos="344"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Build Addendum: Schedule 4: Build Out Plan. </w:t>
      </w:r>
      <w:r>
        <w:rPr>
          <w:rFonts w:ascii="Arial" w:cs="Arial" w:eastAsia="Arial" w:hAnsi="Arial"/>
          <w:sz w:val="17"/>
          <w:szCs w:val="17"/>
          <w:color w:val="auto"/>
        </w:rPr>
        <w:t>Schedule 4: Build Out Plan, attached to the Build Addendum, shall be modified by</w:t>
      </w:r>
      <w:r>
        <w:rPr>
          <w:rFonts w:ascii="Arial" w:cs="Arial" w:eastAsia="Arial" w:hAnsi="Arial"/>
          <w:sz w:val="17"/>
          <w:szCs w:val="17"/>
          <w:b w:val="1"/>
          <w:bCs w:val="1"/>
          <w:color w:val="auto"/>
        </w:rPr>
        <w:t xml:space="preserve"> </w:t>
      </w:r>
      <w:r>
        <w:rPr>
          <w:rFonts w:ascii="Arial" w:cs="Arial" w:eastAsia="Arial" w:hAnsi="Arial"/>
          <w:sz w:val="17"/>
          <w:szCs w:val="17"/>
          <w:color w:val="auto"/>
        </w:rPr>
        <w:t>deleting the table and paragraph directly below the first paragraph and replacing it with the following:</w:t>
      </w:r>
    </w:p>
    <w:p>
      <w:pPr>
        <w:spacing w:after="0" w:line="152" w:lineRule="exact"/>
        <w:rPr>
          <w:rFonts w:ascii="Arial" w:cs="Arial" w:eastAsia="Arial" w:hAnsi="Arial"/>
          <w:sz w:val="17"/>
          <w:szCs w:val="17"/>
          <w:b w:val="1"/>
          <w:bCs w:val="1"/>
          <w:color w:val="auto"/>
        </w:rPr>
      </w:pPr>
    </w:p>
    <w:p>
      <w:pPr>
        <w:ind w:left="360" w:right="8400"/>
        <w:spacing w:after="0" w:line="371" w:lineRule="auto"/>
        <w:rPr>
          <w:rFonts w:ascii="Arial" w:cs="Arial" w:eastAsia="Arial" w:hAnsi="Arial"/>
          <w:sz w:val="17"/>
          <w:szCs w:val="17"/>
          <w:b w:val="1"/>
          <w:bCs w:val="1"/>
          <w:color w:val="auto"/>
        </w:rPr>
      </w:pPr>
      <w:r>
        <w:rPr>
          <w:rFonts w:ascii="Arial" w:cs="Arial" w:eastAsia="Arial" w:hAnsi="Arial"/>
          <w:sz w:val="14"/>
          <w:szCs w:val="14"/>
          <w:b w:val="1"/>
          <w:bCs w:val="1"/>
          <w:u w:val="single" w:color="auto"/>
          <w:color w:val="auto"/>
        </w:rPr>
        <w:t xml:space="preserve">Cell Sites: </w:t>
      </w:r>
      <w:r>
        <w:rPr>
          <w:rFonts w:ascii="Arial" w:cs="Arial" w:eastAsia="Arial" w:hAnsi="Arial"/>
          <w:sz w:val="14"/>
          <w:szCs w:val="14"/>
          <w:b w:val="1"/>
          <w:bCs w:val="1"/>
          <w:color w:val="auto"/>
        </w:rPr>
        <w:t>[***]</w:t>
      </w:r>
    </w:p>
    <w:p>
      <w:pPr>
        <w:spacing w:after="0" w:line="83" w:lineRule="exact"/>
        <w:rPr>
          <w:rFonts w:ascii="Arial" w:cs="Arial" w:eastAsia="Arial" w:hAnsi="Arial"/>
          <w:sz w:val="17"/>
          <w:szCs w:val="17"/>
          <w:b w:val="1"/>
          <w:bCs w:val="1"/>
          <w:color w:val="auto"/>
        </w:rPr>
      </w:pPr>
    </w:p>
    <w:p>
      <w:pPr>
        <w:ind w:left="360" w:right="20"/>
        <w:spacing w:after="0" w:line="289" w:lineRule="auto"/>
        <w:rPr>
          <w:rFonts w:ascii="Arial" w:cs="Arial" w:eastAsia="Arial" w:hAnsi="Arial"/>
          <w:sz w:val="17"/>
          <w:szCs w:val="17"/>
          <w:b w:val="1"/>
          <w:bCs w:val="1"/>
          <w:color w:val="auto"/>
        </w:rPr>
      </w:pPr>
      <w:r>
        <w:rPr>
          <w:rFonts w:ascii="Arial" w:cs="Arial" w:eastAsia="Arial" w:hAnsi="Arial"/>
          <w:sz w:val="15"/>
          <w:szCs w:val="15"/>
          <w:b w:val="1"/>
          <w:bCs w:val="1"/>
          <w:color w:val="auto"/>
        </w:rPr>
        <w:t>All Cell Sites in the Build Out Plan shall be completed in accordance with the completion requirements set forth in the Milestones pursuant to Schedule 5 and, in any event, all Cell Sites must be completed and launched into Commercial Service no later than [***] (which date shall be absolute with no applicable cure period beyond such date except in connection with a Force Majeure Event or Excusable Delay which shall be governed by the applicable terms of the Agreement.”</w:t>
      </w:r>
    </w:p>
    <w:p>
      <w:pPr>
        <w:spacing w:after="0" w:line="137" w:lineRule="exact"/>
        <w:rPr>
          <w:rFonts w:ascii="Arial" w:cs="Arial" w:eastAsia="Arial" w:hAnsi="Arial"/>
          <w:sz w:val="17"/>
          <w:szCs w:val="17"/>
          <w:b w:val="1"/>
          <w:bCs w:val="1"/>
          <w:color w:val="auto"/>
        </w:rPr>
      </w:pPr>
    </w:p>
    <w:p>
      <w:pPr>
        <w:ind w:left="360" w:hanging="280"/>
        <w:spacing w:after="0"/>
        <w:tabs>
          <w:tab w:leader="none" w:pos="360"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Schedule 5: Milestones to the Build Addendum. </w:t>
      </w:r>
      <w:r>
        <w:rPr>
          <w:rFonts w:ascii="Arial" w:cs="Arial" w:eastAsia="Arial" w:hAnsi="Arial"/>
          <w:sz w:val="15"/>
          <w:szCs w:val="15"/>
          <w:color w:val="auto"/>
        </w:rPr>
        <w:t>Schedule 5: Milestones, attached to the Build Addendum, shall be modified by</w:t>
      </w:r>
    </w:p>
    <w:p>
      <w:pPr>
        <w:spacing w:after="0" w:line="39" w:lineRule="exact"/>
        <w:rPr>
          <w:rFonts w:ascii="Arial" w:cs="Arial" w:eastAsia="Arial" w:hAnsi="Arial"/>
          <w:sz w:val="15"/>
          <w:szCs w:val="15"/>
          <w:b w:val="1"/>
          <w:bCs w:val="1"/>
          <w:color w:val="auto"/>
        </w:rPr>
      </w:pPr>
    </w:p>
    <w:p>
      <w:pPr>
        <w:ind w:left="360" w:right="340"/>
        <w:spacing w:after="0" w:line="241" w:lineRule="auto"/>
        <w:rPr>
          <w:rFonts w:ascii="Arial" w:cs="Arial" w:eastAsia="Arial" w:hAnsi="Arial"/>
          <w:sz w:val="15"/>
          <w:szCs w:val="15"/>
          <w:b w:val="1"/>
          <w:bCs w:val="1"/>
          <w:color w:val="auto"/>
        </w:rPr>
      </w:pPr>
      <w:r>
        <w:rPr>
          <w:rFonts w:ascii="Arial" w:cs="Arial" w:eastAsia="Arial" w:hAnsi="Arial"/>
          <w:sz w:val="17"/>
          <w:szCs w:val="17"/>
          <w:color w:val="auto"/>
        </w:rPr>
        <w:t>deleting the table immediately under the title, “Schedule 5: Milestones” and replacing it with the “Schedule 5: Milestones”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525145</wp:posOffset>
            </wp:positionV>
            <wp:extent cx="631444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314440" cy="21590"/>
                    </a:xfrm>
                    <a:prstGeom prst="rect">
                      <a:avLst/>
                    </a:prstGeom>
                    <a:noFill/>
                  </pic:spPr>
                </pic:pic>
              </a:graphicData>
            </a:graphic>
          </wp:anchor>
        </w:drawing>
      </w:r>
    </w:p>
    <w:p>
      <w:pPr>
        <w:sectPr>
          <w:pgSz w:w="11900" w:h="16838" w:orient="portrait"/>
          <w:cols w:equalWidth="0" w:num="1">
            <w:col w:w="9480"/>
          </w:cols>
          <w:pgMar w:left="1440" w:top="592" w:right="97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color w:val="auto"/>
        </w:rPr>
        <w:t>3</w:t>
      </w:r>
    </w:p>
    <w:p>
      <w:pPr>
        <w:spacing w:after="0" w:line="200" w:lineRule="exact"/>
        <w:rPr>
          <w:sz w:val="20"/>
          <w:szCs w:val="20"/>
          <w:color w:val="auto"/>
        </w:rPr>
      </w:pPr>
    </w:p>
    <w:p>
      <w:pPr>
        <w:spacing w:after="0" w:line="227" w:lineRule="exact"/>
        <w:rPr>
          <w:sz w:val="20"/>
          <w:szCs w:val="20"/>
          <w:color w:val="auto"/>
        </w:rPr>
      </w:pPr>
    </w:p>
    <w:p>
      <w:pPr>
        <w:ind w:left="547" w:hanging="547"/>
        <w:spacing w:after="0"/>
        <w:tabs>
          <w:tab w:leader="none" w:pos="547" w:val="left"/>
        </w:tabs>
        <w:numPr>
          <w:ilvl w:val="0"/>
          <w:numId w:val="38"/>
        </w:numPr>
        <w:rPr>
          <w:rFonts w:ascii="Arial" w:cs="Arial" w:eastAsia="Arial" w:hAnsi="Arial"/>
          <w:sz w:val="18"/>
          <w:szCs w:val="18"/>
          <w:b w:val="1"/>
          <w:bCs w:val="1"/>
          <w:color w:val="auto"/>
        </w:rPr>
      </w:pPr>
      <w:r>
        <w:rPr>
          <w:rFonts w:ascii="Arial" w:cs="Arial" w:eastAsia="Arial" w:hAnsi="Arial"/>
          <w:sz w:val="17"/>
          <w:szCs w:val="17"/>
          <w:b w:val="1"/>
          <w:bCs w:val="1"/>
          <w:u w:val="single" w:color="auto"/>
          <w:color w:val="auto"/>
        </w:rPr>
        <w:t>Effect; Conflicts</w:t>
      </w:r>
      <w:r>
        <w:rPr>
          <w:rFonts w:ascii="Arial" w:cs="Arial" w:eastAsia="Arial" w:hAnsi="Arial"/>
          <w:sz w:val="17"/>
          <w:szCs w:val="17"/>
          <w:b w:val="1"/>
          <w:bCs w:val="1"/>
          <w:color w:val="auto"/>
        </w:rPr>
        <w:t>.</w:t>
      </w:r>
    </w:p>
    <w:p>
      <w:pPr>
        <w:spacing w:after="0" w:line="16" w:lineRule="exact"/>
        <w:rPr>
          <w:rFonts w:ascii="Arial" w:cs="Arial" w:eastAsia="Arial" w:hAnsi="Arial"/>
          <w:sz w:val="18"/>
          <w:szCs w:val="18"/>
          <w:b w:val="1"/>
          <w:bCs w:val="1"/>
          <w:color w:val="auto"/>
        </w:rPr>
      </w:pPr>
    </w:p>
    <w:p>
      <w:pPr>
        <w:jc w:val="both"/>
        <w:ind w:left="547" w:right="20"/>
        <w:spacing w:after="0" w:line="239" w:lineRule="auto"/>
        <w:rPr>
          <w:rFonts w:ascii="Arial" w:cs="Arial" w:eastAsia="Arial" w:hAnsi="Arial"/>
          <w:sz w:val="18"/>
          <w:szCs w:val="18"/>
          <w:b w:val="1"/>
          <w:bCs w:val="1"/>
          <w:color w:val="auto"/>
        </w:rPr>
      </w:pPr>
      <w:r>
        <w:rPr>
          <w:rFonts w:ascii="Arial" w:cs="Arial" w:eastAsia="Arial" w:hAnsi="Arial"/>
          <w:sz w:val="17"/>
          <w:szCs w:val="17"/>
          <w:color w:val="auto"/>
        </w:rPr>
        <w:t>Except to the extent expressly amended by this Third Amendment, the Agreement is hereby ratified and confirmed in all respects and no other Article, Section, term or provision of the Agreement shall be deemed modified or changed in any respect by the terms of this Third Amendment. The Agreement is hereby amended so that any reference therein shall mean a reference to the Agreement as amended by this Third Amendment.</w:t>
      </w:r>
    </w:p>
    <w:p>
      <w:pPr>
        <w:spacing w:after="0" w:line="171" w:lineRule="exact"/>
        <w:rPr>
          <w:rFonts w:ascii="Arial" w:cs="Arial" w:eastAsia="Arial" w:hAnsi="Arial"/>
          <w:sz w:val="18"/>
          <w:szCs w:val="18"/>
          <w:b w:val="1"/>
          <w:bCs w:val="1"/>
          <w:color w:val="auto"/>
        </w:rPr>
      </w:pPr>
    </w:p>
    <w:p>
      <w:pPr>
        <w:ind w:left="547" w:hanging="547"/>
        <w:spacing w:after="0"/>
        <w:tabs>
          <w:tab w:leader="none" w:pos="547" w:val="left"/>
        </w:tabs>
        <w:numPr>
          <w:ilvl w:val="0"/>
          <w:numId w:val="38"/>
        </w:numPr>
        <w:rPr>
          <w:rFonts w:ascii="Arial" w:cs="Arial" w:eastAsia="Arial" w:hAnsi="Arial"/>
          <w:sz w:val="18"/>
          <w:szCs w:val="18"/>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w:t>
      </w:r>
    </w:p>
    <w:p>
      <w:pPr>
        <w:spacing w:after="0" w:line="16" w:lineRule="exact"/>
        <w:rPr>
          <w:rFonts w:ascii="Arial" w:cs="Arial" w:eastAsia="Arial" w:hAnsi="Arial"/>
          <w:sz w:val="18"/>
          <w:szCs w:val="18"/>
          <w:b w:val="1"/>
          <w:bCs w:val="1"/>
          <w:color w:val="auto"/>
        </w:rPr>
      </w:pPr>
    </w:p>
    <w:p>
      <w:pPr>
        <w:jc w:val="both"/>
        <w:ind w:left="547"/>
        <w:spacing w:after="0" w:line="239" w:lineRule="auto"/>
        <w:rPr>
          <w:rFonts w:ascii="Arial" w:cs="Arial" w:eastAsia="Arial" w:hAnsi="Arial"/>
          <w:sz w:val="18"/>
          <w:szCs w:val="18"/>
          <w:b w:val="1"/>
          <w:bCs w:val="1"/>
          <w:color w:val="auto"/>
        </w:rPr>
      </w:pPr>
      <w:r>
        <w:rPr>
          <w:rFonts w:ascii="Arial" w:cs="Arial" w:eastAsia="Arial" w:hAnsi="Arial"/>
          <w:sz w:val="17"/>
          <w:szCs w:val="17"/>
          <w:color w:val="auto"/>
        </w:rPr>
        <w:t>This Third Amendment may be executed in multiple counterparts, each of which when so executed shall be deemed to constitute an original, but all of which together shall constitute only one document. Original signatures transmitted and received via facsimile or other electronic transmission of a scanned document (e.g., pdf or similar format) are true and valid signatures for all purposes hereunder and shall bind the Parties to the same extent as that of original signatures.</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7"/>
          <w:szCs w:val="17"/>
          <w:i w:val="1"/>
          <w:iCs w:val="1"/>
          <w:color w:val="auto"/>
        </w:rPr>
        <w:t>[Signature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631444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314440" cy="21590"/>
                    </a:xfrm>
                    <a:prstGeom prst="rect">
                      <a:avLst/>
                    </a:prstGeom>
                    <a:noFill/>
                  </pic:spPr>
                </pic:pic>
              </a:graphicData>
            </a:graphic>
          </wp:anchor>
        </w:drawing>
      </w:r>
    </w:p>
    <w:p>
      <w:pPr>
        <w:sectPr>
          <w:pgSz w:w="11900" w:h="16838" w:orient="portrait"/>
          <w:cols w:equalWidth="0" w:num="1">
            <w:col w:w="9947"/>
          </w:cols>
          <w:pgMar w:left="973" w:top="592" w:right="97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firstLine="547"/>
        <w:spacing w:after="0" w:line="263"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their duly authorized representatives to execute this Third Amendment as of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Effective Date.</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VENDOR: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Commnet Wireless, LLC</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By: /s/ William Thomas Guthrie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-12700</wp:posOffset>
            </wp:positionV>
            <wp:extent cx="18948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894840" cy="698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William Thomas Guthrie</w:t>
      </w:r>
    </w:p>
    <w:p>
      <w:pPr>
        <w:spacing w:after="0"/>
        <w:tabs>
          <w:tab w:leader="none" w:pos="5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4 August 2022</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AT&amp;T: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AT&amp;T Mobility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By: AT&amp;T Services, Inc., its Authorized Representative</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By: /s/ Kurt Dresch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-12700</wp:posOffset>
            </wp:positionV>
            <wp:extent cx="1952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952625" cy="698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Kurt Dresch</w:t>
      </w:r>
    </w:p>
    <w:p>
      <w:pPr>
        <w:spacing w:after="0"/>
        <w:rPr>
          <w:sz w:val="20"/>
          <w:szCs w:val="20"/>
          <w:color w:val="auto"/>
        </w:rPr>
      </w:pPr>
      <w:r>
        <w:rPr>
          <w:rFonts w:ascii="Arial" w:cs="Arial" w:eastAsia="Arial" w:hAnsi="Arial"/>
          <w:sz w:val="17"/>
          <w:szCs w:val="17"/>
          <w:color w:val="auto"/>
        </w:rPr>
        <w:t>Title: Director, Global Connections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Third Amendment to Network Build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631444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314440" cy="21590"/>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79" w:name="page80"/>
    <w:bookmarkEnd w:id="79"/>
    <w:p>
      <w:pPr>
        <w:jc w:val="right"/>
        <w:spacing w:after="0"/>
        <w:rPr>
          <w:sz w:val="20"/>
          <w:szCs w:val="20"/>
          <w:color w:val="auto"/>
        </w:rPr>
      </w:pPr>
      <w:r>
        <w:rPr>
          <w:rFonts w:ascii="Arial" w:cs="Arial" w:eastAsia="Arial" w:hAnsi="Arial"/>
          <w:sz w:val="15"/>
          <w:szCs w:val="15"/>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 13a-14(a) OR RULE 15d-14(a),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 Michael T. Prior, certify that:</w:t>
      </w:r>
    </w:p>
    <w:p>
      <w:pPr>
        <w:spacing w:after="0" w:line="192" w:lineRule="exact"/>
        <w:rPr>
          <w:sz w:val="20"/>
          <w:szCs w:val="20"/>
          <w:color w:val="auto"/>
        </w:rPr>
      </w:pPr>
    </w:p>
    <w:p>
      <w:pPr>
        <w:ind w:left="720" w:hanging="361"/>
        <w:spacing w:after="0"/>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ATN International, Inc.;</w:t>
      </w:r>
    </w:p>
    <w:p>
      <w:pPr>
        <w:spacing w:after="0" w:line="135" w:lineRule="exact"/>
        <w:rPr>
          <w:rFonts w:ascii="Arial" w:cs="Arial" w:eastAsia="Arial" w:hAnsi="Arial"/>
          <w:sz w:val="15"/>
          <w:szCs w:val="15"/>
          <w:color w:val="auto"/>
        </w:rPr>
      </w:pPr>
    </w:p>
    <w:p>
      <w:pPr>
        <w:ind w:left="720" w:right="20" w:hanging="361"/>
        <w:spacing w:after="0" w:line="316" w:lineRule="auto"/>
        <w:tabs>
          <w:tab w:leader="none" w:pos="7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4"/>
          <w:szCs w:val="14"/>
          <w:color w:val="auto"/>
        </w:rPr>
      </w:pPr>
    </w:p>
    <w:p>
      <w:pPr>
        <w:ind w:left="720" w:right="100" w:hanging="361"/>
        <w:spacing w:after="0" w:line="279" w:lineRule="auto"/>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5"/>
          <w:szCs w:val="15"/>
          <w:color w:val="auto"/>
        </w:rPr>
      </w:pPr>
    </w:p>
    <w:p>
      <w:pPr>
        <w:ind w:left="720" w:right="80" w:hanging="361"/>
        <w:spacing w:after="0" w:line="266" w:lineRule="auto"/>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5"/>
          <w:szCs w:val="15"/>
          <w:color w:val="auto"/>
        </w:rPr>
      </w:pPr>
    </w:p>
    <w:p>
      <w:pPr>
        <w:ind w:left="1560" w:right="80" w:hanging="358"/>
        <w:spacing w:after="0" w:line="266" w:lineRule="auto"/>
        <w:tabs>
          <w:tab w:leader="none" w:pos="15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5"/>
          <w:szCs w:val="15"/>
          <w:color w:val="auto"/>
        </w:rPr>
      </w:pPr>
    </w:p>
    <w:p>
      <w:pPr>
        <w:ind w:left="1560" w:right="340" w:hanging="358"/>
        <w:spacing w:after="0" w:line="266" w:lineRule="auto"/>
        <w:tabs>
          <w:tab w:leader="none" w:pos="15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5"/>
          <w:szCs w:val="15"/>
          <w:color w:val="auto"/>
        </w:rPr>
      </w:pPr>
    </w:p>
    <w:p>
      <w:pPr>
        <w:jc w:val="both"/>
        <w:ind w:left="1560" w:right="480" w:hanging="358"/>
        <w:spacing w:after="0" w:line="359" w:lineRule="auto"/>
        <w:tabs>
          <w:tab w:leader="none" w:pos="1560" w:val="left"/>
        </w:tabs>
        <w:numPr>
          <w:ilvl w:val="1"/>
          <w:numId w:val="3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1560" w:right="80" w:hanging="358"/>
        <w:spacing w:after="0" w:line="266" w:lineRule="auto"/>
        <w:tabs>
          <w:tab w:leader="none" w:pos="15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5"/>
          <w:szCs w:val="15"/>
          <w:color w:val="auto"/>
        </w:rPr>
      </w:pPr>
    </w:p>
    <w:p>
      <w:pPr>
        <w:ind w:left="720" w:right="440" w:hanging="361"/>
        <w:spacing w:after="0" w:line="316" w:lineRule="auto"/>
        <w:tabs>
          <w:tab w:leader="none" w:pos="7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4"/>
          <w:szCs w:val="14"/>
          <w:color w:val="auto"/>
        </w:rPr>
      </w:pPr>
    </w:p>
    <w:p>
      <w:pPr>
        <w:ind w:left="1560" w:right="700" w:hanging="358"/>
        <w:spacing w:after="0" w:line="316" w:lineRule="auto"/>
        <w:tabs>
          <w:tab w:leader="none" w:pos="15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4"/>
          <w:szCs w:val="14"/>
          <w:color w:val="auto"/>
        </w:rPr>
      </w:pPr>
    </w:p>
    <w:p>
      <w:pPr>
        <w:ind w:left="1560" w:right="440" w:hanging="358"/>
        <w:spacing w:after="0" w:line="279" w:lineRule="auto"/>
        <w:tabs>
          <w:tab w:leader="none" w:pos="15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40" w:type="dxa"/>
            <w:vAlign w:val="bottom"/>
          </w:tcPr>
          <w:p>
            <w:pPr>
              <w:spacing w:after="0"/>
              <w:rPr>
                <w:sz w:val="16"/>
                <w:szCs w:val="16"/>
                <w:color w:val="auto"/>
              </w:rPr>
            </w:pPr>
          </w:p>
        </w:tc>
        <w:tc>
          <w:tcPr>
            <w:tcW w:w="4820" w:type="dxa"/>
            <w:vAlign w:val="bottom"/>
            <w:gridSpan w:val="2"/>
          </w:tcPr>
          <w:p>
            <w:pPr>
              <w:ind w:left="20"/>
              <w:spacing w:after="0"/>
              <w:rPr>
                <w:sz w:val="20"/>
                <w:szCs w:val="20"/>
                <w:color w:val="auto"/>
              </w:rPr>
            </w:pPr>
            <w:r>
              <w:rPr>
                <w:rFonts w:ascii="Arial" w:cs="Arial" w:eastAsia="Arial" w:hAnsi="Arial"/>
                <w:sz w:val="15"/>
                <w:szCs w:val="15"/>
                <w:color w:val="auto"/>
              </w:rPr>
              <w:t>ATN International, Inc.</w:t>
            </w:r>
          </w:p>
        </w:tc>
      </w:tr>
      <w:tr>
        <w:trPr>
          <w:trHeight w:val="365"/>
        </w:trPr>
        <w:tc>
          <w:tcPr>
            <w:tcW w:w="5440" w:type="dxa"/>
            <w:vAlign w:val="bottom"/>
          </w:tcPr>
          <w:p>
            <w:pPr>
              <w:spacing w:after="0"/>
              <w:rPr>
                <w:sz w:val="20"/>
                <w:szCs w:val="20"/>
                <w:color w:val="auto"/>
              </w:rPr>
            </w:pPr>
            <w:r>
              <w:rPr>
                <w:rFonts w:ascii="Arial" w:cs="Arial" w:eastAsia="Arial" w:hAnsi="Arial"/>
                <w:sz w:val="15"/>
                <w:szCs w:val="15"/>
                <w:color w:val="auto"/>
              </w:rPr>
              <w:t>Date: August 8, 2022</w:t>
            </w:r>
          </w:p>
        </w:tc>
        <w:tc>
          <w:tcPr>
            <w:tcW w:w="4820" w:type="dxa"/>
            <w:vAlign w:val="bottom"/>
            <w:gridSpan w:val="2"/>
          </w:tcPr>
          <w:p>
            <w:pPr>
              <w:ind w:left="20"/>
              <w:spacing w:after="0"/>
              <w:rPr>
                <w:sz w:val="20"/>
                <w:szCs w:val="20"/>
                <w:color w:val="auto"/>
              </w:rPr>
            </w:pPr>
            <w:r>
              <w:rPr>
                <w:rFonts w:ascii="Arial" w:cs="Arial" w:eastAsia="Arial" w:hAnsi="Arial"/>
                <w:sz w:val="15"/>
                <w:szCs w:val="15"/>
                <w:color w:val="auto"/>
              </w:rPr>
              <w:t>/s/ Michael T. Prior</w:t>
            </w:r>
          </w:p>
        </w:tc>
      </w:tr>
      <w:tr>
        <w:trPr>
          <w:trHeight w:val="164"/>
        </w:trPr>
        <w:tc>
          <w:tcPr>
            <w:tcW w:w="5440" w:type="dxa"/>
            <w:vAlign w:val="bottom"/>
          </w:tcPr>
          <w:p>
            <w:pPr>
              <w:spacing w:after="0"/>
              <w:rPr>
                <w:sz w:val="14"/>
                <w:szCs w:val="14"/>
                <w:color w:val="auto"/>
              </w:rPr>
            </w:pPr>
          </w:p>
        </w:tc>
        <w:tc>
          <w:tcPr>
            <w:tcW w:w="4800" w:type="dxa"/>
            <w:vAlign w:val="bottom"/>
            <w:tcBorders>
              <w:top w:val="single" w:sz="8" w:color="auto"/>
            </w:tcBorders>
          </w:tcPr>
          <w:p>
            <w:pPr>
              <w:ind w:left="20"/>
              <w:spacing w:after="0" w:line="164" w:lineRule="exact"/>
              <w:rPr>
                <w:sz w:val="20"/>
                <w:szCs w:val="20"/>
                <w:color w:val="auto"/>
              </w:rPr>
            </w:pPr>
            <w:r>
              <w:rPr>
                <w:rFonts w:ascii="Arial" w:cs="Arial" w:eastAsia="Arial" w:hAnsi="Arial"/>
                <w:sz w:val="15"/>
                <w:szCs w:val="15"/>
                <w:color w:val="auto"/>
              </w:rPr>
              <w:t>Michael T. Prior</w:t>
            </w:r>
          </w:p>
        </w:tc>
        <w:tc>
          <w:tcPr>
            <w:tcW w:w="20" w:type="dxa"/>
            <w:vAlign w:val="bottom"/>
          </w:tcPr>
          <w:p>
            <w:pPr>
              <w:spacing w:after="0"/>
              <w:rPr>
                <w:sz w:val="14"/>
                <w:szCs w:val="14"/>
                <w:color w:val="auto"/>
              </w:rPr>
            </w:pPr>
          </w:p>
        </w:tc>
      </w:tr>
      <w:tr>
        <w:trPr>
          <w:trHeight w:val="191"/>
        </w:trPr>
        <w:tc>
          <w:tcPr>
            <w:tcW w:w="5440" w:type="dxa"/>
            <w:vAlign w:val="bottom"/>
          </w:tcPr>
          <w:p>
            <w:pPr>
              <w:spacing w:after="0"/>
              <w:rPr>
                <w:sz w:val="16"/>
                <w:szCs w:val="16"/>
                <w:color w:val="auto"/>
              </w:rPr>
            </w:pPr>
          </w:p>
        </w:tc>
        <w:tc>
          <w:tcPr>
            <w:tcW w:w="4820" w:type="dxa"/>
            <w:vAlign w:val="bottom"/>
            <w:gridSpan w:val="2"/>
          </w:tcPr>
          <w:p>
            <w:pPr>
              <w:ind w:left="20"/>
              <w:spacing w:after="0"/>
              <w:rPr>
                <w:sz w:val="20"/>
                <w:szCs w:val="20"/>
                <w:color w:val="auto"/>
              </w:rPr>
            </w:pPr>
            <w:r>
              <w:rPr>
                <w:rFonts w:ascii="Arial" w:cs="Arial" w:eastAsia="Arial" w:hAnsi="Arial"/>
                <w:sz w:val="15"/>
                <w:szCs w:val="15"/>
                <w:color w:val="auto"/>
              </w:rPr>
              <w:t>President and Chief Executive Officer</w:t>
            </w:r>
          </w:p>
        </w:tc>
      </w:tr>
      <w:tr>
        <w:trPr>
          <w:trHeight w:val="676"/>
        </w:trPr>
        <w:tc>
          <w:tcPr>
            <w:tcW w:w="5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125" w:right="819" w:bottom="1440" w:gutter="0" w:footer="0" w:header="0"/>
        </w:sectPr>
      </w:pPr>
    </w:p>
    <w:bookmarkStart w:id="80" w:name="page81"/>
    <w:bookmarkEnd w:id="80"/>
    <w:p>
      <w:pPr>
        <w:jc w:val="right"/>
        <w:spacing w:after="0"/>
        <w:rPr>
          <w:sz w:val="20"/>
          <w:szCs w:val="20"/>
          <w:color w:val="auto"/>
        </w:rPr>
      </w:pPr>
      <w:r>
        <w:rPr>
          <w:rFonts w:ascii="Arial" w:cs="Arial" w:eastAsia="Arial" w:hAnsi="Arial"/>
          <w:sz w:val="15"/>
          <w:szCs w:val="15"/>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 13a-14(a) OR RULE 15d-14(a),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I, Justin D. Benincasa, certify that:</w:t>
      </w:r>
    </w:p>
    <w:p>
      <w:pPr>
        <w:spacing w:after="0" w:line="192" w:lineRule="exact"/>
        <w:rPr>
          <w:sz w:val="20"/>
          <w:szCs w:val="20"/>
          <w:color w:val="auto"/>
        </w:rPr>
      </w:pPr>
    </w:p>
    <w:p>
      <w:pPr>
        <w:ind w:left="720" w:hanging="361"/>
        <w:spacing w:after="0"/>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ATN International, Inc.;</w:t>
      </w:r>
    </w:p>
    <w:p>
      <w:pPr>
        <w:spacing w:after="0" w:line="135" w:lineRule="exact"/>
        <w:rPr>
          <w:rFonts w:ascii="Arial" w:cs="Arial" w:eastAsia="Arial" w:hAnsi="Arial"/>
          <w:sz w:val="15"/>
          <w:szCs w:val="15"/>
          <w:color w:val="auto"/>
        </w:rPr>
      </w:pPr>
    </w:p>
    <w:p>
      <w:pPr>
        <w:ind w:left="720" w:right="20" w:hanging="361"/>
        <w:spacing w:after="0" w:line="316" w:lineRule="auto"/>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4"/>
          <w:szCs w:val="14"/>
          <w:color w:val="auto"/>
        </w:rPr>
      </w:pPr>
    </w:p>
    <w:p>
      <w:pPr>
        <w:ind w:left="720" w:right="100" w:hanging="361"/>
        <w:spacing w:after="0" w:line="279" w:lineRule="auto"/>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5"/>
          <w:szCs w:val="15"/>
          <w:color w:val="auto"/>
        </w:rPr>
      </w:pPr>
    </w:p>
    <w:p>
      <w:pPr>
        <w:ind w:left="720" w:right="80" w:hanging="361"/>
        <w:spacing w:after="0" w:line="266" w:lineRule="auto"/>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5"/>
          <w:szCs w:val="15"/>
          <w:color w:val="auto"/>
        </w:rPr>
      </w:pPr>
    </w:p>
    <w:p>
      <w:pPr>
        <w:ind w:left="1560" w:right="80" w:hanging="358"/>
        <w:spacing w:after="0" w:line="266" w:lineRule="auto"/>
        <w:tabs>
          <w:tab w:leader="none" w:pos="1560" w:val="left"/>
        </w:tabs>
        <w:numPr>
          <w:ilvl w:val="2"/>
          <w:numId w:val="4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5"/>
          <w:szCs w:val="15"/>
          <w:color w:val="auto"/>
        </w:rPr>
      </w:pPr>
    </w:p>
    <w:p>
      <w:pPr>
        <w:ind w:left="1560" w:right="340" w:hanging="358"/>
        <w:spacing w:after="0" w:line="266" w:lineRule="auto"/>
        <w:tabs>
          <w:tab w:leader="none" w:pos="1560" w:val="left"/>
        </w:tabs>
        <w:numPr>
          <w:ilvl w:val="2"/>
          <w:numId w:val="4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5"/>
          <w:szCs w:val="15"/>
          <w:color w:val="auto"/>
        </w:rPr>
      </w:pPr>
    </w:p>
    <w:p>
      <w:pPr>
        <w:jc w:val="both"/>
        <w:ind w:left="1560" w:right="480" w:hanging="358"/>
        <w:spacing w:after="0" w:line="359" w:lineRule="auto"/>
        <w:tabs>
          <w:tab w:leader="none" w:pos="1560" w:val="left"/>
        </w:tabs>
        <w:numPr>
          <w:ilvl w:val="2"/>
          <w:numId w:val="4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3"/>
          <w:szCs w:val="13"/>
          <w:color w:val="auto"/>
        </w:rPr>
      </w:pPr>
    </w:p>
    <w:p>
      <w:pPr>
        <w:ind w:left="1560" w:right="80" w:hanging="369"/>
        <w:spacing w:after="0" w:line="266" w:lineRule="auto"/>
        <w:tabs>
          <w:tab w:leader="none" w:pos="1560" w:val="left"/>
        </w:tabs>
        <w:numPr>
          <w:ilvl w:val="2"/>
          <w:numId w:val="4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5"/>
          <w:szCs w:val="15"/>
          <w:color w:val="auto"/>
        </w:rPr>
      </w:pPr>
    </w:p>
    <w:p>
      <w:pPr>
        <w:ind w:left="720" w:right="440" w:hanging="361"/>
        <w:spacing w:after="0" w:line="316" w:lineRule="auto"/>
        <w:tabs>
          <w:tab w:leader="none" w:pos="7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4"/>
          <w:szCs w:val="14"/>
          <w:color w:val="auto"/>
        </w:rPr>
      </w:pPr>
    </w:p>
    <w:p>
      <w:pPr>
        <w:ind w:left="1560" w:right="700" w:hanging="369"/>
        <w:spacing w:after="0" w:line="316" w:lineRule="auto"/>
        <w:tabs>
          <w:tab w:leader="none" w:pos="15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4"/>
          <w:szCs w:val="14"/>
          <w:color w:val="auto"/>
        </w:rPr>
      </w:pPr>
    </w:p>
    <w:p>
      <w:pPr>
        <w:ind w:left="1560" w:right="440" w:hanging="358"/>
        <w:spacing w:after="0" w:line="279" w:lineRule="auto"/>
        <w:tabs>
          <w:tab w:leader="none" w:pos="1560" w:val="left"/>
        </w:tabs>
        <w:numPr>
          <w:ilvl w:val="2"/>
          <w:numId w:val="4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20" w:type="dxa"/>
            <w:vAlign w:val="bottom"/>
          </w:tcPr>
          <w:p>
            <w:pPr>
              <w:spacing w:after="0"/>
              <w:rPr>
                <w:sz w:val="16"/>
                <w:szCs w:val="16"/>
                <w:color w:val="auto"/>
              </w:rPr>
            </w:pPr>
          </w:p>
        </w:tc>
        <w:tc>
          <w:tcPr>
            <w:tcW w:w="7040" w:type="dxa"/>
            <w:vAlign w:val="bottom"/>
            <w:gridSpan w:val="3"/>
          </w:tcPr>
          <w:p>
            <w:pPr>
              <w:ind w:left="1940"/>
              <w:spacing w:after="0"/>
              <w:rPr>
                <w:sz w:val="20"/>
                <w:szCs w:val="20"/>
                <w:color w:val="auto"/>
              </w:rPr>
            </w:pPr>
            <w:r>
              <w:rPr>
                <w:rFonts w:ascii="Arial" w:cs="Arial" w:eastAsia="Arial" w:hAnsi="Arial"/>
                <w:sz w:val="15"/>
                <w:szCs w:val="15"/>
                <w:color w:val="auto"/>
              </w:rPr>
              <w:t>ATN International, Inc.</w:t>
            </w:r>
          </w:p>
        </w:tc>
      </w:tr>
      <w:tr>
        <w:trPr>
          <w:trHeight w:val="365"/>
        </w:trPr>
        <w:tc>
          <w:tcPr>
            <w:tcW w:w="3220" w:type="dxa"/>
            <w:vAlign w:val="bottom"/>
          </w:tcPr>
          <w:p>
            <w:pPr>
              <w:spacing w:after="0"/>
              <w:rPr>
                <w:sz w:val="20"/>
                <w:szCs w:val="20"/>
                <w:color w:val="auto"/>
              </w:rPr>
            </w:pPr>
            <w:r>
              <w:rPr>
                <w:rFonts w:ascii="Arial" w:cs="Arial" w:eastAsia="Arial" w:hAnsi="Arial"/>
                <w:sz w:val="15"/>
                <w:szCs w:val="15"/>
                <w:color w:val="auto"/>
              </w:rPr>
              <w:t>Date: August 8, 2022</w:t>
            </w:r>
          </w:p>
        </w:tc>
        <w:tc>
          <w:tcPr>
            <w:tcW w:w="7040" w:type="dxa"/>
            <w:vAlign w:val="bottom"/>
            <w:gridSpan w:val="3"/>
          </w:tcPr>
          <w:p>
            <w:pPr>
              <w:ind w:left="1940"/>
              <w:spacing w:after="0"/>
              <w:rPr>
                <w:sz w:val="20"/>
                <w:szCs w:val="20"/>
                <w:color w:val="auto"/>
              </w:rPr>
            </w:pPr>
            <w:r>
              <w:rPr>
                <w:rFonts w:ascii="Arial" w:cs="Arial" w:eastAsia="Arial" w:hAnsi="Arial"/>
                <w:sz w:val="15"/>
                <w:szCs w:val="15"/>
                <w:color w:val="auto"/>
              </w:rPr>
              <w:t>By:   /s/ Justin D. Benincasa</w:t>
            </w:r>
          </w:p>
        </w:tc>
      </w:tr>
      <w:tr>
        <w:trPr>
          <w:trHeight w:val="164"/>
        </w:trPr>
        <w:tc>
          <w:tcPr>
            <w:tcW w:w="3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66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Justin D. Benincasa</w:t>
            </w:r>
          </w:p>
        </w:tc>
        <w:tc>
          <w:tcPr>
            <w:tcW w:w="20" w:type="dxa"/>
            <w:vAlign w:val="bottom"/>
          </w:tcPr>
          <w:p>
            <w:pPr>
              <w:spacing w:after="0"/>
              <w:rPr>
                <w:sz w:val="14"/>
                <w:szCs w:val="14"/>
                <w:color w:val="auto"/>
              </w:rPr>
            </w:pPr>
          </w:p>
        </w:tc>
      </w:tr>
      <w:tr>
        <w:trPr>
          <w:trHeight w:val="191"/>
        </w:trPr>
        <w:tc>
          <w:tcPr>
            <w:tcW w:w="3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5"/>
                <w:szCs w:val="15"/>
                <w:color w:val="auto"/>
              </w:rPr>
              <w:t>Chief Financial Officer</w:t>
            </w:r>
          </w:p>
        </w:tc>
      </w:tr>
      <w:tr>
        <w:trPr>
          <w:trHeight w:val="676"/>
        </w:trPr>
        <w:tc>
          <w:tcPr>
            <w:tcW w:w="3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125" w:right="819" w:bottom="1440" w:gutter="0" w:footer="0" w:header="0"/>
        </w:sectPr>
      </w:pPr>
    </w:p>
    <w:bookmarkStart w:id="81" w:name="page82"/>
    <w:bookmarkEnd w:id="81"/>
    <w:p>
      <w:pPr>
        <w:jc w:val="right"/>
        <w:ind w:right="39"/>
        <w:spacing w:after="0"/>
        <w:rPr>
          <w:sz w:val="20"/>
          <w:szCs w:val="20"/>
          <w:color w:val="auto"/>
        </w:rPr>
      </w:pPr>
      <w:r>
        <w:rPr>
          <w:rFonts w:ascii="Arial" w:cs="Arial" w:eastAsia="Arial" w:hAnsi="Arial"/>
          <w:sz w:val="15"/>
          <w:szCs w:val="15"/>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3" w:lineRule="exact"/>
        <w:rPr>
          <w:sz w:val="20"/>
          <w:szCs w:val="20"/>
          <w:color w:val="auto"/>
        </w:rPr>
      </w:pPr>
    </w:p>
    <w:p>
      <w:pPr>
        <w:ind w:left="40" w:right="59" w:firstLine="372"/>
        <w:spacing w:after="0" w:line="294" w:lineRule="auto"/>
        <w:rPr>
          <w:sz w:val="20"/>
          <w:szCs w:val="20"/>
          <w:color w:val="auto"/>
        </w:rPr>
      </w:pPr>
      <w:r>
        <w:rPr>
          <w:rFonts w:ascii="Arial" w:cs="Arial" w:eastAsia="Arial" w:hAnsi="Arial"/>
          <w:sz w:val="14"/>
          <w:szCs w:val="14"/>
          <w:color w:val="auto"/>
        </w:rPr>
        <w:t>In connection with the quarterly report on Form 10-Q of ATN International, Inc. (the “Company”) for the period ended June 30, 2022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37" w:lineRule="exact"/>
        <w:rPr>
          <w:sz w:val="20"/>
          <w:szCs w:val="20"/>
          <w:color w:val="auto"/>
        </w:rPr>
      </w:pPr>
    </w:p>
    <w:p>
      <w:pPr>
        <w:ind w:left="760" w:hanging="365"/>
        <w:spacing w:after="0"/>
        <w:tabs>
          <w:tab w:leader="none" w:pos="7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2" w:lineRule="exact"/>
        <w:rPr>
          <w:rFonts w:ascii="Arial" w:cs="Arial" w:eastAsia="Arial" w:hAnsi="Arial"/>
          <w:sz w:val="15"/>
          <w:szCs w:val="15"/>
          <w:color w:val="auto"/>
        </w:rPr>
      </w:pPr>
    </w:p>
    <w:p>
      <w:pPr>
        <w:ind w:left="760" w:right="99" w:hanging="365"/>
        <w:spacing w:after="0" w:line="279" w:lineRule="auto"/>
        <w:tabs>
          <w:tab w:leader="none" w:pos="7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6020" w:type="dxa"/>
            <w:vAlign w:val="bottom"/>
            <w:gridSpan w:val="2"/>
          </w:tcPr>
          <w:p>
            <w:pPr>
              <w:ind w:left="1640"/>
              <w:spacing w:after="0"/>
              <w:rPr>
                <w:sz w:val="20"/>
                <w:szCs w:val="20"/>
                <w:color w:val="auto"/>
              </w:rPr>
            </w:pPr>
            <w:r>
              <w:rPr>
                <w:rFonts w:ascii="Arial" w:cs="Arial" w:eastAsia="Arial" w:hAnsi="Arial"/>
                <w:sz w:val="15"/>
                <w:szCs w:val="15"/>
                <w:color w:val="auto"/>
              </w:rPr>
              <w:t>ATN International, Inc.</w:t>
            </w:r>
          </w:p>
        </w:tc>
      </w:tr>
      <w:tr>
        <w:trPr>
          <w:trHeight w:val="365"/>
        </w:trPr>
        <w:tc>
          <w:tcPr>
            <w:tcW w:w="2920" w:type="dxa"/>
            <w:vAlign w:val="bottom"/>
          </w:tcPr>
          <w:p>
            <w:pPr>
              <w:spacing w:after="0"/>
              <w:rPr>
                <w:sz w:val="20"/>
                <w:szCs w:val="20"/>
                <w:color w:val="auto"/>
              </w:rPr>
            </w:pPr>
            <w:r>
              <w:rPr>
                <w:rFonts w:ascii="Arial" w:cs="Arial" w:eastAsia="Arial" w:hAnsi="Arial"/>
                <w:sz w:val="15"/>
                <w:szCs w:val="15"/>
                <w:color w:val="auto"/>
              </w:rPr>
              <w:t>Date: August 8, 2022</w:t>
            </w:r>
          </w:p>
        </w:tc>
        <w:tc>
          <w:tcPr>
            <w:tcW w:w="6020" w:type="dxa"/>
            <w:vAlign w:val="bottom"/>
            <w:gridSpan w:val="2"/>
          </w:tcPr>
          <w:p>
            <w:pPr>
              <w:ind w:left="1640"/>
              <w:spacing w:after="0"/>
              <w:rPr>
                <w:sz w:val="20"/>
                <w:szCs w:val="20"/>
                <w:color w:val="auto"/>
              </w:rPr>
            </w:pPr>
            <w:r>
              <w:rPr>
                <w:rFonts w:ascii="Arial" w:cs="Arial" w:eastAsia="Arial" w:hAnsi="Arial"/>
                <w:sz w:val="15"/>
                <w:szCs w:val="15"/>
                <w:color w:val="auto"/>
              </w:rPr>
              <w:t>By: /s/ Michael T. Prior</w:t>
            </w:r>
          </w:p>
        </w:tc>
      </w:tr>
      <w:tr>
        <w:trPr>
          <w:trHeight w:val="164"/>
        </w:trPr>
        <w:tc>
          <w:tcPr>
            <w:tcW w:w="2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12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Michael T. Prior</w:t>
            </w:r>
          </w:p>
        </w:tc>
      </w:tr>
      <w:tr>
        <w:trPr>
          <w:trHeight w:val="191"/>
        </w:trPr>
        <w:tc>
          <w:tcPr>
            <w:tcW w:w="2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r>
        <w:trPr>
          <w:trHeight w:val="676"/>
        </w:trPr>
        <w:tc>
          <w:tcPr>
            <w:tcW w:w="2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82" w:name="page83"/>
    <w:bookmarkEnd w:id="82"/>
    <w:p>
      <w:pPr>
        <w:jc w:val="right"/>
        <w:ind w:right="39"/>
        <w:spacing w:after="0"/>
        <w:rPr>
          <w:sz w:val="20"/>
          <w:szCs w:val="20"/>
          <w:color w:val="auto"/>
        </w:rPr>
      </w:pPr>
      <w:r>
        <w:rPr>
          <w:rFonts w:ascii="Arial" w:cs="Arial" w:eastAsia="Arial" w:hAnsi="Arial"/>
          <w:sz w:val="15"/>
          <w:szCs w:val="15"/>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3" w:lineRule="exact"/>
        <w:rPr>
          <w:sz w:val="20"/>
          <w:szCs w:val="20"/>
          <w:color w:val="auto"/>
        </w:rPr>
      </w:pPr>
    </w:p>
    <w:p>
      <w:pPr>
        <w:ind w:left="40" w:right="339" w:firstLine="372"/>
        <w:spacing w:after="0" w:line="294" w:lineRule="auto"/>
        <w:rPr>
          <w:sz w:val="20"/>
          <w:szCs w:val="20"/>
          <w:color w:val="auto"/>
        </w:rPr>
      </w:pPr>
      <w:r>
        <w:rPr>
          <w:rFonts w:ascii="Arial" w:cs="Arial" w:eastAsia="Arial" w:hAnsi="Arial"/>
          <w:sz w:val="14"/>
          <w:szCs w:val="14"/>
          <w:color w:val="auto"/>
        </w:rPr>
        <w:t>In connection with the quarterly report on Form 10-Q of ATN International, Inc. (the “Company”) for the period ended June 30, 2022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37" w:lineRule="exact"/>
        <w:rPr>
          <w:sz w:val="20"/>
          <w:szCs w:val="20"/>
          <w:color w:val="auto"/>
        </w:rPr>
      </w:pPr>
    </w:p>
    <w:p>
      <w:pPr>
        <w:ind w:left="760" w:hanging="36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2" w:lineRule="exact"/>
        <w:rPr>
          <w:rFonts w:ascii="Arial" w:cs="Arial" w:eastAsia="Arial" w:hAnsi="Arial"/>
          <w:sz w:val="15"/>
          <w:szCs w:val="15"/>
          <w:color w:val="auto"/>
        </w:rPr>
      </w:pPr>
    </w:p>
    <w:p>
      <w:pPr>
        <w:ind w:left="760" w:right="99" w:hanging="365"/>
        <w:spacing w:after="0" w:line="279" w:lineRule="auto"/>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6020" w:type="dxa"/>
            <w:vAlign w:val="bottom"/>
            <w:gridSpan w:val="2"/>
          </w:tcPr>
          <w:p>
            <w:pPr>
              <w:ind w:left="1640"/>
              <w:spacing w:after="0"/>
              <w:rPr>
                <w:sz w:val="20"/>
                <w:szCs w:val="20"/>
                <w:color w:val="auto"/>
              </w:rPr>
            </w:pPr>
            <w:r>
              <w:rPr>
                <w:rFonts w:ascii="Arial" w:cs="Arial" w:eastAsia="Arial" w:hAnsi="Arial"/>
                <w:sz w:val="15"/>
                <w:szCs w:val="15"/>
                <w:color w:val="auto"/>
              </w:rPr>
              <w:t>ATN International, Inc.</w:t>
            </w:r>
          </w:p>
        </w:tc>
      </w:tr>
      <w:tr>
        <w:trPr>
          <w:trHeight w:val="365"/>
        </w:trPr>
        <w:tc>
          <w:tcPr>
            <w:tcW w:w="2920" w:type="dxa"/>
            <w:vAlign w:val="bottom"/>
          </w:tcPr>
          <w:p>
            <w:pPr>
              <w:spacing w:after="0"/>
              <w:rPr>
                <w:sz w:val="20"/>
                <w:szCs w:val="20"/>
                <w:color w:val="auto"/>
              </w:rPr>
            </w:pPr>
            <w:r>
              <w:rPr>
                <w:rFonts w:ascii="Arial" w:cs="Arial" w:eastAsia="Arial" w:hAnsi="Arial"/>
                <w:sz w:val="15"/>
                <w:szCs w:val="15"/>
                <w:color w:val="auto"/>
              </w:rPr>
              <w:t>Date: August 8, 2022</w:t>
            </w:r>
          </w:p>
        </w:tc>
        <w:tc>
          <w:tcPr>
            <w:tcW w:w="6020" w:type="dxa"/>
            <w:vAlign w:val="bottom"/>
            <w:gridSpan w:val="2"/>
          </w:tcPr>
          <w:p>
            <w:pPr>
              <w:ind w:left="1640"/>
              <w:spacing w:after="0"/>
              <w:rPr>
                <w:sz w:val="20"/>
                <w:szCs w:val="20"/>
                <w:color w:val="auto"/>
              </w:rPr>
            </w:pPr>
            <w:r>
              <w:rPr>
                <w:rFonts w:ascii="Arial" w:cs="Arial" w:eastAsia="Arial" w:hAnsi="Arial"/>
                <w:sz w:val="15"/>
                <w:szCs w:val="15"/>
                <w:color w:val="auto"/>
              </w:rPr>
              <w:t>By: /s/ Justin D. Benincasa</w:t>
            </w:r>
          </w:p>
        </w:tc>
      </w:tr>
      <w:tr>
        <w:trPr>
          <w:trHeight w:val="164"/>
        </w:trPr>
        <w:tc>
          <w:tcPr>
            <w:tcW w:w="2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Justin D. Benincasa</w:t>
            </w:r>
          </w:p>
        </w:tc>
      </w:tr>
      <w:tr>
        <w:trPr>
          <w:trHeight w:val="191"/>
        </w:trPr>
        <w:tc>
          <w:tcPr>
            <w:tcW w:w="2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676"/>
        </w:trPr>
        <w:tc>
          <w:tcPr>
            <w:tcW w:w="2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lvl w:ilvl="1">
      <w:lvlJc w:val="left"/>
      <w:lvlText w:val="(%2)"/>
      <w:numFmt w:val="decimal"/>
      <w:start w:val="1"/>
    </w:lvl>
  </w:abstractNum>
  <w:abstractNum w:abstractNumId="9">
    <w:nsid w:val="189A769B"/>
    <w:multiLevelType w:val="hybridMultilevel"/>
    <w:lvl w:ilvl="0">
      <w:lvlJc w:val="left"/>
      <w:lvlText w:val="%1."/>
      <w:numFmt w:val="decimal"/>
      <w:start w:val="14"/>
    </w:lvl>
    <w:lvl w:ilvl="1">
      <w:lvlJc w:val="left"/>
      <w:lvlText w:val="%2"/>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lvl w:ilvl="1">
      <w:lvlJc w:val="left"/>
      <w:lvlText w:val="%2"/>
      <w:numFmt w:val="decimal"/>
      <w:start w:val="104"/>
    </w:lvl>
  </w:abstractNum>
  <w:abstractNum w:abstractNumId="33">
    <w:nsid w:val="2463B9EA"/>
    <w:multiLevelType w:val="hybridMultilevel"/>
    <w:lvl w:ilvl="0">
      <w:lvlJc w:val="left"/>
      <w:lvlText w:val="**"/>
      <w:numFmt w:val="bullet"/>
      <w:start w:val="1"/>
    </w:lvl>
    <w:lvl w:ilvl="1">
      <w:lvlJc w:val="left"/>
      <w:lvlText w:val="%2"/>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upperLetter"/>
      <w:start w:val="1"/>
    </w:lvl>
  </w:abstractNum>
  <w:abstractNum w:abstractNumId="36">
    <w:nsid w:val="2D517796"/>
    <w:multiLevelType w:val="hybridMultilevel"/>
    <w:lvl w:ilvl="0">
      <w:lvlJc w:val="left"/>
      <w:lvlText w:val="%1."/>
      <w:numFmt w:val="upperLetter"/>
      <w:start w:val="3"/>
    </w:lvl>
  </w:abstractNum>
  <w:abstractNum w:abstractNumId="37">
    <w:nsid w:val="580BD78F"/>
    <w:multiLevelType w:val="hybridMultilevel"/>
    <w:lvl w:ilvl="0">
      <w:lvlJc w:val="left"/>
      <w:lvlText w:val="%1."/>
      <w:numFmt w:val="decimal"/>
      <w:start w:val="3"/>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97" Type="http://schemas.openxmlformats.org/officeDocument/2006/relationships/hyperlink" Target="https://www.sec.gov/Archives/edgar/data/879585/000155837022008065/atni-202203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2022-08-09T02:24:35Z</dcterms:created>
  <dcterms:modified xsi:type="dcterms:W3CDTF">2022-08-09T02:24:35Z</dcterms:modified>
</cp:coreProperties>
</file>