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atni-20260630x10q.htm"/>
        <w:bookmarkStart w:id="1" w:name="ksatni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center"/>
        <w:rPr>
          <w:bdr w:val="single" w:sz="24" w:space="1" w:color="000000"/>
        </w:rPr>
      </w:pPr>
      <w:r>
        <w:rPr>
          <w:bdr w:val="single" w:sz="24" w:space="1" w:color="000000"/>
        </w:rPr>
        <w:t>​</w:t>
      </w:r>
    </w:p>
    <w:p>
      <w:pPr>
        <w:pStyle w:val="TextBody"/>
        <w:bidi w:val="0"/>
        <w:spacing w:before="0" w:after="0"/>
        <w:ind w:left="0" w:right="0" w:hanging="0"/>
        <w:jc w:val="center"/>
        <w:rPr>
          <w:rFonts w:ascii="Times New Roman;Times;serif" w:hAnsi="Times New Roman;Times;serif"/>
          <w:b/>
          <w:sz w:val="34"/>
        </w:rPr>
      </w:pPr>
      <w:bookmarkStart w:id="2" w:name="_f637aba6_b9f7_4924_948d_8f48312a325b"/>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nmFwVWNhnU6nQFLPaz7cfw_1_1"/>
      <w:bookmarkStart w:id="4" w:name="_4ee8a58e_7291_44fa_a6cb_8045ee21b8e6"/>
      <w:bookmarkStart w:id="5" w:name="Tc_nmFwVWNhnU6nQFLPaz7cfw_1_1"/>
      <w:bookmarkStart w:id="6" w:name="_4ee8a58e_7291_44fa_a6cb_8045ee21b8e6"/>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1"/>
        <w:gridCol w:w="9814"/>
      </w:tblGrid>
      <w:tr>
        <w:trPr/>
        <w:tc>
          <w:tcPr>
            <w:tcW w:w="391" w:type="dxa"/>
            <w:tcBorders/>
            <w:vAlign w:val="center"/>
          </w:tcPr>
          <w:p>
            <w:pPr>
              <w:pStyle w:val="TableContents"/>
              <w:bidi w:val="0"/>
              <w:spacing w:before="0" w:after="0"/>
              <w:ind w:left="0" w:right="0" w:hanging="0"/>
              <w:jc w:val="left"/>
              <w:rPr/>
            </w:pPr>
            <w:r>
              <w:rPr/>
              <w:t>​</w:t>
            </w:r>
          </w:p>
        </w:tc>
        <w:tc>
          <w:tcPr>
            <w:tcW w:w="9814"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center"/>
              <w:rPr>
                <w:shd w:fill="FFFFFF" w:val="clear"/>
              </w:rPr>
            </w:pPr>
            <w:r>
              <w:rPr>
                <w:shd w:fill="FFFFFF" w:val="clear"/>
              </w:rPr>
              <w:t>☐ </w:t>
            </w:r>
          </w:p>
        </w:tc>
        <w:tc>
          <w:tcPr>
            <w:tcW w:w="981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For the transition period from  </w:t>
      </w:r>
      <w:r>
        <w:rPr>
          <w:rFonts w:ascii="Times New Roman;Times;serif" w:hAnsi="Times New Roman;Times;serif"/>
          <w:sz w:val="18"/>
        </w:rPr>
        <w:t xml:space="preserve">    </w:t>
      </w:r>
      <w:r>
        <w:rPr>
          <w:rFonts w:ascii="Times New Roman;Times;serif" w:hAnsi="Times New Roman;Times;serif"/>
          <w:b/>
          <w:sz w:val="18"/>
        </w:rPr>
        <w:t>to  </w:t>
      </w:r>
      <w:r>
        <w:rPr>
          <w:rFonts w:ascii="Times New Roman;Times;serif" w:hAnsi="Times New Roman;Times;serif"/>
          <w:sz w:val="18"/>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001-12593</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6"/>
        </w:rPr>
      </w:pPr>
      <w:r>
        <w:rPr>
          <w:rFonts w:ascii="Times New Roman;Times;serif" w:hAnsi="Times New Roman;Times;serif"/>
          <w:b/>
          <w:sz w:val="36"/>
        </w:rPr>
        <w:t>ATN INTERNATIONAL, INC.</w:t>
      </w:r>
      <w:r>
        <w:rPr>
          <w:rFonts w:ascii="Times New Roman;Times;serif" w:hAnsi="Times New Roman;Times;serif"/>
          <w:sz w:val="36"/>
        </w:rPr>
        <w:t xml:space="preserve"> </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left"/>
        <w:rPr/>
      </w:pPr>
      <w:r>
        <w:rPr/>
        <w:t>​</w:t>
      </w:r>
    </w:p>
    <w:tbl>
      <w:tblPr>
        <w:tblW w:w="3602" w:type="dxa"/>
        <w:jc w:val="left"/>
        <w:tblInd w:w="0" w:type="dxa"/>
        <w:tblLayout w:type="fixed"/>
        <w:tblCellMar>
          <w:top w:w="0" w:type="dxa"/>
          <w:left w:w="0" w:type="dxa"/>
          <w:bottom w:w="0" w:type="dxa"/>
          <w:right w:w="0" w:type="dxa"/>
        </w:tblCellMar>
      </w:tblPr>
      <w:tblGrid>
        <w:gridCol w:w="2386"/>
        <w:gridCol w:w="1216"/>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p>
        </w:tc>
        <w:tc>
          <w:tcPr>
            <w:tcW w:w="1216" w:type="dxa"/>
            <w:tcBorders/>
            <w:vAlign w:val="center"/>
          </w:tcPr>
          <w:p>
            <w:pPr>
              <w:pStyle w:val="TableContents"/>
              <w:bidi w:val="0"/>
              <w:spacing w:before="0" w:after="283"/>
              <w:ind w:left="0" w:right="0" w:hanging="0"/>
              <w:jc w:val="left"/>
              <w:rPr>
                <w:sz w:val="4"/>
                <w:szCs w:val="4"/>
              </w:rPr>
            </w:pPr>
            <w:r>
              <w:rPr>
                <w:sz w:val="4"/>
                <w:szCs w:val="4"/>
              </w:rPr>
            </w:r>
          </w:p>
        </w:tc>
      </w:tr>
      <w:tr>
        <w:trPr/>
        <w:tc>
          <w:tcPr>
            <w:tcW w:w="23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Delaware</w:t>
            </w:r>
            <w:r>
              <w:rPr>
                <w:rFonts w:ascii="Times New Roman;Times;serif" w:hAnsi="Times New Roman;Times;serif"/>
                <w:sz w:val="14"/>
              </w:rPr>
              <w:br/>
              <w:t>(State or other jurisdiction of</w:t>
              <w:br/>
              <w:t>incorporation or organization)</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47-0728886</w:t>
            </w:r>
            <w:r>
              <w:rPr>
                <w:rFonts w:ascii="Times New Roman;Times;serif" w:hAnsi="Times New Roman;Times;serif"/>
                <w:sz w:val="14"/>
              </w:rPr>
              <w:br/>
              <w:t>(I.R.S. Employer</w:t>
              <w:br/>
              <w:t>Identification No.)</w:t>
            </w:r>
          </w:p>
        </w:tc>
      </w:tr>
      <w:tr>
        <w:trPr/>
        <w:tc>
          <w:tcPr>
            <w:tcW w:w="23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500 Cummings Center, Suite 2450</w:t>
              <w:br/>
              <w:t>Beverly, Massachusetts</w:t>
            </w:r>
            <w:r>
              <w:rPr>
                <w:rFonts w:ascii="Times New Roman;Times;serif" w:hAnsi="Times New Roman;Times;serif"/>
                <w:sz w:val="14"/>
              </w:rPr>
              <w:br/>
              <w:t>(Address of principal executive offices)</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01915</w:t>
            </w:r>
            <w:r>
              <w:rPr>
                <w:rFonts w:ascii="Times New Roman;Times;serif" w:hAnsi="Times New Roman;Times;serif"/>
                <w:sz w:val="14"/>
              </w:rPr>
              <w:br/>
              <w:t>(Zip Code)</w:t>
            </w:r>
          </w:p>
        </w:tc>
      </w:tr>
    </w:tbl>
    <w:p>
      <w:pPr>
        <w:pStyle w:val="TextBody"/>
        <w:bidi w:val="0"/>
        <w:spacing w:before="60" w:after="0"/>
        <w:ind w:left="0" w:right="0" w:hanging="0"/>
        <w:jc w:val="center"/>
        <w:rPr>
          <w:rFonts w:ascii="Times New Roman;Times;serif" w:hAnsi="Times New Roman;Times;serif"/>
          <w:b/>
          <w:sz w:val="18"/>
        </w:rPr>
      </w:pPr>
      <w:r>
        <w:rPr>
          <w:rFonts w:ascii="Times New Roman;Times;serif" w:hAnsi="Times New Roman;Times;serif"/>
          <w:b/>
          <w:sz w:val="18"/>
        </w:rPr>
        <w:t>(978) 619-1300</w:t>
      </w:r>
    </w:p>
    <w:p>
      <w:pPr>
        <w:pStyle w:val="TextBody"/>
        <w:bidi w:val="0"/>
        <w:spacing w:before="0" w:after="60"/>
        <w:ind w:left="0" w:right="0" w:hanging="0"/>
        <w:jc w:val="center"/>
        <w:rPr>
          <w:rFonts w:ascii="Times New Roman;Times;serif" w:hAnsi="Times New Roman;Times;serif"/>
          <w:sz w:val="18"/>
        </w:rPr>
      </w:pPr>
      <w:r>
        <w:rPr>
          <w:rFonts w:ascii="Times New Roman;Times;serif" w:hAnsi="Times New Roman;Times;serif"/>
          <w:sz w:val="18"/>
        </w:rPr>
        <w:t xml:space="preserve">(Registrant’s telephone number, including area code) </w:t>
      </w:r>
    </w:p>
    <w:p>
      <w:pPr>
        <w:pStyle w:val="TextBody"/>
        <w:bidi w:val="0"/>
        <w:spacing w:before="0" w:after="60"/>
        <w:ind w:left="2880" w:right="0" w:firstLine="72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7" w:name="Tc_x7nw9XxVR0KmNWhMyam1MA_1_4"/>
      <w:bookmarkStart w:id="8" w:name="Tc_43LwffWNd02ujebzxA3t3Q_1_2"/>
      <w:bookmarkStart w:id="9" w:name="Tc_AyJmzJaHKkiHjZ0w6ADjiQ_1_0"/>
      <w:bookmarkStart w:id="10" w:name="_414511fb_f93c_4423_a2a7_1eff1dfc6e0c"/>
      <w:bookmarkStart w:id="11" w:name="Tc_x7nw9XxVR0KmNWhMyam1MA_1_4"/>
      <w:bookmarkStart w:id="12" w:name="Tc_43LwffWNd02ujebzxA3t3Q_1_2"/>
      <w:bookmarkStart w:id="13" w:name="Tc_AyJmzJaHKkiHjZ0w6ADjiQ_1_0"/>
      <w:bookmarkStart w:id="14" w:name="_414511fb_f93c_4423_a2a7_1eff1dfc6e0c"/>
      <w:bookmarkEnd w:id="11"/>
      <w:bookmarkEnd w:id="12"/>
      <w:bookmarkEnd w:id="13"/>
      <w:bookmarkEnd w:id="14"/>
    </w:p>
    <w:tbl>
      <w:tblPr>
        <w:tblW w:w="6566" w:type="dxa"/>
        <w:jc w:val="left"/>
        <w:tblInd w:w="0" w:type="dxa"/>
        <w:tblLayout w:type="fixed"/>
        <w:tblCellMar>
          <w:top w:w="0" w:type="dxa"/>
          <w:left w:w="0" w:type="dxa"/>
          <w:bottom w:w="0" w:type="dxa"/>
          <w:right w:w="0" w:type="dxa"/>
        </w:tblCellMar>
      </w:tblPr>
      <w:tblGrid>
        <w:gridCol w:w="2416"/>
        <w:gridCol w:w="109"/>
        <w:gridCol w:w="1231"/>
        <w:gridCol w:w="109"/>
        <w:gridCol w:w="2701"/>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2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701" w:type="dxa"/>
            <w:tcBorders/>
            <w:vAlign w:val="center"/>
          </w:tcPr>
          <w:p>
            <w:pPr>
              <w:pStyle w:val="TableContents"/>
              <w:bidi w:val="0"/>
              <w:spacing w:before="0" w:after="283"/>
              <w:ind w:left="0" w:right="0" w:hanging="0"/>
              <w:jc w:val="left"/>
              <w:rPr>
                <w:sz w:val="4"/>
                <w:szCs w:val="4"/>
              </w:rPr>
            </w:pPr>
            <w:r>
              <w:rPr>
                <w:sz w:val="4"/>
                <w:szCs w:val="4"/>
              </w:rPr>
            </w:r>
          </w:p>
        </w:tc>
      </w:tr>
      <w:tr>
        <w:trPr/>
        <w:tc>
          <w:tcPr>
            <w:tcW w:w="241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23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70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241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Common Stock, par value $.01 per share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ATNI</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7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The Nasdaq Stock Market LLC</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4341" w:type="dxa"/>
        <w:jc w:val="left"/>
        <w:tblInd w:w="0" w:type="dxa"/>
        <w:tblLayout w:type="fixed"/>
        <w:tblCellMar>
          <w:top w:w="0" w:type="dxa"/>
          <w:left w:w="0" w:type="dxa"/>
          <w:bottom w:w="0" w:type="dxa"/>
          <w:right w:w="0" w:type="dxa"/>
        </w:tblCellMar>
      </w:tblPr>
      <w:tblGrid>
        <w:gridCol w:w="1876"/>
        <w:gridCol w:w="109"/>
        <w:gridCol w:w="2356"/>
      </w:tblGrid>
      <w:tr>
        <w:trPr/>
        <w:tc>
          <w:tcPr>
            <w:tcW w:w="18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Large accelerated filer ☐</w:t>
            </w:r>
          </w:p>
        </w:tc>
        <w:tc>
          <w:tcPr>
            <w:tcW w:w="109" w:type="dxa"/>
            <w:tcBorders/>
            <w:vAlign w:val="center"/>
          </w:tcPr>
          <w:p>
            <w:pPr>
              <w:pStyle w:val="TableContents"/>
              <w:bidi w:val="0"/>
              <w:spacing w:before="0" w:after="0"/>
              <w:ind w:left="0" w:right="0" w:hanging="0"/>
              <w:jc w:val="left"/>
              <w:rPr/>
            </w:pPr>
            <w:r>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Accelerated filer</w:t>
            </w:r>
            <w:r>
              <w:rPr>
                <w:rFonts w:ascii="Times New Roman;Times;serif" w:hAnsi="Times New Roman;Times;serif"/>
                <w:sz w:val="20"/>
              </w:rPr>
              <w:t> ⌧</w:t>
            </w:r>
          </w:p>
        </w:tc>
      </w:tr>
      <w:tr>
        <w:trPr/>
        <w:tc>
          <w:tcPr>
            <w:tcW w:w="18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356" w:type="dxa"/>
            <w:tcBorders/>
            <w:vAlign w:val="center"/>
          </w:tcPr>
          <w:p>
            <w:pPr>
              <w:pStyle w:val="TableContents"/>
              <w:bidi w:val="0"/>
              <w:spacing w:before="0" w:after="0"/>
              <w:ind w:left="0" w:right="0" w:hanging="0"/>
              <w:jc w:val="center"/>
              <w:rPr/>
            </w:pPr>
            <w:r>
              <w:rPr/>
              <w:t>​</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109" w:type="dxa"/>
            <w:tcBorders/>
            <w:vAlign w:val="center"/>
          </w:tcPr>
          <w:p>
            <w:pPr>
              <w:pStyle w:val="TableContents"/>
              <w:bidi w:val="0"/>
              <w:spacing w:before="0" w:after="0"/>
              <w:ind w:left="0" w:right="0" w:hanging="0"/>
              <w:jc w:val="left"/>
              <w:rPr/>
            </w:pPr>
            <w:r>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 </w:t>
            </w:r>
          </w:p>
        </w:tc>
      </w:tr>
      <w:tr>
        <w:trPr/>
        <w:tc>
          <w:tcPr>
            <w:tcW w:w="18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35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shd w:fill="FFFFFF" w:val="clear"/>
              </w:rPr>
              <w:t>☐</w:t>
            </w:r>
            <w:r>
              <w:rPr>
                <w:rFonts w:ascii="Times New Roman;Times;serif" w:hAnsi="Times New Roman;Times;serif"/>
                <w:sz w:val="20"/>
              </w:rPr>
              <w:t> </w:t>
            </w:r>
          </w:p>
          <w:p>
            <w:pPr>
              <w:pStyle w:val="TableContents"/>
              <w:bidi w:val="0"/>
              <w:spacing w:before="0" w:after="0"/>
              <w:ind w:left="0" w:right="0" w:hanging="0"/>
              <w:jc w:val="center"/>
              <w:rPr/>
            </w:pPr>
            <w:r>
              <w:rPr/>
              <w:t>​</w:t>
            </w:r>
          </w:p>
        </w:tc>
      </w:tr>
    </w:tbl>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shd w:fill="FFFFFF" w:val="clear"/>
        </w:rPr>
        <w:t>☐</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As of August 10, 2026, the registrant had outstanding 15,403,357 shares of its common stock ($.01 par value).</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 w:name="TOC"/>
      <w:bookmarkStart w:id="16" w:name="_e617994c_2387_4493_91b8_6cc2539ad2a9"/>
      <w:bookmarkEnd w:id="15"/>
      <w:bookmarkEnd w:id="16"/>
      <w:r>
        <w:rPr>
          <w:rFonts w:ascii="Times New Roman;Times;serif" w:hAnsi="Times New Roman;Times;serif"/>
          <w:b/>
          <w:sz w:val="20"/>
        </w:rPr>
        <w:t>ATN INTERNATIONAL,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Quarter Ended June 30, 2026</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38"/>
        <w:gridCol w:w="8877"/>
        <w:gridCol w:w="590"/>
      </w:tblGrid>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74650" cy="175260"/>
                      <wp:effectExtent l="0" t="0" r="0" b="0"/>
                      <wp:wrapNone/>
                      <wp:docPr id="1" name="Frame1"/>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615" w:type="dxa"/>
            <w:gridSpan w:val="2"/>
            <w:tcBorders/>
            <w:vAlign w:val="center"/>
          </w:tcPr>
          <w:p>
            <w:pPr>
              <w:pStyle w:val="TableContents"/>
              <w:pBdr/>
              <w:bidi w:val="0"/>
              <w:spacing w:before="0" w:after="0"/>
              <w:ind w:left="0" w:right="0" w:hanging="0"/>
              <w:jc w:val="left"/>
              <w:rPr/>
            </w:pPr>
            <w:hyperlink w:anchor="CautionaryStatementRegardingForwardLooki">
              <w:r>
                <w:rPr>
                  <w:rStyle w:val="InternetLink"/>
                  <w:rFonts w:ascii="Times New Roman;Times;serif" w:hAnsi="Times New Roman;Times;serif"/>
                  <w:b w:val="false"/>
                  <w:i w:val="false"/>
                  <w:caps w:val="false"/>
                  <w:smallCaps w:val="false"/>
                  <w:sz w:val="20"/>
                </w:rPr>
                <w:t>CAUTIONARY STATEMENT REGARDING FORWARD LOOKING STATEMENTS</w:t>
              </w:r>
            </w:hyperlink>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pPr>
            <w:r>
              <w:rPr/>
              <w:t>​</w:t>
            </w:r>
          </w:p>
        </w:tc>
      </w:tr>
      <w:tr>
        <w:trPr/>
        <w:tc>
          <w:tcPr>
            <w:tcW w:w="9615" w:type="dxa"/>
            <w:gridSpan w:val="2"/>
            <w:tcBorders/>
            <w:vAlign w:val="center"/>
          </w:tcPr>
          <w:p>
            <w:pPr>
              <w:pStyle w:val="TableContents"/>
              <w:pBdr/>
              <w:bidi w:val="0"/>
              <w:spacing w:before="0" w:after="0"/>
              <w:ind w:left="0" w:right="0" w:hanging="0"/>
              <w:jc w:val="left"/>
              <w:rPr/>
            </w:pPr>
            <w:hyperlink w:anchor="PARTIFINANCIALINFORMATION_127540">
              <w:r>
                <w:rPr>
                  <w:rStyle w:val="InternetLink"/>
                  <w:rFonts w:ascii="Times New Roman;Times;serif" w:hAnsi="Times New Roman;Times;serif"/>
                  <w:b w:val="false"/>
                  <w:i w:val="false"/>
                  <w:caps w:val="false"/>
                  <w:smallCaps w:val="false"/>
                  <w:sz w:val="20"/>
                </w:rPr>
                <w:t>PART I—FINANCIAL INFORMATION</w:t>
              </w:r>
            </w:hyperlink>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hyperlink w:anchor="Item1UnauditedCondensedConsolidatedFinan">
              <w:r>
                <w:rPr>
                  <w:rStyle w:val="InternetLink"/>
                  <w:rFonts w:ascii="Times New Roman;Times;serif" w:hAnsi="Times New Roman;Times;serif"/>
                  <w:b w:val="false"/>
                  <w:i w:val="false"/>
                  <w:caps w:val="false"/>
                  <w:smallCaps w:val="false"/>
                  <w:sz w:val="20"/>
                </w:rPr>
                <w:t>Item 1</w:t>
              </w:r>
            </w:hyperlink>
          </w:p>
        </w:tc>
        <w:tc>
          <w:tcPr>
            <w:tcW w:w="8877" w:type="dxa"/>
            <w:tcBorders/>
            <w:vAlign w:val="center"/>
          </w:tcPr>
          <w:p>
            <w:pPr>
              <w:pStyle w:val="TableContents"/>
              <w:bidi w:val="0"/>
              <w:spacing w:before="0" w:after="0"/>
              <w:ind w:left="0" w:right="0" w:hanging="0"/>
              <w:jc w:val="left"/>
              <w:rPr/>
            </w:pPr>
            <w:hyperlink w:anchor="Item1UnauditedCondensedConsolidatedFinan">
              <w:r>
                <w:rPr>
                  <w:rStyle w:val="InternetLink"/>
                  <w:rFonts w:ascii="Times New Roman;Times;serif" w:hAnsi="Times New Roman;Times;serif"/>
                  <w:b w:val="false"/>
                  <w:i w:val="false"/>
                  <w:caps w:val="false"/>
                  <w:smallCaps w:val="false"/>
                  <w:sz w:val="20"/>
                </w:rPr>
                <w:t>Unaudited Condensed Consolidated Financial Statements</w:t>
              </w:r>
            </w:hyperlink>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hyperlink w:anchor="CONDENSEDCONSOLIDATEDBALANCESHEETS_20945">
              <w:r>
                <w:rPr>
                  <w:rStyle w:val="InternetLink"/>
                  <w:rFonts w:ascii="Times New Roman;Times;serif" w:hAnsi="Times New Roman;Times;serif"/>
                  <w:b w:val="false"/>
                  <w:i w:val="false"/>
                  <w:caps w:val="false"/>
                  <w:smallCaps w:val="false"/>
                  <w:sz w:val="20"/>
                </w:rPr>
                <w:t>Condensed Consolidated Balance Sheets at June 30, 2026 and December 31, 2025</w:t>
              </w:r>
            </w:hyperlink>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 xml:space="preserve">Condensed Consolidated Statements of Operations for the Three and Six Months Ended June 30, 2026 and 2025 </w:t>
              </w:r>
            </w:hyperlink>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Income (Loss) for the Three and Six Months Ended June 30, 2026 and 2025</w:t>
              </w:r>
            </w:hyperlink>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hyperlink w:anchor="CONDENSEDCONSOLIDATEDSTATEMENTSOFEQUITY_">
              <w:r>
                <w:rPr>
                  <w:rStyle w:val="InternetLink"/>
                  <w:rFonts w:ascii="Times New Roman;Times;serif" w:hAnsi="Times New Roman;Times;serif"/>
                  <w:b w:val="false"/>
                  <w:i w:val="false"/>
                  <w:caps w:val="false"/>
                  <w:smallCaps w:val="false"/>
                  <w:sz w:val="20"/>
                </w:rPr>
                <w:t>Condensed Consolidated Statements of Equity for the Three and Six Months Ended June 30, 2026 and 2025</w:t>
              </w:r>
            </w:hyperlink>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w:t>
              </w:r>
            </w:hyperlink>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77"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42-75</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77"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hyperlink w:anchor="Item4CONTROLSANDPROCEDURES_280017">
              <w:r>
                <w:rPr>
                  <w:rStyle w:val="InternetLink"/>
                  <w:rFonts w:ascii="Times New Roman;Times;serif" w:hAnsi="Times New Roman;Times;serif"/>
                  <w:b w:val="false"/>
                  <w:i w:val="false"/>
                  <w:caps w:val="false"/>
                  <w:smallCaps w:val="false"/>
                  <w:sz w:val="20"/>
                </w:rPr>
                <w:t>Item 4</w:t>
              </w:r>
            </w:hyperlink>
          </w:p>
        </w:tc>
        <w:tc>
          <w:tcPr>
            <w:tcW w:w="8877" w:type="dxa"/>
            <w:tcBorders/>
            <w:vAlign w:val="center"/>
          </w:tcPr>
          <w:p>
            <w:pPr>
              <w:pStyle w:val="TableContents"/>
              <w:bidi w:val="0"/>
              <w:spacing w:before="0" w:after="0"/>
              <w:ind w:left="0" w:right="0" w:hanging="0"/>
              <w:jc w:val="left"/>
              <w:rPr/>
            </w:pPr>
            <w:hyperlink w:anchor="Item4CONTROLSANDPROCEDURES_280017">
              <w:r>
                <w:rPr>
                  <w:rStyle w:val="InternetLink"/>
                  <w:rFonts w:ascii="Times New Roman;Times;serif" w:hAnsi="Times New Roman;Times;serif"/>
                  <w:b w:val="false"/>
                  <w:i w:val="false"/>
                  <w:caps w:val="false"/>
                  <w:smallCaps w:val="false"/>
                  <w:sz w:val="20"/>
                </w:rPr>
                <w:t>Controls and Procedures</w:t>
              </w:r>
            </w:hyperlink>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pPr>
            <w:r>
              <w:rPr/>
              <w:t>​</w:t>
            </w:r>
          </w:p>
        </w:tc>
      </w:tr>
      <w:tr>
        <w:trPr/>
        <w:tc>
          <w:tcPr>
            <w:tcW w:w="9615" w:type="dxa"/>
            <w:gridSpan w:val="2"/>
            <w:tcBorders/>
            <w:vAlign w:val="center"/>
          </w:tcPr>
          <w:p>
            <w:pPr>
              <w:pStyle w:val="TableContents"/>
              <w:pBdr/>
              <w:bidi w:val="0"/>
              <w:spacing w:before="0" w:after="0"/>
              <w:ind w:left="0" w:right="0" w:hanging="0"/>
              <w:jc w:val="left"/>
              <w:rPr/>
            </w:pPr>
            <w:hyperlink w:anchor="PARTIIOTHERINFORMATION_512070">
              <w:r>
                <w:rPr>
                  <w:rStyle w:val="InternetLink"/>
                  <w:rFonts w:ascii="Times New Roman;Times;serif" w:hAnsi="Times New Roman;Times;serif"/>
                  <w:b w:val="false"/>
                  <w:i w:val="false"/>
                  <w:caps w:val="false"/>
                  <w:smallCaps w:val="false"/>
                  <w:sz w:val="20"/>
                </w:rPr>
                <w:t>PART II—OTHER INFORMATION</w:t>
              </w:r>
            </w:hyperlink>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hyperlink w:anchor="Item1LegalProceedings_236154">
              <w:r>
                <w:rPr>
                  <w:rStyle w:val="InternetLink"/>
                  <w:rFonts w:ascii="Times New Roman;Times;serif" w:hAnsi="Times New Roman;Times;serif"/>
                  <w:b w:val="false"/>
                  <w:i w:val="false"/>
                  <w:caps w:val="false"/>
                  <w:smallCaps w:val="false"/>
                  <w:sz w:val="20"/>
                </w:rPr>
                <w:t>Item 1</w:t>
              </w:r>
            </w:hyperlink>
          </w:p>
        </w:tc>
        <w:tc>
          <w:tcPr>
            <w:tcW w:w="8877" w:type="dxa"/>
            <w:tcBorders/>
            <w:vAlign w:val="center"/>
          </w:tcPr>
          <w:p>
            <w:pPr>
              <w:pStyle w:val="TableContents"/>
              <w:bidi w:val="0"/>
              <w:spacing w:before="0" w:after="0"/>
              <w:ind w:left="0" w:right="0" w:hanging="0"/>
              <w:jc w:val="left"/>
              <w:rPr/>
            </w:pPr>
            <w:hyperlink w:anchor="Item1LegalProceedings_236154">
              <w:r>
                <w:rPr>
                  <w:rStyle w:val="InternetLink"/>
                  <w:rFonts w:ascii="Times New Roman;Times;serif" w:hAnsi="Times New Roman;Times;serif"/>
                  <w:b w:val="false"/>
                  <w:i w:val="false"/>
                  <w:caps w:val="false"/>
                  <w:smallCaps w:val="false"/>
                  <w:sz w:val="20"/>
                </w:rPr>
                <w:t>Legal Proceedings</w:t>
              </w:r>
            </w:hyperlink>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hyperlink w:anchor="Item1ARiskFactors_889481">
              <w:r>
                <w:rPr>
                  <w:rStyle w:val="InternetLink"/>
                  <w:rFonts w:ascii="Times New Roman;Times;serif" w:hAnsi="Times New Roman;Times;serif"/>
                  <w:b w:val="false"/>
                  <w:i w:val="false"/>
                  <w:caps w:val="false"/>
                  <w:smallCaps w:val="false"/>
                  <w:sz w:val="20"/>
                </w:rPr>
                <w:t>Item 1A</w:t>
              </w:r>
            </w:hyperlink>
          </w:p>
        </w:tc>
        <w:tc>
          <w:tcPr>
            <w:tcW w:w="8877" w:type="dxa"/>
            <w:tcBorders/>
            <w:vAlign w:val="center"/>
          </w:tcPr>
          <w:p>
            <w:pPr>
              <w:pStyle w:val="TableContents"/>
              <w:bidi w:val="0"/>
              <w:spacing w:before="0" w:after="0"/>
              <w:ind w:left="0" w:right="0" w:hanging="0"/>
              <w:jc w:val="left"/>
              <w:rPr/>
            </w:pPr>
            <w:hyperlink w:anchor="Item1ARiskFactors_889481">
              <w:r>
                <w:rPr>
                  <w:rStyle w:val="InternetLink"/>
                  <w:rFonts w:ascii="Times New Roman;Times;serif" w:hAnsi="Times New Roman;Times;serif"/>
                  <w:b w:val="false"/>
                  <w:i w:val="false"/>
                  <w:caps w:val="false"/>
                  <w:smallCaps w:val="false"/>
                  <w:sz w:val="20"/>
                </w:rPr>
                <w:t>Risk Factors</w:t>
              </w:r>
            </w:hyperlink>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hyperlink w:anchor="Item2UnregisteredSalesEquity">
              <w:r>
                <w:rPr>
                  <w:rStyle w:val="InternetLink"/>
                  <w:rFonts w:ascii="Times New Roman;Times;serif" w:hAnsi="Times New Roman;Times;serif"/>
                  <w:b w:val="false"/>
                  <w:i w:val="false"/>
                  <w:caps w:val="false"/>
                  <w:smallCaps w:val="false"/>
                  <w:sz w:val="20"/>
                </w:rPr>
                <w:t>Item 2</w:t>
              </w:r>
            </w:hyperlink>
          </w:p>
        </w:tc>
        <w:tc>
          <w:tcPr>
            <w:tcW w:w="8877" w:type="dxa"/>
            <w:tcBorders/>
            <w:vAlign w:val="center"/>
          </w:tcPr>
          <w:p>
            <w:pPr>
              <w:pStyle w:val="TableContents"/>
              <w:bidi w:val="0"/>
              <w:spacing w:before="0" w:after="0"/>
              <w:ind w:left="0" w:right="0" w:hanging="0"/>
              <w:jc w:val="left"/>
              <w:rPr/>
            </w:pPr>
            <w:hyperlink w:anchor="Item2UnregisteredSalesEquity">
              <w:r>
                <w:rPr>
                  <w:rStyle w:val="InternetLink"/>
                  <w:rFonts w:ascii="Times New Roman;Times;serif" w:hAnsi="Times New Roman;Times;serif"/>
                  <w:b w:val="false"/>
                  <w:i w:val="false"/>
                  <w:caps w:val="false"/>
                  <w:smallCaps w:val="false"/>
                  <w:sz w:val="20"/>
                </w:rPr>
                <w:t xml:space="preserve">Unregistered Sales of Equity Securities and Use of Proceeds </w:t>
              </w:r>
            </w:hyperlink>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hyperlink w:anchor="Item5OtherInformation_382732">
              <w:r>
                <w:rPr>
                  <w:rStyle w:val="InternetLink"/>
                  <w:rFonts w:ascii="Times New Roman;Times;serif" w:hAnsi="Times New Roman;Times;serif"/>
                  <w:b w:val="false"/>
                  <w:i w:val="false"/>
                  <w:caps w:val="false"/>
                  <w:smallCaps w:val="false"/>
                  <w:sz w:val="20"/>
                </w:rPr>
                <w:t>Item 5</w:t>
              </w:r>
            </w:hyperlink>
          </w:p>
        </w:tc>
        <w:tc>
          <w:tcPr>
            <w:tcW w:w="8877" w:type="dxa"/>
            <w:tcBorders/>
            <w:vAlign w:val="center"/>
          </w:tcPr>
          <w:p>
            <w:pPr>
              <w:pStyle w:val="TableContents"/>
              <w:bidi w:val="0"/>
              <w:spacing w:before="0" w:after="0"/>
              <w:ind w:left="0" w:right="0" w:hanging="0"/>
              <w:jc w:val="left"/>
              <w:rPr/>
            </w:pPr>
            <w:hyperlink w:anchor="Item5OtherInformation_382732">
              <w:r>
                <w:rPr>
                  <w:rStyle w:val="InternetLink"/>
                  <w:rFonts w:ascii="Times New Roman;Times;serif" w:hAnsi="Times New Roman;Times;serif"/>
                  <w:b w:val="false"/>
                  <w:i w:val="false"/>
                  <w:caps w:val="false"/>
                  <w:smallCaps w:val="false"/>
                  <w:sz w:val="20"/>
                </w:rPr>
                <w:t>Other Information</w:t>
              </w:r>
            </w:hyperlink>
          </w:p>
        </w:tc>
        <w:tc>
          <w:tcPr>
            <w:tcW w:w="5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pPr>
            <w:r>
              <w:rPr/>
              <w:t>​</w:t>
            </w:r>
          </w:p>
        </w:tc>
      </w:tr>
      <w:tr>
        <w:trPr/>
        <w:tc>
          <w:tcPr>
            <w:tcW w:w="738" w:type="dxa"/>
            <w:tcBorders/>
            <w:vAlign w:val="center"/>
          </w:tcPr>
          <w:p>
            <w:pPr>
              <w:pStyle w:val="TableContents"/>
              <w:bidi w:val="0"/>
              <w:spacing w:before="0" w:after="0"/>
              <w:ind w:left="0" w:right="0" w:hanging="0"/>
              <w:jc w:val="left"/>
              <w:rPr/>
            </w:pPr>
            <w:hyperlink w:anchor="Item6Exhibits_449899">
              <w:r>
                <w:rPr>
                  <w:rStyle w:val="InternetLink"/>
                  <w:rFonts w:ascii="Times New Roman;Times;serif" w:hAnsi="Times New Roman;Times;serif"/>
                  <w:b w:val="false"/>
                  <w:i w:val="false"/>
                  <w:caps w:val="false"/>
                  <w:smallCaps w:val="false"/>
                  <w:sz w:val="20"/>
                </w:rPr>
                <w:t>Item 6</w:t>
              </w:r>
            </w:hyperlink>
          </w:p>
        </w:tc>
        <w:tc>
          <w:tcPr>
            <w:tcW w:w="8877" w:type="dxa"/>
            <w:tcBorders/>
            <w:vAlign w:val="center"/>
          </w:tcPr>
          <w:p>
            <w:pPr>
              <w:pStyle w:val="TableContents"/>
              <w:bidi w:val="0"/>
              <w:spacing w:before="0" w:after="0"/>
              <w:ind w:left="0" w:right="0" w:hanging="0"/>
              <w:jc w:val="left"/>
              <w:rPr/>
            </w:pPr>
            <w:hyperlink w:anchor="Item6Exhibits_449899">
              <w:r>
                <w:rPr>
                  <w:rStyle w:val="InternetLink"/>
                  <w:rFonts w:ascii="Times New Roman;Times;serif" w:hAnsi="Times New Roman;Times;serif"/>
                  <w:b w:val="false"/>
                  <w:i w:val="false"/>
                  <w:caps w:val="false"/>
                  <w:smallCaps w:val="false"/>
                  <w:sz w:val="20"/>
                </w:rPr>
                <w:t>Exhibits</w:t>
              </w:r>
            </w:hyperlink>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9615" w:type="dxa"/>
            <w:gridSpan w:val="2"/>
            <w:tcBorders/>
            <w:vAlign w:val="center"/>
          </w:tcPr>
          <w:p>
            <w:pPr>
              <w:pStyle w:val="TableContents"/>
              <w:pBdr/>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pPr>
            <w:r>
              <w:rPr/>
              <w:t>​</w:t>
            </w:r>
          </w:p>
        </w:tc>
      </w:tr>
      <w:tr>
        <w:trPr/>
        <w:tc>
          <w:tcPr>
            <w:tcW w:w="9615" w:type="dxa"/>
            <w:gridSpan w:val="2"/>
            <w:tcBorders/>
            <w:vAlign w:val="center"/>
          </w:tcPr>
          <w:p>
            <w:pPr>
              <w:pStyle w:val="TableContents"/>
              <w:pBdr/>
              <w:bidi w:val="0"/>
              <w:spacing w:before="0" w:after="0"/>
              <w:ind w:left="0" w:right="0" w:hanging="0"/>
              <w:jc w:val="left"/>
              <w:rPr/>
            </w:pPr>
            <w:hyperlink w:anchor="SIGNATURES_327934">
              <w:r>
                <w:rPr>
                  <w:rStyle w:val="InternetLink"/>
                  <w:rFonts w:ascii="Times New Roman;Times;serif" w:hAnsi="Times New Roman;Times;serif"/>
                  <w:b w:val="false"/>
                  <w:i w:val="false"/>
                  <w:caps w:val="false"/>
                  <w:smallCaps w:val="false"/>
                  <w:sz w:val="20"/>
                </w:rPr>
                <w:t>SIGNATURES</w:t>
              </w:r>
            </w:hyperlink>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738" w:type="dxa"/>
            <w:tcBorders/>
            <w:vAlign w:val="center"/>
          </w:tcPr>
          <w:p>
            <w:pPr>
              <w:pStyle w:val="TableContents"/>
              <w:bidi w:val="0"/>
              <w:spacing w:before="0" w:after="0"/>
              <w:ind w:left="0" w:right="0" w:hanging="0"/>
              <w:jc w:val="left"/>
              <w:rPr/>
            </w:pPr>
            <w:r>
              <w:rPr/>
              <w:t>​</w:t>
            </w:r>
          </w:p>
        </w:tc>
        <w:tc>
          <w:tcPr>
            <w:tcW w:w="8877"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right"/>
              <w:rPr/>
            </w:pPr>
            <w:r>
              <w:rPr/>
              <w:t>​</w:t>
            </w:r>
          </w:p>
        </w:tc>
      </w:tr>
      <w:tr>
        <w:trPr/>
        <w:tc>
          <w:tcPr>
            <w:tcW w:w="9615"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CERTIFICATIONS</w:t>
            </w:r>
          </w:p>
        </w:tc>
        <w:tc>
          <w:tcPr>
            <w:tcW w:w="590"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7" w:name="CautionaryStatementRegardingForwardLooki"/>
      <w:bookmarkStart w:id="18" w:name="_ef00b783_9f09_4be9_a404_480182bde4f0"/>
      <w:bookmarkEnd w:id="17"/>
      <w:bookmarkEnd w:id="18"/>
      <w:r>
        <w:rPr>
          <w:rFonts w:ascii="Times New Roman;Times;serif" w:hAnsi="Times New Roman;Times;serif"/>
          <w:b/>
          <w:sz w:val="20"/>
        </w:rPr>
        <w:t>Cautionary Statement Regarding Forward-Looking Statements</w:t>
      </w:r>
    </w:p>
    <w:p>
      <w:pPr>
        <w:pStyle w:val="TextBody"/>
        <w:bidi w:val="0"/>
        <w:spacing w:before="100" w:after="100"/>
        <w:ind w:left="0" w:right="0" w:firstLine="72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This Quarterly Report on Form 10-Q (or the “Report”) contains forward-looking statements relating to, among other matters, the Company’s future financial performance, business goals and objectives, and results of operations, and management’s plans, expectations and strategy for the future. These forward-looking statements are based on estimates, projections, beliefs, and assumptions and are not guarantees of future events or results. Actual future events and results could differ materially from the events and results indicated in these statements as a result of many factors, including, among others: (1) the general performance of our operations, including operating margins, revenues, capital expenditures, the impact of cost savings initiatives and the retention of and future growth of our subscriber base; (2) our ability to satisfy outstanding conditions to complete subsequent closings with respect to our Tower Portfolio Transaction (as defined below); (3) the timing, manner and extent to which proceeds from the Tower Portfolio Transaction are deployed may be affected by future market conditions, potential changes in tax laws and the Company’s ability to develop corporate investment and strategic opportunities; (4) our reliance on a limited number of key suppliers and vendors for timely supply of equipment and services relating to our network infrastructure; (5) our ability to satisfy the needs and demands of our major carrier customers; (6) our ability to realize expansion plans for our fiber markets; (7) the adequacy and expansion capabilities of our network capacity and customer service system to support our customer growth; (8) our ability to efficiently and cost-effectively upgrade our networks and information technology platforms to address rapid and significant technological changes in the telecommunications industry; (9) continued access to capital and credit markets on terms we deem favorable; (10) government subsidy program availability and regulation of the our businesses, which may impact the our telecommunications licenses, our revenues and operating costs; (11); the impact (if any) of geopolitical instability and US military presence in the Caribbean; (12) ongoing risk of an economic downturn, political, geopolitical and other risks and opportunities impacting our operations, including those resulting from changes and uncertainties related to trade policies or tariff regulations, financial market volatility and disruption, uncertain economic conditions in the US and abroad, inflationary concerns, and other macroeconomic headwinds including increased costs and supply chain disruptions; (13) management transitions, and the loss of, or an inability to recruit skilled personnel in our various jurisdictions, including key members of management; (14) our ability to find investment or acquisition or disposition opportunities that fit our strategic goals; (15) the occurrence of weather events and natural catastrophes and our ability to secure the appropriate level of insurance coverage and the impact of such events on the timing of project implementation and corresponding revenue; and (16) increased competition. These and other additional factors that may cause actual future events and results to differ materially from the events and results indicated in the forward-looking statements above are set forth more fully under Item 1A “Risk Factors” of the Company’s Annual Report on Form 10-K for the year ended December 31, 2025, filed with the Securities and Exchange Commission (“SEC”) on March 16, 2026, and the other reports the Company files from time to time with the SEC. The Company undertakes no obligation and has no intention to update these forward-looking statements to reflect actual results, changes in assumptions, or changes in other factors that may affect such forward-looking statements, except as required by law.</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this Report, the words “the Company,” “we,” “our,” “ours,” “us” and “ATN” refer to ATN International, Inc. and its subsidiaries. This Report contains trademarks, service marks and trade names that are the property of, or licensed by, ATN and its subsidiaries.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References to dollars ($) refer to US dollars unless otherwise specifically indicated.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9" w:name="PARTIFINANCIALINFORMATION_127540"/>
      <w:bookmarkStart w:id="20" w:name="_e7779556_06cf_4672_949a_6f13e283b05b"/>
      <w:bookmarkEnd w:id="19"/>
      <w:bookmarkEnd w:id="20"/>
      <w:r>
        <w:rPr>
          <w:rFonts w:ascii="Times New Roman;Times;serif" w:hAnsi="Times New Roman;Times;serif"/>
          <w:b/>
          <w:sz w:val="20"/>
        </w:rPr>
        <w:t>PART I—FINANCIAL INFORMATION</w:t>
      </w:r>
    </w:p>
    <w:p>
      <w:pPr>
        <w:pStyle w:val="TextBody"/>
        <w:bidi w:val="0"/>
        <w:spacing w:before="0" w:after="0"/>
        <w:ind w:left="0" w:right="0" w:hanging="0"/>
        <w:jc w:val="center"/>
        <w:rPr>
          <w:rFonts w:ascii="Times New Roman;Times;serif" w:hAnsi="Times New Roman;Times;serif"/>
          <w:b/>
          <w:sz w:val="20"/>
        </w:rPr>
      </w:pPr>
      <w:bookmarkStart w:id="21" w:name="Item1UnauditedCondensedConsolidatedFinan"/>
      <w:bookmarkEnd w:id="21"/>
      <w:r>
        <w:rPr>
          <w:rFonts w:ascii="Times New Roman;Times;serif" w:hAnsi="Times New Roman;Times;serif"/>
          <w:b/>
          <w:sz w:val="20"/>
        </w:rPr>
        <w:t>Item 1. Unaudited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ATN INTERNATIONAL, INC. AND SUBSIDIARIES</w:t>
      </w:r>
    </w:p>
    <w:p>
      <w:pPr>
        <w:pStyle w:val="TextBody"/>
        <w:bidi w:val="0"/>
        <w:spacing w:before="0" w:after="0"/>
        <w:ind w:left="0" w:right="0" w:hanging="0"/>
        <w:jc w:val="center"/>
        <w:rPr>
          <w:rFonts w:ascii="Times New Roman;Times;serif" w:hAnsi="Times New Roman;Times;serif"/>
          <w:b/>
          <w:sz w:val="20"/>
        </w:rPr>
      </w:pPr>
      <w:bookmarkStart w:id="22" w:name="CONDENSEDCONSOLIDATEDBALANCESHEETS_20945"/>
      <w:bookmarkEnd w:id="22"/>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 w:name="Tc_P2fSnT9SgUGaduPzipHl1w_58_5"/>
      <w:bookmarkStart w:id="24" w:name="Tc_owXitZLp8UiYuVXsRNt_3w_58_2"/>
      <w:bookmarkStart w:id="25" w:name="Tc_Egacdq6q9UCxm3yup4bpvQ_58_0"/>
      <w:bookmarkStart w:id="26" w:name="Tc_IBtkr0mFYUWdF0bYpDT_dQ_57_0"/>
      <w:bookmarkStart w:id="27" w:name="Tc_sYrbytrNVUyiI-L4czDbSA_56_0"/>
      <w:bookmarkStart w:id="28" w:name="Tc_XHlfKNXzjkWn3aMPSZQY6Q_55_0"/>
      <w:bookmarkStart w:id="29" w:name="Tc_kAEC8SmWSEyikLTkj5WoQQ_54_0"/>
      <w:bookmarkStart w:id="30" w:name="Tc_tNwAiL-9c0Ga-kcSKdZV_w_53_0"/>
      <w:bookmarkStart w:id="31" w:name="Tc_uXVM5OyFa0-vhTdEfiVSmg_52_0"/>
      <w:bookmarkStart w:id="32" w:name="Tc_CZEjHOYyCkit9iq4yvthpg_51_0"/>
      <w:bookmarkStart w:id="33" w:name="Tc_rbul65l1cUS5zoxm1T2l6w_50_0"/>
      <w:bookmarkStart w:id="34" w:name="Tc_xRLypXZDokmjbpoHHlGhGw_49_0"/>
      <w:bookmarkStart w:id="35" w:name="Tc_Aru4A1w4C0S9h8C26aXWtQ_48_0"/>
      <w:bookmarkStart w:id="36" w:name="Tc_xjFicl83bEuXZDIZftFNtw_47_0"/>
      <w:bookmarkStart w:id="37" w:name="Tc_wtxiwRsMMkWfHY_GhFKGqw_46_0"/>
      <w:bookmarkStart w:id="38" w:name="Tc_nW25KBwSXUO61pcqdhtq3Q_45_0"/>
      <w:bookmarkStart w:id="39" w:name="Tc_wmNfa00pdUaAhRTDTpw89Q_44_0"/>
      <w:bookmarkStart w:id="40" w:name="Tc_407oH4AT6EOeK5S0pEvomw_43_0"/>
      <w:bookmarkStart w:id="41" w:name="Tc_HkJDyD5r7Eixyv9-uXQO9w_42_0"/>
      <w:bookmarkStart w:id="42" w:name="Tc_q6rT_8pIt0u9w2eoDi550g_41_0"/>
      <w:bookmarkStart w:id="43" w:name="Tc_QP9NY0mSxkCXQ4sX5B1Lxw_40_0"/>
      <w:bookmarkStart w:id="44" w:name="Tc_84h5I3csj0SuvW58sifTuQ_39_6"/>
      <w:bookmarkStart w:id="45" w:name="Tc_KC3_8M-MdUuy9PAW8RvYHw_39_0"/>
      <w:bookmarkStart w:id="46" w:name="Tc_H7qqUUiHd0KLRC8XZCOUEw_38_0"/>
      <w:bookmarkStart w:id="47" w:name="Tc__V0HDEuO406dVLESBcMU0A_37_0"/>
      <w:bookmarkStart w:id="48" w:name="Tc_pty6Bn3nS0mKIl8AsPQRMg_36_0"/>
      <w:bookmarkStart w:id="49" w:name="Tc_NAoqExOe6kuaGaCPAyvpPQ_35_0"/>
      <w:bookmarkStart w:id="50" w:name="Tc_QejnhfhX_02fzUdxcQm7DA_34_6"/>
      <w:bookmarkStart w:id="51" w:name="Tc_Y90N4Ut010Oarvwsf0LjFw_34_0"/>
      <w:bookmarkStart w:id="52" w:name="Tc_SmMErNu4MkqYSlV2bGpc0w_33_0"/>
      <w:bookmarkStart w:id="53" w:name="Tc_I-uz2LjxL0-U-6lRnp5Q7w_32_0"/>
      <w:bookmarkStart w:id="54" w:name="Tc_6HZzm33sqU2N0UXxopLdXQ_31_0"/>
      <w:bookmarkStart w:id="55" w:name="Tc_E4c7wjfwekSyEG54To9RIQ_30_0"/>
      <w:bookmarkStart w:id="56" w:name="Tc_XhTVl2UaQU23bL3hFAAuzw_29_0"/>
      <w:bookmarkStart w:id="57" w:name="Tc_vJEvApxmyUyzAwvo7cNnSA_28_0"/>
      <w:bookmarkStart w:id="58" w:name="Tc_h-pKiZLnfka0uIzxxUj6Rw_27_5"/>
      <w:bookmarkStart w:id="59" w:name="Tc__WA74GFJLkiO9DiUpyBAeQ_27_2"/>
      <w:bookmarkStart w:id="60" w:name="Tc__Q4pmyqBAUyKojWrQhXnqA_27_0"/>
      <w:bookmarkStart w:id="61" w:name="Tc_QDA7JJ7Ih0WAPruFRnpkpw_26_0"/>
      <w:bookmarkStart w:id="62" w:name="Tc_YVypozZf7E676Ho-eAPuVQ_25_0"/>
      <w:bookmarkStart w:id="63" w:name="Tc_XUn5wVau2kaYuJ378hkgSQ_24_5"/>
      <w:bookmarkStart w:id="64" w:name="Tc_DG4wK2bJv0-6xQJN15b2vA_24_2"/>
      <w:bookmarkStart w:id="65" w:name="Tc_fk6BtP5TnE208ciWBcimqw_24_0"/>
      <w:bookmarkStart w:id="66" w:name="Tc_5q94rNi8rEuGQAcase4TJg_23_0"/>
      <w:bookmarkStart w:id="67" w:name="Tc_7PefzCXXTUm1cZQam6cTBg_22_6"/>
      <w:bookmarkStart w:id="68" w:name="Tc_u1tVazv4p0eUsPTdEsWWgA_22_0"/>
      <w:bookmarkStart w:id="69" w:name="Tc_WsLGNdZlX06hzbML8BtzKw_21_0"/>
      <w:bookmarkStart w:id="70" w:name="Tc_9OFd1OSoKUS96ZFgLBAw9A_20_0"/>
      <w:bookmarkStart w:id="71" w:name="Tc_AFmQo1Md0UeMbHDujQ7QMw_19_0"/>
      <w:bookmarkStart w:id="72" w:name="Tc_23ipQYh4qE22H448U5oV2A_18_0"/>
      <w:bookmarkStart w:id="73" w:name="Tc_dQfoaLF_8Ei0K8E7CsxFSw_17_0"/>
      <w:bookmarkStart w:id="74" w:name="Tc_qJ0Dg9E7yUq1FhPNeSpydg_16_0"/>
      <w:bookmarkStart w:id="75" w:name="Tc_pDWa5xJyaUuo-iLieuhEaQ_14_0"/>
      <w:bookmarkStart w:id="76" w:name="Tc_1q-7niqYv0uklFbfR8ylQQ_13_0"/>
      <w:bookmarkStart w:id="77" w:name="Tc_f35K81fB1ECWNuUiHzbckg_12_0"/>
      <w:bookmarkStart w:id="78" w:name="Tc_GjCzcHo7uUG_6SyFHgiv5g_11_0"/>
      <w:bookmarkStart w:id="79" w:name="Tc_sF2Dci6oBUqRLV1-eC1f3Q_10_0"/>
      <w:bookmarkStart w:id="80" w:name="Tc_XOJr3VaydUGrDuX_BRJHXQ_9_0"/>
      <w:bookmarkStart w:id="81" w:name="Tc_MCRBNjK1wEyt6eL6ETbTVw_8_0"/>
      <w:bookmarkStart w:id="82" w:name="Tc_adA7KaZ9AEWytCtK_oHyog_7_0"/>
      <w:bookmarkStart w:id="83" w:name="Tc_sQybsDwNmUqoltGoAlH1Qg_6_0"/>
      <w:bookmarkStart w:id="84" w:name="Tc_3QwlESBxsUa1W7Qwy0-enw_5_5"/>
      <w:bookmarkStart w:id="85" w:name="Tc_lcD-BIbvXU2pRtCSkL6vhw_5_2"/>
      <w:bookmarkStart w:id="86" w:name="Tc_cT2tKYCGMk-332-YOclh9g_5_0"/>
      <w:bookmarkStart w:id="87" w:name="Tc_DwpTQpmBdkOwpaMzvkAWVA_4_0"/>
      <w:bookmarkStart w:id="88" w:name="Tc_TmzPFgrR6kqoh-r46ycH6Q_3_0"/>
      <w:bookmarkStart w:id="89" w:name="Tc__lk88gPjD0uVIzvuWOQ3lg_2_5"/>
      <w:bookmarkStart w:id="90" w:name="Tc_PWIj4OsspUe4brhwiSgUTA_2_2"/>
      <w:bookmarkStart w:id="91" w:name="Tc_7QlbQZJiIkqSuCNbosnV2A_1_5"/>
      <w:bookmarkStart w:id="92" w:name="Tc_5chq5MzG9k6i_BexvM2ztw_1_2"/>
      <w:bookmarkStart w:id="93" w:name="_48fafe46_b5c9_4ab6_979a_c9c80bb6fc7c"/>
      <w:bookmarkStart w:id="94" w:name="Tc_P2fSnT9SgUGaduPzipHl1w_58_5"/>
      <w:bookmarkStart w:id="95" w:name="Tc_owXitZLp8UiYuVXsRNt_3w_58_2"/>
      <w:bookmarkStart w:id="96" w:name="Tc_Egacdq6q9UCxm3yup4bpvQ_58_0"/>
      <w:bookmarkStart w:id="97" w:name="Tc_IBtkr0mFYUWdF0bYpDT_dQ_57_0"/>
      <w:bookmarkStart w:id="98" w:name="Tc_sYrbytrNVUyiI-L4czDbSA_56_0"/>
      <w:bookmarkStart w:id="99" w:name="Tc_XHlfKNXzjkWn3aMPSZQY6Q_55_0"/>
      <w:bookmarkStart w:id="100" w:name="Tc_kAEC8SmWSEyikLTkj5WoQQ_54_0"/>
      <w:bookmarkStart w:id="101" w:name="Tc_tNwAiL-9c0Ga-kcSKdZV_w_53_0"/>
      <w:bookmarkStart w:id="102" w:name="Tc_uXVM5OyFa0-vhTdEfiVSmg_52_0"/>
      <w:bookmarkStart w:id="103" w:name="Tc_CZEjHOYyCkit9iq4yvthpg_51_0"/>
      <w:bookmarkStart w:id="104" w:name="Tc_rbul65l1cUS5zoxm1T2l6w_50_0"/>
      <w:bookmarkStart w:id="105" w:name="Tc_xRLypXZDokmjbpoHHlGhGw_49_0"/>
      <w:bookmarkStart w:id="106" w:name="Tc_Aru4A1w4C0S9h8C26aXWtQ_48_0"/>
      <w:bookmarkStart w:id="107" w:name="Tc_xjFicl83bEuXZDIZftFNtw_47_0"/>
      <w:bookmarkStart w:id="108" w:name="Tc_wtxiwRsMMkWfHY_GhFKGqw_46_0"/>
      <w:bookmarkStart w:id="109" w:name="Tc_nW25KBwSXUO61pcqdhtq3Q_45_0"/>
      <w:bookmarkStart w:id="110" w:name="Tc_wmNfa00pdUaAhRTDTpw89Q_44_0"/>
      <w:bookmarkStart w:id="111" w:name="Tc_407oH4AT6EOeK5S0pEvomw_43_0"/>
      <w:bookmarkStart w:id="112" w:name="Tc_HkJDyD5r7Eixyv9-uXQO9w_42_0"/>
      <w:bookmarkStart w:id="113" w:name="Tc_q6rT_8pIt0u9w2eoDi550g_41_0"/>
      <w:bookmarkStart w:id="114" w:name="Tc_QP9NY0mSxkCXQ4sX5B1Lxw_40_0"/>
      <w:bookmarkStart w:id="115" w:name="Tc_84h5I3csj0SuvW58sifTuQ_39_6"/>
      <w:bookmarkStart w:id="116" w:name="Tc_KC3_8M-MdUuy9PAW8RvYHw_39_0"/>
      <w:bookmarkStart w:id="117" w:name="Tc_H7qqUUiHd0KLRC8XZCOUEw_38_0"/>
      <w:bookmarkStart w:id="118" w:name="Tc__V0HDEuO406dVLESBcMU0A_37_0"/>
      <w:bookmarkStart w:id="119" w:name="Tc_pty6Bn3nS0mKIl8AsPQRMg_36_0"/>
      <w:bookmarkStart w:id="120" w:name="Tc_NAoqExOe6kuaGaCPAyvpPQ_35_0"/>
      <w:bookmarkStart w:id="121" w:name="Tc_QejnhfhX_02fzUdxcQm7DA_34_6"/>
      <w:bookmarkStart w:id="122" w:name="Tc_Y90N4Ut010Oarvwsf0LjFw_34_0"/>
      <w:bookmarkStart w:id="123" w:name="Tc_SmMErNu4MkqYSlV2bGpc0w_33_0"/>
      <w:bookmarkStart w:id="124" w:name="Tc_I-uz2LjxL0-U-6lRnp5Q7w_32_0"/>
      <w:bookmarkStart w:id="125" w:name="Tc_6HZzm33sqU2N0UXxopLdXQ_31_0"/>
      <w:bookmarkStart w:id="126" w:name="Tc_E4c7wjfwekSyEG54To9RIQ_30_0"/>
      <w:bookmarkStart w:id="127" w:name="Tc_XhTVl2UaQU23bL3hFAAuzw_29_0"/>
      <w:bookmarkStart w:id="128" w:name="Tc_vJEvApxmyUyzAwvo7cNnSA_28_0"/>
      <w:bookmarkStart w:id="129" w:name="Tc_h-pKiZLnfka0uIzxxUj6Rw_27_5"/>
      <w:bookmarkStart w:id="130" w:name="Tc__WA74GFJLkiO9DiUpyBAeQ_27_2"/>
      <w:bookmarkStart w:id="131" w:name="Tc__Q4pmyqBAUyKojWrQhXnqA_27_0"/>
      <w:bookmarkStart w:id="132" w:name="Tc_QDA7JJ7Ih0WAPruFRnpkpw_26_0"/>
      <w:bookmarkStart w:id="133" w:name="Tc_YVypozZf7E676Ho-eAPuVQ_25_0"/>
      <w:bookmarkStart w:id="134" w:name="Tc_XUn5wVau2kaYuJ378hkgSQ_24_5"/>
      <w:bookmarkStart w:id="135" w:name="Tc_DG4wK2bJv0-6xQJN15b2vA_24_2"/>
      <w:bookmarkStart w:id="136" w:name="Tc_fk6BtP5TnE208ciWBcimqw_24_0"/>
      <w:bookmarkStart w:id="137" w:name="Tc_5q94rNi8rEuGQAcase4TJg_23_0"/>
      <w:bookmarkStart w:id="138" w:name="Tc_7PefzCXXTUm1cZQam6cTBg_22_6"/>
      <w:bookmarkStart w:id="139" w:name="Tc_u1tVazv4p0eUsPTdEsWWgA_22_0"/>
      <w:bookmarkStart w:id="140" w:name="Tc_WsLGNdZlX06hzbML8BtzKw_21_0"/>
      <w:bookmarkStart w:id="141" w:name="Tc_9OFd1OSoKUS96ZFgLBAw9A_20_0"/>
      <w:bookmarkStart w:id="142" w:name="Tc_AFmQo1Md0UeMbHDujQ7QMw_19_0"/>
      <w:bookmarkStart w:id="143" w:name="Tc_23ipQYh4qE22H448U5oV2A_18_0"/>
      <w:bookmarkStart w:id="144" w:name="Tc_dQfoaLF_8Ei0K8E7CsxFSw_17_0"/>
      <w:bookmarkStart w:id="145" w:name="Tc_qJ0Dg9E7yUq1FhPNeSpydg_16_0"/>
      <w:bookmarkStart w:id="146" w:name="Tc_pDWa5xJyaUuo-iLieuhEaQ_14_0"/>
      <w:bookmarkStart w:id="147" w:name="Tc_1q-7niqYv0uklFbfR8ylQQ_13_0"/>
      <w:bookmarkStart w:id="148" w:name="Tc_f35K81fB1ECWNuUiHzbckg_12_0"/>
      <w:bookmarkStart w:id="149" w:name="Tc_GjCzcHo7uUG_6SyFHgiv5g_11_0"/>
      <w:bookmarkStart w:id="150" w:name="Tc_sF2Dci6oBUqRLV1-eC1f3Q_10_0"/>
      <w:bookmarkStart w:id="151" w:name="Tc_XOJr3VaydUGrDuX_BRJHXQ_9_0"/>
      <w:bookmarkStart w:id="152" w:name="Tc_MCRBNjK1wEyt6eL6ETbTVw_8_0"/>
      <w:bookmarkStart w:id="153" w:name="Tc_adA7KaZ9AEWytCtK_oHyog_7_0"/>
      <w:bookmarkStart w:id="154" w:name="Tc_sQybsDwNmUqoltGoAlH1Qg_6_0"/>
      <w:bookmarkStart w:id="155" w:name="Tc_3QwlESBxsUa1W7Qwy0-enw_5_5"/>
      <w:bookmarkStart w:id="156" w:name="Tc_lcD-BIbvXU2pRtCSkL6vhw_5_2"/>
      <w:bookmarkStart w:id="157" w:name="Tc_cT2tKYCGMk-332-YOclh9g_5_0"/>
      <w:bookmarkStart w:id="158" w:name="Tc_DwpTQpmBdkOwpaMzvkAWVA_4_0"/>
      <w:bookmarkStart w:id="159" w:name="Tc_TmzPFgrR6kqoh-r46ycH6Q_3_0"/>
      <w:bookmarkStart w:id="160" w:name="Tc__lk88gPjD0uVIzvuWOQ3lg_2_5"/>
      <w:bookmarkStart w:id="161" w:name="Tc_PWIj4OsspUe4brhwiSgUTA_2_2"/>
      <w:bookmarkStart w:id="162" w:name="Tc_7QlbQZJiIkqSuCNbosnV2A_1_5"/>
      <w:bookmarkStart w:id="163" w:name="Tc_5chq5MzG9k6i_BexvM2ztw_1_2"/>
      <w:bookmarkStart w:id="164" w:name="_48fafe46_b5c9_4ab6_979a_c9c80bb6fc7c"/>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tbl>
      <w:tblPr>
        <w:tblW w:w="10205" w:type="dxa"/>
        <w:jc w:val="left"/>
        <w:tblInd w:w="0" w:type="dxa"/>
        <w:tblLayout w:type="fixed"/>
        <w:tblCellMar>
          <w:top w:w="0" w:type="dxa"/>
          <w:left w:w="0" w:type="dxa"/>
          <w:bottom w:w="0" w:type="dxa"/>
          <w:right w:w="0" w:type="dxa"/>
        </w:tblCellMar>
      </w:tblPr>
      <w:tblGrid>
        <w:gridCol w:w="7364"/>
        <w:gridCol w:w="346"/>
        <w:gridCol w:w="196"/>
        <w:gridCol w:w="826"/>
        <w:gridCol w:w="346"/>
        <w:gridCol w:w="196"/>
        <w:gridCol w:w="931"/>
      </w:tblGrid>
      <w:tr>
        <w:trPr/>
        <w:tc>
          <w:tcPr>
            <w:tcW w:w="73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24510" cy="175260"/>
                      <wp:effectExtent l="0" t="0" r="0" b="0"/>
                      <wp:wrapNone/>
                      <wp:docPr id="4" name="Frame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91185" cy="175260"/>
                      <wp:effectExtent l="0" t="0" r="0" b="0"/>
                      <wp:wrapNone/>
                      <wp:docPr id="7" name="Frame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w:t>
            </w:r>
          </w:p>
        </w:tc>
        <w:tc>
          <w:tcPr>
            <w:tcW w:w="34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w:t>
            </w:r>
          </w:p>
        </w:tc>
      </w:tr>
      <w:tr>
        <w:trPr/>
        <w:tc>
          <w:tcPr>
            <w:tcW w:w="73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r>
      <w:tr>
        <w:trPr/>
        <w:tc>
          <w:tcPr>
            <w:tcW w:w="7364"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317,580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102,491</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14,663</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395</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 of allowances for credit losses of $17.0 million and $15.5 million,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82,895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80,666</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 grant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45,144</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Customer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9,094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8,783</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 materials and supplies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14,332</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Prepayments and other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58,810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50,202</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Assets held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11,200</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542,287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327,876</w:t>
            </w:r>
          </w:p>
        </w:tc>
      </w:tr>
      <w:tr>
        <w:trPr/>
        <w:tc>
          <w:tcPr>
            <w:tcW w:w="736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assets,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947,213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991,767</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Telecommunication licenses,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105,486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105,486</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4,835</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6,627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7,449</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right-of-use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132,379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98,158</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Customer receivable - long term</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35,128</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Assets held for sale, net of current portion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103,936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102,555</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1,880,018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1,673,254</w:t>
            </w:r>
          </w:p>
        </w:tc>
      </w:tr>
      <w:tr>
        <w:trPr/>
        <w:tc>
          <w:tcPr>
            <w:tcW w:w="7364"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 REDEEMABLE NONCONTROLLING INTERESTS AND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15,846</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Current portion of customer receivable credit facility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8,784</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 and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168,041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173,301</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4,467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4,196</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52,960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7,596</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lease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13,891</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Advance payments and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55,496</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39,485</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Liabilities held for sale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332,822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263,099</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1,950</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liabilities, excluding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106,530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75,277</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 long-term</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46,888</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Liabilities held for sale, net of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61,786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65,085</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Customer receivable credit facility, net of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30,834</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 excluding current portion</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489,592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549,321</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1,063,325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1,032,454</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Redeemable noncontrolling interests: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redeemable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75,062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71,820</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redeemable noncontrolling interests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22,331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15,001</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redeemable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97,393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86,821</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ATN International, Inc.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$0.01 par value per share; 10,000,000 shares authorized, none issued and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$0.01 par value per share; 50,000,000 shares authorized; 18,283,643 and 18,061,239 shares issued, respectively, 15,403,357 and 15,257,391 shares outstanding,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Treasury stock, at cost; 2,880,286 and 2,803,848 shares,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(105,086)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(103,183)</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223,208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220,156</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463,935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312,407</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income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16,536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14,731</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ATN International, Inc.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598,776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444,292</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120,524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109,687</w:t>
            </w:r>
          </w:p>
        </w:tc>
      </w:tr>
      <w:tr>
        <w:trPr/>
        <w:tc>
          <w:tcPr>
            <w:tcW w:w="736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719,300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553,979</w:t>
            </w:r>
          </w:p>
        </w:tc>
      </w:tr>
      <w:tr>
        <w:trPr/>
        <w:tc>
          <w:tcPr>
            <w:tcW w:w="736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redeemable noncontrolling interests and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1,880,018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1,673,254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20"/>
        </w:rPr>
        <w:t>The accompanying condensed notes are an integral part of these condensed consolidated financial statements</w:t>
      </w:r>
      <w:r>
        <w:rPr>
          <w:rFonts w:ascii="Times New Roman;Times;serif" w:hAnsi="Times New Roman;Times;serif"/>
          <w:sz w:val="16"/>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65" w:name="_0ab58698_586f_47e9_9930_dadef4dd5628"/>
      <w:bookmarkEnd w:id="165"/>
      <w:r>
        <w:rPr>
          <w:rFonts w:ascii="Times New Roman;Times;serif" w:hAnsi="Times New Roman;Times;serif"/>
          <w:b/>
          <w:sz w:val="20"/>
        </w:rPr>
        <w:t>ATN INTERNATIONAL, INC. AND SUBSIDIARIES</w:t>
      </w:r>
    </w:p>
    <w:p>
      <w:pPr>
        <w:pStyle w:val="TextBody"/>
        <w:bidi w:val="0"/>
        <w:spacing w:before="0" w:after="0"/>
        <w:ind w:left="0" w:right="0" w:hanging="0"/>
        <w:jc w:val="center"/>
        <w:rPr>
          <w:rFonts w:ascii="Times New Roman;Times;serif" w:hAnsi="Times New Roman;Times;serif"/>
          <w:b/>
          <w:sz w:val="20"/>
        </w:rPr>
      </w:pPr>
      <w:bookmarkStart w:id="166" w:name="CONDENSEDCONSOLIDATEDSTATEMENTSOFOPERATI"/>
      <w:bookmarkEnd w:id="166"/>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67" w:name="Tc_KwFhjqcY3U-x160lgoRvyg_36_11"/>
      <w:bookmarkStart w:id="168" w:name="Tc_Iz378f6rQkCd7K6oci5cDQ_36_8"/>
      <w:bookmarkStart w:id="169" w:name="Tc_vAiu2dX810eZuC_c-b744Q_36_5"/>
      <w:bookmarkStart w:id="170" w:name="Tc__o5TN2S65EeIT8Ee8WYOSA_36_2"/>
      <w:bookmarkStart w:id="171" w:name="Tc_dvo5nseS3kqimW0ZQm6Gnw_36_0"/>
      <w:bookmarkStart w:id="172" w:name="Tc_izeMtTK9Fkqg1lqtgJPO7w_35_0"/>
      <w:bookmarkStart w:id="173" w:name="Tc_N5Ubq8pYP0uVNUJ5k3VlrQ_34_0"/>
      <w:bookmarkStart w:id="174" w:name="Tc_85iqOTYcqEmF2IQhRxW9QA_33_0"/>
      <w:bookmarkStart w:id="175" w:name="Tc_PojHThNR2UKN2iB4C66JBg_32_11"/>
      <w:bookmarkStart w:id="176" w:name="Tc_y0ErLgQbIEaOp9iRooregw_32_8"/>
      <w:bookmarkStart w:id="177" w:name="Tc_y_mIQkF160yn7BjGV30TNg_32_5"/>
      <w:bookmarkStart w:id="178" w:name="Tc_tmqtae33k0WJ2JjZ-GnyWg_32_2"/>
      <w:bookmarkStart w:id="179" w:name="Tc_RbomGKLXMUGDI7U3YCM6JQ_32_0"/>
      <w:bookmarkStart w:id="180" w:name="Tc_KiczqIiZ-0KObqdD71wWkA_31_11"/>
      <w:bookmarkStart w:id="181" w:name="Tc_FggUXSmhM0mZEgg8QA8S3g_31_8"/>
      <w:bookmarkStart w:id="182" w:name="Tc_c6ucZm9mDEuWziEm2zM33w_31_5"/>
      <w:bookmarkStart w:id="183" w:name="Tc_V8Pz2Pujikm68NYF9b8i9A_31_2"/>
      <w:bookmarkStart w:id="184" w:name="Tc_u0TowWhiQEOZu2lSqyEQDA_31_0"/>
      <w:bookmarkStart w:id="185" w:name="Tc_5PS1ii34qU2SMIp2-RxgHA_30_0"/>
      <w:bookmarkStart w:id="186" w:name="Tc_Rxq-5Qcbp0uyvxvfG67AZw_29_11"/>
      <w:bookmarkStart w:id="187" w:name="Tc_1YJ3FVzpkk-GwG119aiLfg_29_8"/>
      <w:bookmarkStart w:id="188" w:name="Tc_pUeEIpMQqEOS-sNS6oGe_w_29_5"/>
      <w:bookmarkStart w:id="189" w:name="Tc_JUQ9Z_LeVUuAGeLPuHU89Q_29_2"/>
      <w:bookmarkStart w:id="190" w:name="Tc_uRPga3tUA0OHqIOiSwF-bg_29_0"/>
      <w:bookmarkStart w:id="191" w:name="Tc_krj1MYu4206LnAoXpBQB1g_28_0"/>
      <w:bookmarkStart w:id="192" w:name="Tc_CfNBQ8oXYk-zX4hLCcn9zA_27_0"/>
      <w:bookmarkStart w:id="193" w:name="Tc_Cahwrw67OEeN7dDPjw5wFg_26_0"/>
      <w:bookmarkStart w:id="194" w:name="Tc_I38vVUscYU-4_gOtuA7dSA_25_0"/>
      <w:bookmarkStart w:id="195" w:name="Tc_hpA_T8HHnE23ka38mpqUHg_24_0"/>
      <w:bookmarkStart w:id="196" w:name="Tc_AOcWFaWgtk61OMgJbr9-xg_23_0"/>
      <w:bookmarkStart w:id="197" w:name="Tc_nf1eLDvWzkSVlYJPTK6jOA_22_0"/>
      <w:bookmarkStart w:id="198" w:name="Tc_ATH9nZCx0kKDd6r_ou4qqQ_21_0"/>
      <w:bookmarkStart w:id="199" w:name="Tc_e3wYSh1DoEGQGc1ZRTQqFA_20_0"/>
      <w:bookmarkStart w:id="200" w:name="Tc_6TGRKsPcxECWgnIKxlSyEA_19_0"/>
      <w:bookmarkStart w:id="201" w:name="Tc_vcCEDKJIkEaw-q-ECQnIQw_18_0"/>
      <w:bookmarkStart w:id="202" w:name="Tc_Q53iOO4IfkGHHVzXT2x3rg_17_0"/>
      <w:bookmarkStart w:id="203" w:name="Tc_8F56AHRxxUe67-1Hy3QdUw_16_0"/>
      <w:bookmarkStart w:id="204" w:name="Tc_Y5kYXIMeSkSqqQsG9W1ung_15_0"/>
      <w:bookmarkStart w:id="205" w:name="Tc_FRWj368sQk-Qa1m6vwrHYg_14_0"/>
      <w:bookmarkStart w:id="206" w:name="Tc_UlIiA9fZpU6OpFT9y4oA6A_13_0"/>
      <w:bookmarkStart w:id="207" w:name="Tc_kCebc36JOUKibn3F0vrJXw_12_0"/>
      <w:bookmarkStart w:id="208" w:name="Tc_wfbHvtSE2UC7uNuuFrcJ_w_11_0"/>
      <w:bookmarkStart w:id="209" w:name="Tc_jQTUL_niMkGy-y6O84iIGg_10_0"/>
      <w:bookmarkStart w:id="210" w:name="Tc_twZbVdrBr0Gw8EzpzxIueA_9_0"/>
      <w:bookmarkStart w:id="211" w:name="Tc_hzq8wnTkUUaz931y5C8tWg_8_0"/>
      <w:bookmarkStart w:id="212" w:name="Tc_NCrGCBXmjESIYx6xO1zIkg_7_0"/>
      <w:bookmarkStart w:id="213" w:name="Tc_xNxNSD2G40O0yyEpmR44wQ_6_0"/>
      <w:bookmarkStart w:id="214" w:name="Tc_t1gK2Cot00uFenKb4mAiRA_5_0"/>
      <w:bookmarkStart w:id="215" w:name="Tc_j4soqsee8EGtR8iPYl0Gdg_4_11"/>
      <w:bookmarkStart w:id="216" w:name="Tc_3NLPRQcMZkuduAFVI2Y21Q_4_8"/>
      <w:bookmarkStart w:id="217" w:name="Tc_VkbEQ5H4zU2yjWcPEwls2g_4_5"/>
      <w:bookmarkStart w:id="218" w:name="Tc_GonCPV2MrUmuSdhfJ-Mksg_4_2"/>
      <w:bookmarkStart w:id="219" w:name="Tc_565h-QHwQk6AcDBtvVc_pQ_4_0"/>
      <w:bookmarkStart w:id="220" w:name="Tc_2yKcIm83FEKgR4qi7lbO_Q_3_0"/>
      <w:bookmarkStart w:id="221" w:name="Tc_cmpHfPWap0G5jPRgZ78jBQ_2_11"/>
      <w:bookmarkStart w:id="222" w:name="Tc_jvrFDsVbc0qQLV0Yi6uevQ_2_8"/>
      <w:bookmarkStart w:id="223" w:name="Tc_u5iR-rP2gUmzzkwdAVAAQQ_2_5"/>
      <w:bookmarkStart w:id="224" w:name="Tc_w4KY2ugdFUGlVdio5QZZ1Q_2_2"/>
      <w:bookmarkStart w:id="225" w:name="Tc_GBWSG-uKZU2q0iWnTDjOFg_1_8"/>
      <w:bookmarkStart w:id="226" w:name="Tc_rQhkIw9WNkOrz5LKPCvbhg_1_2"/>
      <w:bookmarkStart w:id="227" w:name="_502a4f49_eb8f_4d48_89d1_2a782aac061a"/>
      <w:bookmarkStart w:id="228" w:name="Tc_KwFhjqcY3U-x160lgoRvyg_36_11"/>
      <w:bookmarkStart w:id="229" w:name="Tc_Iz378f6rQkCd7K6oci5cDQ_36_8"/>
      <w:bookmarkStart w:id="230" w:name="Tc_vAiu2dX810eZuC_c-b744Q_36_5"/>
      <w:bookmarkStart w:id="231" w:name="Tc__o5TN2S65EeIT8Ee8WYOSA_36_2"/>
      <w:bookmarkStart w:id="232" w:name="Tc_dvo5nseS3kqimW0ZQm6Gnw_36_0"/>
      <w:bookmarkStart w:id="233" w:name="Tc_izeMtTK9Fkqg1lqtgJPO7w_35_0"/>
      <w:bookmarkStart w:id="234" w:name="Tc_N5Ubq8pYP0uVNUJ5k3VlrQ_34_0"/>
      <w:bookmarkStart w:id="235" w:name="Tc_85iqOTYcqEmF2IQhRxW9QA_33_0"/>
      <w:bookmarkStart w:id="236" w:name="Tc_PojHThNR2UKN2iB4C66JBg_32_11"/>
      <w:bookmarkStart w:id="237" w:name="Tc_y0ErLgQbIEaOp9iRooregw_32_8"/>
      <w:bookmarkStart w:id="238" w:name="Tc_y_mIQkF160yn7BjGV30TNg_32_5"/>
      <w:bookmarkStart w:id="239" w:name="Tc_tmqtae33k0WJ2JjZ-GnyWg_32_2"/>
      <w:bookmarkStart w:id="240" w:name="Tc_RbomGKLXMUGDI7U3YCM6JQ_32_0"/>
      <w:bookmarkStart w:id="241" w:name="Tc_KiczqIiZ-0KObqdD71wWkA_31_11"/>
      <w:bookmarkStart w:id="242" w:name="Tc_FggUXSmhM0mZEgg8QA8S3g_31_8"/>
      <w:bookmarkStart w:id="243" w:name="Tc_c6ucZm9mDEuWziEm2zM33w_31_5"/>
      <w:bookmarkStart w:id="244" w:name="Tc_V8Pz2Pujikm68NYF9b8i9A_31_2"/>
      <w:bookmarkStart w:id="245" w:name="Tc_u0TowWhiQEOZu2lSqyEQDA_31_0"/>
      <w:bookmarkStart w:id="246" w:name="Tc_5PS1ii34qU2SMIp2-RxgHA_30_0"/>
      <w:bookmarkStart w:id="247" w:name="Tc_Rxq-5Qcbp0uyvxvfG67AZw_29_11"/>
      <w:bookmarkStart w:id="248" w:name="Tc_1YJ3FVzpkk-GwG119aiLfg_29_8"/>
      <w:bookmarkStart w:id="249" w:name="Tc_pUeEIpMQqEOS-sNS6oGe_w_29_5"/>
      <w:bookmarkStart w:id="250" w:name="Tc_JUQ9Z_LeVUuAGeLPuHU89Q_29_2"/>
      <w:bookmarkStart w:id="251" w:name="Tc_uRPga3tUA0OHqIOiSwF-bg_29_0"/>
      <w:bookmarkStart w:id="252" w:name="Tc_krj1MYu4206LnAoXpBQB1g_28_0"/>
      <w:bookmarkStart w:id="253" w:name="Tc_CfNBQ8oXYk-zX4hLCcn9zA_27_0"/>
      <w:bookmarkStart w:id="254" w:name="Tc_Cahwrw67OEeN7dDPjw5wFg_26_0"/>
      <w:bookmarkStart w:id="255" w:name="Tc_I38vVUscYU-4_gOtuA7dSA_25_0"/>
      <w:bookmarkStart w:id="256" w:name="Tc_hpA_T8HHnE23ka38mpqUHg_24_0"/>
      <w:bookmarkStart w:id="257" w:name="Tc_AOcWFaWgtk61OMgJbr9-xg_23_0"/>
      <w:bookmarkStart w:id="258" w:name="Tc_nf1eLDvWzkSVlYJPTK6jOA_22_0"/>
      <w:bookmarkStart w:id="259" w:name="Tc_ATH9nZCx0kKDd6r_ou4qqQ_21_0"/>
      <w:bookmarkStart w:id="260" w:name="Tc_e3wYSh1DoEGQGc1ZRTQqFA_20_0"/>
      <w:bookmarkStart w:id="261" w:name="Tc_6TGRKsPcxECWgnIKxlSyEA_19_0"/>
      <w:bookmarkStart w:id="262" w:name="Tc_vcCEDKJIkEaw-q-ECQnIQw_18_0"/>
      <w:bookmarkStart w:id="263" w:name="Tc_Q53iOO4IfkGHHVzXT2x3rg_17_0"/>
      <w:bookmarkStart w:id="264" w:name="Tc_8F56AHRxxUe67-1Hy3QdUw_16_0"/>
      <w:bookmarkStart w:id="265" w:name="Tc_Y5kYXIMeSkSqqQsG9W1ung_15_0"/>
      <w:bookmarkStart w:id="266" w:name="Tc_FRWj368sQk-Qa1m6vwrHYg_14_0"/>
      <w:bookmarkStart w:id="267" w:name="Tc_UlIiA9fZpU6OpFT9y4oA6A_13_0"/>
      <w:bookmarkStart w:id="268" w:name="Tc_kCebc36JOUKibn3F0vrJXw_12_0"/>
      <w:bookmarkStart w:id="269" w:name="Tc_wfbHvtSE2UC7uNuuFrcJ_w_11_0"/>
      <w:bookmarkStart w:id="270" w:name="Tc_jQTUL_niMkGy-y6O84iIGg_10_0"/>
      <w:bookmarkStart w:id="271" w:name="Tc_twZbVdrBr0Gw8EzpzxIueA_9_0"/>
      <w:bookmarkStart w:id="272" w:name="Tc_hzq8wnTkUUaz931y5C8tWg_8_0"/>
      <w:bookmarkStart w:id="273" w:name="Tc_NCrGCBXmjESIYx6xO1zIkg_7_0"/>
      <w:bookmarkStart w:id="274" w:name="Tc_xNxNSD2G40O0yyEpmR44wQ_6_0"/>
      <w:bookmarkStart w:id="275" w:name="Tc_t1gK2Cot00uFenKb4mAiRA_5_0"/>
      <w:bookmarkStart w:id="276" w:name="Tc_j4soqsee8EGtR8iPYl0Gdg_4_11"/>
      <w:bookmarkStart w:id="277" w:name="Tc_3NLPRQcMZkuduAFVI2Y21Q_4_8"/>
      <w:bookmarkStart w:id="278" w:name="Tc_VkbEQ5H4zU2yjWcPEwls2g_4_5"/>
      <w:bookmarkStart w:id="279" w:name="Tc_GonCPV2MrUmuSdhfJ-Mksg_4_2"/>
      <w:bookmarkStart w:id="280" w:name="Tc_565h-QHwQk6AcDBtvVc_pQ_4_0"/>
      <w:bookmarkStart w:id="281" w:name="Tc_2yKcIm83FEKgR4qi7lbO_Q_3_0"/>
      <w:bookmarkStart w:id="282" w:name="Tc_cmpHfPWap0G5jPRgZ78jBQ_2_11"/>
      <w:bookmarkStart w:id="283" w:name="Tc_jvrFDsVbc0qQLV0Yi6uevQ_2_8"/>
      <w:bookmarkStart w:id="284" w:name="Tc_u5iR-rP2gUmzzkwdAVAAQQ_2_5"/>
      <w:bookmarkStart w:id="285" w:name="Tc_w4KY2ugdFUGlVdio5QZZ1Q_2_2"/>
      <w:bookmarkStart w:id="286" w:name="Tc_GBWSG-uKZU2q0iWnTDjOFg_1_8"/>
      <w:bookmarkStart w:id="287" w:name="Tc_rQhkIw9WNkOrz5LKPCvbhg_1_2"/>
      <w:bookmarkStart w:id="288" w:name="_502a4f49_eb8f_4d48_89d1_2a782aac061a"/>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tbl>
      <w:tblPr>
        <w:tblW w:w="10205" w:type="dxa"/>
        <w:jc w:val="left"/>
        <w:tblInd w:w="0" w:type="dxa"/>
        <w:tblLayout w:type="fixed"/>
        <w:tblCellMar>
          <w:top w:w="0" w:type="dxa"/>
          <w:left w:w="0" w:type="dxa"/>
          <w:bottom w:w="0" w:type="dxa"/>
          <w:right w:w="0" w:type="dxa"/>
        </w:tblCellMar>
      </w:tblPr>
      <w:tblGrid>
        <w:gridCol w:w="5044"/>
        <w:gridCol w:w="346"/>
        <w:gridCol w:w="196"/>
        <w:gridCol w:w="772"/>
        <w:gridCol w:w="346"/>
        <w:gridCol w:w="196"/>
        <w:gridCol w:w="701"/>
        <w:gridCol w:w="346"/>
        <w:gridCol w:w="196"/>
        <w:gridCol w:w="772"/>
        <w:gridCol w:w="346"/>
        <w:gridCol w:w="196"/>
        <w:gridCol w:w="748"/>
      </w:tblGrid>
      <w:tr>
        <w:trPr/>
        <w:tc>
          <w:tcPr>
            <w:tcW w:w="50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4460" cy="175260"/>
                      <wp:effectExtent l="0" t="0" r="0" b="0"/>
                      <wp:wrapNone/>
                      <wp:docPr id="9" name="Frame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90220" cy="175260"/>
                      <wp:effectExtent l="0" t="0" r="0" b="0"/>
                      <wp:wrapNone/>
                      <wp:docPr id="10" name="Frame10"/>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4460" cy="175260"/>
                      <wp:effectExtent l="0" t="0" r="0" b="0"/>
                      <wp:wrapNone/>
                      <wp:docPr id="12" name="Frame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45135" cy="175260"/>
                      <wp:effectExtent l="0" t="0" r="0" b="0"/>
                      <wp:wrapNone/>
                      <wp:docPr id="13" name="Frame13"/>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4460" cy="175260"/>
                      <wp:effectExtent l="0" t="0" r="0" b="0"/>
                      <wp:wrapNone/>
                      <wp:docPr id="15" name="Frame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90220" cy="175260"/>
                      <wp:effectExtent l="0" t="0" r="0" b="0"/>
                      <wp:wrapNone/>
                      <wp:docPr id="16" name="Frame16"/>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4460" cy="175260"/>
                      <wp:effectExtent l="0" t="0" r="0" b="0"/>
                      <wp:wrapNone/>
                      <wp:docPr id="18" name="Frame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74980" cy="175260"/>
                      <wp:effectExtent l="0" t="0" r="0" b="0"/>
                      <wp:wrapNone/>
                      <wp:docPr id="19" name="Frame19"/>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1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2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w:t>
            </w:r>
          </w:p>
        </w:tc>
      </w:tr>
      <w:tr>
        <w:trPr/>
        <w:tc>
          <w:tcPr>
            <w:tcW w:w="50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center"/>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center"/>
              <w:rPr/>
            </w:pPr>
            <w:r>
              <w:rPr/>
              <w:t>  ​ ​ ​</w:t>
            </w:r>
          </w:p>
        </w:tc>
        <w:tc>
          <w:tcPr>
            <w:tcW w:w="9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center"/>
              <w:rPr/>
            </w:pPr>
            <w:r>
              <w:rPr/>
              <w:t>  ​ ​ ​</w:t>
            </w:r>
          </w:p>
        </w:tc>
        <w:tc>
          <w:tcPr>
            <w:tcW w:w="9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r>
      <w:tr>
        <w:trPr/>
        <w:tc>
          <w:tcPr>
            <w:tcW w:w="504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left"/>
              <w:rPr/>
            </w:pPr>
            <w:r>
              <w:rPr/>
              <w:t>​</w:t>
            </w:r>
          </w:p>
        </w:tc>
      </w:tr>
      <w:tr>
        <w:trPr/>
        <w:tc>
          <w:tcPr>
            <w:tcW w:w="50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Communication services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180,141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174,874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358,599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348,905</w:t>
            </w:r>
          </w:p>
        </w:tc>
      </w:tr>
      <w:tr>
        <w:trPr/>
        <w:tc>
          <w:tcPr>
            <w:tcW w:w="504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3,262</w:t>
            </w:r>
          </w:p>
        </w:tc>
      </w:tr>
      <w:tr>
        <w:trPr/>
        <w:tc>
          <w:tcPr>
            <w:tcW w:w="50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8,427</w:t>
            </w:r>
          </w:p>
        </w:tc>
      </w:tr>
      <w:tr>
        <w:trPr/>
        <w:tc>
          <w:tcPr>
            <w:tcW w:w="504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184,504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181,300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366,722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360,594</w:t>
            </w:r>
          </w:p>
        </w:tc>
      </w:tr>
      <w:tr>
        <w:trPr/>
        <w:tc>
          <w:tcPr>
            <w:tcW w:w="50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 xml:space="preserve">OPERATING EXPENSES </w:t>
            </w:r>
            <w:r>
              <w:rPr>
                <w:rFonts w:ascii="Times New Roman;Times;serif" w:hAnsi="Times New Roman;Times;serif"/>
                <w:i/>
                <w:sz w:val="16"/>
              </w:rPr>
              <w:t>(excluding depreciation and amortization unless otherwise indicated)</w:t>
            </w: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left"/>
              <w:rPr/>
            </w:pPr>
            <w:r>
              <w:rPr/>
              <w:t>​</w:t>
            </w:r>
          </w:p>
        </w:tc>
      </w:tr>
      <w:tr>
        <w:trPr/>
        <w:tc>
          <w:tcPr>
            <w:tcW w:w="504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communication services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78,450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77,165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155,876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155,389</w:t>
            </w:r>
          </w:p>
        </w:tc>
      </w:tr>
      <w:tr>
        <w:trPr/>
        <w:tc>
          <w:tcPr>
            <w:tcW w:w="50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construction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3,684</w:t>
            </w:r>
          </w:p>
        </w:tc>
      </w:tr>
      <w:tr>
        <w:trPr/>
        <w:tc>
          <w:tcPr>
            <w:tcW w:w="504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56,160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111,494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111,390</w:t>
            </w:r>
          </w:p>
        </w:tc>
      </w:tr>
      <w:tr>
        <w:trPr/>
        <w:tc>
          <w:tcPr>
            <w:tcW w:w="50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4,590</w:t>
            </w:r>
          </w:p>
        </w:tc>
      </w:tr>
      <w:tr>
        <w:trPr/>
        <w:tc>
          <w:tcPr>
            <w:tcW w:w="504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Transaction-related charges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1,628</w:t>
            </w:r>
          </w:p>
        </w:tc>
      </w:tr>
      <w:tr>
        <w:trPr/>
        <w:tc>
          <w:tcPr>
            <w:tcW w:w="50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Restructuring and reorganization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6,737</w:t>
            </w:r>
          </w:p>
        </w:tc>
      </w:tr>
      <w:tr>
        <w:trPr/>
        <w:tc>
          <w:tcPr>
            <w:tcW w:w="504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61,316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68,390</w:t>
            </w:r>
          </w:p>
        </w:tc>
      </w:tr>
      <w:tr>
        <w:trPr/>
        <w:tc>
          <w:tcPr>
            <w:tcW w:w="50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intangibles from acquisitions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2,452</w:t>
            </w:r>
          </w:p>
        </w:tc>
      </w:tr>
      <w:tr>
        <w:trPr/>
        <w:tc>
          <w:tcPr>
            <w:tcW w:w="504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loss on disposition of assets, transfers and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(230,940)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(230,158)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3,434</w:t>
            </w:r>
          </w:p>
        </w:tc>
      </w:tr>
      <w:tr>
        <w:trPr/>
        <w:tc>
          <w:tcPr>
            <w:tcW w:w="50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(55,228)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181,067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115,302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357,694</w:t>
            </w:r>
          </w:p>
        </w:tc>
      </w:tr>
      <w:tr>
        <w:trPr/>
        <w:tc>
          <w:tcPr>
            <w:tcW w:w="504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239,732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251,420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2,900</w:t>
            </w:r>
          </w:p>
        </w:tc>
      </w:tr>
      <w:tr>
        <w:trPr/>
        <w:tc>
          <w:tcPr>
            <w:tcW w:w="504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INCOME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left"/>
              <w:rPr/>
            </w:pPr>
            <w:r>
              <w:rPr/>
              <w:t>​</w:t>
            </w:r>
          </w:p>
        </w:tc>
      </w:tr>
      <w:tr>
        <w:trPr/>
        <w:tc>
          <w:tcPr>
            <w:tcW w:w="504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404</w:t>
            </w:r>
          </w:p>
        </w:tc>
      </w:tr>
      <w:tr>
        <w:trPr/>
        <w:tc>
          <w:tcPr>
            <w:tcW w:w="50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(21,345)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(24,760)</w:t>
            </w:r>
          </w:p>
        </w:tc>
      </w:tr>
      <w:tr>
        <w:trPr/>
        <w:tc>
          <w:tcPr>
            <w:tcW w:w="504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(3,158)</w:t>
            </w:r>
          </w:p>
        </w:tc>
      </w:tr>
      <w:tr>
        <w:trPr/>
        <w:tc>
          <w:tcPr>
            <w:tcW w:w="50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expense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(11,115)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(13,269)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(24,691)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(27,514)</w:t>
            </w:r>
          </w:p>
        </w:tc>
      </w:tr>
      <w:tr>
        <w:trPr/>
        <w:tc>
          <w:tcPr>
            <w:tcW w:w="504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228,617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(13,036)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226,729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(24,614)</w:t>
            </w:r>
          </w:p>
        </w:tc>
      </w:tr>
      <w:tr>
        <w:trPr/>
        <w:tc>
          <w:tcPr>
            <w:tcW w:w="50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42,092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43,678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(3,967)</w:t>
            </w:r>
          </w:p>
        </w:tc>
      </w:tr>
      <w:tr>
        <w:trPr/>
        <w:tc>
          <w:tcPr>
            <w:tcW w:w="504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186,525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183,051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(20,647)</w:t>
            </w:r>
          </w:p>
        </w:tc>
      </w:tr>
      <w:tr>
        <w:trPr/>
        <w:tc>
          <w:tcPr>
            <w:tcW w:w="50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 attributable to noncontrolling interests, net of tax expense of $0.1 million, $(0.2) million, $0.2 million and $(0.4) million,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(19,237)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(18,560)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4,693</w:t>
            </w:r>
          </w:p>
        </w:tc>
      </w:tr>
      <w:tr>
        <w:trPr/>
        <w:tc>
          <w:tcPr>
            <w:tcW w:w="504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 (LOSS) ATTRIBUTABLE TO ATN INTERNATIONAL, INC.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167,288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164,491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(15,954)</w:t>
            </w:r>
          </w:p>
        </w:tc>
      </w:tr>
      <w:tr>
        <w:trPr/>
        <w:tc>
          <w:tcPr>
            <w:tcW w:w="504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 (LOSS) PER WEIGHTED AVERAGE SHARE ATTRIBUTABLE TO ATN INTERNATIONAL, INC. STOCKHOLDERS: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left"/>
              <w:rPr/>
            </w:pPr>
            <w:r>
              <w:rPr/>
              <w:t>​</w:t>
            </w:r>
          </w:p>
        </w:tc>
      </w:tr>
      <w:tr>
        <w:trPr/>
        <w:tc>
          <w:tcPr>
            <w:tcW w:w="504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r>
      <w:tr>
        <w:trPr/>
        <w:tc>
          <w:tcPr>
            <w:tcW w:w="50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r>
      <w:tr>
        <w:trPr/>
        <w:tc>
          <w:tcPr>
            <w:tcW w:w="504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WEIGHTED AVERAGE COMMON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left"/>
              <w:rPr/>
            </w:pPr>
            <w:r>
              <w:rPr/>
              <w:t>​</w:t>
            </w:r>
          </w:p>
        </w:tc>
      </w:tr>
      <w:tr>
        <w:trPr/>
        <w:tc>
          <w:tcPr>
            <w:tcW w:w="50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15,384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15,223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15,334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15,177</w:t>
            </w:r>
          </w:p>
        </w:tc>
      </w:tr>
      <w:tr>
        <w:trPr/>
        <w:tc>
          <w:tcPr>
            <w:tcW w:w="504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15,177</w:t>
            </w:r>
          </w:p>
        </w:tc>
      </w:tr>
      <w:tr>
        <w:trPr/>
        <w:tc>
          <w:tcPr>
            <w:tcW w:w="504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DIVIDENDS PER SHARE APPLICABLE TO COMMON STOCK</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0.275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0.565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0.515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condensed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9" w:name="_617420a9_2e05_42f8_a822_13a92f9c39e6"/>
      <w:bookmarkEnd w:id="289"/>
      <w:r>
        <w:rPr>
          <w:rFonts w:ascii="Times New Roman;Times;serif" w:hAnsi="Times New Roman;Times;serif"/>
          <w:b/>
          <w:sz w:val="20"/>
        </w:rPr>
        <w:t>ATN INTERNATIONAL, INC. AND SUBSIDIARIES</w:t>
      </w:r>
    </w:p>
    <w:p>
      <w:pPr>
        <w:pStyle w:val="TextBody"/>
        <w:bidi w:val="0"/>
        <w:spacing w:before="0" w:after="0"/>
        <w:ind w:left="0" w:right="0" w:hanging="0"/>
        <w:jc w:val="center"/>
        <w:rPr>
          <w:rFonts w:ascii="Times New Roman;Times;serif" w:hAnsi="Times New Roman;Times;serif"/>
          <w:b/>
          <w:sz w:val="20"/>
        </w:rPr>
      </w:pPr>
      <w:bookmarkStart w:id="290" w:name="CONDENSEDCONSOLIDATEDSTATEMENTSOFCOMPREH"/>
      <w:bookmarkEnd w:id="290"/>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1" w:name="Tc_a8bfcbVStUyxX29SPIcPFA_9_10"/>
      <w:bookmarkStart w:id="292" w:name="Tc_nwmBfeSChk2orIpwjusZLQ_9_7"/>
      <w:bookmarkStart w:id="293" w:name="Tc_3jo5T0aaC0aGM4wiuBqs2A_9_4"/>
      <w:bookmarkStart w:id="294" w:name="Tc_f3k5XQ5HPk-zZioYRNB7eA_9_1"/>
      <w:bookmarkStart w:id="295" w:name="Tc_5DRMJJvz0Uuy54DkbJ7wfQ_9_0"/>
      <w:bookmarkStart w:id="296" w:name="Tc_XPExjzhPNk-SxguZtRbPyA_8_0"/>
      <w:bookmarkStart w:id="297" w:name="Tc_PaOkeHTLUUSvw9dHP_r2sw_7_0"/>
      <w:bookmarkStart w:id="298" w:name="Tc_Eo8zEZg2g0WJFuf7x_5O9Q_6_0"/>
      <w:bookmarkStart w:id="299" w:name="Tc_qHAGh4HHmUWae7knyWpBnQ_5_0"/>
      <w:bookmarkStart w:id="300" w:name="Tc_Sge0W6QhLEWeumxscJwYJQ_4_0"/>
      <w:bookmarkStart w:id="301" w:name="Tc_Pv8PRaKzBEexzRZNPN958g_3_10"/>
      <w:bookmarkStart w:id="302" w:name="Tc_IUzQhhs12EKDnF5YKimUyA_3_7"/>
      <w:bookmarkStart w:id="303" w:name="Tc_zDkza5EweU-GlHkEG2Lmhg_3_4"/>
      <w:bookmarkStart w:id="304" w:name="Tc_uwjXIkS7F0ueJBGHcdiQxg_3_1"/>
      <w:bookmarkStart w:id="305" w:name="Tc_J45HWLKuB0KhRCzHqUT5PA_3_0"/>
      <w:bookmarkStart w:id="306" w:name="Tc_AVQTC7siNkGubfW4MqNY0A_2_10"/>
      <w:bookmarkStart w:id="307" w:name="Tc_YUGLQsemQEqr7S2kC4UfaA_2_7"/>
      <w:bookmarkStart w:id="308" w:name="Tc_wG5-OyuBUESH-xVNUZyydw_2_4"/>
      <w:bookmarkStart w:id="309" w:name="Tc_XS_1ZAhS40KvGt-6fonpfA_2_1"/>
      <w:bookmarkStart w:id="310" w:name="Tc_Lyrk9ddoEUmyvo0wPH1KGw_1_7"/>
      <w:bookmarkStart w:id="311" w:name="Tc_ccFPv24x50i74VdbRUoksw_1_1"/>
      <w:bookmarkStart w:id="312" w:name="_6ae1aab9_991a_4f5d_8994_bed707e3d912"/>
      <w:bookmarkStart w:id="313" w:name="Tc_a8bfcbVStUyxX29SPIcPFA_9_10"/>
      <w:bookmarkStart w:id="314" w:name="Tc_nwmBfeSChk2orIpwjusZLQ_9_7"/>
      <w:bookmarkStart w:id="315" w:name="Tc_3jo5T0aaC0aGM4wiuBqs2A_9_4"/>
      <w:bookmarkStart w:id="316" w:name="Tc_f3k5XQ5HPk-zZioYRNB7eA_9_1"/>
      <w:bookmarkStart w:id="317" w:name="Tc_5DRMJJvz0Uuy54DkbJ7wfQ_9_0"/>
      <w:bookmarkStart w:id="318" w:name="Tc_XPExjzhPNk-SxguZtRbPyA_8_0"/>
      <w:bookmarkStart w:id="319" w:name="Tc_PaOkeHTLUUSvw9dHP_r2sw_7_0"/>
      <w:bookmarkStart w:id="320" w:name="Tc_Eo8zEZg2g0WJFuf7x_5O9Q_6_0"/>
      <w:bookmarkStart w:id="321" w:name="Tc_qHAGh4HHmUWae7knyWpBnQ_5_0"/>
      <w:bookmarkStart w:id="322" w:name="Tc_Sge0W6QhLEWeumxscJwYJQ_4_0"/>
      <w:bookmarkStart w:id="323" w:name="Tc_Pv8PRaKzBEexzRZNPN958g_3_10"/>
      <w:bookmarkStart w:id="324" w:name="Tc_IUzQhhs12EKDnF5YKimUyA_3_7"/>
      <w:bookmarkStart w:id="325" w:name="Tc_zDkza5EweU-GlHkEG2Lmhg_3_4"/>
      <w:bookmarkStart w:id="326" w:name="Tc_uwjXIkS7F0ueJBGHcdiQxg_3_1"/>
      <w:bookmarkStart w:id="327" w:name="Tc_J45HWLKuB0KhRCzHqUT5PA_3_0"/>
      <w:bookmarkStart w:id="328" w:name="Tc_AVQTC7siNkGubfW4MqNY0A_2_10"/>
      <w:bookmarkStart w:id="329" w:name="Tc_YUGLQsemQEqr7S2kC4UfaA_2_7"/>
      <w:bookmarkStart w:id="330" w:name="Tc_wG5-OyuBUESH-xVNUZyydw_2_4"/>
      <w:bookmarkStart w:id="331" w:name="Tc_XS_1ZAhS40KvGt-6fonpfA_2_1"/>
      <w:bookmarkStart w:id="332" w:name="Tc_Lyrk9ddoEUmyvo0wPH1KGw_1_7"/>
      <w:bookmarkStart w:id="333" w:name="Tc_ccFPv24x50i74VdbRUoksw_1_1"/>
      <w:bookmarkStart w:id="334" w:name="_6ae1aab9_991a_4f5d_8994_bed707e3d9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tbl>
      <w:tblPr>
        <w:tblW w:w="10205" w:type="dxa"/>
        <w:jc w:val="left"/>
        <w:tblInd w:w="0" w:type="dxa"/>
        <w:tblLayout w:type="fixed"/>
        <w:tblCellMar>
          <w:top w:w="0" w:type="dxa"/>
          <w:left w:w="0" w:type="dxa"/>
          <w:bottom w:w="0" w:type="dxa"/>
          <w:right w:w="0" w:type="dxa"/>
        </w:tblCellMar>
      </w:tblPr>
      <w:tblGrid>
        <w:gridCol w:w="5229"/>
        <w:gridCol w:w="211"/>
        <w:gridCol w:w="792"/>
        <w:gridCol w:w="346"/>
        <w:gridCol w:w="211"/>
        <w:gridCol w:w="678"/>
        <w:gridCol w:w="346"/>
        <w:gridCol w:w="211"/>
        <w:gridCol w:w="792"/>
        <w:gridCol w:w="346"/>
        <w:gridCol w:w="211"/>
        <w:gridCol w:w="832"/>
      </w:tblGrid>
      <w:tr>
        <w:trPr/>
        <w:tc>
          <w:tcPr>
            <w:tcW w:w="5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3320415" cy="175260"/>
                      <wp:effectExtent l="0" t="0" r="0" b="0"/>
                      <wp:wrapNone/>
                      <wp:docPr id="20" name="Frame20"/>
                      <a:graphic xmlns:a="http://schemas.openxmlformats.org/drawingml/2006/main">
                        <a:graphicData uri="http://schemas.microsoft.com/office/word/2010/wordprocessingShape">
                          <wps:wsp>
                            <wps:cNvSpPr txBox="1"/>
                            <wps:spPr>
                              <a:xfrm>
                                <a:off x="0" y="0"/>
                                <a:ext cx="3320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02920" cy="175260"/>
                      <wp:effectExtent l="0" t="0" r="0" b="0"/>
                      <wp:wrapNone/>
                      <wp:docPr id="22" name="Frame22"/>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30530" cy="175260"/>
                      <wp:effectExtent l="0" t="0" r="0" b="0"/>
                      <wp:wrapNone/>
                      <wp:docPr id="25" name="Frame25"/>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02920" cy="175260"/>
                      <wp:effectExtent l="0" t="0" r="0" b="0"/>
                      <wp:wrapNone/>
                      <wp:docPr id="28" name="Frame28"/>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28320" cy="175260"/>
                      <wp:effectExtent l="0" t="0" r="0" b="0"/>
                      <wp:wrapNone/>
                      <wp:docPr id="31" name="Frame31"/>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9" w:type="dxa"/>
            <w:tcBorders/>
            <w:vAlign w:val="center"/>
          </w:tcPr>
          <w:p>
            <w:pPr>
              <w:pStyle w:val="TableContents"/>
              <w:bidi w:val="0"/>
              <w:spacing w:before="0" w:after="0"/>
              <w:ind w:left="0" w:right="0" w:hanging="0"/>
              <w:jc w:val="left"/>
              <w:rPr/>
            </w:pPr>
            <w:r>
              <w:rPr/>
              <w:t>​</w:t>
            </w:r>
          </w:p>
        </w:tc>
        <w:tc>
          <w:tcPr>
            <w:tcW w:w="22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39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w:t>
            </w:r>
          </w:p>
        </w:tc>
      </w:tr>
      <w:tr>
        <w:trPr/>
        <w:tc>
          <w:tcPr>
            <w:tcW w:w="5229" w:type="dxa"/>
            <w:tcBorders/>
            <w:vAlign w:val="center"/>
          </w:tcPr>
          <w:p>
            <w:pPr>
              <w:pStyle w:val="TableContents"/>
              <w:bidi w:val="0"/>
              <w:spacing w:before="0" w:after="0"/>
              <w:ind w:left="0" w:right="0" w:hanging="0"/>
              <w:jc w:val="left"/>
              <w:rPr/>
            </w:pPr>
            <w:r>
              <w:rPr/>
              <w:t>​</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(20,647)</w:t>
            </w:r>
          </w:p>
        </w:tc>
      </w:tr>
      <w:tr>
        <w:trPr/>
        <w:tc>
          <w:tcPr>
            <w:tcW w:w="5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left"/>
              <w:rPr/>
            </w:pPr>
            <w:r>
              <w:rPr/>
              <w:t>​</w:t>
            </w:r>
          </w:p>
        </w:tc>
      </w:tr>
      <w:tr>
        <w:trPr/>
        <w:tc>
          <w:tcPr>
            <w:tcW w:w="5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Unrealized gain on derivatives, net of tax expense of $0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w:t>
            </w:r>
          </w:p>
        </w:tc>
      </w:tr>
      <w:tr>
        <w:trPr/>
        <w:tc>
          <w:tcPr>
            <w:tcW w:w="5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w:t>
            </w:r>
          </w:p>
        </w:tc>
      </w:tr>
      <w:tr>
        <w:trPr/>
        <w:tc>
          <w:tcPr>
            <w:tcW w:w="5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187,299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(19,790)</w:t>
            </w:r>
          </w:p>
        </w:tc>
      </w:tr>
      <w:tr>
        <w:trPr/>
        <w:tc>
          <w:tcPr>
            <w:tcW w:w="5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Comprehensive income (loss) attributable to noncontrolling interests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4,693</w:t>
            </w:r>
          </w:p>
        </w:tc>
      </w:tr>
      <w:tr>
        <w:trPr/>
        <w:tc>
          <w:tcPr>
            <w:tcW w:w="5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ATN International, Inc.</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(15,097)</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20"/>
        </w:rPr>
        <w:t>The accompanying condensed notes are an integral part of these condensed consolidated financial statements</w:t>
      </w:r>
      <w:r>
        <w:rPr>
          <w:rFonts w:ascii="Times New Roman;Times;serif" w:hAnsi="Times New Roman;Times;serif"/>
          <w:sz w:val="16"/>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80"/>
        <w:ind w:left="0" w:right="0" w:hanging="0"/>
        <w:jc w:val="center"/>
        <w:rPr>
          <w:rFonts w:ascii="Times New Roman;Times;serif" w:hAnsi="Times New Roman;Times;serif"/>
          <w:b/>
          <w:sz w:val="16"/>
        </w:rPr>
      </w:pPr>
      <w:bookmarkStart w:id="335" w:name="_3b3adbef_beef_4546_a62d_b1f30cd77ef4"/>
      <w:bookmarkEnd w:id="335"/>
      <w:r>
        <w:rPr>
          <w:rFonts w:ascii="Times New Roman;Times;serif" w:hAnsi="Times New Roman;Times;serif"/>
          <w:b/>
          <w:sz w:val="16"/>
        </w:rPr>
        <w:t>ATN INTERNATIONAL, INC. AND SUBSIDIARIES</w:t>
      </w:r>
    </w:p>
    <w:p>
      <w:pPr>
        <w:pStyle w:val="TextBody"/>
        <w:bidi w:val="0"/>
        <w:spacing w:before="0" w:after="80"/>
        <w:ind w:left="0" w:right="0" w:hanging="0"/>
        <w:jc w:val="center"/>
        <w:rPr>
          <w:rFonts w:ascii="Times New Roman;Times;serif" w:hAnsi="Times New Roman;Times;serif"/>
          <w:b/>
          <w:sz w:val="16"/>
        </w:rPr>
      </w:pPr>
      <w:bookmarkStart w:id="336" w:name="CONDENSEDCONSOLIDATEDSTATEMENTSOFEQUITY_"/>
      <w:bookmarkEnd w:id="336"/>
      <w:r>
        <w:rPr>
          <w:rFonts w:ascii="Times New Roman;Times;serif" w:hAnsi="Times New Roman;Times;serif"/>
          <w:b/>
          <w:sz w:val="16"/>
        </w:rPr>
        <w:t>CONDENSED CONSOLIDATED STATEMENTS OF EQUITY</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FOR THE THREE AND SIX MONTHS ENDED JUNE 30, 2026 AND 2025</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200"/>
        <w:ind w:left="0" w:right="0" w:hanging="0"/>
        <w:jc w:val="center"/>
        <w:rPr>
          <w:rFonts w:ascii="Times New Roman;Times;serif" w:hAnsi="Times New Roman;Times;serif"/>
          <w:b/>
          <w:sz w:val="16"/>
        </w:rPr>
      </w:pPr>
      <w:r>
        <w:rPr>
          <w:rFonts w:ascii="Times New Roman;Times;serif" w:hAnsi="Times New Roman;Times;serif"/>
          <w:b/>
          <w:sz w:val="16"/>
        </w:rPr>
        <w:t xml:space="preserve">(In Thousands, Except Per Share Data) </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337" w:name="Tc_WGIu1pC-EUG6Xy1pLPmRWA_30_15"/>
      <w:bookmarkStart w:id="338" w:name="Tc_rk88aEcsFk6fyu_xAB8ZqQ_30_13"/>
      <w:bookmarkStart w:id="339" w:name="Tc_yMHeZLMEM02K-n9-Vy_qtA_30_11"/>
      <w:bookmarkStart w:id="340" w:name="Tc_iJ3EkyUW9kq8JKBnp0CNNA_30_9"/>
      <w:bookmarkStart w:id="341" w:name="Tc_EhdL4DQvZEmv9y_wYL_2fQ_30_7"/>
      <w:bookmarkStart w:id="342" w:name="Tc_pmUahfFqPEmOnMbrYSghQw_30_5"/>
      <w:bookmarkStart w:id="343" w:name="Tc_2kgfBoCIxUWVZaskTXGMCA_30_3"/>
      <w:bookmarkStart w:id="344" w:name="Tc_nTTzcW7q0EWL4Sho8_o_WA_30_1"/>
      <w:bookmarkStart w:id="345" w:name="Tc_HqlSess7TUuhb2M40rPf7Q_30_0"/>
      <w:bookmarkStart w:id="346" w:name="Tc_2Ddy2mHnbUe26gb4bzKBSA_29_6"/>
      <w:bookmarkStart w:id="347" w:name="Tc_mqymUQ7oB0mDJYQlJEOUxw_29_4"/>
      <w:bookmarkStart w:id="348" w:name="Tc_ILo_4gzjOESOJlMhRCyfrg_29_2"/>
      <w:bookmarkStart w:id="349" w:name="Tc_wPJOD8dpwEuLQuSdwDv9vA_29_0"/>
      <w:bookmarkStart w:id="350" w:name="Tc_uKOJk_zdfkKYLhfUAp4GXA_28_14"/>
      <w:bookmarkStart w:id="351" w:name="Tc_rvnx4v9fGkOVjHeSnelf9A_28_8"/>
      <w:bookmarkStart w:id="352" w:name="Tc_RHVdIMUzsUOQ4aIPsIC8VQ_28_6"/>
      <w:bookmarkStart w:id="353" w:name="Tc__QYZkgmtwU2HDuiCx1H59w_28_4"/>
      <w:bookmarkStart w:id="354" w:name="Tc_ssU5RW2d9EOod0Bfeww7og_28_2"/>
      <w:bookmarkStart w:id="355" w:name="Tc_-LqLiclk_0q6KItiqDrMMg_28_0"/>
      <w:bookmarkStart w:id="356" w:name="Tc_G70EXySSFE2yXiMYAQburg_27_10"/>
      <w:bookmarkStart w:id="357" w:name="Tc__tpoyU34AEGEceuoHEYheQ_27_6"/>
      <w:bookmarkStart w:id="358" w:name="Tc_s3kx6w459kKB9iyEiIqMYQ_27_4"/>
      <w:bookmarkStart w:id="359" w:name="Tc_n8Db34wGB0uuoFowgthbXw_27_2"/>
      <w:bookmarkStart w:id="360" w:name="Tc_fvPnk4v0hkyhmsIslRVqTQ_27_0"/>
      <w:bookmarkStart w:id="361" w:name="Tc_A-CF-usCE0iRuRtYuNHYNA_26_0"/>
      <w:bookmarkStart w:id="362" w:name="Tc_Ni7mpJ084kyEMh4XNt0m4w_25_10"/>
      <w:bookmarkStart w:id="363" w:name="Tc_k8zsV0YdZkqOk5tSl_6Ajw_25_6"/>
      <w:bookmarkStart w:id="364" w:name="Tc_tv3wX4RkhE-2y2mwh37d0Q_25_4"/>
      <w:bookmarkStart w:id="365" w:name="Tc_PHlr2TPFL0CatJPBxyl4qQ_25_2"/>
      <w:bookmarkStart w:id="366" w:name="Tc_F6_1YTLhUkmLR_XnA6htlg_25_0"/>
      <w:bookmarkStart w:id="367" w:name="Tc_4d219_CCCUqrM3IluHK5KA_24_14"/>
      <w:bookmarkStart w:id="368" w:name="Tc_2PYHouW6vESpUJQcaFDAeA_24_10"/>
      <w:bookmarkStart w:id="369" w:name="Tc_GB9y_etewUSyg9uviItNCg_24_6"/>
      <w:bookmarkStart w:id="370" w:name="Tc_VioZf-0H_0WFZMND28Z05A_24_4"/>
      <w:bookmarkStart w:id="371" w:name="Tc_1jvPSgB-OkCneg5gHQ8bIQ_24_2"/>
      <w:bookmarkStart w:id="372" w:name="Tc_182qJVoMl0i6vA0SzIY5UA_24_0"/>
      <w:bookmarkStart w:id="373" w:name="Tc_cTniR8P_a0mhHUfIRxGI_A_23_10"/>
      <w:bookmarkStart w:id="374" w:name="Tc_-fFS5idebUS0HuZy8jOSUg_23_6"/>
      <w:bookmarkStart w:id="375" w:name="Tc_Kh8z4Pvr70aKm5aN8obfrg_23_4"/>
      <w:bookmarkStart w:id="376" w:name="Tc_tMlcTKyIgEOofCJtgQs2wA_23_2"/>
      <w:bookmarkStart w:id="377" w:name="Tc_4dDyrTgNkkWyqyMS3KlpIA_23_0"/>
      <w:bookmarkStart w:id="378" w:name="Tc_H2UUDm0qiUKeOPITdQKAQw_22_10"/>
      <w:bookmarkStart w:id="379" w:name="Tc_z3_FT1iKc0eianQnsDUOLQ_22_8"/>
      <w:bookmarkStart w:id="380" w:name="Tc_euKYTn_tK0GL6k1EsgrOfA_22_4"/>
      <w:bookmarkStart w:id="381" w:name="Tc_Mbx7xb-TqkyDpRJksF-P1A_22_2"/>
      <w:bookmarkStart w:id="382" w:name="Tc_naH06AvtJ0Wkgqu9L1336w_22_0"/>
      <w:bookmarkStart w:id="383" w:name="Tc_wJuOudeEkEuCZqqtmc5S1A_21_14"/>
      <w:bookmarkStart w:id="384" w:name="Tc_iRW4iJt_aEyOc_fnY-A5Hg_21_10"/>
      <w:bookmarkStart w:id="385" w:name="Tc_Jne3mExcwU2Sm7IWZxHuJg_21_8"/>
      <w:bookmarkStart w:id="386" w:name="Tc_iuuiEQeEY0KzR1g1yJ2_tw_21_6"/>
      <w:bookmarkStart w:id="387" w:name="Tc_vfY8pOkBYECctFwr-QnqTQ_21_2"/>
      <w:bookmarkStart w:id="388" w:name="Tc_M4aV-Vle0U69mmMaZJFtcQ_21_0"/>
      <w:bookmarkStart w:id="389" w:name="Tc_lZHP18Pl0kGVMWZv1F2Opw_20_16"/>
      <w:bookmarkStart w:id="390" w:name="Tc_IvwVxzLzYEmYOn_F6q3Twg_20_14"/>
      <w:bookmarkStart w:id="391" w:name="Tc_BD10cpfIWUCm_Aq38C9shQ_20_12"/>
      <w:bookmarkStart w:id="392" w:name="Tc_kj8mnlfp7UqOC-6I7UQ0xA_20_10"/>
      <w:bookmarkStart w:id="393" w:name="Tc_mqWntR3Nt0yIp83yHI0g9w_20_8"/>
      <w:bookmarkStart w:id="394" w:name="Tc_ty9T3_KIVkO0-XoHjs-wiw_20_4"/>
      <w:bookmarkStart w:id="395" w:name="Tc_Cl0Gw4kdpUGY3FO6FVhxfw_20_0"/>
      <w:bookmarkStart w:id="396" w:name="Tc_lJn5RmTqsEC7xNzKm_0pnA_19_15"/>
      <w:bookmarkStart w:id="397" w:name="Tc_eLgTGztxaEy7qjLcPDTIgg_19_13"/>
      <w:bookmarkStart w:id="398" w:name="Tc_HNVdIxjoU0aB2PBit6WACA_19_11"/>
      <w:bookmarkStart w:id="399" w:name="Tc_U75yXWPyO06oDK-qU3Mlew_19_9"/>
      <w:bookmarkStart w:id="400" w:name="Tc_7Umc7kJUKk6VPRSazwsbpw_19_7"/>
      <w:bookmarkStart w:id="401" w:name="Tc_aTHG3BB8Xke2aKS1EriR1A_19_5"/>
      <w:bookmarkStart w:id="402" w:name="Tc_FBxQmQhRnUCWttNmPVzaIA_19_3"/>
      <w:bookmarkStart w:id="403" w:name="Tc_MzSKWT22gEaXbd99SQEhJw_19_1"/>
      <w:bookmarkStart w:id="404" w:name="Tc_a7tYlMUjl0SheiReAwwecA_19_0"/>
      <w:bookmarkStart w:id="405" w:name="Tc_BEBdt37HrEqPnkzqAFvJFQ_17_15"/>
      <w:bookmarkStart w:id="406" w:name="Tc_W_1if9m95kO21oC0g9tX3w_17_13"/>
      <w:bookmarkStart w:id="407" w:name="Tc_9nXo4wMY50CE13uEUs-4qw_17_11"/>
      <w:bookmarkStart w:id="408" w:name="Tc_L5MtRHxFs0GAjkxJJVIEXg_17_9"/>
      <w:bookmarkStart w:id="409" w:name="Tc_cdOmsO3hOk-PUA7GINNHnA_17_7"/>
      <w:bookmarkStart w:id="410" w:name="Tc_sAZojmIuKEiAtS6K9jGlQQ_17_5"/>
      <w:bookmarkStart w:id="411" w:name="Tc_dtBdaZm9102PHVTxPJe8Bw_17_3"/>
      <w:bookmarkStart w:id="412" w:name="Tc_ibUnEsg_Hk-4Q2Ps4kHp5w_17_1"/>
      <w:bookmarkStart w:id="413" w:name="Tc_Qf3HHg7ZsE-uoPHMNQt8dw_17_0"/>
      <w:bookmarkStart w:id="414" w:name="Tc_vgIbNRFIBUiJUK6F7ipduw_16_6"/>
      <w:bookmarkStart w:id="415" w:name="Tc__KTQs3zhS0erTT_uU24IGw_16_4"/>
      <w:bookmarkStart w:id="416" w:name="Tc_kg2MDMIXhkuu6aSGQw8nWg_16_2"/>
      <w:bookmarkStart w:id="417" w:name="Tc_5rM9UObs40eb7KgLSObQMg_16_0"/>
      <w:bookmarkStart w:id="418" w:name="Tc_Aoo_3LoJA0-xbS9AQDdLBQ_15_14"/>
      <w:bookmarkStart w:id="419" w:name="Tc_DaiXK5kWNUmIeBSZclXbQA_15_8"/>
      <w:bookmarkStart w:id="420" w:name="Tc_r-fgvd7YDkuOLAgGMZV0Xw_15_6"/>
      <w:bookmarkStart w:id="421" w:name="Tc_EOy62pl7D0OLDwOevSXgYA_15_4"/>
      <w:bookmarkStart w:id="422" w:name="Tc_Nv5jZVlPLEKD-b0el3GBqg_15_2"/>
      <w:bookmarkStart w:id="423" w:name="Tc_cuSvsZHoL0K_rjg58q_ZXQ_15_0"/>
      <w:bookmarkStart w:id="424" w:name="Tc_Xvvoyn8BzEyd-8XS3wtn9A_14_10"/>
      <w:bookmarkStart w:id="425" w:name="Tc_zkmjVV6sDEy_1y0VZm82ZA_14_6"/>
      <w:bookmarkStart w:id="426" w:name="Tc_v6yu4QoIKE2AxD7zhadmmg_14_4"/>
      <w:bookmarkStart w:id="427" w:name="Tc_0rwxwGIBKEKGn9rT5y89Qw_14_2"/>
      <w:bookmarkStart w:id="428" w:name="Tc_5B9VKd7fHkWfP_XTo4TdAA_14_0"/>
      <w:bookmarkStart w:id="429" w:name="Tc_pPrEAXd8K0ms1jFcw4MBnA_13_0"/>
      <w:bookmarkStart w:id="430" w:name="Tc_-QEG6Imjb0SrVza3Sqa13A_12_10"/>
      <w:bookmarkStart w:id="431" w:name="Tc_8oLtoBLVBU2YqGok-16grw_12_6"/>
      <w:bookmarkStart w:id="432" w:name="Tc_SyOsIPuGF0W9AQ0a1uzDLw_12_4"/>
      <w:bookmarkStart w:id="433" w:name="Tc_KuUk-9U43ki_i_pRYRdLeQ_12_2"/>
      <w:bookmarkStart w:id="434" w:name="Tc_Mmrp7zvFrketM_OjB80xbg_12_0"/>
      <w:bookmarkStart w:id="435" w:name="Tc_g0NjfR9b4kCryvYVw_Do3w_11_14"/>
      <w:bookmarkStart w:id="436" w:name="Tc_IFxA8GuTz0u1XHeOHM6SqQ_11_10"/>
      <w:bookmarkStart w:id="437" w:name="Tc_4aszzPiVa0SaRjbMrccljA_11_6"/>
      <w:bookmarkStart w:id="438" w:name="Tc_9do4VTHOPU6eeu_EZk768g_11_4"/>
      <w:bookmarkStart w:id="439" w:name="Tc_kFCPW48NF0O7nlfHgIV4yw_11_2"/>
      <w:bookmarkStart w:id="440" w:name="Tc_Vth6efcIq06jlLZ3SCoRXg_11_0"/>
      <w:bookmarkStart w:id="441" w:name="Tc_NLP7KqXf20GmmXrOsBpXaA_10_12"/>
      <w:bookmarkStart w:id="442" w:name="Tc_iozqGovOck6voH8sBSVB1A_10_10"/>
      <w:bookmarkStart w:id="443" w:name="Tc_eO8lYDYFDkqRGClJjPVvsA_10_8"/>
      <w:bookmarkStart w:id="444" w:name="Tc_bp3hhFmSGk-O0MFNwFXKgw_10_6"/>
      <w:bookmarkStart w:id="445" w:name="Tc_zmH69mn310KQEOuREIkVAg_10_4"/>
      <w:bookmarkStart w:id="446" w:name="Tc_SPgx922CSUOSgVe5Awq5Ug_10_2"/>
      <w:bookmarkStart w:id="447" w:name="Tc_cHx74gMGfkiw6ptr9mavjQ_10_0"/>
      <w:bookmarkStart w:id="448" w:name="Tc_1A90WojCkkWQ4lNmJAJdDg_9_10"/>
      <w:bookmarkStart w:id="449" w:name="Tc_df7q-bCvL0Wxn5XzdrhgLQ_9_6"/>
      <w:bookmarkStart w:id="450" w:name="Tc_Ye6g8jTA-Ua7ilPePd3QaA_9_4"/>
      <w:bookmarkStart w:id="451" w:name="Tc_Ao-4Jqf-c0qjWaPAnsBZxQ_9_2"/>
      <w:bookmarkStart w:id="452" w:name="Tc_MQ7Vr3L0oUuCTjtPG1_--g_9_0"/>
      <w:bookmarkStart w:id="453" w:name="Tc_AfrPDw1qOk2aCtkQfPUftA_8_10"/>
      <w:bookmarkStart w:id="454" w:name="Tc_jqNF5yVq40Kg0FnJkEHWug_8_8"/>
      <w:bookmarkStart w:id="455" w:name="Tc_3NYKcP0sGkSWjqmGnjCj1w_8_4"/>
      <w:bookmarkStart w:id="456" w:name="Tc_RD4lo_f_yUOBdiPouNbCnw_8_2"/>
      <w:bookmarkStart w:id="457" w:name="Tc_JbG3MKSudkOFhz2nOtIWjg_8_0"/>
      <w:bookmarkStart w:id="458" w:name="Tc_shgaj66tnUa1hKLCBFCbpw_7_14"/>
      <w:bookmarkStart w:id="459" w:name="Tc_Ln4bNzU6kUiJiJtFgV9X3Q_7_10"/>
      <w:bookmarkStart w:id="460" w:name="Tc_Rmk4pQnb8kiRIiirG4TX4A_7_8"/>
      <w:bookmarkStart w:id="461" w:name="Tc_7Ss9saqr_UquQv0f60C6xg_7_6"/>
      <w:bookmarkStart w:id="462" w:name="Tc_cr9DXduwtUykJwjp1LW-zw_7_2"/>
      <w:bookmarkStart w:id="463" w:name="Tc_rAw5lvfJi0yXaInt8zLoaA_7_0"/>
      <w:bookmarkStart w:id="464" w:name="Tc_kzWEYi5e8USttjT0yBYB7g_6_16"/>
      <w:bookmarkStart w:id="465" w:name="Tc_fxYXXeUX_UGRYDoXo6kL4w_6_14"/>
      <w:bookmarkStart w:id="466" w:name="Tc_QbxbKcrr5kSLgTpYbiV91A_6_12"/>
      <w:bookmarkStart w:id="467" w:name="Tc_QfCmdalLQk-8HSiUqeLc_A_6_10"/>
      <w:bookmarkStart w:id="468" w:name="Tc_uexm0sXvf0qs7KS4sGuVUw_6_8"/>
      <w:bookmarkStart w:id="469" w:name="Tc_mcBnleIGUEmv8nBFsva7WA_6_6"/>
      <w:bookmarkStart w:id="470" w:name="Tc_ygjcLBHjvU2RapkaTXcD7g_6_4"/>
      <w:bookmarkStart w:id="471" w:name="Tc_VYhMQaEXbk-sVoYt85BLfA_6_2"/>
      <w:bookmarkStart w:id="472" w:name="Tc_sJqBwSLmAUO98y_hYHZoOA_6_0"/>
      <w:bookmarkStart w:id="473" w:name="Tc_XIn9IZTKA0-Hrzk8SZD-bw_5_15"/>
      <w:bookmarkStart w:id="474" w:name="Tc_XUDaj48yc0OTh0clQsKk3A_5_13"/>
      <w:bookmarkStart w:id="475" w:name="Tc_k5Ipnv3tCkCIFrXTFTjprg_5_11"/>
      <w:bookmarkStart w:id="476" w:name="Tc_UfVNw5qeBUGXl9lgJUPS1w_5_9"/>
      <w:bookmarkStart w:id="477" w:name="Tc_5Xooi4qf8kuwTlsLF_g1BA_5_7"/>
      <w:bookmarkStart w:id="478" w:name="Tc_ne5NKtvVKUOzUsZ0eYiQNQ_5_5"/>
      <w:bookmarkStart w:id="479" w:name="Tc_hg2aE2ZXZk2sG1MbErgn5Q_5_3"/>
      <w:bookmarkStart w:id="480" w:name="Tc_AbAWOMh-O0q-eM3_VFETSQ_5_1"/>
      <w:bookmarkStart w:id="481" w:name="Tc_akCffYpBhkqDE38gxB2XjQ_5_0"/>
      <w:bookmarkStart w:id="482" w:name="Tc_N5XTzzYbOEiGxOTbhBBjzQ_4_16"/>
      <w:bookmarkStart w:id="483" w:name="Tc_hGuUpq--8kqtcAFnobJJyw_4_14"/>
      <w:bookmarkStart w:id="484" w:name="Tc_U6DWuSO0Bkyq4OmAGQqKZQ_4_12"/>
      <w:bookmarkStart w:id="485" w:name="Tc_GdwnnfhlkUmMUVPeM0-HuA_4_10"/>
      <w:bookmarkStart w:id="486" w:name="Tc_BRhvG2xGcU2pHMSbxogyvw_4_8"/>
      <w:bookmarkStart w:id="487" w:name="Tc_Y6UJDlw4MEuTheOCgQelVw_4_6"/>
      <w:bookmarkStart w:id="488" w:name="Tc_0fXyN6x1wUS6eBKIZX53ag_4_4"/>
      <w:bookmarkStart w:id="489" w:name="Tc_uGotfS1xxkKKcDrY1gvm-A_4_2"/>
      <w:bookmarkStart w:id="490" w:name="Tc_YUpO3aA6WkOXhML9dNwG7Q_3_16"/>
      <w:bookmarkStart w:id="491" w:name="Tc_tRkwKUj9RkKQ4MvojsKMTg_3_14"/>
      <w:bookmarkStart w:id="492" w:name="Tc_91ysbSyi-kuJMlUbN0_kqw_3_12"/>
      <w:bookmarkStart w:id="493" w:name="Tc_cl-nrvXNzU2Xb_05H57Z8g_3_10"/>
      <w:bookmarkStart w:id="494" w:name="Tc_Pnir1x1GQE2T3f0IlviHkw_3_8"/>
      <w:bookmarkStart w:id="495" w:name="Tc_Hh1IRslrx0SEapvwYcBnJg_3_6"/>
      <w:bookmarkStart w:id="496" w:name="Tc_CEh34Yb750OIiZMi1SY2Ug_3_4"/>
      <w:bookmarkStart w:id="497" w:name="Tc_FF9ff_peHEWOz3oU5vxnlw_3_2"/>
      <w:bookmarkStart w:id="498" w:name="Tc_8hqi5fSBvkqZgX_a5SutUA_2_14"/>
      <w:bookmarkStart w:id="499" w:name="Tc_fIkPFsymnkCf3QusBkZcLQ_2_12"/>
      <w:bookmarkStart w:id="500" w:name="Tc_00Pn7NC4w0W-4-oiJ8L29w_2_10"/>
      <w:bookmarkStart w:id="501" w:name="Tc_oGr9R0fhw06nK3yDK7fswQ_2_6"/>
      <w:bookmarkStart w:id="502" w:name="Tc_8GeyshS5NEiP1I2NcEE2Ug_2_4"/>
      <w:bookmarkStart w:id="503" w:name="Tc_dRtZDkmLj0SfAQ-0_YK7LQ_1_1"/>
      <w:bookmarkStart w:id="504" w:name="_a5be7c67_88af_455d_a7e4_8dcb36bf1b77"/>
      <w:bookmarkStart w:id="505" w:name="Tc_WGIu1pC-EUG6Xy1pLPmRWA_30_15"/>
      <w:bookmarkStart w:id="506" w:name="Tc_rk88aEcsFk6fyu_xAB8ZqQ_30_13"/>
      <w:bookmarkStart w:id="507" w:name="Tc_yMHeZLMEM02K-n9-Vy_qtA_30_11"/>
      <w:bookmarkStart w:id="508" w:name="Tc_iJ3EkyUW9kq8JKBnp0CNNA_30_9"/>
      <w:bookmarkStart w:id="509" w:name="Tc_EhdL4DQvZEmv9y_wYL_2fQ_30_7"/>
      <w:bookmarkStart w:id="510" w:name="Tc_pmUahfFqPEmOnMbrYSghQw_30_5"/>
      <w:bookmarkStart w:id="511" w:name="Tc_2kgfBoCIxUWVZaskTXGMCA_30_3"/>
      <w:bookmarkStart w:id="512" w:name="Tc_nTTzcW7q0EWL4Sho8_o_WA_30_1"/>
      <w:bookmarkStart w:id="513" w:name="Tc_HqlSess7TUuhb2M40rPf7Q_30_0"/>
      <w:bookmarkStart w:id="514" w:name="Tc_2Ddy2mHnbUe26gb4bzKBSA_29_6"/>
      <w:bookmarkStart w:id="515" w:name="Tc_mqymUQ7oB0mDJYQlJEOUxw_29_4"/>
      <w:bookmarkStart w:id="516" w:name="Tc_ILo_4gzjOESOJlMhRCyfrg_29_2"/>
      <w:bookmarkStart w:id="517" w:name="Tc_wPJOD8dpwEuLQuSdwDv9vA_29_0"/>
      <w:bookmarkStart w:id="518" w:name="Tc_uKOJk_zdfkKYLhfUAp4GXA_28_14"/>
      <w:bookmarkStart w:id="519" w:name="Tc_rvnx4v9fGkOVjHeSnelf9A_28_8"/>
      <w:bookmarkStart w:id="520" w:name="Tc_RHVdIMUzsUOQ4aIPsIC8VQ_28_6"/>
      <w:bookmarkStart w:id="521" w:name="Tc__QYZkgmtwU2HDuiCx1H59w_28_4"/>
      <w:bookmarkStart w:id="522" w:name="Tc_ssU5RW2d9EOod0Bfeww7og_28_2"/>
      <w:bookmarkStart w:id="523" w:name="Tc_-LqLiclk_0q6KItiqDrMMg_28_0"/>
      <w:bookmarkStart w:id="524" w:name="Tc_G70EXySSFE2yXiMYAQburg_27_10"/>
      <w:bookmarkStart w:id="525" w:name="Tc__tpoyU34AEGEceuoHEYheQ_27_6"/>
      <w:bookmarkStart w:id="526" w:name="Tc_s3kx6w459kKB9iyEiIqMYQ_27_4"/>
      <w:bookmarkStart w:id="527" w:name="Tc_n8Db34wGB0uuoFowgthbXw_27_2"/>
      <w:bookmarkStart w:id="528" w:name="Tc_fvPnk4v0hkyhmsIslRVqTQ_27_0"/>
      <w:bookmarkStart w:id="529" w:name="Tc_A-CF-usCE0iRuRtYuNHYNA_26_0"/>
      <w:bookmarkStart w:id="530" w:name="Tc_Ni7mpJ084kyEMh4XNt0m4w_25_10"/>
      <w:bookmarkStart w:id="531" w:name="Tc_k8zsV0YdZkqOk5tSl_6Ajw_25_6"/>
      <w:bookmarkStart w:id="532" w:name="Tc_tv3wX4RkhE-2y2mwh37d0Q_25_4"/>
      <w:bookmarkStart w:id="533" w:name="Tc_PHlr2TPFL0CatJPBxyl4qQ_25_2"/>
      <w:bookmarkStart w:id="534" w:name="Tc_F6_1YTLhUkmLR_XnA6htlg_25_0"/>
      <w:bookmarkStart w:id="535" w:name="Tc_4d219_CCCUqrM3IluHK5KA_24_14"/>
      <w:bookmarkStart w:id="536" w:name="Tc_2PYHouW6vESpUJQcaFDAeA_24_10"/>
      <w:bookmarkStart w:id="537" w:name="Tc_GB9y_etewUSyg9uviItNCg_24_6"/>
      <w:bookmarkStart w:id="538" w:name="Tc_VioZf-0H_0WFZMND28Z05A_24_4"/>
      <w:bookmarkStart w:id="539" w:name="Tc_1jvPSgB-OkCneg5gHQ8bIQ_24_2"/>
      <w:bookmarkStart w:id="540" w:name="Tc_182qJVoMl0i6vA0SzIY5UA_24_0"/>
      <w:bookmarkStart w:id="541" w:name="Tc_cTniR8P_a0mhHUfIRxGI_A_23_10"/>
      <w:bookmarkStart w:id="542" w:name="Tc_-fFS5idebUS0HuZy8jOSUg_23_6"/>
      <w:bookmarkStart w:id="543" w:name="Tc_Kh8z4Pvr70aKm5aN8obfrg_23_4"/>
      <w:bookmarkStart w:id="544" w:name="Tc_tMlcTKyIgEOofCJtgQs2wA_23_2"/>
      <w:bookmarkStart w:id="545" w:name="Tc_4dDyrTgNkkWyqyMS3KlpIA_23_0"/>
      <w:bookmarkStart w:id="546" w:name="Tc_H2UUDm0qiUKeOPITdQKAQw_22_10"/>
      <w:bookmarkStart w:id="547" w:name="Tc_z3_FT1iKc0eianQnsDUOLQ_22_8"/>
      <w:bookmarkStart w:id="548" w:name="Tc_euKYTn_tK0GL6k1EsgrOfA_22_4"/>
      <w:bookmarkStart w:id="549" w:name="Tc_Mbx7xb-TqkyDpRJksF-P1A_22_2"/>
      <w:bookmarkStart w:id="550" w:name="Tc_naH06AvtJ0Wkgqu9L1336w_22_0"/>
      <w:bookmarkStart w:id="551" w:name="Tc_wJuOudeEkEuCZqqtmc5S1A_21_14"/>
      <w:bookmarkStart w:id="552" w:name="Tc_iRW4iJt_aEyOc_fnY-A5Hg_21_10"/>
      <w:bookmarkStart w:id="553" w:name="Tc_Jne3mExcwU2Sm7IWZxHuJg_21_8"/>
      <w:bookmarkStart w:id="554" w:name="Tc_iuuiEQeEY0KzR1g1yJ2_tw_21_6"/>
      <w:bookmarkStart w:id="555" w:name="Tc_vfY8pOkBYECctFwr-QnqTQ_21_2"/>
      <w:bookmarkStart w:id="556" w:name="Tc_M4aV-Vle0U69mmMaZJFtcQ_21_0"/>
      <w:bookmarkStart w:id="557" w:name="Tc_lZHP18Pl0kGVMWZv1F2Opw_20_16"/>
      <w:bookmarkStart w:id="558" w:name="Tc_IvwVxzLzYEmYOn_F6q3Twg_20_14"/>
      <w:bookmarkStart w:id="559" w:name="Tc_BD10cpfIWUCm_Aq38C9shQ_20_12"/>
      <w:bookmarkStart w:id="560" w:name="Tc_kj8mnlfp7UqOC-6I7UQ0xA_20_10"/>
      <w:bookmarkStart w:id="561" w:name="Tc_mqWntR3Nt0yIp83yHI0g9w_20_8"/>
      <w:bookmarkStart w:id="562" w:name="Tc_ty9T3_KIVkO0-XoHjs-wiw_20_4"/>
      <w:bookmarkStart w:id="563" w:name="Tc_Cl0Gw4kdpUGY3FO6FVhxfw_20_0"/>
      <w:bookmarkStart w:id="564" w:name="Tc_lJn5RmTqsEC7xNzKm_0pnA_19_15"/>
      <w:bookmarkStart w:id="565" w:name="Tc_eLgTGztxaEy7qjLcPDTIgg_19_13"/>
      <w:bookmarkStart w:id="566" w:name="Tc_HNVdIxjoU0aB2PBit6WACA_19_11"/>
      <w:bookmarkStart w:id="567" w:name="Tc_U75yXWPyO06oDK-qU3Mlew_19_9"/>
      <w:bookmarkStart w:id="568" w:name="Tc_7Umc7kJUKk6VPRSazwsbpw_19_7"/>
      <w:bookmarkStart w:id="569" w:name="Tc_aTHG3BB8Xke2aKS1EriR1A_19_5"/>
      <w:bookmarkStart w:id="570" w:name="Tc_FBxQmQhRnUCWttNmPVzaIA_19_3"/>
      <w:bookmarkStart w:id="571" w:name="Tc_MzSKWT22gEaXbd99SQEhJw_19_1"/>
      <w:bookmarkStart w:id="572" w:name="Tc_a7tYlMUjl0SheiReAwwecA_19_0"/>
      <w:bookmarkStart w:id="573" w:name="Tc_BEBdt37HrEqPnkzqAFvJFQ_17_15"/>
      <w:bookmarkStart w:id="574" w:name="Tc_W_1if9m95kO21oC0g9tX3w_17_13"/>
      <w:bookmarkStart w:id="575" w:name="Tc_9nXo4wMY50CE13uEUs-4qw_17_11"/>
      <w:bookmarkStart w:id="576" w:name="Tc_L5MtRHxFs0GAjkxJJVIEXg_17_9"/>
      <w:bookmarkStart w:id="577" w:name="Tc_cdOmsO3hOk-PUA7GINNHnA_17_7"/>
      <w:bookmarkStart w:id="578" w:name="Tc_sAZojmIuKEiAtS6K9jGlQQ_17_5"/>
      <w:bookmarkStart w:id="579" w:name="Tc_dtBdaZm9102PHVTxPJe8Bw_17_3"/>
      <w:bookmarkStart w:id="580" w:name="Tc_ibUnEsg_Hk-4Q2Ps4kHp5w_17_1"/>
      <w:bookmarkStart w:id="581" w:name="Tc_Qf3HHg7ZsE-uoPHMNQt8dw_17_0"/>
      <w:bookmarkStart w:id="582" w:name="Tc_vgIbNRFIBUiJUK6F7ipduw_16_6"/>
      <w:bookmarkStart w:id="583" w:name="Tc__KTQs3zhS0erTT_uU24IGw_16_4"/>
      <w:bookmarkStart w:id="584" w:name="Tc_kg2MDMIXhkuu6aSGQw8nWg_16_2"/>
      <w:bookmarkStart w:id="585" w:name="Tc_5rM9UObs40eb7KgLSObQMg_16_0"/>
      <w:bookmarkStart w:id="586" w:name="Tc_Aoo_3LoJA0-xbS9AQDdLBQ_15_14"/>
      <w:bookmarkStart w:id="587" w:name="Tc_DaiXK5kWNUmIeBSZclXbQA_15_8"/>
      <w:bookmarkStart w:id="588" w:name="Tc_r-fgvd7YDkuOLAgGMZV0Xw_15_6"/>
      <w:bookmarkStart w:id="589" w:name="Tc_EOy62pl7D0OLDwOevSXgYA_15_4"/>
      <w:bookmarkStart w:id="590" w:name="Tc_Nv5jZVlPLEKD-b0el3GBqg_15_2"/>
      <w:bookmarkStart w:id="591" w:name="Tc_cuSvsZHoL0K_rjg58q_ZXQ_15_0"/>
      <w:bookmarkStart w:id="592" w:name="Tc_Xvvoyn8BzEyd-8XS3wtn9A_14_10"/>
      <w:bookmarkStart w:id="593" w:name="Tc_zkmjVV6sDEy_1y0VZm82ZA_14_6"/>
      <w:bookmarkStart w:id="594" w:name="Tc_v6yu4QoIKE2AxD7zhadmmg_14_4"/>
      <w:bookmarkStart w:id="595" w:name="Tc_0rwxwGIBKEKGn9rT5y89Qw_14_2"/>
      <w:bookmarkStart w:id="596" w:name="Tc_5B9VKd7fHkWfP_XTo4TdAA_14_0"/>
      <w:bookmarkStart w:id="597" w:name="Tc_pPrEAXd8K0ms1jFcw4MBnA_13_0"/>
      <w:bookmarkStart w:id="598" w:name="Tc_-QEG6Imjb0SrVza3Sqa13A_12_10"/>
      <w:bookmarkStart w:id="599" w:name="Tc_8oLtoBLVBU2YqGok-16grw_12_6"/>
      <w:bookmarkStart w:id="600" w:name="Tc_SyOsIPuGF0W9AQ0a1uzDLw_12_4"/>
      <w:bookmarkStart w:id="601" w:name="Tc_KuUk-9U43ki_i_pRYRdLeQ_12_2"/>
      <w:bookmarkStart w:id="602" w:name="Tc_Mmrp7zvFrketM_OjB80xbg_12_0"/>
      <w:bookmarkStart w:id="603" w:name="Tc_g0NjfR9b4kCryvYVw_Do3w_11_14"/>
      <w:bookmarkStart w:id="604" w:name="Tc_IFxA8GuTz0u1XHeOHM6SqQ_11_10"/>
      <w:bookmarkStart w:id="605" w:name="Tc_4aszzPiVa0SaRjbMrccljA_11_6"/>
      <w:bookmarkStart w:id="606" w:name="Tc_9do4VTHOPU6eeu_EZk768g_11_4"/>
      <w:bookmarkStart w:id="607" w:name="Tc_kFCPW48NF0O7nlfHgIV4yw_11_2"/>
      <w:bookmarkStart w:id="608" w:name="Tc_Vth6efcIq06jlLZ3SCoRXg_11_0"/>
      <w:bookmarkStart w:id="609" w:name="Tc_NLP7KqXf20GmmXrOsBpXaA_10_12"/>
      <w:bookmarkStart w:id="610" w:name="Tc_iozqGovOck6voH8sBSVB1A_10_10"/>
      <w:bookmarkStart w:id="611" w:name="Tc_eO8lYDYFDkqRGClJjPVvsA_10_8"/>
      <w:bookmarkStart w:id="612" w:name="Tc_bp3hhFmSGk-O0MFNwFXKgw_10_6"/>
      <w:bookmarkStart w:id="613" w:name="Tc_zmH69mn310KQEOuREIkVAg_10_4"/>
      <w:bookmarkStart w:id="614" w:name="Tc_SPgx922CSUOSgVe5Awq5Ug_10_2"/>
      <w:bookmarkStart w:id="615" w:name="Tc_cHx74gMGfkiw6ptr9mavjQ_10_0"/>
      <w:bookmarkStart w:id="616" w:name="Tc_1A90WojCkkWQ4lNmJAJdDg_9_10"/>
      <w:bookmarkStart w:id="617" w:name="Tc_df7q-bCvL0Wxn5XzdrhgLQ_9_6"/>
      <w:bookmarkStart w:id="618" w:name="Tc_Ye6g8jTA-Ua7ilPePd3QaA_9_4"/>
      <w:bookmarkStart w:id="619" w:name="Tc_Ao-4Jqf-c0qjWaPAnsBZxQ_9_2"/>
      <w:bookmarkStart w:id="620" w:name="Tc_MQ7Vr3L0oUuCTjtPG1_--g_9_0"/>
      <w:bookmarkStart w:id="621" w:name="Tc_AfrPDw1qOk2aCtkQfPUftA_8_10"/>
      <w:bookmarkStart w:id="622" w:name="Tc_jqNF5yVq40Kg0FnJkEHWug_8_8"/>
      <w:bookmarkStart w:id="623" w:name="Tc_3NYKcP0sGkSWjqmGnjCj1w_8_4"/>
      <w:bookmarkStart w:id="624" w:name="Tc_RD4lo_f_yUOBdiPouNbCnw_8_2"/>
      <w:bookmarkStart w:id="625" w:name="Tc_JbG3MKSudkOFhz2nOtIWjg_8_0"/>
      <w:bookmarkStart w:id="626" w:name="Tc_shgaj66tnUa1hKLCBFCbpw_7_14"/>
      <w:bookmarkStart w:id="627" w:name="Tc_Ln4bNzU6kUiJiJtFgV9X3Q_7_10"/>
      <w:bookmarkStart w:id="628" w:name="Tc_Rmk4pQnb8kiRIiirG4TX4A_7_8"/>
      <w:bookmarkStart w:id="629" w:name="Tc_7Ss9saqr_UquQv0f60C6xg_7_6"/>
      <w:bookmarkStart w:id="630" w:name="Tc_cr9DXduwtUykJwjp1LW-zw_7_2"/>
      <w:bookmarkStart w:id="631" w:name="Tc_rAw5lvfJi0yXaInt8zLoaA_7_0"/>
      <w:bookmarkStart w:id="632" w:name="Tc_kzWEYi5e8USttjT0yBYB7g_6_16"/>
      <w:bookmarkStart w:id="633" w:name="Tc_fxYXXeUX_UGRYDoXo6kL4w_6_14"/>
      <w:bookmarkStart w:id="634" w:name="Tc_QbxbKcrr5kSLgTpYbiV91A_6_12"/>
      <w:bookmarkStart w:id="635" w:name="Tc_QfCmdalLQk-8HSiUqeLc_A_6_10"/>
      <w:bookmarkStart w:id="636" w:name="Tc_uexm0sXvf0qs7KS4sGuVUw_6_8"/>
      <w:bookmarkStart w:id="637" w:name="Tc_mcBnleIGUEmv8nBFsva7WA_6_6"/>
      <w:bookmarkStart w:id="638" w:name="Tc_ygjcLBHjvU2RapkaTXcD7g_6_4"/>
      <w:bookmarkStart w:id="639" w:name="Tc_VYhMQaEXbk-sVoYt85BLfA_6_2"/>
      <w:bookmarkStart w:id="640" w:name="Tc_sJqBwSLmAUO98y_hYHZoOA_6_0"/>
      <w:bookmarkStart w:id="641" w:name="Tc_XIn9IZTKA0-Hrzk8SZD-bw_5_15"/>
      <w:bookmarkStart w:id="642" w:name="Tc_XUDaj48yc0OTh0clQsKk3A_5_13"/>
      <w:bookmarkStart w:id="643" w:name="Tc_k5Ipnv3tCkCIFrXTFTjprg_5_11"/>
      <w:bookmarkStart w:id="644" w:name="Tc_UfVNw5qeBUGXl9lgJUPS1w_5_9"/>
      <w:bookmarkStart w:id="645" w:name="Tc_5Xooi4qf8kuwTlsLF_g1BA_5_7"/>
      <w:bookmarkStart w:id="646" w:name="Tc_ne5NKtvVKUOzUsZ0eYiQNQ_5_5"/>
      <w:bookmarkStart w:id="647" w:name="Tc_hg2aE2ZXZk2sG1MbErgn5Q_5_3"/>
      <w:bookmarkStart w:id="648" w:name="Tc_AbAWOMh-O0q-eM3_VFETSQ_5_1"/>
      <w:bookmarkStart w:id="649" w:name="Tc_akCffYpBhkqDE38gxB2XjQ_5_0"/>
      <w:bookmarkStart w:id="650" w:name="Tc_N5XTzzYbOEiGxOTbhBBjzQ_4_16"/>
      <w:bookmarkStart w:id="651" w:name="Tc_hGuUpq--8kqtcAFnobJJyw_4_14"/>
      <w:bookmarkStart w:id="652" w:name="Tc_U6DWuSO0Bkyq4OmAGQqKZQ_4_12"/>
      <w:bookmarkStart w:id="653" w:name="Tc_GdwnnfhlkUmMUVPeM0-HuA_4_10"/>
      <w:bookmarkStart w:id="654" w:name="Tc_BRhvG2xGcU2pHMSbxogyvw_4_8"/>
      <w:bookmarkStart w:id="655" w:name="Tc_Y6UJDlw4MEuTheOCgQelVw_4_6"/>
      <w:bookmarkStart w:id="656" w:name="Tc_0fXyN6x1wUS6eBKIZX53ag_4_4"/>
      <w:bookmarkStart w:id="657" w:name="Tc_uGotfS1xxkKKcDrY1gvm-A_4_2"/>
      <w:bookmarkStart w:id="658" w:name="Tc_YUpO3aA6WkOXhML9dNwG7Q_3_16"/>
      <w:bookmarkStart w:id="659" w:name="Tc_tRkwKUj9RkKQ4MvojsKMTg_3_14"/>
      <w:bookmarkStart w:id="660" w:name="Tc_91ysbSyi-kuJMlUbN0_kqw_3_12"/>
      <w:bookmarkStart w:id="661" w:name="Tc_cl-nrvXNzU2Xb_05H57Z8g_3_10"/>
      <w:bookmarkStart w:id="662" w:name="Tc_Pnir1x1GQE2T3f0IlviHkw_3_8"/>
      <w:bookmarkStart w:id="663" w:name="Tc_Hh1IRslrx0SEapvwYcBnJg_3_6"/>
      <w:bookmarkStart w:id="664" w:name="Tc_CEh34Yb750OIiZMi1SY2Ug_3_4"/>
      <w:bookmarkStart w:id="665" w:name="Tc_FF9ff_peHEWOz3oU5vxnlw_3_2"/>
      <w:bookmarkStart w:id="666" w:name="Tc_8hqi5fSBvkqZgX_a5SutUA_2_14"/>
      <w:bookmarkStart w:id="667" w:name="Tc_fIkPFsymnkCf3QusBkZcLQ_2_12"/>
      <w:bookmarkStart w:id="668" w:name="Tc_00Pn7NC4w0W-4-oiJ8L29w_2_10"/>
      <w:bookmarkStart w:id="669" w:name="Tc_oGr9R0fhw06nK3yDK7fswQ_2_6"/>
      <w:bookmarkStart w:id="670" w:name="Tc_8GeyshS5NEiP1I2NcEE2Ug_2_4"/>
      <w:bookmarkStart w:id="671" w:name="Tc_dRtZDkmLj0SfAQ-0_YK7LQ_1_1"/>
      <w:bookmarkStart w:id="672" w:name="_a5be7c67_88af_455d_a7e4_8dcb36bf1b77"/>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tbl>
      <w:tblPr>
        <w:tblW w:w="10205" w:type="dxa"/>
        <w:jc w:val="left"/>
        <w:tblInd w:w="0" w:type="dxa"/>
        <w:tblLayout w:type="fixed"/>
        <w:tblCellMar>
          <w:top w:w="0" w:type="dxa"/>
          <w:left w:w="0" w:type="dxa"/>
          <w:bottom w:w="0" w:type="dxa"/>
          <w:right w:w="0" w:type="dxa"/>
        </w:tblCellMar>
      </w:tblPr>
      <w:tblGrid>
        <w:gridCol w:w="3862"/>
        <w:gridCol w:w="166"/>
        <w:gridCol w:w="541"/>
        <w:gridCol w:w="166"/>
        <w:gridCol w:w="554"/>
        <w:gridCol w:w="166"/>
        <w:gridCol w:w="601"/>
        <w:gridCol w:w="166"/>
        <w:gridCol w:w="541"/>
        <w:gridCol w:w="166"/>
        <w:gridCol w:w="826"/>
        <w:gridCol w:w="166"/>
        <w:gridCol w:w="733"/>
        <w:gridCol w:w="166"/>
        <w:gridCol w:w="646"/>
        <w:gridCol w:w="166"/>
        <w:gridCol w:w="573"/>
      </w:tblGrid>
      <w:tr>
        <w:trPr/>
        <w:tc>
          <w:tcPr>
            <w:tcW w:w="3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452370" cy="175260"/>
                      <wp:effectExtent l="0" t="0" r="0" b="0"/>
                      <wp:wrapNone/>
                      <wp:docPr id="32" name="Frame32"/>
                      <a:graphic xmlns:a="http://schemas.openxmlformats.org/drawingml/2006/main">
                        <a:graphicData uri="http://schemas.microsoft.com/office/word/2010/wordprocessingShape">
                          <wps:wsp>
                            <wps:cNvSpPr txBox="1"/>
                            <wps:spPr>
                              <a:xfrm>
                                <a:off x="0" y="0"/>
                                <a:ext cx="2452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05410" cy="175260"/>
                      <wp:effectExtent l="0" t="0" r="0" b="0"/>
                      <wp:wrapNone/>
                      <wp:docPr id="33" name="Frame3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43535" cy="175260"/>
                      <wp:effectExtent l="0" t="0" r="0" b="0"/>
                      <wp:wrapNone/>
                      <wp:docPr id="34" name="Frame3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05410" cy="175260"/>
                      <wp:effectExtent l="0" t="0" r="0" b="0"/>
                      <wp:wrapNone/>
                      <wp:docPr id="35" name="Frame3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51790" cy="175260"/>
                      <wp:effectExtent l="0" t="0" r="0" b="0"/>
                      <wp:wrapNone/>
                      <wp:docPr id="36" name="Frame36"/>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05410" cy="175260"/>
                      <wp:effectExtent l="0" t="0" r="0" b="0"/>
                      <wp:wrapNone/>
                      <wp:docPr id="37" name="Frame37"/>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81635" cy="175260"/>
                      <wp:effectExtent l="0" t="0" r="0" b="0"/>
                      <wp:wrapNone/>
                      <wp:docPr id="38" name="Frame3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05410" cy="175260"/>
                      <wp:effectExtent l="0" t="0" r="0" b="0"/>
                      <wp:wrapNone/>
                      <wp:docPr id="39" name="Frame3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43535" cy="175260"/>
                      <wp:effectExtent l="0" t="0" r="0" b="0"/>
                      <wp:wrapNone/>
                      <wp:docPr id="40" name="Frame40"/>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05410" cy="175260"/>
                      <wp:effectExtent l="0" t="0" r="0" b="0"/>
                      <wp:wrapNone/>
                      <wp:docPr id="41" name="Frame41"/>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24510" cy="175260"/>
                      <wp:effectExtent l="0" t="0" r="0" b="0"/>
                      <wp:wrapNone/>
                      <wp:docPr id="42" name="Frame4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05410" cy="175260"/>
                      <wp:effectExtent l="0" t="0" r="0" b="0"/>
                      <wp:wrapNone/>
                      <wp:docPr id="43" name="Frame4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65455" cy="175260"/>
                      <wp:effectExtent l="0" t="0" r="0" b="0"/>
                      <wp:wrapNone/>
                      <wp:docPr id="44" name="Frame44"/>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05410" cy="175260"/>
                      <wp:effectExtent l="0" t="0" r="0" b="0"/>
                      <wp:wrapNone/>
                      <wp:docPr id="45" name="Frame4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10210" cy="175260"/>
                      <wp:effectExtent l="0" t="0" r="0" b="0"/>
                      <wp:wrapNone/>
                      <wp:docPr id="46" name="Frame46"/>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05410" cy="175260"/>
                      <wp:effectExtent l="0" t="0" r="0" b="0"/>
                      <wp:wrapNone/>
                      <wp:docPr id="47" name="Frame47"/>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63855" cy="175260"/>
                      <wp:effectExtent l="0" t="0" r="0" b="0"/>
                      <wp:wrapNone/>
                      <wp:docPr id="48" name="Frame48"/>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62" w:type="dxa"/>
            <w:tcBorders/>
            <w:vAlign w:val="center"/>
          </w:tcPr>
          <w:p>
            <w:pPr>
              <w:pStyle w:val="TableContents"/>
              <w:bidi w:val="0"/>
              <w:spacing w:before="0" w:after="0"/>
              <w:ind w:left="0" w:right="0" w:hanging="0"/>
              <w:jc w:val="left"/>
              <w:rPr/>
            </w:pPr>
            <w:r>
              <w:rPr/>
              <w:t>​</w:t>
            </w:r>
          </w:p>
        </w:tc>
        <w:tc>
          <w:tcPr>
            <w:tcW w:w="6343" w:type="dxa"/>
            <w:gridSpan w:val="16"/>
            <w:tcBorders>
              <w:bottom w:val="single" w:sz="1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Total Equity</w:t>
            </w:r>
          </w:p>
        </w:tc>
      </w:tr>
      <w:tr>
        <w:trPr/>
        <w:tc>
          <w:tcPr>
            <w:tcW w:w="3862"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Treasury</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Additional</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Other</w:t>
            </w:r>
          </w:p>
        </w:tc>
        <w:tc>
          <w:tcPr>
            <w:tcW w:w="166" w:type="dxa"/>
            <w:tcBorders/>
            <w:vAlign w:val="center"/>
          </w:tcPr>
          <w:p>
            <w:pPr>
              <w:pStyle w:val="TableContents"/>
              <w:bidi w:val="0"/>
              <w:spacing w:before="0" w:after="0"/>
              <w:ind w:left="0" w:right="0" w:hanging="0"/>
              <w:jc w:val="righ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ATNI</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Non-</w:t>
            </w:r>
          </w:p>
        </w:tc>
        <w:tc>
          <w:tcPr>
            <w:tcW w:w="1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pPr>
            <w:r>
              <w:rPr/>
              <w:t>​</w:t>
            </w:r>
          </w:p>
        </w:tc>
      </w:tr>
      <w:tr>
        <w:trPr/>
        <w:tc>
          <w:tcPr>
            <w:tcW w:w="3862"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Common</w:t>
            </w:r>
          </w:p>
        </w:tc>
        <w:tc>
          <w:tcPr>
            <w:tcW w:w="16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Stock,</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Paid In</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Retained</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Comprehensive</w:t>
            </w:r>
          </w:p>
        </w:tc>
        <w:tc>
          <w:tcPr>
            <w:tcW w:w="166" w:type="dxa"/>
            <w:tcBorders/>
            <w:vAlign w:val="center"/>
          </w:tcPr>
          <w:p>
            <w:pPr>
              <w:pStyle w:val="TableContents"/>
              <w:bidi w:val="0"/>
              <w:spacing w:before="0" w:after="0"/>
              <w:ind w:left="0" w:right="0" w:hanging="0"/>
              <w:jc w:val="righ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Stockholders’</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Controlling</w:t>
            </w:r>
          </w:p>
        </w:tc>
        <w:tc>
          <w:tcPr>
            <w:tcW w:w="1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Total</w:t>
            </w:r>
          </w:p>
        </w:tc>
      </w:tr>
      <w:tr>
        <w:trPr/>
        <w:tc>
          <w:tcPr>
            <w:tcW w:w="3862"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Stock</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at cost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Capital</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Earnings</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Income/(Loss)</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Equity</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Interests</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Equity</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March 31, 2026</w:t>
            </w:r>
          </w:p>
        </w:tc>
        <w:tc>
          <w:tcPr>
            <w:tcW w:w="16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183</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(105,046)</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221,936</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300,744</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15,762</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433,579</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111,996</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545,575</w:t>
            </w:r>
          </w:p>
        </w:tc>
      </w:tr>
      <w:tr>
        <w:trPr/>
        <w:tc>
          <w:tcPr>
            <w:tcW w:w="386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Issuance of 23,940</w:t>
            </w:r>
            <w:r>
              <w:rPr>
                <w:rFonts w:ascii="Times New Roman;Times;serif" w:hAnsi="Times New Roman;Times;serif"/>
                <w:sz w:val="14"/>
              </w:rPr>
              <w:t xml:space="preserve"> </w:t>
            </w:r>
            <w:r>
              <w:rPr>
                <w:rFonts w:ascii="Times New Roman;Times;serif" w:hAnsi="Times New Roman;Times;serif"/>
                <w:sz w:val="15"/>
              </w:rPr>
              <w:t xml:space="preserve">shares of common stock </w:t>
            </w:r>
          </w:p>
        </w:tc>
        <w:tc>
          <w:tcPr>
            <w:tcW w:w="16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pPr>
            <w:r>
              <w:rPr/>
              <w:t>—</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Purchase of 1,436</w:t>
            </w:r>
            <w:r>
              <w:rPr>
                <w:rFonts w:ascii="Times New Roman;Times;serif" w:hAnsi="Times New Roman;Times;serif"/>
                <w:sz w:val="14"/>
              </w:rPr>
              <w:t xml:space="preserve"> </w:t>
            </w:r>
            <w:r>
              <w:rPr>
                <w:rFonts w:ascii="Times New Roman;Times;serif" w:hAnsi="Times New Roman;Times;serif"/>
                <w:sz w:val="15"/>
              </w:rPr>
              <w:t xml:space="preserve">shares of common stock </w:t>
            </w:r>
          </w:p>
        </w:tc>
        <w:tc>
          <w:tcPr>
            <w:tcW w:w="166"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4"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(40)</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(40)</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(40)</w:t>
            </w:r>
          </w:p>
        </w:tc>
      </w:tr>
      <w:tr>
        <w:trPr/>
        <w:tc>
          <w:tcPr>
            <w:tcW w:w="386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166"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1,272</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1,272</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126</w:t>
            </w:r>
          </w:p>
        </w:tc>
        <w:tc>
          <w:tcPr>
            <w:tcW w:w="1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1,398</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Dividends declared on common stock ($0.29</w:t>
            </w:r>
            <w:r>
              <w:rPr>
                <w:rFonts w:ascii="Times New Roman;Times;serif" w:hAnsi="Times New Roman;Times;serif"/>
                <w:sz w:val="14"/>
              </w:rPr>
              <w:t xml:space="preserve"> </w:t>
            </w:r>
            <w:r>
              <w:rPr>
                <w:rFonts w:ascii="Times New Roman;Times;serif" w:hAnsi="Times New Roman;Times;serif"/>
                <w:sz w:val="15"/>
              </w:rPr>
              <w:t>per common share)</w:t>
            </w:r>
          </w:p>
        </w:tc>
        <w:tc>
          <w:tcPr>
            <w:tcW w:w="166"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4"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(4,467)</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(4,467)</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(1,410)</w:t>
            </w:r>
          </w:p>
        </w:tc>
        <w:tc>
          <w:tcPr>
            <w:tcW w:w="166" w:type="dxa"/>
            <w:tcBorders/>
            <w:shd w:fill="CCEEFF" w:val="clear"/>
            <w:vAlign w:val="center"/>
          </w:tcPr>
          <w:p>
            <w:pPr>
              <w:pStyle w:val="TableContents"/>
              <w:bidi w:val="0"/>
              <w:spacing w:before="0" w:after="0"/>
              <w:ind w:left="0" w:right="0" w:hanging="0"/>
              <w:jc w:val="righ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(5,877)</w:t>
            </w:r>
          </w:p>
        </w:tc>
      </w:tr>
      <w:tr>
        <w:trPr/>
        <w:tc>
          <w:tcPr>
            <w:tcW w:w="386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Repurchase of noncontrolling interests</w:t>
            </w:r>
          </w:p>
        </w:tc>
        <w:tc>
          <w:tcPr>
            <w:tcW w:w="166"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(77)</w:t>
            </w:r>
          </w:p>
        </w:tc>
        <w:tc>
          <w:tcPr>
            <w:tcW w:w="1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(77)</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dividend - redeemable preferred units</w:t>
            </w:r>
          </w:p>
        </w:tc>
        <w:tc>
          <w:tcPr>
            <w:tcW w:w="166"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4"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(1,648)</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(1,648)</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(1,648)</w:t>
            </w:r>
          </w:p>
        </w:tc>
      </w:tr>
      <w:tr>
        <w:trPr/>
        <w:tc>
          <w:tcPr>
            <w:tcW w:w="386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Deemed dividend - redeemable common units</w:t>
            </w:r>
          </w:p>
        </w:tc>
        <w:tc>
          <w:tcPr>
            <w:tcW w:w="166"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2,018</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2,018</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(9,348)</w:t>
            </w:r>
          </w:p>
        </w:tc>
        <w:tc>
          <w:tcPr>
            <w:tcW w:w="1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(7,330)</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i/>
                <w:sz w:val="15"/>
              </w:rPr>
            </w:pPr>
            <w:r>
              <w:rPr>
                <w:rFonts w:ascii="Times New Roman;Times;serif" w:hAnsi="Times New Roman;Times;serif"/>
                <w:i/>
                <w:sz w:val="15"/>
              </w:rPr>
              <w:t>Comprehensive income:</w:t>
            </w:r>
          </w:p>
        </w:tc>
        <w:tc>
          <w:tcPr>
            <w:tcW w:w="16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54"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right"/>
              <w:rPr/>
            </w:pPr>
            <w:r>
              <w:rPr/>
              <w:t>​</w:t>
            </w:r>
          </w:p>
        </w:tc>
      </w:tr>
      <w:tr>
        <w:trPr/>
        <w:tc>
          <w:tcPr>
            <w:tcW w:w="386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Income</w:t>
            </w:r>
          </w:p>
        </w:tc>
        <w:tc>
          <w:tcPr>
            <w:tcW w:w="166"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167,288</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167,288</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19,237</w:t>
            </w:r>
          </w:p>
        </w:tc>
        <w:tc>
          <w:tcPr>
            <w:tcW w:w="1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186,525</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comprehensive income</w:t>
            </w:r>
          </w:p>
        </w:tc>
        <w:tc>
          <w:tcPr>
            <w:tcW w:w="16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righ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774</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774</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774</w:t>
            </w:r>
          </w:p>
        </w:tc>
      </w:tr>
      <w:tr>
        <w:trPr/>
        <w:tc>
          <w:tcPr>
            <w:tcW w:w="386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comprehensive loss</w:t>
            </w:r>
          </w:p>
        </w:tc>
        <w:tc>
          <w:tcPr>
            <w:tcW w:w="16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167,288</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774</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168,062</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19,237</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187,299</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June 30, 2026</w:t>
            </w:r>
          </w:p>
        </w:tc>
        <w:tc>
          <w:tcPr>
            <w:tcW w:w="166" w:type="dxa"/>
            <w:tcBorders>
              <w:left w:val="single" w:sz="2" w:space="0" w:color="000000"/>
              <w:bottom w:val="double" w:sz="6"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183</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(105,086)</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223,208</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463,935</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16,536</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7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598,776</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120,524</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719,300</w:t>
            </w:r>
          </w:p>
        </w:tc>
      </w:tr>
      <w:tr>
        <w:trPr/>
        <w:tc>
          <w:tcPr>
            <w:tcW w:w="3862" w:type="dxa"/>
            <w:tcBorders/>
            <w:vAlign w:val="center"/>
          </w:tcPr>
          <w:p>
            <w:pPr>
              <w:pStyle w:val="TableContents"/>
              <w:bidi w:val="0"/>
              <w:spacing w:before="0" w:after="0"/>
              <w:ind w:left="0" w:right="0" w:hanging="0"/>
              <w:jc w:val="left"/>
              <w:rPr/>
            </w:pPr>
            <w:r>
              <w:rPr/>
              <w:t>​</w:t>
            </w:r>
          </w:p>
        </w:tc>
        <w:tc>
          <w:tcPr>
            <w:tcW w:w="16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pPr>
            <w:r>
              <w:rPr/>
              <w:t>​</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March 31, 2025</w:t>
            </w:r>
          </w:p>
        </w:tc>
        <w:tc>
          <w:tcPr>
            <w:tcW w:w="16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180</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(103,143)</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214,362</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350,728</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11,208</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473,335</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107,385</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580,720</w:t>
            </w:r>
          </w:p>
        </w:tc>
      </w:tr>
      <w:tr>
        <w:trPr/>
        <w:tc>
          <w:tcPr>
            <w:tcW w:w="386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Issuance of 43,476</w:t>
            </w:r>
            <w:r>
              <w:rPr>
                <w:rFonts w:ascii="Times New Roman;Times;serif" w:hAnsi="Times New Roman;Times;serif"/>
                <w:sz w:val="14"/>
              </w:rPr>
              <w:t xml:space="preserve"> </w:t>
            </w:r>
            <w:r>
              <w:rPr>
                <w:rFonts w:ascii="Times New Roman;Times;serif" w:hAnsi="Times New Roman;Times;serif"/>
                <w:sz w:val="15"/>
              </w:rPr>
              <w:t>common units</w:t>
            </w:r>
          </w:p>
        </w:tc>
        <w:tc>
          <w:tcPr>
            <w:tcW w:w="166"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w:t>
            </w:r>
          </w:p>
        </w:tc>
        <w:tc>
          <w:tcPr>
            <w:tcW w:w="16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pPr>
            <w:r>
              <w:rPr/>
              <w:t>—</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Purchase of 2,615</w:t>
            </w:r>
            <w:r>
              <w:rPr>
                <w:rFonts w:ascii="Times New Roman;Times;serif" w:hAnsi="Times New Roman;Times;serif"/>
                <w:sz w:val="14"/>
              </w:rPr>
              <w:t xml:space="preserve"> </w:t>
            </w:r>
            <w:r>
              <w:rPr>
                <w:rFonts w:ascii="Times New Roman;Times;serif" w:hAnsi="Times New Roman;Times;serif"/>
                <w:sz w:val="15"/>
              </w:rPr>
              <w:t xml:space="preserve">shares of common stock </w:t>
            </w:r>
          </w:p>
        </w:tc>
        <w:tc>
          <w:tcPr>
            <w:tcW w:w="166"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4"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(40)</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(40)</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(40)</w:t>
            </w:r>
          </w:p>
        </w:tc>
      </w:tr>
      <w:tr>
        <w:trPr/>
        <w:tc>
          <w:tcPr>
            <w:tcW w:w="386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166"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2,495</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2,495</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191</w:t>
            </w:r>
          </w:p>
        </w:tc>
        <w:tc>
          <w:tcPr>
            <w:tcW w:w="1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2,686</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Dividends declared on common stock ($0.275</w:t>
            </w:r>
            <w:r>
              <w:rPr>
                <w:rFonts w:ascii="Times New Roman;Times;serif" w:hAnsi="Times New Roman;Times;serif"/>
                <w:sz w:val="14"/>
              </w:rPr>
              <w:t xml:space="preserve"> </w:t>
            </w:r>
            <w:r>
              <w:rPr>
                <w:rFonts w:ascii="Times New Roman;Times;serif" w:hAnsi="Times New Roman;Times;serif"/>
                <w:sz w:val="15"/>
              </w:rPr>
              <w:t>per common share)</w:t>
            </w:r>
          </w:p>
        </w:tc>
        <w:tc>
          <w:tcPr>
            <w:tcW w:w="166"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4"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(4,196)</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(4,196)</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(1,404)</w:t>
            </w:r>
          </w:p>
        </w:tc>
        <w:tc>
          <w:tcPr>
            <w:tcW w:w="166" w:type="dxa"/>
            <w:tcBorders/>
            <w:shd w:fill="CCEEFF" w:val="clear"/>
            <w:vAlign w:val="center"/>
          </w:tcPr>
          <w:p>
            <w:pPr>
              <w:pStyle w:val="TableContents"/>
              <w:bidi w:val="0"/>
              <w:spacing w:before="0" w:after="0"/>
              <w:ind w:left="0" w:right="0" w:hanging="0"/>
              <w:jc w:val="righ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(5,600)</w:t>
            </w:r>
          </w:p>
        </w:tc>
      </w:tr>
      <w:tr>
        <w:trPr/>
        <w:tc>
          <w:tcPr>
            <w:tcW w:w="386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dividend - redeemable preferred units</w:t>
            </w:r>
          </w:p>
        </w:tc>
        <w:tc>
          <w:tcPr>
            <w:tcW w:w="166"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(1,507)</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(1,507)</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(1,507)</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Deemed dividend - redeemable common units</w:t>
            </w:r>
          </w:p>
        </w:tc>
        <w:tc>
          <w:tcPr>
            <w:tcW w:w="166"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4"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(4,768)</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(4,768)</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5,115</w:t>
            </w:r>
          </w:p>
        </w:tc>
        <w:tc>
          <w:tcPr>
            <w:tcW w:w="166" w:type="dxa"/>
            <w:tcBorders/>
            <w:shd w:fill="CCEEFF" w:val="clear"/>
            <w:vAlign w:val="center"/>
          </w:tcPr>
          <w:p>
            <w:pPr>
              <w:pStyle w:val="TableContents"/>
              <w:bidi w:val="0"/>
              <w:spacing w:before="0" w:after="0"/>
              <w:ind w:left="0" w:right="0" w:hanging="0"/>
              <w:jc w:val="righ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347</w:t>
            </w:r>
          </w:p>
        </w:tc>
      </w:tr>
      <w:tr>
        <w:trPr/>
        <w:tc>
          <w:tcPr>
            <w:tcW w:w="3862" w:type="dxa"/>
            <w:tcBorders/>
            <w:vAlign w:val="center"/>
          </w:tcPr>
          <w:p>
            <w:pPr>
              <w:pStyle w:val="TableContents"/>
              <w:bidi w:val="0"/>
              <w:spacing w:before="0" w:after="0"/>
              <w:ind w:left="0" w:right="0" w:hanging="0"/>
              <w:jc w:val="left"/>
              <w:rPr>
                <w:rFonts w:ascii="Times New Roman;Times;serif" w:hAnsi="Times New Roman;Times;serif"/>
                <w:i/>
                <w:sz w:val="15"/>
              </w:rPr>
            </w:pPr>
            <w:r>
              <w:rPr>
                <w:rFonts w:ascii="Times New Roman;Times;serif" w:hAnsi="Times New Roman;Times;serif"/>
                <w:i/>
                <w:sz w:val="15"/>
              </w:rPr>
              <w:t>Comprehensive income:</w:t>
            </w:r>
          </w:p>
        </w:tc>
        <w:tc>
          <w:tcPr>
            <w:tcW w:w="16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pPr>
            <w:r>
              <w:rPr/>
              <w:t>​</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166"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4"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(7,026)</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(7,026)</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(2,234)</w:t>
            </w:r>
          </w:p>
        </w:tc>
        <w:tc>
          <w:tcPr>
            <w:tcW w:w="166" w:type="dxa"/>
            <w:tcBorders/>
            <w:shd w:fill="CCEEFF" w:val="clear"/>
            <w:vAlign w:val="center"/>
          </w:tcPr>
          <w:p>
            <w:pPr>
              <w:pStyle w:val="TableContents"/>
              <w:bidi w:val="0"/>
              <w:spacing w:before="0" w:after="0"/>
              <w:ind w:left="0" w:right="0" w:hanging="0"/>
              <w:jc w:val="righ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(9,260)</w:t>
            </w:r>
          </w:p>
        </w:tc>
      </w:tr>
      <w:tr>
        <w:trPr/>
        <w:tc>
          <w:tcPr>
            <w:tcW w:w="386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comprehensive income</w:t>
            </w:r>
          </w:p>
        </w:tc>
        <w:tc>
          <w:tcPr>
            <w:tcW w:w="16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righ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426</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426</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426</w:t>
            </w:r>
          </w:p>
        </w:tc>
      </w:tr>
      <w:tr>
        <w:trPr/>
        <w:tc>
          <w:tcPr>
            <w:tcW w:w="386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comprehensive income (loss)</w:t>
            </w:r>
          </w:p>
        </w:tc>
        <w:tc>
          <w:tcPr>
            <w:tcW w:w="16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(7,026)</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426</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(6,600)</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(2,234)</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(8,834)</w:t>
            </w:r>
          </w:p>
        </w:tc>
      </w:tr>
      <w:tr>
        <w:trPr/>
        <w:tc>
          <w:tcPr>
            <w:tcW w:w="386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June 30, 2025</w:t>
            </w:r>
          </w:p>
        </w:tc>
        <w:tc>
          <w:tcPr>
            <w:tcW w:w="166" w:type="dxa"/>
            <w:tcBorders>
              <w:left w:val="single" w:sz="2" w:space="0" w:color="000000"/>
              <w:bottom w:val="double" w:sz="6"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181</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(103,183)</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216,856</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333,231</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11,634</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7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458,719</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109,053</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73" w:type="dxa"/>
            <w:tcBorders>
              <w:bottom w:val="double" w:sz="6" w:space="0" w:color="000000"/>
            </w:tcBorders>
            <w:tcMar>
              <w:bottom w:w="28" w:type="dxa"/>
            </w:tcMar>
            <w:vAlign w:val="center"/>
          </w:tcPr>
          <w:p>
            <w:pPr>
              <w:pStyle w:val="TableContents"/>
              <w:bidi w:val="0"/>
              <w:spacing w:before="0" w:after="0"/>
              <w:ind w:left="0" w:right="30" w:hanging="0"/>
              <w:jc w:val="right"/>
              <w:rPr>
                <w:rFonts w:ascii="Times New Roman;Times;serif" w:hAnsi="Times New Roman;Times;serif"/>
                <w:sz w:val="11"/>
              </w:rPr>
            </w:pPr>
            <w:r>
              <w:rPr>
                <w:rFonts w:ascii="Times New Roman;Times;serif" w:hAnsi="Times New Roman;Times;serif"/>
                <w:sz w:val="11"/>
              </w:rPr>
              <w:t>567,772</w:t>
            </w:r>
          </w:p>
        </w:tc>
      </w:tr>
    </w:tbl>
    <w:p>
      <w:pPr>
        <w:pStyle w:val="TextBody"/>
        <w:bidi w:val="0"/>
        <w:spacing w:before="0" w:after="0"/>
        <w:ind w:left="0" w:right="0" w:hanging="0"/>
        <w:jc w:val="center"/>
        <w:rPr/>
      </w:pPr>
      <w:r>
        <w:rPr/>
        <w:t>​</w:t>
      </w:r>
    </w:p>
    <w:p>
      <w:pPr>
        <w:pStyle w:val="TextBody"/>
        <w:bidi w:val="0"/>
        <w:spacing w:before="0" w:after="20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20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73" w:name="Tc_cAjKY6EPqU24c33xHHzLPg_31_15"/>
      <w:bookmarkStart w:id="674" w:name="Tc_PxFy8_55u0SCX4lrjkMDBw_31_13"/>
      <w:bookmarkStart w:id="675" w:name="Tc_nlf_NPuhuUqm1EsgLTocZg_31_11"/>
      <w:bookmarkStart w:id="676" w:name="Tc_nNvhD_4SiEGxq0b10qqagg_31_9"/>
      <w:bookmarkStart w:id="677" w:name="Tc_nRVa58wUNk23hTsNpqilEA_31_7"/>
      <w:bookmarkStart w:id="678" w:name="Tc__xCqPhfq90OyzZpVIBNhvA_31_5"/>
      <w:bookmarkStart w:id="679" w:name="Tc_0D37xjGqy0CuwkTydSOsnA_31_3"/>
      <w:bookmarkStart w:id="680" w:name="Tc_s6jkH0vkaESmBFH5ANmz7g_31_1"/>
      <w:bookmarkStart w:id="681" w:name="Tc_xPMC5iYCy0uIisc4aMmqUA_31_0"/>
      <w:bookmarkStart w:id="682" w:name="Tc_Y00OAu2JcECRy3tfqyiyeg_30_6"/>
      <w:bookmarkStart w:id="683" w:name="Tc_P-Fa-DhEwkuAmb-pv3Zlnw_30_4"/>
      <w:bookmarkStart w:id="684" w:name="Tc_BjMSpLrGsEeksrYDw10CHA_30_2"/>
      <w:bookmarkStart w:id="685" w:name="Tc_eKfDg-1mx0eicREtWcS5Ug_30_0"/>
      <w:bookmarkStart w:id="686" w:name="Tc_A0Pw4TamCUKHXoZkhJuTDg_29_14"/>
      <w:bookmarkStart w:id="687" w:name="Tc_lsd9jb38p02hjBx7h5ygIg_29_8"/>
      <w:bookmarkStart w:id="688" w:name="Tc_w1EdWvM9XEi7TUXNjhLLFg_29_6"/>
      <w:bookmarkStart w:id="689" w:name="Tc_1hA43TUXEEqhB58y32SgmQ_29_4"/>
      <w:bookmarkStart w:id="690" w:name="Tc_9q-A1DqeH0i5Novycg1STQ_29_2"/>
      <w:bookmarkStart w:id="691" w:name="Tc_D36y9v36TUmlTj6wgeaxUA_29_0"/>
      <w:bookmarkStart w:id="692" w:name="Tc_EpEeD8_UPUObzWpYC5_dAw_28_10"/>
      <w:bookmarkStart w:id="693" w:name="Tc_Ihq-9J0pxE-XINu3APwNdw_28_6"/>
      <w:bookmarkStart w:id="694" w:name="Tc_Po3_j3XUK0qg7-rvekfRwQ_28_4"/>
      <w:bookmarkStart w:id="695" w:name="Tc_GgOhhcBTMkeT7Ptjo-6frw_28_2"/>
      <w:bookmarkStart w:id="696" w:name="Tc_zo1BErqN2kqsBb7G5A3chw_28_0"/>
      <w:bookmarkStart w:id="697" w:name="Tc_pH3ubz2xcUO2RJR3MY0W3g_27_0"/>
      <w:bookmarkStart w:id="698" w:name="Tc_b5Z8IN8sAUGRR2Ns-3Z5cA_26_10"/>
      <w:bookmarkStart w:id="699" w:name="Tc_wq-yGD90-UKWzb2j0kMzTg_26_6"/>
      <w:bookmarkStart w:id="700" w:name="Tc_4ABzlOSR1UezR3pYHbF5lA_26_4"/>
      <w:bookmarkStart w:id="701" w:name="Tc_xC_YNJycm02uqmBfL71kMg_26_2"/>
      <w:bookmarkStart w:id="702" w:name="Tc_OMkUVUKDZ0m3OYNmDMW_FQ_26_0"/>
      <w:bookmarkStart w:id="703" w:name="Tc_helaUlsjWUO76IxgTEldTg_25_14"/>
      <w:bookmarkStart w:id="704" w:name="Tc_0YUu1qbWgUirc3NmYlWaqQ_25_10"/>
      <w:bookmarkStart w:id="705" w:name="Tc_C3EKNbBsoEW0h4hn4SRCcw_25_6"/>
      <w:bookmarkStart w:id="706" w:name="Tc_p5LCBnhAK0yUqj_xuryBuw_25_4"/>
      <w:bookmarkStart w:id="707" w:name="Tc_qYGt2cfOVECxvCgLPolPcQ_25_2"/>
      <w:bookmarkStart w:id="708" w:name="Tc_DbYcwdl50UaiXI02dtJ1hg_25_0"/>
      <w:bookmarkStart w:id="709" w:name="Tc_xwU__os89kWVmoqW3cc6eA_24_10"/>
      <w:bookmarkStart w:id="710" w:name="Tc_EnXSJzTkYk-ZX-UiPRjeWA_24_8"/>
      <w:bookmarkStart w:id="711" w:name="Tc_v4JOdT2vQkiEITDAosilUw_24_4"/>
      <w:bookmarkStart w:id="712" w:name="Tc_MnALWBeF70SOgVL1lsutig_24_2"/>
      <w:bookmarkStart w:id="713" w:name="Tc_AZR957dZg0Si4HEPTytIXQ_24_0"/>
      <w:bookmarkStart w:id="714" w:name="Tc_jM1v7HSwNk-QqzJXtGdXvw_23_10"/>
      <w:bookmarkStart w:id="715" w:name="Tc_FYqs6evE40Gr3A42BO0uFw_23_6"/>
      <w:bookmarkStart w:id="716" w:name="Tc_ELQpwHNXC06cEJgC_OkW8w_23_4"/>
      <w:bookmarkStart w:id="717" w:name="Tc_pTDWFouM_EaTRKAxOfIWYw_23_2"/>
      <w:bookmarkStart w:id="718" w:name="Tc_HbMcIgHOEEKKRkAzQVGuTw_23_0"/>
      <w:bookmarkStart w:id="719" w:name="Tc_z24-OWtwIkSnHsGIxQKjYQ_22_10"/>
      <w:bookmarkStart w:id="720" w:name="Tc_HE5AFGDoeUW_jnMgbGSBOA_22_8"/>
      <w:bookmarkStart w:id="721" w:name="Tc_HgNuCs19w0iQyrOFxyJgyw_22_4"/>
      <w:bookmarkStart w:id="722" w:name="Tc_QSCtreIhP0-eFuyqiLeq4g_22_2"/>
      <w:bookmarkStart w:id="723" w:name="Tc_J54_ufrLY0Kasx2TJWJIKA_22_0"/>
      <w:bookmarkStart w:id="724" w:name="Tc_uA7EaCkaWk6AAq5vzT-ReA_21_14"/>
      <w:bookmarkStart w:id="725" w:name="Tc__FjZMY-B-0GHpM4T7yRavQ_21_10"/>
      <w:bookmarkStart w:id="726" w:name="Tc_Q-ppBwNBvka2Qo1_ZQOjFg_21_8"/>
      <w:bookmarkStart w:id="727" w:name="Tc_pthVbaE3LkCMspBDGDflUA_21_6"/>
      <w:bookmarkStart w:id="728" w:name="Tc_HbSShTAfIE68zWs7fx9NXw_21_2"/>
      <w:bookmarkStart w:id="729" w:name="Tc_cCHc653ukk6rfU7mACYoeA_21_0"/>
      <w:bookmarkStart w:id="730" w:name="Tc_y6-FfzKDSUmC8X2pPuaWAw_20_16"/>
      <w:bookmarkStart w:id="731" w:name="Tc_J4xQMl_VAkO7XjB9jzTlzg_20_14"/>
      <w:bookmarkStart w:id="732" w:name="Tc_E6QcEKnmNEe2mOD-923IzQ_20_12"/>
      <w:bookmarkStart w:id="733" w:name="Tc_DRT3B_Lv30a_s_ru1GEdVA_20_10"/>
      <w:bookmarkStart w:id="734" w:name="Tc_JpvkH5BDEU2fwrwsjAeyUQ_20_8"/>
      <w:bookmarkStart w:id="735" w:name="Tc_NbfPh645eUWxtRNnpLVF_Q_20_4"/>
      <w:bookmarkStart w:id="736" w:name="Tc_rNKJ7ITa70eII9gmb0P5xw_20_0"/>
      <w:bookmarkStart w:id="737" w:name="Tc_C3MD_smkjEWH3JG-hEvWow_19_15"/>
      <w:bookmarkStart w:id="738" w:name="Tc_Mivxk_s6l0q5uUfar010hw_19_13"/>
      <w:bookmarkStart w:id="739" w:name="Tc_2WyoH5KdKUKhbUtjK1eDiQ_19_11"/>
      <w:bookmarkStart w:id="740" w:name="Tc_tyEhx5AXX0KZDykbMu7dFg_19_9"/>
      <w:bookmarkStart w:id="741" w:name="Tc_afPq77hNdEu1WusgwDYr6A_19_7"/>
      <w:bookmarkStart w:id="742" w:name="Tc_Sc43ajTOg0G4oWjALy1Rbw_19_5"/>
      <w:bookmarkStart w:id="743" w:name="Tc_Xo_yyC4Za0-fLd_Bz1K2og_19_3"/>
      <w:bookmarkStart w:id="744" w:name="Tc_SeQg_iT_Qk2SozJv-4ZKTw_19_1"/>
      <w:bookmarkStart w:id="745" w:name="Tc_03ZQIm5V8EqPcuMqotIPNg_19_0"/>
      <w:bookmarkStart w:id="746" w:name="Tc_kH6pJfEnN0eNQSDSi72Ugg_17_15"/>
      <w:bookmarkStart w:id="747" w:name="Tc_lkc4jQ2vGEq4ajNGJwRYUQ_17_13"/>
      <w:bookmarkStart w:id="748" w:name="Tc_mtW4md8VvkqE8tUdW7Aj7w_17_11"/>
      <w:bookmarkStart w:id="749" w:name="Tc_9GFJOnPE5UWjMFs5-SPGHg_17_9"/>
      <w:bookmarkStart w:id="750" w:name="Tc_ZbKPdcQKlUGsuClvA8vNeQ_17_7"/>
      <w:bookmarkStart w:id="751" w:name="Tc_O-e5FCg5MEGRUR0VisCAlw_17_5"/>
      <w:bookmarkStart w:id="752" w:name="Tc_FumYJWhq4U6S3tk_xZMozA_17_3"/>
      <w:bookmarkStart w:id="753" w:name="Tc_i8RwyRVX702Q_eQuA3neFQ_17_1"/>
      <w:bookmarkStart w:id="754" w:name="Tc_UNXgYtdEBkmFUE8YvQBAyA_17_0"/>
      <w:bookmarkStart w:id="755" w:name="Tc_draIUV4r0kS5grIdnj2_gg_16_6"/>
      <w:bookmarkStart w:id="756" w:name="Tc_wL5tIYKMJEepX2WxRH2ZCQ_16_4"/>
      <w:bookmarkStart w:id="757" w:name="Tc_8A8rK8dQvE6r-cwYqhatUw_16_2"/>
      <w:bookmarkStart w:id="758" w:name="Tc_ujffEh97hESgm4vwOfsHbw_16_0"/>
      <w:bookmarkStart w:id="759" w:name="Tc_lp36x0o-lU2WoCb3sy-BuQ_15_14"/>
      <w:bookmarkStart w:id="760" w:name="Tc_EE3gCNmxk0iQLEdnl9tDRA_15_8"/>
      <w:bookmarkStart w:id="761" w:name="Tc_RK63hVXD00SHMkYVsvQ6iQ_15_6"/>
      <w:bookmarkStart w:id="762" w:name="Tc_5PlcaS7WRUmperXwcKaLxw_15_4"/>
      <w:bookmarkStart w:id="763" w:name="Tc_VNlBBHHE4kytH_Owh-4AKQ_15_2"/>
      <w:bookmarkStart w:id="764" w:name="Tc_1VqGGriGrU6FzWvdRrcw7Q_15_0"/>
      <w:bookmarkStart w:id="765" w:name="Tc_-mFeQuoiS0iHRnJkZQHcHA_14_10"/>
      <w:bookmarkStart w:id="766" w:name="Tc_x6GxdQvlYECEVxcFpaxmiA_14_6"/>
      <w:bookmarkStart w:id="767" w:name="Tc_FSws2xl7PkC2QkvoSLCFVA_14_4"/>
      <w:bookmarkStart w:id="768" w:name="Tc_DXg1zKs8j0yH5KaXBVRfmw_14_2"/>
      <w:bookmarkStart w:id="769" w:name="Tc_ABbVjNQYZECVj8lM24YjcQ_14_0"/>
      <w:bookmarkStart w:id="770" w:name="Tc_PzCha7CVYEOMqjBPkOe3IQ_13_0"/>
      <w:bookmarkStart w:id="771" w:name="Tc_S0Z8IP_FFU6XthreeupvJQ_12_10"/>
      <w:bookmarkStart w:id="772" w:name="Tc_13Pzq7VYS0WqC3SwQm_2Lw_12_6"/>
      <w:bookmarkStart w:id="773" w:name="Tc_jHOJz-kJzEGGIVXeyWr7Iw_12_4"/>
      <w:bookmarkStart w:id="774" w:name="Tc_2woIifpPVUS79JXGT86-bA_12_2"/>
      <w:bookmarkStart w:id="775" w:name="Tc_jmVNWvX47kO0lrk7a9VE5A_12_0"/>
      <w:bookmarkStart w:id="776" w:name="Tc_FthD7Cd2xkmueaXoovXVWw_11_14"/>
      <w:bookmarkStart w:id="777" w:name="Tc_m0KJCCtvPkW2weJuU7r77Q_11_10"/>
      <w:bookmarkStart w:id="778" w:name="Tc__IfHWSD8s0i6XWFPqyDXMQ_11_6"/>
      <w:bookmarkStart w:id="779" w:name="Tc_aKwroMH8JUyHA_cZfCXwbQ_11_4"/>
      <w:bookmarkStart w:id="780" w:name="Tc_vkkgYbRQ0U2Kc6xWLB0Lcg_11_2"/>
      <w:bookmarkStart w:id="781" w:name="Tc_uO83Q_gMSkW3ThNIQ4qaVg_11_0"/>
      <w:bookmarkStart w:id="782" w:name="Tc_1x72WC8hnkWfObGlRI6Eaw_10_10"/>
      <w:bookmarkStart w:id="783" w:name="Tc_ABDpLGO0sk-0c6llQdjd8Q_10_8"/>
      <w:bookmarkStart w:id="784" w:name="Tc_tffshme6zEeSoZsaXL89kg_10_4"/>
      <w:bookmarkStart w:id="785" w:name="Tc_CdPJeZC1ZES3vCrHMm4QkQ_10_2"/>
      <w:bookmarkStart w:id="786" w:name="Tc_jA1sEfsaV0KebpvNYfrQSQ_10_0"/>
      <w:bookmarkStart w:id="787" w:name="Tc_8sQXpxkUPk-kiGlpPx3Rnw_9_10"/>
      <w:bookmarkStart w:id="788" w:name="Tc_c9TR7_2mvk6l9ba_W89Vug_9_6"/>
      <w:bookmarkStart w:id="789" w:name="Tc_QNbfgBEF4U6fuyVcdEbmVg_9_4"/>
      <w:bookmarkStart w:id="790" w:name="Tc_88NP1jMDUEamGjfKGSeCsA_9_2"/>
      <w:bookmarkStart w:id="791" w:name="Tc_8iC2-LfdwUKpkYoPps3O5w_9_0"/>
      <w:bookmarkStart w:id="792" w:name="Tc_w9tUGLloO06JApKSKNKsVg_8_10"/>
      <w:bookmarkStart w:id="793" w:name="Tc_DMXmEfS_5k-iepIImHd9hw_8_8"/>
      <w:bookmarkStart w:id="794" w:name="Tc_CUH-ApECFE-UnNNMcfGBEA_8_4"/>
      <w:bookmarkStart w:id="795" w:name="Tc_7bb0P6073U2sCvELl8YN5g_8_2"/>
      <w:bookmarkStart w:id="796" w:name="Tc_j8_SOY8rpEiFeo-M1VlixQ_8_0"/>
      <w:bookmarkStart w:id="797" w:name="Tc_SGDDIyIRLU2Ka7YXD3F60w_7_14"/>
      <w:bookmarkStart w:id="798" w:name="Tc_2QTZSDLowkCifNeOecwc9g_7_10"/>
      <w:bookmarkStart w:id="799" w:name="Tc_5P8zvXqg-kmREaeY7Oq5QQ_7_8"/>
      <w:bookmarkStart w:id="800" w:name="Tc_txlTZnJNnEK_aONDClWZ6g_7_6"/>
      <w:bookmarkStart w:id="801" w:name="Tc_e9DkQVq7v0anCjgy8Y0dnQ_7_2"/>
      <w:bookmarkStart w:id="802" w:name="Tc_NoxmQBVumkK0-9Yx7qcvyA_7_0"/>
      <w:bookmarkStart w:id="803" w:name="Tc_FMPp2roDCUiBWXv4bZYIww_6_16"/>
      <w:bookmarkStart w:id="804" w:name="Tc_3Bt_fis6dUCHJgg1VEsjZw_6_14"/>
      <w:bookmarkStart w:id="805" w:name="Tc_w6QfNkKKrkaPTOq0KknOCA_6_12"/>
      <w:bookmarkStart w:id="806" w:name="Tc__dImYjGOeUyqemqpXNtHEQ_6_10"/>
      <w:bookmarkStart w:id="807" w:name="Tc_ywmyUejDtk-NebGTFPLUNw_6_8"/>
      <w:bookmarkStart w:id="808" w:name="Tc_grXUpwZOQUOJ2x61Gpvj4A_6_4"/>
      <w:bookmarkStart w:id="809" w:name="Tc_aCSn2l4MPk-wIZXjYQDhZw_6_0"/>
      <w:bookmarkStart w:id="810" w:name="Tc_ee9FvRZFi06cxEiOmmTdag_5_15"/>
      <w:bookmarkStart w:id="811" w:name="Tc_-MwHUK1lCUmIgN7N_5Eehw_5_13"/>
      <w:bookmarkStart w:id="812" w:name="Tc_k_MURBLxiEuVj0Iz5IfXrw_5_11"/>
      <w:bookmarkStart w:id="813" w:name="Tc__V4uBH5vjECEjzMRGvjmfA_5_9"/>
      <w:bookmarkStart w:id="814" w:name="Tc_TtIzYB_edk-FhMdrAeiWGw_5_7"/>
      <w:bookmarkStart w:id="815" w:name="Tc_nOc1XiruJ0-vraVifFPiYg_5_5"/>
      <w:bookmarkStart w:id="816" w:name="Tc_zfM3s8J1VkaSVAD2DBt4WA_5_3"/>
      <w:bookmarkStart w:id="817" w:name="Tc_c7GOxkwFmUCSiKfEVVAGjA_5_1"/>
      <w:bookmarkStart w:id="818" w:name="Tc_dqAe35IookCYBDDtKBYvGg_5_0"/>
      <w:bookmarkStart w:id="819" w:name="Tc_TJYljCrq4UifaLKoz0LCgA_4_16"/>
      <w:bookmarkStart w:id="820" w:name="Tc_CLbILcNmt0m_Z2J_jweVig_4_14"/>
      <w:bookmarkStart w:id="821" w:name="Tc_RFRbpeK48Uuvq8GmCeihYA_4_12"/>
      <w:bookmarkStart w:id="822" w:name="Tc_6PBylBv45EyIqVM04AZg4g_4_10"/>
      <w:bookmarkStart w:id="823" w:name="Tc_6wVdgbOk5kaEWClnytlD_w_4_8"/>
      <w:bookmarkStart w:id="824" w:name="Tc_QHj05A3u10GOKwE3PFVNig_4_6"/>
      <w:bookmarkStart w:id="825" w:name="Tc_OdiSKmSffkmEtpP6qlhJUg_4_4"/>
      <w:bookmarkStart w:id="826" w:name="Tc_8050Zedxl0agTfUve6Juiw_4_2"/>
      <w:bookmarkStart w:id="827" w:name="Tc_OlkhfwBXuECweWGpUENflQ_3_16"/>
      <w:bookmarkStart w:id="828" w:name="Tc_hKjMncxPBEytnBfPYhWMDA_3_14"/>
      <w:bookmarkStart w:id="829" w:name="Tc_CttKbVApzESZglUyiCxWgw_3_12"/>
      <w:bookmarkStart w:id="830" w:name="Tc_2h769cWO9k6uh88kJo8RKA_3_10"/>
      <w:bookmarkStart w:id="831" w:name="Tc_RXrJx_2iUE67mp_wZNaVZw_3_8"/>
      <w:bookmarkStart w:id="832" w:name="Tc_R4EEq_JVWkOo-4M7BQlXmg_3_6"/>
      <w:bookmarkStart w:id="833" w:name="Tc_JsQlOQBdakCvxEuYc6SfEA_3_4"/>
      <w:bookmarkStart w:id="834" w:name="Tc_lc1F8On7TUm2GHazhzrImA_3_2"/>
      <w:bookmarkStart w:id="835" w:name="Tc_drJ-fg3vcEamMdn8ojBzqg_2_14"/>
      <w:bookmarkStart w:id="836" w:name="Tc_xQU6l9dn1kCuAid8WOCaBw_2_12"/>
      <w:bookmarkStart w:id="837" w:name="Tc_TgDix-AJT020s4vWC-f-nQ_2_10"/>
      <w:bookmarkStart w:id="838" w:name="Tc_82SEB9pOVkmBdQtkIXS3Jg_2_6"/>
      <w:bookmarkStart w:id="839" w:name="Tc_AUMPSSL_Q0esRu5MGmmp6Q_2_4"/>
      <w:bookmarkStart w:id="840" w:name="Tc_wbNSPiGuCU6hDYzgSw41qQ_1_1"/>
      <w:bookmarkStart w:id="841" w:name="_01d6e500_e07a_49ba_a7af_748a743aa37a"/>
      <w:bookmarkStart w:id="842" w:name="Tc_cAjKY6EPqU24c33xHHzLPg_31_15"/>
      <w:bookmarkStart w:id="843" w:name="Tc_PxFy8_55u0SCX4lrjkMDBw_31_13"/>
      <w:bookmarkStart w:id="844" w:name="Tc_nlf_NPuhuUqm1EsgLTocZg_31_11"/>
      <w:bookmarkStart w:id="845" w:name="Tc_nNvhD_4SiEGxq0b10qqagg_31_9"/>
      <w:bookmarkStart w:id="846" w:name="Tc_nRVa58wUNk23hTsNpqilEA_31_7"/>
      <w:bookmarkStart w:id="847" w:name="Tc__xCqPhfq90OyzZpVIBNhvA_31_5"/>
      <w:bookmarkStart w:id="848" w:name="Tc_0D37xjGqy0CuwkTydSOsnA_31_3"/>
      <w:bookmarkStart w:id="849" w:name="Tc_s6jkH0vkaESmBFH5ANmz7g_31_1"/>
      <w:bookmarkStart w:id="850" w:name="Tc_xPMC5iYCy0uIisc4aMmqUA_31_0"/>
      <w:bookmarkStart w:id="851" w:name="Tc_Y00OAu2JcECRy3tfqyiyeg_30_6"/>
      <w:bookmarkStart w:id="852" w:name="Tc_P-Fa-DhEwkuAmb-pv3Zlnw_30_4"/>
      <w:bookmarkStart w:id="853" w:name="Tc_BjMSpLrGsEeksrYDw10CHA_30_2"/>
      <w:bookmarkStart w:id="854" w:name="Tc_eKfDg-1mx0eicREtWcS5Ug_30_0"/>
      <w:bookmarkStart w:id="855" w:name="Tc_A0Pw4TamCUKHXoZkhJuTDg_29_14"/>
      <w:bookmarkStart w:id="856" w:name="Tc_lsd9jb38p02hjBx7h5ygIg_29_8"/>
      <w:bookmarkStart w:id="857" w:name="Tc_w1EdWvM9XEi7TUXNjhLLFg_29_6"/>
      <w:bookmarkStart w:id="858" w:name="Tc_1hA43TUXEEqhB58y32SgmQ_29_4"/>
      <w:bookmarkStart w:id="859" w:name="Tc_9q-A1DqeH0i5Novycg1STQ_29_2"/>
      <w:bookmarkStart w:id="860" w:name="Tc_D36y9v36TUmlTj6wgeaxUA_29_0"/>
      <w:bookmarkStart w:id="861" w:name="Tc_EpEeD8_UPUObzWpYC5_dAw_28_10"/>
      <w:bookmarkStart w:id="862" w:name="Tc_Ihq-9J0pxE-XINu3APwNdw_28_6"/>
      <w:bookmarkStart w:id="863" w:name="Tc_Po3_j3XUK0qg7-rvekfRwQ_28_4"/>
      <w:bookmarkStart w:id="864" w:name="Tc_GgOhhcBTMkeT7Ptjo-6frw_28_2"/>
      <w:bookmarkStart w:id="865" w:name="Tc_zo1BErqN2kqsBb7G5A3chw_28_0"/>
      <w:bookmarkStart w:id="866" w:name="Tc_pH3ubz2xcUO2RJR3MY0W3g_27_0"/>
      <w:bookmarkStart w:id="867" w:name="Tc_b5Z8IN8sAUGRR2Ns-3Z5cA_26_10"/>
      <w:bookmarkStart w:id="868" w:name="Tc_wq-yGD90-UKWzb2j0kMzTg_26_6"/>
      <w:bookmarkStart w:id="869" w:name="Tc_4ABzlOSR1UezR3pYHbF5lA_26_4"/>
      <w:bookmarkStart w:id="870" w:name="Tc_xC_YNJycm02uqmBfL71kMg_26_2"/>
      <w:bookmarkStart w:id="871" w:name="Tc_OMkUVUKDZ0m3OYNmDMW_FQ_26_0"/>
      <w:bookmarkStart w:id="872" w:name="Tc_helaUlsjWUO76IxgTEldTg_25_14"/>
      <w:bookmarkStart w:id="873" w:name="Tc_0YUu1qbWgUirc3NmYlWaqQ_25_10"/>
      <w:bookmarkStart w:id="874" w:name="Tc_C3EKNbBsoEW0h4hn4SRCcw_25_6"/>
      <w:bookmarkStart w:id="875" w:name="Tc_p5LCBnhAK0yUqj_xuryBuw_25_4"/>
      <w:bookmarkStart w:id="876" w:name="Tc_qYGt2cfOVECxvCgLPolPcQ_25_2"/>
      <w:bookmarkStart w:id="877" w:name="Tc_DbYcwdl50UaiXI02dtJ1hg_25_0"/>
      <w:bookmarkStart w:id="878" w:name="Tc_xwU__os89kWVmoqW3cc6eA_24_10"/>
      <w:bookmarkStart w:id="879" w:name="Tc_EnXSJzTkYk-ZX-UiPRjeWA_24_8"/>
      <w:bookmarkStart w:id="880" w:name="Tc_v4JOdT2vQkiEITDAosilUw_24_4"/>
      <w:bookmarkStart w:id="881" w:name="Tc_MnALWBeF70SOgVL1lsutig_24_2"/>
      <w:bookmarkStart w:id="882" w:name="Tc_AZR957dZg0Si4HEPTytIXQ_24_0"/>
      <w:bookmarkStart w:id="883" w:name="Tc_jM1v7HSwNk-QqzJXtGdXvw_23_10"/>
      <w:bookmarkStart w:id="884" w:name="Tc_FYqs6evE40Gr3A42BO0uFw_23_6"/>
      <w:bookmarkStart w:id="885" w:name="Tc_ELQpwHNXC06cEJgC_OkW8w_23_4"/>
      <w:bookmarkStart w:id="886" w:name="Tc_pTDWFouM_EaTRKAxOfIWYw_23_2"/>
      <w:bookmarkStart w:id="887" w:name="Tc_HbMcIgHOEEKKRkAzQVGuTw_23_0"/>
      <w:bookmarkStart w:id="888" w:name="Tc_z24-OWtwIkSnHsGIxQKjYQ_22_10"/>
      <w:bookmarkStart w:id="889" w:name="Tc_HE5AFGDoeUW_jnMgbGSBOA_22_8"/>
      <w:bookmarkStart w:id="890" w:name="Tc_HgNuCs19w0iQyrOFxyJgyw_22_4"/>
      <w:bookmarkStart w:id="891" w:name="Tc_QSCtreIhP0-eFuyqiLeq4g_22_2"/>
      <w:bookmarkStart w:id="892" w:name="Tc_J54_ufrLY0Kasx2TJWJIKA_22_0"/>
      <w:bookmarkStart w:id="893" w:name="Tc_uA7EaCkaWk6AAq5vzT-ReA_21_14"/>
      <w:bookmarkStart w:id="894" w:name="Tc__FjZMY-B-0GHpM4T7yRavQ_21_10"/>
      <w:bookmarkStart w:id="895" w:name="Tc_Q-ppBwNBvka2Qo1_ZQOjFg_21_8"/>
      <w:bookmarkStart w:id="896" w:name="Tc_pthVbaE3LkCMspBDGDflUA_21_6"/>
      <w:bookmarkStart w:id="897" w:name="Tc_HbSShTAfIE68zWs7fx9NXw_21_2"/>
      <w:bookmarkStart w:id="898" w:name="Tc_cCHc653ukk6rfU7mACYoeA_21_0"/>
      <w:bookmarkStart w:id="899" w:name="Tc_y6-FfzKDSUmC8X2pPuaWAw_20_16"/>
      <w:bookmarkStart w:id="900" w:name="Tc_J4xQMl_VAkO7XjB9jzTlzg_20_14"/>
      <w:bookmarkStart w:id="901" w:name="Tc_E6QcEKnmNEe2mOD-923IzQ_20_12"/>
      <w:bookmarkStart w:id="902" w:name="Tc_DRT3B_Lv30a_s_ru1GEdVA_20_10"/>
      <w:bookmarkStart w:id="903" w:name="Tc_JpvkH5BDEU2fwrwsjAeyUQ_20_8"/>
      <w:bookmarkStart w:id="904" w:name="Tc_NbfPh645eUWxtRNnpLVF_Q_20_4"/>
      <w:bookmarkStart w:id="905" w:name="Tc_rNKJ7ITa70eII9gmb0P5xw_20_0"/>
      <w:bookmarkStart w:id="906" w:name="Tc_C3MD_smkjEWH3JG-hEvWow_19_15"/>
      <w:bookmarkStart w:id="907" w:name="Tc_Mivxk_s6l0q5uUfar010hw_19_13"/>
      <w:bookmarkStart w:id="908" w:name="Tc_2WyoH5KdKUKhbUtjK1eDiQ_19_11"/>
      <w:bookmarkStart w:id="909" w:name="Tc_tyEhx5AXX0KZDykbMu7dFg_19_9"/>
      <w:bookmarkStart w:id="910" w:name="Tc_afPq77hNdEu1WusgwDYr6A_19_7"/>
      <w:bookmarkStart w:id="911" w:name="Tc_Sc43ajTOg0G4oWjALy1Rbw_19_5"/>
      <w:bookmarkStart w:id="912" w:name="Tc_Xo_yyC4Za0-fLd_Bz1K2og_19_3"/>
      <w:bookmarkStart w:id="913" w:name="Tc_SeQg_iT_Qk2SozJv-4ZKTw_19_1"/>
      <w:bookmarkStart w:id="914" w:name="Tc_03ZQIm5V8EqPcuMqotIPNg_19_0"/>
      <w:bookmarkStart w:id="915" w:name="Tc_kH6pJfEnN0eNQSDSi72Ugg_17_15"/>
      <w:bookmarkStart w:id="916" w:name="Tc_lkc4jQ2vGEq4ajNGJwRYUQ_17_13"/>
      <w:bookmarkStart w:id="917" w:name="Tc_mtW4md8VvkqE8tUdW7Aj7w_17_11"/>
      <w:bookmarkStart w:id="918" w:name="Tc_9GFJOnPE5UWjMFs5-SPGHg_17_9"/>
      <w:bookmarkStart w:id="919" w:name="Tc_ZbKPdcQKlUGsuClvA8vNeQ_17_7"/>
      <w:bookmarkStart w:id="920" w:name="Tc_O-e5FCg5MEGRUR0VisCAlw_17_5"/>
      <w:bookmarkStart w:id="921" w:name="Tc_FumYJWhq4U6S3tk_xZMozA_17_3"/>
      <w:bookmarkStart w:id="922" w:name="Tc_i8RwyRVX702Q_eQuA3neFQ_17_1"/>
      <w:bookmarkStart w:id="923" w:name="Tc_UNXgYtdEBkmFUE8YvQBAyA_17_0"/>
      <w:bookmarkStart w:id="924" w:name="Tc_draIUV4r0kS5grIdnj2_gg_16_6"/>
      <w:bookmarkStart w:id="925" w:name="Tc_wL5tIYKMJEepX2WxRH2ZCQ_16_4"/>
      <w:bookmarkStart w:id="926" w:name="Tc_8A8rK8dQvE6r-cwYqhatUw_16_2"/>
      <w:bookmarkStart w:id="927" w:name="Tc_ujffEh97hESgm4vwOfsHbw_16_0"/>
      <w:bookmarkStart w:id="928" w:name="Tc_lp36x0o-lU2WoCb3sy-BuQ_15_14"/>
      <w:bookmarkStart w:id="929" w:name="Tc_EE3gCNmxk0iQLEdnl9tDRA_15_8"/>
      <w:bookmarkStart w:id="930" w:name="Tc_RK63hVXD00SHMkYVsvQ6iQ_15_6"/>
      <w:bookmarkStart w:id="931" w:name="Tc_5PlcaS7WRUmperXwcKaLxw_15_4"/>
      <w:bookmarkStart w:id="932" w:name="Tc_VNlBBHHE4kytH_Owh-4AKQ_15_2"/>
      <w:bookmarkStart w:id="933" w:name="Tc_1VqGGriGrU6FzWvdRrcw7Q_15_0"/>
      <w:bookmarkStart w:id="934" w:name="Tc_-mFeQuoiS0iHRnJkZQHcHA_14_10"/>
      <w:bookmarkStart w:id="935" w:name="Tc_x6GxdQvlYECEVxcFpaxmiA_14_6"/>
      <w:bookmarkStart w:id="936" w:name="Tc_FSws2xl7PkC2QkvoSLCFVA_14_4"/>
      <w:bookmarkStart w:id="937" w:name="Tc_DXg1zKs8j0yH5KaXBVRfmw_14_2"/>
      <w:bookmarkStart w:id="938" w:name="Tc_ABbVjNQYZECVj8lM24YjcQ_14_0"/>
      <w:bookmarkStart w:id="939" w:name="Tc_PzCha7CVYEOMqjBPkOe3IQ_13_0"/>
      <w:bookmarkStart w:id="940" w:name="Tc_S0Z8IP_FFU6XthreeupvJQ_12_10"/>
      <w:bookmarkStart w:id="941" w:name="Tc_13Pzq7VYS0WqC3SwQm_2Lw_12_6"/>
      <w:bookmarkStart w:id="942" w:name="Tc_jHOJz-kJzEGGIVXeyWr7Iw_12_4"/>
      <w:bookmarkStart w:id="943" w:name="Tc_2woIifpPVUS79JXGT86-bA_12_2"/>
      <w:bookmarkStart w:id="944" w:name="Tc_jmVNWvX47kO0lrk7a9VE5A_12_0"/>
      <w:bookmarkStart w:id="945" w:name="Tc_FthD7Cd2xkmueaXoovXVWw_11_14"/>
      <w:bookmarkStart w:id="946" w:name="Tc_m0KJCCtvPkW2weJuU7r77Q_11_10"/>
      <w:bookmarkStart w:id="947" w:name="Tc__IfHWSD8s0i6XWFPqyDXMQ_11_6"/>
      <w:bookmarkStart w:id="948" w:name="Tc_aKwroMH8JUyHA_cZfCXwbQ_11_4"/>
      <w:bookmarkStart w:id="949" w:name="Tc_vkkgYbRQ0U2Kc6xWLB0Lcg_11_2"/>
      <w:bookmarkStart w:id="950" w:name="Tc_uO83Q_gMSkW3ThNIQ4qaVg_11_0"/>
      <w:bookmarkStart w:id="951" w:name="Tc_1x72WC8hnkWfObGlRI6Eaw_10_10"/>
      <w:bookmarkStart w:id="952" w:name="Tc_ABDpLGO0sk-0c6llQdjd8Q_10_8"/>
      <w:bookmarkStart w:id="953" w:name="Tc_tffshme6zEeSoZsaXL89kg_10_4"/>
      <w:bookmarkStart w:id="954" w:name="Tc_CdPJeZC1ZES3vCrHMm4QkQ_10_2"/>
      <w:bookmarkStart w:id="955" w:name="Tc_jA1sEfsaV0KebpvNYfrQSQ_10_0"/>
      <w:bookmarkStart w:id="956" w:name="Tc_8sQXpxkUPk-kiGlpPx3Rnw_9_10"/>
      <w:bookmarkStart w:id="957" w:name="Tc_c9TR7_2mvk6l9ba_W89Vug_9_6"/>
      <w:bookmarkStart w:id="958" w:name="Tc_QNbfgBEF4U6fuyVcdEbmVg_9_4"/>
      <w:bookmarkStart w:id="959" w:name="Tc_88NP1jMDUEamGjfKGSeCsA_9_2"/>
      <w:bookmarkStart w:id="960" w:name="Tc_8iC2-LfdwUKpkYoPps3O5w_9_0"/>
      <w:bookmarkStart w:id="961" w:name="Tc_w9tUGLloO06JApKSKNKsVg_8_10"/>
      <w:bookmarkStart w:id="962" w:name="Tc_DMXmEfS_5k-iepIImHd9hw_8_8"/>
      <w:bookmarkStart w:id="963" w:name="Tc_CUH-ApECFE-UnNNMcfGBEA_8_4"/>
      <w:bookmarkStart w:id="964" w:name="Tc_7bb0P6073U2sCvELl8YN5g_8_2"/>
      <w:bookmarkStart w:id="965" w:name="Tc_j8_SOY8rpEiFeo-M1VlixQ_8_0"/>
      <w:bookmarkStart w:id="966" w:name="Tc_SGDDIyIRLU2Ka7YXD3F60w_7_14"/>
      <w:bookmarkStart w:id="967" w:name="Tc_2QTZSDLowkCifNeOecwc9g_7_10"/>
      <w:bookmarkStart w:id="968" w:name="Tc_5P8zvXqg-kmREaeY7Oq5QQ_7_8"/>
      <w:bookmarkStart w:id="969" w:name="Tc_txlTZnJNnEK_aONDClWZ6g_7_6"/>
      <w:bookmarkStart w:id="970" w:name="Tc_e9DkQVq7v0anCjgy8Y0dnQ_7_2"/>
      <w:bookmarkStart w:id="971" w:name="Tc_NoxmQBVumkK0-9Yx7qcvyA_7_0"/>
      <w:bookmarkStart w:id="972" w:name="Tc_FMPp2roDCUiBWXv4bZYIww_6_16"/>
      <w:bookmarkStart w:id="973" w:name="Tc_3Bt_fis6dUCHJgg1VEsjZw_6_14"/>
      <w:bookmarkStart w:id="974" w:name="Tc_w6QfNkKKrkaPTOq0KknOCA_6_12"/>
      <w:bookmarkStart w:id="975" w:name="Tc__dImYjGOeUyqemqpXNtHEQ_6_10"/>
      <w:bookmarkStart w:id="976" w:name="Tc_ywmyUejDtk-NebGTFPLUNw_6_8"/>
      <w:bookmarkStart w:id="977" w:name="Tc_grXUpwZOQUOJ2x61Gpvj4A_6_4"/>
      <w:bookmarkStart w:id="978" w:name="Tc_aCSn2l4MPk-wIZXjYQDhZw_6_0"/>
      <w:bookmarkStart w:id="979" w:name="Tc_ee9FvRZFi06cxEiOmmTdag_5_15"/>
      <w:bookmarkStart w:id="980" w:name="Tc_-MwHUK1lCUmIgN7N_5Eehw_5_13"/>
      <w:bookmarkStart w:id="981" w:name="Tc_k_MURBLxiEuVj0Iz5IfXrw_5_11"/>
      <w:bookmarkStart w:id="982" w:name="Tc__V4uBH5vjECEjzMRGvjmfA_5_9"/>
      <w:bookmarkStart w:id="983" w:name="Tc_TtIzYB_edk-FhMdrAeiWGw_5_7"/>
      <w:bookmarkStart w:id="984" w:name="Tc_nOc1XiruJ0-vraVifFPiYg_5_5"/>
      <w:bookmarkStart w:id="985" w:name="Tc_zfM3s8J1VkaSVAD2DBt4WA_5_3"/>
      <w:bookmarkStart w:id="986" w:name="Tc_c7GOxkwFmUCSiKfEVVAGjA_5_1"/>
      <w:bookmarkStart w:id="987" w:name="Tc_dqAe35IookCYBDDtKBYvGg_5_0"/>
      <w:bookmarkStart w:id="988" w:name="Tc_TJYljCrq4UifaLKoz0LCgA_4_16"/>
      <w:bookmarkStart w:id="989" w:name="Tc_CLbILcNmt0m_Z2J_jweVig_4_14"/>
      <w:bookmarkStart w:id="990" w:name="Tc_RFRbpeK48Uuvq8GmCeihYA_4_12"/>
      <w:bookmarkStart w:id="991" w:name="Tc_6PBylBv45EyIqVM04AZg4g_4_10"/>
      <w:bookmarkStart w:id="992" w:name="Tc_6wVdgbOk5kaEWClnytlD_w_4_8"/>
      <w:bookmarkStart w:id="993" w:name="Tc_QHj05A3u10GOKwE3PFVNig_4_6"/>
      <w:bookmarkStart w:id="994" w:name="Tc_OdiSKmSffkmEtpP6qlhJUg_4_4"/>
      <w:bookmarkStart w:id="995" w:name="Tc_8050Zedxl0agTfUve6Juiw_4_2"/>
      <w:bookmarkStart w:id="996" w:name="Tc_OlkhfwBXuECweWGpUENflQ_3_16"/>
      <w:bookmarkStart w:id="997" w:name="Tc_hKjMncxPBEytnBfPYhWMDA_3_14"/>
      <w:bookmarkStart w:id="998" w:name="Tc_CttKbVApzESZglUyiCxWgw_3_12"/>
      <w:bookmarkStart w:id="999" w:name="Tc_2h769cWO9k6uh88kJo8RKA_3_10"/>
      <w:bookmarkStart w:id="1000" w:name="Tc_RXrJx_2iUE67mp_wZNaVZw_3_8"/>
      <w:bookmarkStart w:id="1001" w:name="Tc_R4EEq_JVWkOo-4M7BQlXmg_3_6"/>
      <w:bookmarkStart w:id="1002" w:name="Tc_JsQlOQBdakCvxEuYc6SfEA_3_4"/>
      <w:bookmarkStart w:id="1003" w:name="Tc_lc1F8On7TUm2GHazhzrImA_3_2"/>
      <w:bookmarkStart w:id="1004" w:name="Tc_drJ-fg3vcEamMdn8ojBzqg_2_14"/>
      <w:bookmarkStart w:id="1005" w:name="Tc_xQU6l9dn1kCuAid8WOCaBw_2_12"/>
      <w:bookmarkStart w:id="1006" w:name="Tc_TgDix-AJT020s4vWC-f-nQ_2_10"/>
      <w:bookmarkStart w:id="1007" w:name="Tc_82SEB9pOVkmBdQtkIXS3Jg_2_6"/>
      <w:bookmarkStart w:id="1008" w:name="Tc_AUMPSSL_Q0esRu5MGmmp6Q_2_4"/>
      <w:bookmarkStart w:id="1009" w:name="Tc_wbNSPiGuCU6hDYzgSw41qQ_1_1"/>
      <w:bookmarkStart w:id="1010" w:name="_01d6e500_e07a_49ba_a7af_748a743aa37a"/>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p>
    <w:tbl>
      <w:tblPr>
        <w:tblW w:w="10205" w:type="dxa"/>
        <w:jc w:val="left"/>
        <w:tblInd w:w="0" w:type="dxa"/>
        <w:tblLayout w:type="fixed"/>
        <w:tblCellMar>
          <w:top w:w="0" w:type="dxa"/>
          <w:left w:w="0" w:type="dxa"/>
          <w:bottom w:w="0" w:type="dxa"/>
          <w:right w:w="0" w:type="dxa"/>
        </w:tblCellMar>
      </w:tblPr>
      <w:tblGrid>
        <w:gridCol w:w="3847"/>
        <w:gridCol w:w="181"/>
        <w:gridCol w:w="541"/>
        <w:gridCol w:w="166"/>
        <w:gridCol w:w="554"/>
        <w:gridCol w:w="166"/>
        <w:gridCol w:w="601"/>
        <w:gridCol w:w="166"/>
        <w:gridCol w:w="541"/>
        <w:gridCol w:w="166"/>
        <w:gridCol w:w="826"/>
        <w:gridCol w:w="166"/>
        <w:gridCol w:w="733"/>
        <w:gridCol w:w="166"/>
        <w:gridCol w:w="646"/>
        <w:gridCol w:w="166"/>
        <w:gridCol w:w="573"/>
      </w:tblGrid>
      <w:tr>
        <w:trPr/>
        <w:tc>
          <w:tcPr>
            <w:tcW w:w="3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442845" cy="175260"/>
                      <wp:effectExtent l="0" t="0" r="0" b="0"/>
                      <wp:wrapNone/>
                      <wp:docPr id="49" name="Frame49"/>
                      <a:graphic xmlns:a="http://schemas.openxmlformats.org/drawingml/2006/main">
                        <a:graphicData uri="http://schemas.microsoft.com/office/word/2010/wordprocessingShape">
                          <wps:wsp>
                            <wps:cNvSpPr txBox="1"/>
                            <wps:spPr>
                              <a:xfrm>
                                <a:off x="0" y="0"/>
                                <a:ext cx="2442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14935" cy="175260"/>
                      <wp:effectExtent l="0" t="0" r="0" b="0"/>
                      <wp:wrapNone/>
                      <wp:docPr id="50" name="Frame5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43535" cy="175260"/>
                      <wp:effectExtent l="0" t="0" r="0" b="0"/>
                      <wp:wrapNone/>
                      <wp:docPr id="51" name="Frame5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05410" cy="175260"/>
                      <wp:effectExtent l="0" t="0" r="0" b="0"/>
                      <wp:wrapNone/>
                      <wp:docPr id="52" name="Frame52"/>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51790" cy="175260"/>
                      <wp:effectExtent l="0" t="0" r="0" b="0"/>
                      <wp:wrapNone/>
                      <wp:docPr id="53" name="Frame53"/>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05410" cy="175260"/>
                      <wp:effectExtent l="0" t="0" r="0" b="0"/>
                      <wp:wrapNone/>
                      <wp:docPr id="54" name="Frame54"/>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81635" cy="175260"/>
                      <wp:effectExtent l="0" t="0" r="0" b="0"/>
                      <wp:wrapNone/>
                      <wp:docPr id="55" name="Frame5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05410" cy="175260"/>
                      <wp:effectExtent l="0" t="0" r="0" b="0"/>
                      <wp:wrapNone/>
                      <wp:docPr id="56" name="Frame56"/>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43535" cy="175260"/>
                      <wp:effectExtent l="0" t="0" r="0" b="0"/>
                      <wp:wrapNone/>
                      <wp:docPr id="57" name="Frame5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05410" cy="175260"/>
                      <wp:effectExtent l="0" t="0" r="0" b="0"/>
                      <wp:wrapNone/>
                      <wp:docPr id="58" name="Frame5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24510" cy="175260"/>
                      <wp:effectExtent l="0" t="0" r="0" b="0"/>
                      <wp:wrapNone/>
                      <wp:docPr id="59" name="Frame5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05410" cy="175260"/>
                      <wp:effectExtent l="0" t="0" r="0" b="0"/>
                      <wp:wrapNone/>
                      <wp:docPr id="60" name="Frame60"/>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65455" cy="175260"/>
                      <wp:effectExtent l="0" t="0" r="0" b="0"/>
                      <wp:wrapNone/>
                      <wp:docPr id="61" name="Frame61"/>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05410" cy="175260"/>
                      <wp:effectExtent l="0" t="0" r="0" b="0"/>
                      <wp:wrapNone/>
                      <wp:docPr id="62" name="Frame62"/>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10210" cy="175260"/>
                      <wp:effectExtent l="0" t="0" r="0" b="0"/>
                      <wp:wrapNone/>
                      <wp:docPr id="63" name="Frame63"/>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05410" cy="175260"/>
                      <wp:effectExtent l="0" t="0" r="0" b="0"/>
                      <wp:wrapNone/>
                      <wp:docPr id="64" name="Frame64"/>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63855" cy="175260"/>
                      <wp:effectExtent l="0" t="0" r="0" b="0"/>
                      <wp:wrapNone/>
                      <wp:docPr id="65" name="Frame65"/>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47" w:type="dxa"/>
            <w:tcBorders/>
            <w:vAlign w:val="center"/>
          </w:tcPr>
          <w:p>
            <w:pPr>
              <w:pStyle w:val="TableContents"/>
              <w:bidi w:val="0"/>
              <w:spacing w:before="0" w:after="0"/>
              <w:ind w:left="0" w:right="0" w:hanging="0"/>
              <w:jc w:val="left"/>
              <w:rPr/>
            </w:pPr>
            <w:r>
              <w:rPr/>
              <w:t>​</w:t>
            </w:r>
          </w:p>
        </w:tc>
        <w:tc>
          <w:tcPr>
            <w:tcW w:w="6358" w:type="dxa"/>
            <w:gridSpan w:val="16"/>
            <w:tcBorders>
              <w:bottom w:val="single" w:sz="1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1"/>
              </w:rPr>
            </w:pPr>
            <w:r>
              <w:rPr>
                <w:rFonts w:ascii="Times New Roman;Times;serif" w:hAnsi="Times New Roman;Times;serif"/>
                <w:b/>
                <w:sz w:val="11"/>
              </w:rPr>
              <w:t>Total Equity</w:t>
            </w:r>
          </w:p>
        </w:tc>
      </w:tr>
      <w:tr>
        <w:trPr/>
        <w:tc>
          <w:tcPr>
            <w:tcW w:w="3847"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Treasury</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Additional</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Other</w:t>
            </w:r>
          </w:p>
        </w:tc>
        <w:tc>
          <w:tcPr>
            <w:tcW w:w="166" w:type="dxa"/>
            <w:tcBorders/>
            <w:vAlign w:val="center"/>
          </w:tcPr>
          <w:p>
            <w:pPr>
              <w:pStyle w:val="TableContents"/>
              <w:bidi w:val="0"/>
              <w:spacing w:before="0" w:after="0"/>
              <w:ind w:left="0" w:right="0" w:hanging="0"/>
              <w:jc w:val="righ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ATNI</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Non-</w:t>
            </w:r>
          </w:p>
        </w:tc>
        <w:tc>
          <w:tcPr>
            <w:tcW w:w="1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pPr>
            <w:r>
              <w:rPr/>
              <w:t>​</w:t>
            </w:r>
          </w:p>
        </w:tc>
      </w:tr>
      <w:tr>
        <w:trPr/>
        <w:tc>
          <w:tcPr>
            <w:tcW w:w="3847"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Common</w:t>
            </w:r>
          </w:p>
        </w:tc>
        <w:tc>
          <w:tcPr>
            <w:tcW w:w="16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Stock,</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Paid In</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Retained</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Comprehensive</w:t>
            </w:r>
          </w:p>
        </w:tc>
        <w:tc>
          <w:tcPr>
            <w:tcW w:w="166" w:type="dxa"/>
            <w:tcBorders/>
            <w:vAlign w:val="center"/>
          </w:tcPr>
          <w:p>
            <w:pPr>
              <w:pStyle w:val="TableContents"/>
              <w:bidi w:val="0"/>
              <w:spacing w:before="0" w:after="0"/>
              <w:ind w:left="0" w:right="0" w:hanging="0"/>
              <w:jc w:val="righ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Stockholders’</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Controlling</w:t>
            </w:r>
          </w:p>
        </w:tc>
        <w:tc>
          <w:tcPr>
            <w:tcW w:w="1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Total</w:t>
            </w:r>
          </w:p>
        </w:tc>
      </w:tr>
      <w:tr>
        <w:trPr/>
        <w:tc>
          <w:tcPr>
            <w:tcW w:w="3847"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Stock</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at cost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Capital</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Earnings</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Income/(Loss)</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Equity</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Interests</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1"/>
              </w:rPr>
            </w:pPr>
            <w:r>
              <w:rPr>
                <w:rFonts w:ascii="Times New Roman;Times;serif" w:hAnsi="Times New Roman;Times;serif"/>
                <w:b/>
                <w:sz w:val="11"/>
              </w:rPr>
              <w:t>Equity</w:t>
            </w:r>
          </w:p>
        </w:tc>
      </w:tr>
      <w:tr>
        <w:trPr/>
        <w:tc>
          <w:tcPr>
            <w:tcW w:w="384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December 31, 2025</w:t>
            </w:r>
          </w:p>
        </w:tc>
        <w:tc>
          <w:tcPr>
            <w:tcW w:w="181"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181</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(103,183)</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220,156</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312,407</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14,731</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444,292</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109,687</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553,979</w:t>
            </w:r>
          </w:p>
        </w:tc>
      </w:tr>
      <w:tr>
        <w:trPr/>
        <w:tc>
          <w:tcPr>
            <w:tcW w:w="384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Issuance of 222,404</w:t>
            </w:r>
            <w:r>
              <w:rPr>
                <w:rFonts w:ascii="Times New Roman;Times;serif" w:hAnsi="Times New Roman;Times;serif"/>
                <w:sz w:val="14"/>
              </w:rPr>
              <w:t xml:space="preserve"> </w:t>
            </w:r>
            <w:r>
              <w:rPr>
                <w:rFonts w:ascii="Times New Roman;Times;serif" w:hAnsi="Times New Roman;Times;serif"/>
                <w:sz w:val="15"/>
              </w:rPr>
              <w:t xml:space="preserve">shares of common stock </w:t>
            </w:r>
          </w:p>
        </w:tc>
        <w:tc>
          <w:tcPr>
            <w:tcW w:w="181"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w:t>
            </w:r>
          </w:p>
        </w:tc>
        <w:tc>
          <w:tcPr>
            <w:tcW w:w="166" w:type="dxa"/>
            <w:tcBorders/>
            <w:vAlign w:val="center"/>
          </w:tcPr>
          <w:p>
            <w:pPr>
              <w:pStyle w:val="TableContents"/>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w:t>
            </w:r>
          </w:p>
        </w:tc>
        <w:tc>
          <w:tcPr>
            <w:tcW w:w="16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pPr>
            <w:r>
              <w:rPr/>
              <w:t>—</w:t>
            </w:r>
          </w:p>
        </w:tc>
      </w:tr>
      <w:tr>
        <w:trPr/>
        <w:tc>
          <w:tcPr>
            <w:tcW w:w="384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Purchase of 76,438</w:t>
            </w:r>
            <w:r>
              <w:rPr>
                <w:rFonts w:ascii="Times New Roman;Times;serif" w:hAnsi="Times New Roman;Times;serif"/>
                <w:sz w:val="14"/>
              </w:rPr>
              <w:t xml:space="preserve"> </w:t>
            </w:r>
            <w:r>
              <w:rPr>
                <w:rFonts w:ascii="Times New Roman;Times;serif" w:hAnsi="Times New Roman;Times;serif"/>
                <w:sz w:val="15"/>
              </w:rPr>
              <w:t xml:space="preserve">shares of common stock </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4"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(1,903)</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(1,903)</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(1,903)</w:t>
            </w:r>
          </w:p>
        </w:tc>
      </w:tr>
      <w:tr>
        <w:trPr/>
        <w:tc>
          <w:tcPr>
            <w:tcW w:w="384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3,052</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3,052</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281</w:t>
            </w:r>
          </w:p>
        </w:tc>
        <w:tc>
          <w:tcPr>
            <w:tcW w:w="1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3,333</w:t>
            </w:r>
          </w:p>
        </w:tc>
      </w:tr>
      <w:tr>
        <w:trPr/>
        <w:tc>
          <w:tcPr>
            <w:tcW w:w="384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Dividends declared on common stock ($0.565</w:t>
            </w:r>
            <w:r>
              <w:rPr>
                <w:rFonts w:ascii="Times New Roman;Times;serif" w:hAnsi="Times New Roman;Times;serif"/>
                <w:sz w:val="14"/>
              </w:rPr>
              <w:t xml:space="preserve"> </w:t>
            </w:r>
            <w:r>
              <w:rPr>
                <w:rFonts w:ascii="Times New Roman;Times;serif" w:hAnsi="Times New Roman;Times;serif"/>
                <w:sz w:val="15"/>
              </w:rPr>
              <w:t>per common share)</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4"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(8,697)</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(8,697)</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(1,409)</w:t>
            </w:r>
          </w:p>
        </w:tc>
        <w:tc>
          <w:tcPr>
            <w:tcW w:w="166" w:type="dxa"/>
            <w:tcBorders/>
            <w:shd w:fill="CCEEFF" w:val="clear"/>
            <w:vAlign w:val="center"/>
          </w:tcPr>
          <w:p>
            <w:pPr>
              <w:pStyle w:val="TableContents"/>
              <w:bidi w:val="0"/>
              <w:spacing w:before="0" w:after="0"/>
              <w:ind w:left="0" w:right="0" w:hanging="0"/>
              <w:jc w:val="righ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(10,106)</w:t>
            </w:r>
          </w:p>
        </w:tc>
      </w:tr>
      <w:tr>
        <w:trPr/>
        <w:tc>
          <w:tcPr>
            <w:tcW w:w="384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Repurchase of noncontrolling interests</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(289)</w:t>
            </w:r>
          </w:p>
        </w:tc>
        <w:tc>
          <w:tcPr>
            <w:tcW w:w="1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(287)</w:t>
            </w:r>
          </w:p>
        </w:tc>
      </w:tr>
      <w:tr>
        <w:trPr/>
        <w:tc>
          <w:tcPr>
            <w:tcW w:w="384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dividend - redeemable preferred units</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4"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(3,242)</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(3,242)</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(3,242)</w:t>
            </w:r>
          </w:p>
        </w:tc>
      </w:tr>
      <w:tr>
        <w:trPr/>
        <w:tc>
          <w:tcPr>
            <w:tcW w:w="384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Deemed dividend - redeemable common units</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(1,024)</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(1,024)</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(6,306)</w:t>
            </w:r>
          </w:p>
        </w:tc>
        <w:tc>
          <w:tcPr>
            <w:tcW w:w="1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(7,330)</w:t>
            </w:r>
          </w:p>
        </w:tc>
      </w:tr>
      <w:tr>
        <w:trPr/>
        <w:tc>
          <w:tcPr>
            <w:tcW w:w="3847" w:type="dxa"/>
            <w:tcBorders/>
            <w:shd w:fill="CCEEFF" w:val="clear"/>
            <w:vAlign w:val="center"/>
          </w:tcPr>
          <w:p>
            <w:pPr>
              <w:pStyle w:val="TableContents"/>
              <w:bidi w:val="0"/>
              <w:spacing w:before="0" w:after="0"/>
              <w:ind w:left="0" w:right="0" w:hanging="0"/>
              <w:jc w:val="left"/>
              <w:rPr>
                <w:rFonts w:ascii="Times New Roman;Times;serif" w:hAnsi="Times New Roman;Times;serif"/>
                <w:i/>
                <w:sz w:val="15"/>
              </w:rPr>
            </w:pPr>
            <w:r>
              <w:rPr>
                <w:rFonts w:ascii="Times New Roman;Times;serif" w:hAnsi="Times New Roman;Times;serif"/>
                <w:i/>
                <w:sz w:val="15"/>
              </w:rPr>
              <w:t>Comprehensive income:</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54"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right"/>
              <w:rPr/>
            </w:pPr>
            <w:r>
              <w:rPr/>
              <w:t>​</w:t>
            </w:r>
          </w:p>
        </w:tc>
      </w:tr>
      <w:tr>
        <w:trPr/>
        <w:tc>
          <w:tcPr>
            <w:tcW w:w="384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income</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164,491</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164,491</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18,560</w:t>
            </w:r>
          </w:p>
        </w:tc>
        <w:tc>
          <w:tcPr>
            <w:tcW w:w="1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183,051</w:t>
            </w:r>
          </w:p>
        </w:tc>
      </w:tr>
      <w:tr>
        <w:trPr/>
        <w:tc>
          <w:tcPr>
            <w:tcW w:w="384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Other comprehensive income </w:t>
            </w:r>
          </w:p>
        </w:tc>
        <w:tc>
          <w:tcPr>
            <w:tcW w:w="181"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righ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1,805</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1,805</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1,805</w:t>
            </w:r>
          </w:p>
        </w:tc>
      </w:tr>
      <w:tr>
        <w:trPr/>
        <w:tc>
          <w:tcPr>
            <w:tcW w:w="384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comprehensive income (loss)</w:t>
            </w:r>
          </w:p>
        </w:tc>
        <w:tc>
          <w:tcPr>
            <w:tcW w:w="18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164,491</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1,805</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166,296</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18,560</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184,856</w:t>
            </w:r>
          </w:p>
        </w:tc>
      </w:tr>
      <w:tr>
        <w:trPr/>
        <w:tc>
          <w:tcPr>
            <w:tcW w:w="384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June 30, 2026</w:t>
            </w:r>
          </w:p>
        </w:tc>
        <w:tc>
          <w:tcPr>
            <w:tcW w:w="181" w:type="dxa"/>
            <w:tcBorders>
              <w:left w:val="single" w:sz="2" w:space="0" w:color="000000"/>
              <w:bottom w:val="double" w:sz="6" w:space="0" w:color="000000"/>
            </w:tcBorders>
            <w:shd w:fill="CCEEFF" w:val="clear"/>
            <w:tcMar>
              <w:left w:w="28" w:type="dxa"/>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183</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(105,086)</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223,208</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463,935</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16,536</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7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598,776</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120,524</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719,300</w:t>
            </w:r>
          </w:p>
        </w:tc>
      </w:tr>
      <w:tr>
        <w:trPr/>
        <w:tc>
          <w:tcPr>
            <w:tcW w:w="3847" w:type="dxa"/>
            <w:tcBorders/>
            <w:vAlign w:val="center"/>
          </w:tcPr>
          <w:p>
            <w:pPr>
              <w:pStyle w:val="TableContents"/>
              <w:bidi w:val="0"/>
              <w:spacing w:before="0" w:after="0"/>
              <w:ind w:left="0" w:right="0" w:hanging="0"/>
              <w:jc w:val="left"/>
              <w:rPr/>
            </w:pPr>
            <w:r>
              <w:rPr/>
              <w:t>​</w:t>
            </w:r>
          </w:p>
        </w:tc>
        <w:tc>
          <w:tcPr>
            <w:tcW w:w="181"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pPr>
            <w:r>
              <w:rPr/>
              <w:t>​</w:t>
            </w:r>
          </w:p>
        </w:tc>
      </w:tr>
      <w:tr>
        <w:trPr/>
        <w:tc>
          <w:tcPr>
            <w:tcW w:w="384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December 31, 2024</w:t>
            </w:r>
          </w:p>
        </w:tc>
        <w:tc>
          <w:tcPr>
            <w:tcW w:w="181"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179</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(102,413)</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212,759</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368,191</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10,777</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489,493</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105,958</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595,451</w:t>
            </w:r>
          </w:p>
        </w:tc>
      </w:tr>
      <w:tr>
        <w:trPr/>
        <w:tc>
          <w:tcPr>
            <w:tcW w:w="384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Issuance of 181,489</w:t>
            </w:r>
            <w:r>
              <w:rPr>
                <w:rFonts w:ascii="Times New Roman;Times;serif" w:hAnsi="Times New Roman;Times;serif"/>
                <w:sz w:val="14"/>
              </w:rPr>
              <w:t xml:space="preserve"> </w:t>
            </w:r>
            <w:r>
              <w:rPr>
                <w:rFonts w:ascii="Times New Roman;Times;serif" w:hAnsi="Times New Roman;Times;serif"/>
                <w:sz w:val="15"/>
              </w:rPr>
              <w:t>common units</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w:t>
            </w:r>
          </w:p>
        </w:tc>
        <w:tc>
          <w:tcPr>
            <w:tcW w:w="16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pPr>
            <w:r>
              <w:rPr/>
              <w:t>—</w:t>
            </w:r>
          </w:p>
        </w:tc>
      </w:tr>
      <w:tr>
        <w:trPr/>
        <w:tc>
          <w:tcPr>
            <w:tcW w:w="384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Repurchase of 38,314</w:t>
            </w:r>
            <w:r>
              <w:rPr>
                <w:rFonts w:ascii="Times New Roman;Times;serif" w:hAnsi="Times New Roman;Times;serif"/>
                <w:sz w:val="14"/>
              </w:rPr>
              <w:t xml:space="preserve"> </w:t>
            </w:r>
            <w:r>
              <w:rPr>
                <w:rFonts w:ascii="Times New Roman;Times;serif" w:hAnsi="Times New Roman;Times;serif"/>
                <w:sz w:val="15"/>
              </w:rPr>
              <w:t xml:space="preserve">shares of common stock </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4"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(770)</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(770)</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(770)</w:t>
            </w:r>
          </w:p>
        </w:tc>
      </w:tr>
      <w:tr>
        <w:trPr/>
        <w:tc>
          <w:tcPr>
            <w:tcW w:w="384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4,106</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4,106</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484</w:t>
            </w:r>
          </w:p>
        </w:tc>
        <w:tc>
          <w:tcPr>
            <w:tcW w:w="1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4,590</w:t>
            </w:r>
          </w:p>
        </w:tc>
      </w:tr>
      <w:tr>
        <w:trPr/>
        <w:tc>
          <w:tcPr>
            <w:tcW w:w="384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Dividends declared on common stock ($0.515</w:t>
            </w:r>
            <w:r>
              <w:rPr>
                <w:rFonts w:ascii="Times New Roman;Times;serif" w:hAnsi="Times New Roman;Times;serif"/>
                <w:sz w:val="14"/>
              </w:rPr>
              <w:t xml:space="preserve"> </w:t>
            </w:r>
            <w:r>
              <w:rPr>
                <w:rFonts w:ascii="Times New Roman;Times;serif" w:hAnsi="Times New Roman;Times;serif"/>
                <w:sz w:val="15"/>
              </w:rPr>
              <w:t>per common share)</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4"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(7,848)</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(7,848)</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(1,404)</w:t>
            </w:r>
          </w:p>
        </w:tc>
        <w:tc>
          <w:tcPr>
            <w:tcW w:w="166" w:type="dxa"/>
            <w:tcBorders/>
            <w:shd w:fill="CCEEFF" w:val="clear"/>
            <w:vAlign w:val="center"/>
          </w:tcPr>
          <w:p>
            <w:pPr>
              <w:pStyle w:val="TableContents"/>
              <w:bidi w:val="0"/>
              <w:spacing w:before="0" w:after="0"/>
              <w:ind w:left="0" w:right="0" w:hanging="0"/>
              <w:jc w:val="righ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(9,252)</w:t>
            </w:r>
          </w:p>
        </w:tc>
      </w:tr>
      <w:tr>
        <w:trPr/>
        <w:tc>
          <w:tcPr>
            <w:tcW w:w="384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Repurchase of noncontrolling interests</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(7)</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(38)</w:t>
            </w:r>
          </w:p>
        </w:tc>
        <w:tc>
          <w:tcPr>
            <w:tcW w:w="1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(45)</w:t>
            </w:r>
          </w:p>
        </w:tc>
      </w:tr>
      <w:tr>
        <w:trPr/>
        <w:tc>
          <w:tcPr>
            <w:tcW w:w="384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dividend - redeemable preferred units</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54"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(2,965)</w:t>
            </w:r>
          </w:p>
        </w:tc>
        <w:tc>
          <w:tcPr>
            <w:tcW w:w="16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(2,965)</w:t>
            </w:r>
          </w:p>
        </w:tc>
        <w:tc>
          <w:tcPr>
            <w:tcW w:w="166"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(2,965)</w:t>
            </w:r>
          </w:p>
        </w:tc>
      </w:tr>
      <w:tr>
        <w:trPr/>
        <w:tc>
          <w:tcPr>
            <w:tcW w:w="384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Deemed dividend - redeemable common units</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(8,193)</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(8,193)</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8,746</w:t>
            </w:r>
          </w:p>
        </w:tc>
        <w:tc>
          <w:tcPr>
            <w:tcW w:w="1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553</w:t>
            </w:r>
          </w:p>
        </w:tc>
      </w:tr>
      <w:tr>
        <w:trPr/>
        <w:tc>
          <w:tcPr>
            <w:tcW w:w="3847" w:type="dxa"/>
            <w:tcBorders/>
            <w:shd w:fill="CCEEFF" w:val="clear"/>
            <w:vAlign w:val="center"/>
          </w:tcPr>
          <w:p>
            <w:pPr>
              <w:pStyle w:val="TableContents"/>
              <w:bidi w:val="0"/>
              <w:spacing w:before="0" w:after="0"/>
              <w:ind w:left="0" w:right="0" w:hanging="0"/>
              <w:jc w:val="left"/>
              <w:rPr>
                <w:rFonts w:ascii="Times New Roman;Times;serif" w:hAnsi="Times New Roman;Times;serif"/>
                <w:i/>
                <w:sz w:val="15"/>
              </w:rPr>
            </w:pPr>
            <w:r>
              <w:rPr>
                <w:rFonts w:ascii="Times New Roman;Times;serif" w:hAnsi="Times New Roman;Times;serif"/>
                <w:i/>
                <w:sz w:val="15"/>
              </w:rPr>
              <w:t>Comprehensive income:</w:t>
            </w:r>
          </w:p>
        </w:tc>
        <w:tc>
          <w:tcPr>
            <w:tcW w:w="18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54"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righ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right"/>
              <w:rPr/>
            </w:pPr>
            <w:r>
              <w:rPr/>
              <w:t>​</w:t>
            </w:r>
          </w:p>
        </w:tc>
      </w:tr>
      <w:tr>
        <w:trPr/>
        <w:tc>
          <w:tcPr>
            <w:tcW w:w="384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181" w:type="dxa"/>
            <w:tcBorders>
              <w:left w:val="single" w:sz="2" w:space="0" w:color="000000"/>
            </w:tcBorders>
            <w:tcMar>
              <w:left w:w="28" w:type="dxa"/>
            </w:tcMar>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(15,954)</w:t>
            </w:r>
          </w:p>
        </w:tc>
        <w:tc>
          <w:tcPr>
            <w:tcW w:w="16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(15,954)</w:t>
            </w:r>
          </w:p>
        </w:tc>
        <w:tc>
          <w:tcPr>
            <w:tcW w:w="166"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(4,693)</w:t>
            </w:r>
          </w:p>
        </w:tc>
        <w:tc>
          <w:tcPr>
            <w:tcW w:w="1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(20,647)</w:t>
            </w:r>
          </w:p>
        </w:tc>
      </w:tr>
      <w:tr>
        <w:trPr/>
        <w:tc>
          <w:tcPr>
            <w:tcW w:w="384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comprehensive income</w:t>
            </w:r>
          </w:p>
        </w:tc>
        <w:tc>
          <w:tcPr>
            <w:tcW w:w="181"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righ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857</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857</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857</w:t>
            </w:r>
          </w:p>
        </w:tc>
      </w:tr>
      <w:tr>
        <w:trPr/>
        <w:tc>
          <w:tcPr>
            <w:tcW w:w="384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comprehensive income (loss)</w:t>
            </w:r>
          </w:p>
        </w:tc>
        <w:tc>
          <w:tcPr>
            <w:tcW w:w="18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(15,954)</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857</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(15,097)</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(4,693)</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(19,790)</w:t>
            </w:r>
          </w:p>
        </w:tc>
      </w:tr>
      <w:tr>
        <w:trPr/>
        <w:tc>
          <w:tcPr>
            <w:tcW w:w="384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June 30, 2025</w:t>
            </w:r>
          </w:p>
        </w:tc>
        <w:tc>
          <w:tcPr>
            <w:tcW w:w="181" w:type="dxa"/>
            <w:tcBorders>
              <w:left w:val="single" w:sz="2" w:space="0" w:color="000000"/>
              <w:bottom w:val="double" w:sz="6" w:space="0" w:color="000000"/>
            </w:tcBorders>
            <w:shd w:fill="CCEEFF" w:val="clear"/>
            <w:tcMar>
              <w:left w:w="28" w:type="dxa"/>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181</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(103,183)</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216,856</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333,231</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11,634</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7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458,719</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1"/>
              </w:rPr>
            </w:pPr>
            <w:r>
              <w:rPr>
                <w:rFonts w:ascii="Times New Roman;Times;serif" w:hAnsi="Times New Roman;Times;serif"/>
                <w:sz w:val="11"/>
              </w:rPr>
              <w:t>109,053</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1"/>
              </w:rPr>
            </w:pPr>
            <w:r>
              <w:rPr>
                <w:rFonts w:ascii="Times New Roman;Times;serif" w:hAnsi="Times New Roman;Times;serif"/>
                <w:sz w:val="11"/>
              </w:rPr>
              <w:t>$</w:t>
            </w:r>
          </w:p>
        </w:tc>
        <w:tc>
          <w:tcPr>
            <w:tcW w:w="573" w:type="dxa"/>
            <w:tcBorders>
              <w:bottom w:val="double" w:sz="6" w:space="0" w:color="000000"/>
            </w:tcBorders>
            <w:shd w:fill="CCEEFF" w:val="clear"/>
            <w:tcMar>
              <w:bottom w:w="28" w:type="dxa"/>
            </w:tcMar>
            <w:vAlign w:val="center"/>
          </w:tcPr>
          <w:p>
            <w:pPr>
              <w:pStyle w:val="TableContents"/>
              <w:bidi w:val="0"/>
              <w:spacing w:before="0" w:after="0"/>
              <w:ind w:left="0" w:right="30" w:hanging="0"/>
              <w:jc w:val="right"/>
              <w:rPr>
                <w:rFonts w:ascii="Times New Roman;Times;serif" w:hAnsi="Times New Roman;Times;serif"/>
                <w:sz w:val="11"/>
              </w:rPr>
            </w:pPr>
            <w:r>
              <w:rPr>
                <w:rFonts w:ascii="Times New Roman;Times;serif" w:hAnsi="Times New Roman;Times;serif"/>
                <w:sz w:val="11"/>
              </w:rPr>
              <w:t>567,772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011" w:name="_64d4772a_c02b_4db9_8cc9_43236c297714"/>
      <w:bookmarkEnd w:id="1011"/>
      <w:r>
        <w:rPr>
          <w:rFonts w:ascii="Times New Roman;Times;serif" w:hAnsi="Times New Roman;Times;serif"/>
          <w:b/>
          <w:sz w:val="20"/>
        </w:rPr>
        <w:t>ATN INTERNATIONAL, INC. AND SUBSIDIARIES</w:t>
      </w:r>
    </w:p>
    <w:p>
      <w:pPr>
        <w:pStyle w:val="TextBody"/>
        <w:bidi w:val="0"/>
        <w:spacing w:before="0" w:after="0"/>
        <w:ind w:left="0" w:right="0" w:hanging="0"/>
        <w:jc w:val="center"/>
        <w:rPr>
          <w:rFonts w:ascii="Times New Roman;Times;serif" w:hAnsi="Times New Roman;Times;serif"/>
          <w:b/>
          <w:sz w:val="20"/>
        </w:rPr>
      </w:pPr>
      <w:bookmarkStart w:id="1012" w:name="CONDENSEDCONSOLIDATEDSTATEMENTSOFCASHFLO"/>
      <w:bookmarkEnd w:id="1012"/>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SIX MONTHS ENDED JUNE 30, 2026 AND 2025</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p>
      <w:pPr>
        <w:pStyle w:val="Normal"/>
        <w:bidi w:val="0"/>
        <w:spacing w:before="0" w:after="0"/>
        <w:jc w:val="left"/>
        <w:rPr>
          <w:sz w:val="4"/>
          <w:szCs w:val="4"/>
        </w:rPr>
      </w:pPr>
      <w:r>
        <w:rPr>
          <w:sz w:val="4"/>
          <w:szCs w:val="4"/>
        </w:rPr>
      </w:r>
      <w:bookmarkStart w:id="1013" w:name="Tc_z0I7t9ilUUSd9hHkI_TDkg_60_4"/>
      <w:bookmarkStart w:id="1014" w:name="Tc_3ItydeHinkCL2475EOnXOQ_60_1"/>
      <w:bookmarkStart w:id="1015" w:name="Tc_0RZX2QoBWUiBnzggVNmBTA_60_0"/>
      <w:bookmarkStart w:id="1016" w:name="Tc_daKltJBrzEiTogQwgnox2w_59_4"/>
      <w:bookmarkStart w:id="1017" w:name="Tc_Jc5DLBEdPEOXdctWUD6N3A_59_1"/>
      <w:bookmarkStart w:id="1018" w:name="Tc_GS4gwnEZYE2H0hbkVEFVYw_59_0"/>
      <w:bookmarkStart w:id="1019" w:name="Tc_xcApnNJFC0irKIv2CFLUSg_58_0"/>
      <w:bookmarkStart w:id="1020" w:name="Tc_Qvi7s4zutEifsuVCicn0Sw_57_5"/>
      <w:bookmarkStart w:id="1021" w:name="Tc_ryxO8Gh8ekWskv7dCD7hTQ_57_4"/>
      <w:bookmarkStart w:id="1022" w:name="Tc_qkBF2YXUi0ytmoDw7g-GzQ_57_1"/>
      <w:bookmarkStart w:id="1023" w:name="Tc_j6pxarl7zEeJYGG9zX5VTQ_57_0"/>
      <w:bookmarkStart w:id="1024" w:name="Tc_j8fqldOupEybIqp_8Fxb2A_56_4"/>
      <w:bookmarkStart w:id="1025" w:name="Tc_uYy8r-XWSE-2UDGKQEuI9g_56_1"/>
      <w:bookmarkStart w:id="1026" w:name="Tc_IT8fXFUulUazn8jTIPOePg_56_0"/>
      <w:bookmarkStart w:id="1027" w:name="Tc_Bmbm4cS9gkibEXHXGiwPmw_55_0"/>
      <w:bookmarkStart w:id="1028" w:name="Tc_N7fnAUGxF0iGVc37NqUBiw_54_4"/>
      <w:bookmarkStart w:id="1029" w:name="Tc_pVEeiNkUVEqtDlO2Y0_eew_54_1"/>
      <w:bookmarkStart w:id="1030" w:name="Tc_Jsuil8e1xE6YSRlEtvhWvQ_54_0"/>
      <w:bookmarkStart w:id="1031" w:name="Tc_W__hc2KIAEqjD0HhoyP-Xg_53_4"/>
      <w:bookmarkStart w:id="1032" w:name="Tc_6RPviwl3zUqiMYeZoCFVSg_53_1"/>
      <w:bookmarkStart w:id="1033" w:name="Tc_C8IKaEUcmEyi9OvoJ5Ad9g_53_0"/>
      <w:bookmarkStart w:id="1034" w:name="Tc_mVVV5mo5_0KdZtCavXmINg_52_4"/>
      <w:bookmarkStart w:id="1035" w:name="Tc_AeKmEQ_o4kiVrFwajXXa-Q_52_1"/>
      <w:bookmarkStart w:id="1036" w:name="Tc_xGBfy-93fU-LBNJkPm9trA_52_0"/>
      <w:bookmarkStart w:id="1037" w:name="Tc_9e3wFBbrbka8qa7QBSQWmA_51_0"/>
      <w:bookmarkStart w:id="1038" w:name="Tc_wZP5XGQEzkueMnTf0XcmbQ_50_4"/>
      <w:bookmarkStart w:id="1039" w:name="Tc_8UbTAYqcAUqnsVIK0xXw9Q_50_1"/>
      <w:bookmarkStart w:id="1040" w:name="Tc_xCqlbzAIIkqBt3C3yK1iZQ_50_0"/>
      <w:bookmarkStart w:id="1041" w:name="Tc_Lr5P0dy7N0CkoO4YFwUnlw_49_0"/>
      <w:bookmarkStart w:id="1042" w:name="Tc_7PYfHWVSJEynLEttMZyX9g_48_0"/>
      <w:bookmarkStart w:id="1043" w:name="Tc_VSEMbGVllEaSChAX0RdwYQ_47_0"/>
      <w:bookmarkStart w:id="1044" w:name="Tc__CwHb6Nk7EK7LpG9jSEcuA_46_5"/>
      <w:bookmarkStart w:id="1045" w:name="Tc_kPVAGgxHKECsd-e5rQBfog_46_0"/>
      <w:bookmarkStart w:id="1046" w:name="Tc_XTsE4uWk6EKFa0M43_Eidg_45_0"/>
      <w:bookmarkStart w:id="1047" w:name="Tc_oC5wOjJ-vEKLDXH5-POdYw_44_0"/>
      <w:bookmarkStart w:id="1048" w:name="Tc_0JoiEL2v6EW7bJ4QsYaF4w_43_0"/>
      <w:bookmarkStart w:id="1049" w:name="Tc_op7nH7reOE-TXVcWsSL8Jw_42_0"/>
      <w:bookmarkStart w:id="1050" w:name="Tc_16ZY3biA5Eymq_QarOqM2w_41_0"/>
      <w:bookmarkStart w:id="1051" w:name="Tc_r15rrWgU1UCnox0QNdmDGQ_40_0"/>
      <w:bookmarkStart w:id="1052" w:name="Tc_QT1BVFLQoE6yn6TiHcWO_g_39_5"/>
      <w:bookmarkStart w:id="1053" w:name="Tc_mHcH69bCE0GDmd3jHSyM4g_39_0"/>
      <w:bookmarkStart w:id="1054" w:name="Tc_-aKH1WK7lUmJakURz8STTw_38_0"/>
      <w:bookmarkStart w:id="1055" w:name="Tc_LMsadfxTSkOy8q7SjL2dPg_37_0"/>
      <w:bookmarkStart w:id="1056" w:name="Tc_RTo0am755kWwnPe1sUVpaA_36_0"/>
      <w:bookmarkStart w:id="1057" w:name="Tc_CCerEUfsoUO-ei5y8iykIw_35_0"/>
      <w:bookmarkStart w:id="1058" w:name="Tc_z2HfvCIQ702KopJ-rxHd3w_34_0"/>
      <w:bookmarkStart w:id="1059" w:name="Tc_o649EDQJf0eCFck84ySUFQ_33_0"/>
      <w:bookmarkStart w:id="1060" w:name="Tc_kjK0aKra902acwADMt3clw_32_0"/>
      <w:bookmarkStart w:id="1061" w:name="Tc_Pbr7BKcIS0K8vdpFQPsfsg_31_5"/>
      <w:bookmarkStart w:id="1062" w:name="Tc_GNBKWvFLBk-xapT4JBirXg_31_0"/>
      <w:bookmarkStart w:id="1063" w:name="Tc_oUz8KcQ1s0mEjSSVP6kF1w_30_5"/>
      <w:bookmarkStart w:id="1064" w:name="Tc_gbCiyoOaA0GHHJhlkFi4og_30_0"/>
      <w:bookmarkStart w:id="1065" w:name="Tc_U-LSDrogHUyplCtzquX49A_29_2"/>
      <w:bookmarkStart w:id="1066" w:name="Tc_HIZe58AodUieIsOZ-SIi7g_29_0"/>
      <w:bookmarkStart w:id="1067" w:name="Tc_-S7H1nAKH0mRnUhnKN9gyg_28_0"/>
      <w:bookmarkStart w:id="1068" w:name="Tc_vsGGe1jY8E-NO8cwxE6ksA_27_0"/>
      <w:bookmarkStart w:id="1069" w:name="Tc_Z8Ov0krq_0uy3fV0dyAlhQ_26_0"/>
      <w:bookmarkStart w:id="1070" w:name="Tc_S2XzjaNdXkyBs0Q6kvIa6g_25_0"/>
      <w:bookmarkStart w:id="1071" w:name="Tc_yAxVIMuKjEK6DOPXH6Ygvw_24_0"/>
      <w:bookmarkStart w:id="1072" w:name="Tc_Fa1mKkOmFkGRLOYu_IjNJg_23_0"/>
      <w:bookmarkStart w:id="1073" w:name="Tc_FUdm2bpiP0yGTXDozKfk7w_22_0"/>
      <w:bookmarkStart w:id="1074" w:name="Tc_w3-vvc6yr0Wolh1-v-2Elg_21_0"/>
      <w:bookmarkStart w:id="1075" w:name="Tc_YDAFO-kevUKUUymC-Md1gA_20_0"/>
      <w:bookmarkStart w:id="1076" w:name="Tc_DZAAZZShAECxiMJHCNA1iQ_19_0"/>
      <w:bookmarkStart w:id="1077" w:name="Tc_ddjnlTSvG0utF_ru6F-EAg_18_0"/>
      <w:bookmarkStart w:id="1078" w:name="Tc_Qpuhe4ik00K4tP-3UQE2Kg_17_0"/>
      <w:bookmarkStart w:id="1079" w:name="Tc_qr4Xud9SQEOSBUcedItCig_16_0"/>
      <w:bookmarkStart w:id="1080" w:name="Tc_MfJFvSgU4k289JBuoMDc6A_15_0"/>
      <w:bookmarkStart w:id="1081" w:name="Tc_6xEUWTz6fU2TsLsFyCBq1g_14_0"/>
      <w:bookmarkStart w:id="1082" w:name="Tc_9aXLme-oWke4cLcebt08Og_13_0"/>
      <w:bookmarkStart w:id="1083" w:name="Tc_s96A9iQbMkywEpq4P3GhNw_12_0"/>
      <w:bookmarkStart w:id="1084" w:name="Tc_RUc-JFl_ckS65HLy_3pCww_11_0"/>
      <w:bookmarkStart w:id="1085" w:name="Tc_clLiaqWepUyCaiegQ482iw_10_0"/>
      <w:bookmarkStart w:id="1086" w:name="Tc_uK0Uz6nf-UWzZE8_mwlBDw_9_0"/>
      <w:bookmarkStart w:id="1087" w:name="Tc_Ir7-bJnPHkWa8LtRY6sksw_8_0"/>
      <w:bookmarkStart w:id="1088" w:name="Tc_8uoupxIs40esLWl8adBnrQ_7_0"/>
      <w:bookmarkStart w:id="1089" w:name="Tc_YXM4MU1Hc0edlZon8FoYrA_6_0"/>
      <w:bookmarkStart w:id="1090" w:name="Tc_D6XNic-rw0GyiZzOME3sIA_5_0"/>
      <w:bookmarkStart w:id="1091" w:name="Tc_GJWRxODQKEOgFjasp8myXw_4_4"/>
      <w:bookmarkStart w:id="1092" w:name="Tc_GoJVhO1wgkWTX69r9D-rfg_4_1"/>
      <w:bookmarkStart w:id="1093" w:name="Tc_NLIeFPbjI0KWnp3vdXyPrA_4_0"/>
      <w:bookmarkStart w:id="1094" w:name="Tc_wLtFB11feEy8Dm61WLHQUw_3_0"/>
      <w:bookmarkStart w:id="1095" w:name="Tc_p9TyYXtCt0mK80znleL8kg_2_4"/>
      <w:bookmarkStart w:id="1096" w:name="Tc_LmHye0vrREeBJnbzpvc35g_2_1"/>
      <w:bookmarkStart w:id="1097" w:name="Tc_QOg9xpNYFUGYgOEEb5j-Cw_1_1"/>
      <w:bookmarkStart w:id="1098" w:name="_b9ab7727_ef3f_4e8c_a578_f4f82acf0b8f"/>
      <w:bookmarkStart w:id="1099" w:name="Tc_z0I7t9ilUUSd9hHkI_TDkg_60_4"/>
      <w:bookmarkStart w:id="1100" w:name="Tc_3ItydeHinkCL2475EOnXOQ_60_1"/>
      <w:bookmarkStart w:id="1101" w:name="Tc_0RZX2QoBWUiBnzggVNmBTA_60_0"/>
      <w:bookmarkStart w:id="1102" w:name="Tc_daKltJBrzEiTogQwgnox2w_59_4"/>
      <w:bookmarkStart w:id="1103" w:name="Tc_Jc5DLBEdPEOXdctWUD6N3A_59_1"/>
      <w:bookmarkStart w:id="1104" w:name="Tc_GS4gwnEZYE2H0hbkVEFVYw_59_0"/>
      <w:bookmarkStart w:id="1105" w:name="Tc_xcApnNJFC0irKIv2CFLUSg_58_0"/>
      <w:bookmarkStart w:id="1106" w:name="Tc_Qvi7s4zutEifsuVCicn0Sw_57_5"/>
      <w:bookmarkStart w:id="1107" w:name="Tc_ryxO8Gh8ekWskv7dCD7hTQ_57_4"/>
      <w:bookmarkStart w:id="1108" w:name="Tc_qkBF2YXUi0ytmoDw7g-GzQ_57_1"/>
      <w:bookmarkStart w:id="1109" w:name="Tc_j6pxarl7zEeJYGG9zX5VTQ_57_0"/>
      <w:bookmarkStart w:id="1110" w:name="Tc_j8fqldOupEybIqp_8Fxb2A_56_4"/>
      <w:bookmarkStart w:id="1111" w:name="Tc_uYy8r-XWSE-2UDGKQEuI9g_56_1"/>
      <w:bookmarkStart w:id="1112" w:name="Tc_IT8fXFUulUazn8jTIPOePg_56_0"/>
      <w:bookmarkStart w:id="1113" w:name="Tc_Bmbm4cS9gkibEXHXGiwPmw_55_0"/>
      <w:bookmarkStart w:id="1114" w:name="Tc_N7fnAUGxF0iGVc37NqUBiw_54_4"/>
      <w:bookmarkStart w:id="1115" w:name="Tc_pVEeiNkUVEqtDlO2Y0_eew_54_1"/>
      <w:bookmarkStart w:id="1116" w:name="Tc_Jsuil8e1xE6YSRlEtvhWvQ_54_0"/>
      <w:bookmarkStart w:id="1117" w:name="Tc_W__hc2KIAEqjD0HhoyP-Xg_53_4"/>
      <w:bookmarkStart w:id="1118" w:name="Tc_6RPviwl3zUqiMYeZoCFVSg_53_1"/>
      <w:bookmarkStart w:id="1119" w:name="Tc_C8IKaEUcmEyi9OvoJ5Ad9g_53_0"/>
      <w:bookmarkStart w:id="1120" w:name="Tc_mVVV5mo5_0KdZtCavXmINg_52_4"/>
      <w:bookmarkStart w:id="1121" w:name="Tc_AeKmEQ_o4kiVrFwajXXa-Q_52_1"/>
      <w:bookmarkStart w:id="1122" w:name="Tc_xGBfy-93fU-LBNJkPm9trA_52_0"/>
      <w:bookmarkStart w:id="1123" w:name="Tc_9e3wFBbrbka8qa7QBSQWmA_51_0"/>
      <w:bookmarkStart w:id="1124" w:name="Tc_wZP5XGQEzkueMnTf0XcmbQ_50_4"/>
      <w:bookmarkStart w:id="1125" w:name="Tc_8UbTAYqcAUqnsVIK0xXw9Q_50_1"/>
      <w:bookmarkStart w:id="1126" w:name="Tc_xCqlbzAIIkqBt3C3yK1iZQ_50_0"/>
      <w:bookmarkStart w:id="1127" w:name="Tc_Lr5P0dy7N0CkoO4YFwUnlw_49_0"/>
      <w:bookmarkStart w:id="1128" w:name="Tc_7PYfHWVSJEynLEttMZyX9g_48_0"/>
      <w:bookmarkStart w:id="1129" w:name="Tc_VSEMbGVllEaSChAX0RdwYQ_47_0"/>
      <w:bookmarkStart w:id="1130" w:name="Tc__CwHb6Nk7EK7LpG9jSEcuA_46_5"/>
      <w:bookmarkStart w:id="1131" w:name="Tc_kPVAGgxHKECsd-e5rQBfog_46_0"/>
      <w:bookmarkStart w:id="1132" w:name="Tc_XTsE4uWk6EKFa0M43_Eidg_45_0"/>
      <w:bookmarkStart w:id="1133" w:name="Tc_oC5wOjJ-vEKLDXH5-POdYw_44_0"/>
      <w:bookmarkStart w:id="1134" w:name="Tc_0JoiEL2v6EW7bJ4QsYaF4w_43_0"/>
      <w:bookmarkStart w:id="1135" w:name="Tc_op7nH7reOE-TXVcWsSL8Jw_42_0"/>
      <w:bookmarkStart w:id="1136" w:name="Tc_16ZY3biA5Eymq_QarOqM2w_41_0"/>
      <w:bookmarkStart w:id="1137" w:name="Tc_r15rrWgU1UCnox0QNdmDGQ_40_0"/>
      <w:bookmarkStart w:id="1138" w:name="Tc_QT1BVFLQoE6yn6TiHcWO_g_39_5"/>
      <w:bookmarkStart w:id="1139" w:name="Tc_mHcH69bCE0GDmd3jHSyM4g_39_0"/>
      <w:bookmarkStart w:id="1140" w:name="Tc_-aKH1WK7lUmJakURz8STTw_38_0"/>
      <w:bookmarkStart w:id="1141" w:name="Tc_LMsadfxTSkOy8q7SjL2dPg_37_0"/>
      <w:bookmarkStart w:id="1142" w:name="Tc_RTo0am755kWwnPe1sUVpaA_36_0"/>
      <w:bookmarkStart w:id="1143" w:name="Tc_CCerEUfsoUO-ei5y8iykIw_35_0"/>
      <w:bookmarkStart w:id="1144" w:name="Tc_z2HfvCIQ702KopJ-rxHd3w_34_0"/>
      <w:bookmarkStart w:id="1145" w:name="Tc_o649EDQJf0eCFck84ySUFQ_33_0"/>
      <w:bookmarkStart w:id="1146" w:name="Tc_kjK0aKra902acwADMt3clw_32_0"/>
      <w:bookmarkStart w:id="1147" w:name="Tc_Pbr7BKcIS0K8vdpFQPsfsg_31_5"/>
      <w:bookmarkStart w:id="1148" w:name="Tc_GNBKWvFLBk-xapT4JBirXg_31_0"/>
      <w:bookmarkStart w:id="1149" w:name="Tc_oUz8KcQ1s0mEjSSVP6kF1w_30_5"/>
      <w:bookmarkStart w:id="1150" w:name="Tc_gbCiyoOaA0GHHJhlkFi4og_30_0"/>
      <w:bookmarkStart w:id="1151" w:name="Tc_U-LSDrogHUyplCtzquX49A_29_2"/>
      <w:bookmarkStart w:id="1152" w:name="Tc_HIZe58AodUieIsOZ-SIi7g_29_0"/>
      <w:bookmarkStart w:id="1153" w:name="Tc_-S7H1nAKH0mRnUhnKN9gyg_28_0"/>
      <w:bookmarkStart w:id="1154" w:name="Tc_vsGGe1jY8E-NO8cwxE6ksA_27_0"/>
      <w:bookmarkStart w:id="1155" w:name="Tc_Z8Ov0krq_0uy3fV0dyAlhQ_26_0"/>
      <w:bookmarkStart w:id="1156" w:name="Tc_S2XzjaNdXkyBs0Q6kvIa6g_25_0"/>
      <w:bookmarkStart w:id="1157" w:name="Tc_yAxVIMuKjEK6DOPXH6Ygvw_24_0"/>
      <w:bookmarkStart w:id="1158" w:name="Tc_Fa1mKkOmFkGRLOYu_IjNJg_23_0"/>
      <w:bookmarkStart w:id="1159" w:name="Tc_FUdm2bpiP0yGTXDozKfk7w_22_0"/>
      <w:bookmarkStart w:id="1160" w:name="Tc_w3-vvc6yr0Wolh1-v-2Elg_21_0"/>
      <w:bookmarkStart w:id="1161" w:name="Tc_YDAFO-kevUKUUymC-Md1gA_20_0"/>
      <w:bookmarkStart w:id="1162" w:name="Tc_DZAAZZShAECxiMJHCNA1iQ_19_0"/>
      <w:bookmarkStart w:id="1163" w:name="Tc_ddjnlTSvG0utF_ru6F-EAg_18_0"/>
      <w:bookmarkStart w:id="1164" w:name="Tc_Qpuhe4ik00K4tP-3UQE2Kg_17_0"/>
      <w:bookmarkStart w:id="1165" w:name="Tc_qr4Xud9SQEOSBUcedItCig_16_0"/>
      <w:bookmarkStart w:id="1166" w:name="Tc_MfJFvSgU4k289JBuoMDc6A_15_0"/>
      <w:bookmarkStart w:id="1167" w:name="Tc_6xEUWTz6fU2TsLsFyCBq1g_14_0"/>
      <w:bookmarkStart w:id="1168" w:name="Tc_9aXLme-oWke4cLcebt08Og_13_0"/>
      <w:bookmarkStart w:id="1169" w:name="Tc_s96A9iQbMkywEpq4P3GhNw_12_0"/>
      <w:bookmarkStart w:id="1170" w:name="Tc_RUc-JFl_ckS65HLy_3pCww_11_0"/>
      <w:bookmarkStart w:id="1171" w:name="Tc_clLiaqWepUyCaiegQ482iw_10_0"/>
      <w:bookmarkStart w:id="1172" w:name="Tc_uK0Uz6nf-UWzZE8_mwlBDw_9_0"/>
      <w:bookmarkStart w:id="1173" w:name="Tc_Ir7-bJnPHkWa8LtRY6sksw_8_0"/>
      <w:bookmarkStart w:id="1174" w:name="Tc_8uoupxIs40esLWl8adBnrQ_7_0"/>
      <w:bookmarkStart w:id="1175" w:name="Tc_YXM4MU1Hc0edlZon8FoYrA_6_0"/>
      <w:bookmarkStart w:id="1176" w:name="Tc_D6XNic-rw0GyiZzOME3sIA_5_0"/>
      <w:bookmarkStart w:id="1177" w:name="Tc_GJWRxODQKEOgFjasp8myXw_4_4"/>
      <w:bookmarkStart w:id="1178" w:name="Tc_GoJVhO1wgkWTX69r9D-rfg_4_1"/>
      <w:bookmarkStart w:id="1179" w:name="Tc_NLIeFPbjI0KWnp3vdXyPrA_4_0"/>
      <w:bookmarkStart w:id="1180" w:name="Tc_wLtFB11feEy8Dm61WLHQUw_3_0"/>
      <w:bookmarkStart w:id="1181" w:name="Tc_p9TyYXtCt0mK80znleL8kg_2_4"/>
      <w:bookmarkStart w:id="1182" w:name="Tc_LmHye0vrREeBJnbzpvc35g_2_1"/>
      <w:bookmarkStart w:id="1183" w:name="Tc_QOg9xpNYFUGYgOEEb5j-Cw_1_1"/>
      <w:bookmarkStart w:id="1184" w:name="_b9ab7727_ef3f_4e8c_a578_f4f82acf0b8f"/>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p>
    <w:tbl>
      <w:tblPr>
        <w:tblW w:w="7806" w:type="dxa"/>
        <w:jc w:val="left"/>
        <w:tblInd w:w="0" w:type="dxa"/>
        <w:tblLayout w:type="fixed"/>
        <w:tblCellMar>
          <w:top w:w="0" w:type="dxa"/>
          <w:left w:w="0" w:type="dxa"/>
          <w:bottom w:w="0" w:type="dxa"/>
          <w:right w:w="0" w:type="dxa"/>
        </w:tblCellMar>
      </w:tblPr>
      <w:tblGrid>
        <w:gridCol w:w="5776"/>
        <w:gridCol w:w="181"/>
        <w:gridCol w:w="676"/>
        <w:gridCol w:w="346"/>
        <w:gridCol w:w="181"/>
        <w:gridCol w:w="646"/>
      </w:tblGrid>
      <w:tr>
        <w:trPr/>
        <w:tc>
          <w:tcPr>
            <w:tcW w:w="577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14935" cy="175260"/>
                      <wp:effectExtent l="0" t="0" r="0" b="0"/>
                      <wp:wrapNone/>
                      <wp:docPr id="66" name="Frame6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29260" cy="175260"/>
                      <wp:effectExtent l="0" t="0" r="0" b="0"/>
                      <wp:wrapNone/>
                      <wp:docPr id="67" name="Frame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14935" cy="175260"/>
                      <wp:effectExtent l="0" t="0" r="0" b="0"/>
                      <wp:wrapNone/>
                      <wp:docPr id="69" name="Frame6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10210" cy="175260"/>
                      <wp:effectExtent l="0" t="0" r="0" b="0"/>
                      <wp:wrapNone/>
                      <wp:docPr id="70" name="Frame70"/>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76" w:type="dxa"/>
            <w:tcBorders/>
            <w:vAlign w:val="center"/>
          </w:tcPr>
          <w:p>
            <w:pPr>
              <w:pStyle w:val="TableContents"/>
              <w:bidi w:val="0"/>
              <w:spacing w:before="0" w:after="0"/>
              <w:ind w:left="0" w:right="0" w:hanging="0"/>
              <w:jc w:val="left"/>
              <w:rPr/>
            </w:pPr>
            <w:r>
              <w:rPr/>
              <w:t>​</w:t>
            </w:r>
          </w:p>
        </w:tc>
        <w:tc>
          <w:tcPr>
            <w:tcW w:w="20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w:t>
            </w:r>
          </w:p>
        </w:tc>
      </w:tr>
      <w:tr>
        <w:trPr/>
        <w:tc>
          <w:tcPr>
            <w:tcW w:w="5776" w:type="dxa"/>
            <w:tcBorders/>
            <w:vAlign w:val="center"/>
          </w:tcPr>
          <w:p>
            <w:pPr>
              <w:pStyle w:val="TableContents"/>
              <w:bidi w:val="0"/>
              <w:spacing w:before="0" w:after="0"/>
              <w:ind w:left="0" w:right="0" w:hanging="0"/>
              <w:jc w:val="left"/>
              <w:rPr/>
            </w:pPr>
            <w:r>
              <w:rPr/>
              <w:t>​</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2026</w:t>
            </w:r>
          </w:p>
        </w:tc>
        <w:tc>
          <w:tcPr>
            <w:tcW w:w="346" w:type="dxa"/>
            <w:tcBorders/>
            <w:vAlign w:val="center"/>
          </w:tcPr>
          <w:p>
            <w:pPr>
              <w:pStyle w:val="TableContents"/>
              <w:bidi w:val="0"/>
              <w:spacing w:before="0" w:after="0"/>
              <w:ind w:left="0" w:right="0" w:hanging="0"/>
              <w:jc w:val="center"/>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2025</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Cash flows from operating activities: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income (loss)</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183,051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(20,647)</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Adjustments to reconcile net loss to net cash flows provided by operating activities: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Depreciation and amortization</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61,316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68,390</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Amortization of intangibles from acquisitions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990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2,452</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Provision for doubtful accounts</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4,245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4,135</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Amortization of debt issuance costs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1,450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1,435</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(Gain) loss on disposition of assets and contingent consideration</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(230,158)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3,434</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Stock-based compensation</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3,333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4,590</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Deferred income taxes</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1,079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(5,432)</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(Gain) loss on equity investments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2,396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(133)</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Changes in operating assets and liabilities, excluding the effects of acquisitions and dispositions:</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Accounts receivable and government grant receivables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(6,700)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(10,148)</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Customer receivable</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4,487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1,780</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Accrued taxes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42,295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1,666</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Materials and supplies, prepayments, and other current assets</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(5,437)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9,854</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Accounts payable and accrued liabilities and advance payments and deposits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5,715</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Other assets</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(3,106)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(246)</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Other liabilities</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(5,775)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(7,002)</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 xml:space="preserve">Net cash provided by operating activities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53,541</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59,843</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Cash flows from investing activities: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Capital expenditures</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(38,259)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(42,016)</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Government capital programs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Amounts disbursed</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(27,007)</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(45,906)</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Amounts received</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22,423</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41,364</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Purchase of investments - employee benefit plan</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(28)</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Proceeds from investments - employee benefit plan</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729</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Proceeds from Tower Portfolio Transaction</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267,669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Proceeds from sale of spectrum</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2,200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Proceeds from sale of assets</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1,585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221</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cash provided by (used in) investing activities</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228,583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(45,636)</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Cash flows from financing activities:</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Dividends paid on common stock</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(8,426)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(7,279)</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Distributions to noncontrolling interests</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(1,410)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(1,404)</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Payment of debt issuance costs</w:t>
            </w:r>
          </w:p>
        </w:tc>
        <w:tc>
          <w:tcPr>
            <w:tcW w:w="18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(603)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(280)</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Finance lease payments</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(376)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(974)</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Term loan - borrowings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5,000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Term loan - repayments</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(5,009)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(3,314)</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Revolving credit facility – borrowings</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49,050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41,000</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Revolving credit facility – repayments</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(101,170)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(13,000)</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Repayment of customer receivable credit facility</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(4,449)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(4,071)</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 xml:space="preserve">Purchases of common stock – stock- based compensation </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(1,902)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(770)</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 xml:space="preserve">Repurchases of noncontrolling interests </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(288)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(44)</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Funds payable and amounts due to customers</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2,205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cash (used in) provided by financing activities</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(67,378)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9,864</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change in cash, cash equivalents, and restricted cash</w:t>
            </w:r>
          </w:p>
        </w:tc>
        <w:tc>
          <w:tcPr>
            <w:tcW w:w="18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214,746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24,071</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Total cash, cash equivalents, and restricted cash, beginning of period</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117,154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89,244</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Total cash, cash equivalents, and restricted cash, end of period</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331,900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113,315</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Supplemental cash flow information:</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Interest paid</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19,413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22,968</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Taxes paid</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2,423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2,162</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Dividends declared, not paid</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4,467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4,196</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Noncash investing activity:</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Assets held for sale</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15,526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7,757</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Liabilities held for sale</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275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46" w:type="dxa"/>
            <w:tcBorders/>
            <w:shd w:fill="CCEEFF" w:val="clear"/>
            <w:vAlign w:val="center"/>
          </w:tcPr>
          <w:p>
            <w:pPr>
              <w:pStyle w:val="TableContents"/>
              <w:bidi w:val="0"/>
              <w:spacing w:before="0" w:after="0"/>
              <w:ind w:left="0" w:right="0" w:hanging="0"/>
              <w:jc w:val="right"/>
              <w:rPr/>
            </w:pPr>
            <w:r>
              <w:rPr/>
              <w:t>—</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Purchases of property, plant and equipment included in accounts payable and accrued expenses</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Amounts accrued for reimbursable capital expenditures from government capital programs</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15,113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18,279</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Amounts accrued for non-reimbursable capital expenditures</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9,521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46" w:type="dxa"/>
            <w:tcBorders/>
            <w:vAlign w:val="center"/>
          </w:tcPr>
          <w:p>
            <w:pPr>
              <w:pStyle w:val="TableContents"/>
              <w:bidi w:val="0"/>
              <w:spacing w:before="0" w:after="0"/>
              <w:ind w:left="0" w:right="45" w:hanging="0"/>
              <w:jc w:val="right"/>
              <w:rPr>
                <w:rFonts w:ascii="Times New Roman;Times;serif" w:hAnsi="Times New Roman;Times;serif"/>
                <w:sz w:val="13"/>
              </w:rPr>
            </w:pPr>
            <w:r>
              <w:rPr>
                <w:rFonts w:ascii="Times New Roman;Times;serif" w:hAnsi="Times New Roman;Times;serif"/>
                <w:sz w:val="13"/>
              </w:rPr>
              <w:t>8,936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condensed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185" w:name="_1a33fcc3_8d9e_4723_9373_2f1071b50740"/>
      <w:bookmarkEnd w:id="1185"/>
      <w:r>
        <w:rPr>
          <w:rFonts w:ascii="Times New Roman;Times;serif" w:hAnsi="Times New Roman;Times;serif"/>
          <w:b/>
          <w:sz w:val="20"/>
        </w:rPr>
        <w:t>ATN INTERNATIONAL, INC. AND SUBSIDIARIES</w:t>
      </w:r>
    </w:p>
    <w:p>
      <w:pPr>
        <w:pStyle w:val="TextBody"/>
        <w:bidi w:val="0"/>
        <w:spacing w:before="0" w:after="0"/>
        <w:ind w:left="0" w:right="0" w:hanging="0"/>
        <w:jc w:val="center"/>
        <w:rPr>
          <w:rFonts w:ascii="Times New Roman;Times;serif" w:hAnsi="Times New Roman;Times;serif"/>
          <w:b/>
          <w:sz w:val="20"/>
        </w:rPr>
      </w:pPr>
      <w:bookmarkStart w:id="1186" w:name="NOTESTOUNAUDITEDCONDENSEDCONSOLIDATEDFIN"/>
      <w:bookmarkEnd w:id="1186"/>
      <w:r>
        <w:rPr>
          <w:rFonts w:ascii="Times New Roman;Times;serif" w:hAnsi="Times New Roman;Times;serif"/>
          <w:b/>
          <w:sz w:val="20"/>
        </w:rPr>
        <w:t>NOTES TO UNAUDITED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ORGANIZATION AND BUSINESS OPERATIONS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is a leading provider of digital infrastructure and communications services with a strategic focus on rural and remote markets in the United States (“US”), and internationally, including Bermuda and the Caribbean region.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has developed significant operational capabilities and resources that enhance the performance of its local market operations. The Company’s operating subsidiaries benefit from this shared expertise, which allows them to deliver improved service quality and achieve greater economies of scale than would typically be possible in the smaller markets the Company serves. The Company provides centralized management, technical, financial, regulatory, and marketing support to these operating subsidiaries and typically receive a management fee based on a percentage of their revenues. The intercompany fees are eliminated in the Company’s consolidated financial results.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The Company uses the cash generated from its operations to repay debt and increase liquidity, reinvest the Company’s network and service operations, fund capital expenditures, return value to stockholders through dividends or share repurchases, and to pursue strategic transactions. The Company continuously evaluates both domestic and international opportunities that align with its long-term goal of generating sustained excess operating cash flows.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For additional information regarding the Company’s reportable segments and geographic distribution of revenues and assets, please refer to Notes 1 and 13 of the Consolidated Financial Statements included in this Report.</w:t>
      </w:r>
    </w:p>
    <w:p>
      <w:pPr>
        <w:pStyle w:val="TextBody"/>
        <w:bidi w:val="0"/>
        <w:spacing w:before="280" w:after="0"/>
        <w:ind w:left="40" w:right="79" w:firstLine="529"/>
        <w:jc w:val="left"/>
        <w:rPr>
          <w:rFonts w:ascii="Times New Roman;Times;serif" w:hAnsi="Times New Roman;Times;serif"/>
          <w:sz w:val="20"/>
        </w:rPr>
      </w:pPr>
      <w:r>
        <w:rPr>
          <w:rFonts w:ascii="Times New Roman;Times;serif" w:hAnsi="Times New Roman;Times;serif"/>
          <w:sz w:val="20"/>
        </w:rPr>
        <w:t>As of June 30, 2026, the Company offered the following services to its customers:</w:t>
      </w:r>
    </w:p>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Fixed Telecommunications Services (“Fixed Services”)</w:t>
            </w:r>
            <w:r>
              <w:rPr>
                <w:rFonts w:ascii="Times New Roman;Times;serif" w:hAnsi="Times New Roman;Times;serif"/>
                <w:b w:val="false"/>
                <w:i w:val="false"/>
                <w:caps w:val="false"/>
                <w:smallCaps w:val="false"/>
                <w:sz w:val="20"/>
              </w:rPr>
              <w:t>. The Company provides fixed data and voice telecommunications services to business and consumer customers, including high-speed broadband and enterprise data solutions. In select markets, fixed services also include video offerings and revenue derived from support under certain government programs.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2"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Carrier Telecommunication Services (“Carrier Services”)</w:t>
            </w:r>
            <w:r>
              <w:rPr>
                <w:rFonts w:ascii="Times New Roman;Times;serif" w:hAnsi="Times New Roman;Times;serif"/>
                <w:b w:val="false"/>
                <w:i w:val="false"/>
                <w:caps w:val="false"/>
                <w:smallCaps w:val="false"/>
                <w:sz w:val="20"/>
              </w:rPr>
              <w:t>. The Company offers infrastructure services to other telecommunications providers, including the leasing of critical network infrastructure such as transport facilities, wholesale roaming, site maintenance and international long-distance services.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Mobile Telecommunications Services (“Mobility Services”)</w:t>
            </w:r>
            <w:r>
              <w:rPr>
                <w:rFonts w:ascii="Times New Roman;Times;serif" w:hAnsi="Times New Roman;Times;serif"/>
                <w:b w:val="false"/>
                <w:i w:val="false"/>
                <w:caps w:val="false"/>
                <w:smallCaps w:val="false"/>
                <w:sz w:val="20"/>
              </w:rPr>
              <w:t>. The Company offers mobile communications services over its wireless networks, including voice, messaging and data services along with related equipment, such as handsets, to both business and consumer customers.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79"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Managed Services</w:t>
            </w:r>
            <w:r>
              <w:rPr>
                <w:rFonts w:ascii="Times New Roman;Times;serif" w:hAnsi="Times New Roman;Times;serif"/>
                <w:b w:val="false"/>
                <w:i w:val="false"/>
                <w:caps w:val="false"/>
                <w:smallCaps w:val="false"/>
                <w:sz w:val="20"/>
              </w:rPr>
              <w:t>. The Company delivers information technology solutions, including network management, application support and infrastructure services to complement its fixed telecommunications services in its existing markets for the purpose of supporting both enterprise and residential users.</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Through June 30, 2026, the Company identified two operating segments to manage and review its operations, as well as to support investor presentations of its results. These operating segments are as follows:</w:t>
      </w:r>
    </w:p>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International Telecom</w:t>
            </w:r>
            <w:r>
              <w:rPr>
                <w:rFonts w:ascii="Times New Roman;Times;serif" w:hAnsi="Times New Roman;Times;serif"/>
                <w:b w:val="false"/>
                <w:i/>
                <w:sz w:val="20"/>
              </w:rPr>
              <w:t>.</w:t>
            </w:r>
            <w:r>
              <w:rPr/>
              <w:t xml:space="preserve"> </w:t>
            </w:r>
            <w:r>
              <w:rPr>
                <w:rFonts w:ascii="Times New Roman;Times;serif" w:hAnsi="Times New Roman;Times;serif"/>
                <w:b w:val="false"/>
                <w:i w:val="false"/>
                <w:caps w:val="false"/>
                <w:smallCaps w:val="false"/>
                <w:sz w:val="20"/>
              </w:rPr>
              <w:t>In the Company’s international markets, it offers fixed, carrier, mobility and managed services to customers in Bermuda, the Cayman Islands, Guyana and the US Virgin Islands.</w:t>
            </w:r>
          </w:p>
        </w:tc>
      </w:tr>
    </w:tbl>
    <w:p>
      <w:pPr>
        <w:pStyle w:val="TextBody"/>
        <w:bidi w:val="0"/>
        <w:spacing w:before="0" w:after="0"/>
        <w:ind w:left="0" w:right="59" w:hanging="0"/>
        <w:jc w:val="left"/>
        <w:rPr/>
      </w:pPr>
      <w:r>
        <w:rPr/>
        <w:t>​</w:t>
      </w:r>
    </w:p>
    <w:tbl>
      <w:tblPr>
        <w:tblW w:w="8410" w:type="dxa"/>
        <w:jc w:val="left"/>
        <w:tblInd w:w="0" w:type="dxa"/>
        <w:tblLayout w:type="fixed"/>
        <w:tblCellMar>
          <w:top w:w="28" w:type="dxa"/>
          <w:left w:w="28" w:type="dxa"/>
          <w:bottom w:w="28" w:type="dxa"/>
          <w:right w:w="28" w:type="dxa"/>
        </w:tblCellMar>
      </w:tblPr>
      <w:tblGrid>
        <w:gridCol w:w="124"/>
        <w:gridCol w:w="256"/>
        <w:gridCol w:w="78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US Telecom</w:t>
            </w:r>
            <w:r>
              <w:rPr>
                <w:rFonts w:ascii="Times New Roman;Times;serif" w:hAnsi="Times New Roman;Times;serif"/>
                <w:b w:val="false"/>
                <w:i/>
                <w:sz w:val="20"/>
              </w:rPr>
              <w:t>.</w:t>
            </w:r>
            <w:r>
              <w:rPr/>
              <w:t xml:space="preserve"> </w:t>
            </w:r>
            <w:r>
              <w:rPr>
                <w:rFonts w:ascii="Times New Roman;Times;serif" w:hAnsi="Times New Roman;Times;serif"/>
                <w:b w:val="false"/>
                <w:i w:val="false"/>
                <w:caps w:val="false"/>
                <w:smallCaps w:val="false"/>
                <w:sz w:val="20"/>
              </w:rPr>
              <w:t xml:space="preserve">In the US, the Company offers fixed, carrier, and managed services to customers in </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683" w:type="dxa"/>
        <w:jc w:val="left"/>
        <w:tblInd w:w="0" w:type="dxa"/>
        <w:tblLayout w:type="fixed"/>
        <w:tblCellMar>
          <w:top w:w="28" w:type="dxa"/>
          <w:left w:w="28" w:type="dxa"/>
          <w:bottom w:w="28" w:type="dxa"/>
          <w:right w:w="28" w:type="dxa"/>
        </w:tblCellMar>
      </w:tblPr>
      <w:tblGrid>
        <w:gridCol w:w="124"/>
        <w:gridCol w:w="109"/>
        <w:gridCol w:w="229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Alaska and the western US.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59"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chart summarizes the operating activities of the Company’s principal subsidiaries, the segments in which it reported its revenue and the markets it served during the three months ended June 30, 2026:</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142"/>
        <w:gridCol w:w="1965"/>
        <w:gridCol w:w="2222"/>
        <w:gridCol w:w="706"/>
        <w:gridCol w:w="4170"/>
      </w:tblGrid>
      <w:tr>
        <w:trPr/>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725170" cy="175260"/>
                      <wp:effectExtent l="0" t="0" r="0" b="0"/>
                      <wp:wrapNone/>
                      <wp:docPr id="71" name="Frame71"/>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247775" cy="175260"/>
                      <wp:effectExtent l="0" t="0" r="0" b="0"/>
                      <wp:wrapNone/>
                      <wp:docPr id="72" name="Frame72"/>
                      <a:graphic xmlns:a="http://schemas.openxmlformats.org/drawingml/2006/main">
                        <a:graphicData uri="http://schemas.microsoft.com/office/word/2010/wordprocessingShape">
                          <wps:wsp>
                            <wps:cNvSpPr txBox="1"/>
                            <wps:spPr>
                              <a:xfrm>
                                <a:off x="0" y="0"/>
                                <a:ext cx="1247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410970" cy="175260"/>
                      <wp:effectExtent l="0" t="0" r="0" b="0"/>
                      <wp:wrapNone/>
                      <wp:docPr id="73" name="Frame73"/>
                      <a:graphic xmlns:a="http://schemas.openxmlformats.org/drawingml/2006/main">
                        <a:graphicData uri="http://schemas.microsoft.com/office/word/2010/wordprocessingShape">
                          <wps:wsp>
                            <wps:cNvSpPr txBox="1"/>
                            <wps:spPr>
                              <a:xfrm>
                                <a:off x="0" y="0"/>
                                <a:ext cx="141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48310" cy="175260"/>
                      <wp:effectExtent l="0" t="0" r="0" b="0"/>
                      <wp:wrapNone/>
                      <wp:docPr id="74" name="Frame7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647950" cy="175260"/>
                      <wp:effectExtent l="0" t="0" r="0" b="0"/>
                      <wp:wrapNone/>
                      <wp:docPr id="75" name="Frame75"/>
                      <a:graphic xmlns:a="http://schemas.openxmlformats.org/drawingml/2006/main">
                        <a:graphicData uri="http://schemas.microsoft.com/office/word/2010/wordprocessingShape">
                          <wps:wsp>
                            <wps:cNvSpPr txBox="1"/>
                            <wps:spPr>
                              <a:xfrm>
                                <a:off x="0" y="0"/>
                                <a:ext cx="2647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418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3"/>
              </w:rPr>
            </w:pPr>
            <w:r>
              <w:rPr>
                <w:rFonts w:ascii="Times New Roman;Times;serif" w:hAnsi="Times New Roman;Times;serif"/>
                <w:b/>
                <w:sz w:val="23"/>
              </w:rPr>
              <w:t>International Telecom</w:t>
            </w:r>
          </w:p>
        </w:tc>
        <w:tc>
          <w:tcPr>
            <w:tcW w:w="4876"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3"/>
              </w:rPr>
            </w:pPr>
            <w:r>
              <w:rPr>
                <w:rFonts w:ascii="Times New Roman;Times;serif" w:hAnsi="Times New Roman;Times;serif"/>
                <w:b/>
                <w:sz w:val="23"/>
              </w:rPr>
              <w:t>US Telecom</w:t>
            </w:r>
          </w:p>
        </w:tc>
      </w:tr>
      <w:tr>
        <w:trPr/>
        <w:tc>
          <w:tcPr>
            <w:tcW w:w="1142"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1965"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2222"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Tradenames (1)</w:t>
            </w:r>
          </w:p>
        </w:tc>
        <w:tc>
          <w:tcPr>
            <w:tcW w:w="70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417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Tradenames</w:t>
            </w:r>
          </w:p>
        </w:tc>
      </w:tr>
      <w:tr>
        <w:trPr/>
        <w:tc>
          <w:tcPr>
            <w:tcW w:w="1142"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Mobility Services</w:t>
            </w:r>
          </w:p>
        </w:tc>
        <w:tc>
          <w:tcPr>
            <w:tcW w:w="1965"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Guyana, US Virgin Islands</w:t>
            </w:r>
          </w:p>
        </w:tc>
        <w:tc>
          <w:tcPr>
            <w:tcW w:w="2222"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Brava</w:t>
            </w:r>
          </w:p>
        </w:tc>
        <w:tc>
          <w:tcPr>
            <w:tcW w:w="706"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4170"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1142"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Fixed Services</w:t>
            </w:r>
          </w:p>
        </w:tc>
        <w:tc>
          <w:tcPr>
            <w:tcW w:w="1965"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Cayman Islands, Guyana, US Virgin Islands</w:t>
            </w:r>
          </w:p>
        </w:tc>
        <w:tc>
          <w:tcPr>
            <w:tcW w:w="2222"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Logic, Brava</w:t>
            </w:r>
          </w:p>
        </w:tc>
        <w:tc>
          <w:tcPr>
            <w:tcW w:w="70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w:t>
            </w:r>
          </w:p>
        </w:tc>
        <w:tc>
          <w:tcPr>
            <w:tcW w:w="417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Commnet, Choice NTUA Wireless, Sacred Wind Communications, Ethos Broadband, Deploycom</w:t>
            </w:r>
          </w:p>
        </w:tc>
      </w:tr>
      <w:tr>
        <w:trPr/>
        <w:tc>
          <w:tcPr>
            <w:tcW w:w="1142"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Carrier Services</w:t>
            </w:r>
          </w:p>
        </w:tc>
        <w:tc>
          <w:tcPr>
            <w:tcW w:w="1965"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Guyana, US Virgin Islands, Cayman Islands</w:t>
            </w:r>
          </w:p>
        </w:tc>
        <w:tc>
          <w:tcPr>
            <w:tcW w:w="2222"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Essextel, Logic, Brava</w:t>
            </w:r>
          </w:p>
        </w:tc>
        <w:tc>
          <w:tcPr>
            <w:tcW w:w="706"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w:t>
            </w:r>
          </w:p>
        </w:tc>
        <w:tc>
          <w:tcPr>
            <w:tcW w:w="4170"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Commnet, Sacred Wind Communications</w:t>
            </w:r>
          </w:p>
        </w:tc>
      </w:tr>
      <w:tr>
        <w:trPr/>
        <w:tc>
          <w:tcPr>
            <w:tcW w:w="1142"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Managed Services</w:t>
            </w:r>
          </w:p>
        </w:tc>
        <w:tc>
          <w:tcPr>
            <w:tcW w:w="1965"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Cayman Islands, US Virgin Islands, Guyana</w:t>
            </w:r>
          </w:p>
        </w:tc>
        <w:tc>
          <w:tcPr>
            <w:tcW w:w="2222"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Logic, Brava</w:t>
            </w:r>
          </w:p>
        </w:tc>
        <w:tc>
          <w:tcPr>
            <w:tcW w:w="70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w:t>
            </w:r>
          </w:p>
        </w:tc>
        <w:tc>
          <w:tcPr>
            <w:tcW w:w="417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Commnet</w:t>
            </w:r>
          </w:p>
        </w:tc>
      </w:tr>
    </w:tbl>
    <w:tbl>
      <w:tblPr>
        <w:tblW w:w="10205" w:type="dxa"/>
        <w:jc w:val="left"/>
        <w:tblInd w:w="0" w:type="dxa"/>
        <w:tblLayout w:type="fixed"/>
        <w:tblCellMar>
          <w:top w:w="28" w:type="dxa"/>
          <w:left w:w="28" w:type="dxa"/>
          <w:bottom w:w="28" w:type="dxa"/>
          <w:right w:w="28" w:type="dxa"/>
        </w:tblCellMar>
      </w:tblPr>
      <w:tblGrid>
        <w:gridCol w:w="124"/>
        <w:gridCol w:w="288"/>
        <w:gridCol w:w="9638"/>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63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Company continued to unify branding across its networks, and the Company now sells Fixed and Mobility Services under the “One Communications” brand in Bermuda, Guyana and the US Virgin Islands. The Company refers to its business in Guyana as “OneGY” and its business in the US Virgin Islands as “OneVI” throughout this Report.</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For further information about the Company’s financial segments and geographical information about its operating revenues and assets, see Note 13 to the Unaudited Condensed Consolidated Financial Statements included in this Report.</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bookmarkStart w:id="1187" w:name="Tc_lRqJc7uuvE2vtMj3LnHr8g_6_11"/>
      <w:bookmarkStart w:id="1188" w:name="Tc_qIQUfUFAMU65x99Xb1TTgQ_6_8"/>
      <w:bookmarkStart w:id="1189" w:name="Tc_rfllG2YWDECi0CIFdsfiVg_6_5"/>
      <w:bookmarkStart w:id="1190" w:name="Tc_7ckdWXSS_0SwtfcHK6ja3w_6_2"/>
      <w:bookmarkStart w:id="1191" w:name="Tc_ukzmGZ4_VECUsILxpQTHdA_6_0"/>
      <w:bookmarkStart w:id="1192" w:name="Tc_mH-Q3Rh6n02qVdtCnuu9Dw_5_3"/>
      <w:bookmarkStart w:id="1193" w:name="Tc_YmvEh_A9mkGTs5SjL8ZsZg_5_0"/>
      <w:bookmarkStart w:id="1194" w:name="Tc_g5si_4fcdU6AdrbT86Hcug_4_11"/>
      <w:bookmarkStart w:id="1195" w:name="Tc_fEhZm4liv0WPKyrh03FcXQ_4_8"/>
      <w:bookmarkStart w:id="1196" w:name="Tc_i0wMbe_qA0SuUSLBLFMjng_4_5"/>
      <w:bookmarkStart w:id="1197" w:name="Tc_0yCPXyCsCUiGavVuwOAGBA_4_2"/>
      <w:bookmarkStart w:id="1198" w:name="Tc_RDDAaE803k6O5qb_Pt4WbA_4_0"/>
      <w:bookmarkStart w:id="1199" w:name="Tc_-bGLVaaBkEuAF3qj-SARsw_3_12"/>
      <w:bookmarkStart w:id="1200" w:name="Tc_Vfypc8oLuUCkEbPVbPJVaw_3_9"/>
      <w:bookmarkStart w:id="1201" w:name="Tc_Yqf9UrySjEOyC9auYo6U4w_3_6"/>
      <w:bookmarkStart w:id="1202" w:name="Tc_R6BGaxSdO0K0oAo6E8n18g_3_3"/>
      <w:bookmarkStart w:id="1203" w:name="Tc_a8g8XERURkOEkB5uc9GQjg_2_9"/>
      <w:bookmarkStart w:id="1204" w:name="Tc_Y_GZQ1zNHUCt4qMPA4U_Ag_2_6"/>
      <w:bookmarkStart w:id="1205" w:name="Tc_Q_UEmBnJSESNRUGqMQGz-g_2_3"/>
      <w:bookmarkStart w:id="1206" w:name="Tc__CWELRLwzE63W4lhfvQALQ_1_1"/>
      <w:bookmarkStart w:id="1207" w:name="_66196086_4c6a_4708_b61a_94a25db7609c"/>
      <w:bookmarkStart w:id="1208" w:name="Tc_rJfOMsGFGEiHlZiN_c2l9Q_6_11"/>
      <w:bookmarkStart w:id="1209" w:name="Tc_RrUtN2Y3Bkaf7vv3YvZK5A_6_8"/>
      <w:bookmarkStart w:id="1210" w:name="Tc_XDdukZ1SaEu_NkDb8sSevQ_6_5"/>
      <w:bookmarkStart w:id="1211" w:name="Tc_1C21WJ-luE2GVhpKmS3gUg_6_2"/>
      <w:bookmarkStart w:id="1212" w:name="Tc_D2-Tz20OFU2RlKyW_jRLMA_6_0"/>
      <w:bookmarkStart w:id="1213" w:name="Tc_gDO9WfH5q0ykZYVa4ijQHg_5_3"/>
      <w:bookmarkStart w:id="1214" w:name="Tc_euhZc-CNe0CP2Rs_xaFkLg_5_0"/>
      <w:bookmarkStart w:id="1215" w:name="Tc_XCj_dIsFMUGDoFSbVTPSSQ_4_11"/>
      <w:bookmarkStart w:id="1216" w:name="Tc_S4xGfzT47k2hu_AxzWTixw_4_8"/>
      <w:bookmarkStart w:id="1217" w:name="Tc_BrIlguHwSkGvpY5fo1tkFw_4_5"/>
      <w:bookmarkStart w:id="1218" w:name="Tc_rJb7mpNhL0-wY5ztBwP0Ew_4_2"/>
      <w:bookmarkStart w:id="1219" w:name="Tc_5TnUmjEGE0GRbuTho6Wt0Q_4_0"/>
      <w:bookmarkStart w:id="1220" w:name="Tc__2h9Kmc3XUaQm-W9wXzv1w_3_12"/>
      <w:bookmarkStart w:id="1221" w:name="Tc_YGCS0Ot1tU6fPuJs2ohmAA_3_9"/>
      <w:bookmarkStart w:id="1222" w:name="Tc_A7cRbJ3BB0e4RrMgvbsvyA_3_6"/>
      <w:bookmarkStart w:id="1223" w:name="Tc_qz0PytV_j0Sh6zDSuXMIyw_3_3"/>
      <w:bookmarkStart w:id="1224" w:name="Tc_dcWMZ9TIJk-LtK6zl94VoQ_2_9"/>
      <w:bookmarkStart w:id="1225" w:name="Tc_oHpiVcAgeUabDR-M-YV2Pw_2_6"/>
      <w:bookmarkStart w:id="1226" w:name="Tc_p-M_SYmpkUi5LyvfTMippA_2_3"/>
      <w:bookmarkStart w:id="1227" w:name="Tc_H2Poqy-ScU2zcTFV1Uznxg_1_1"/>
      <w:bookmarkStart w:id="1228" w:name="_802f0405_d5c9_40c0_9b6c_1074baedfb1d"/>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r>
        <w:rPr>
          <w:rFonts w:ascii="Times New Roman;Times;serif" w:hAnsi="Times New Roman;Times;serif"/>
          <w:i/>
          <w:sz w:val="20"/>
        </w:rPr>
        <w:t xml:space="preserve">Restructuring and reorganization expense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engages in restructuring and reorganization activities from time to time. These activities are primarily reduction in force costs incurred to increase operational efficiency and improve the Company’s operating margins. The Company’s 2025 reorganization plan began in January 2025 and ended on December 31, 2025. As of December 31, 2025, the Company recorded $10.2 million of costs under the 2025 reorganization plan and of that amount $0.9 million was accrued and payable as of June 30, 2026.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Company’s 2026 reorganization plan began in January 2026. As of June, 30, 2026, the Company recorded $4.3 million of costs under the 2026 reorganization plan and of that amount $1.3 million was accrued and payable. A summary of the restructuring and reorganization costs for the three and six months ended June 30, 2026 is below (in thousands).</w:t>
      </w:r>
    </w:p>
    <w:tbl>
      <w:tblPr>
        <w:tblW w:w="6865" w:type="dxa"/>
        <w:jc w:val="left"/>
        <w:tblInd w:w="0" w:type="dxa"/>
        <w:tblLayout w:type="fixed"/>
        <w:tblCellMar>
          <w:top w:w="0" w:type="dxa"/>
          <w:left w:w="0" w:type="dxa"/>
          <w:bottom w:w="0" w:type="dxa"/>
          <w:right w:w="0" w:type="dxa"/>
        </w:tblCellMar>
      </w:tblPr>
      <w:tblGrid>
        <w:gridCol w:w="1486"/>
        <w:gridCol w:w="109"/>
        <w:gridCol w:w="211"/>
        <w:gridCol w:w="1066"/>
        <w:gridCol w:w="109"/>
        <w:gridCol w:w="211"/>
        <w:gridCol w:w="706"/>
        <w:gridCol w:w="109"/>
        <w:gridCol w:w="211"/>
        <w:gridCol w:w="1231"/>
        <w:gridCol w:w="109"/>
        <w:gridCol w:w="211"/>
        <w:gridCol w:w="1096"/>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943610" cy="175260"/>
                      <wp:effectExtent l="0" t="0" r="0" b="0"/>
                      <wp:wrapNone/>
                      <wp:docPr id="76" name="Frame76"/>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76910" cy="175260"/>
                      <wp:effectExtent l="0" t="0" r="0" b="0"/>
                      <wp:wrapNone/>
                      <wp:docPr id="79" name="Frame79"/>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48310" cy="175260"/>
                      <wp:effectExtent l="0" t="0" r="0" b="0"/>
                      <wp:wrapNone/>
                      <wp:docPr id="82" name="Frame8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781685" cy="175260"/>
                      <wp:effectExtent l="0" t="0" r="0" b="0"/>
                      <wp:wrapNone/>
                      <wp:docPr id="85" name="Frame8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6"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5960" cy="175260"/>
                      <wp:effectExtent l="0" t="0" r="0" b="0"/>
                      <wp:wrapNone/>
                      <wp:docPr id="88" name="Frame8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5379"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14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Telecom </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1,649</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2,243</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Consulting costs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2,583</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tbl>
      <w:tblPr>
        <w:tblW w:w="6865" w:type="dxa"/>
        <w:jc w:val="left"/>
        <w:tblInd w:w="0" w:type="dxa"/>
        <w:tblLayout w:type="fixed"/>
        <w:tblCellMar>
          <w:top w:w="0" w:type="dxa"/>
          <w:left w:w="0" w:type="dxa"/>
          <w:bottom w:w="0" w:type="dxa"/>
          <w:right w:w="0" w:type="dxa"/>
        </w:tblCellMar>
      </w:tblPr>
      <w:tblGrid>
        <w:gridCol w:w="1486"/>
        <w:gridCol w:w="109"/>
        <w:gridCol w:w="211"/>
        <w:gridCol w:w="1066"/>
        <w:gridCol w:w="109"/>
        <w:gridCol w:w="211"/>
        <w:gridCol w:w="706"/>
        <w:gridCol w:w="109"/>
        <w:gridCol w:w="211"/>
        <w:gridCol w:w="1231"/>
        <w:gridCol w:w="109"/>
        <w:gridCol w:w="211"/>
        <w:gridCol w:w="1096"/>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943610" cy="175260"/>
                      <wp:effectExtent l="0" t="0" r="0" b="0"/>
                      <wp:wrapNone/>
                      <wp:docPr id="89" name="Frame89"/>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76910" cy="175260"/>
                      <wp:effectExtent l="0" t="0" r="0" b="0"/>
                      <wp:wrapNone/>
                      <wp:docPr id="92" name="Frame9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3"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48310" cy="175260"/>
                      <wp:effectExtent l="0" t="0" r="0" b="0"/>
                      <wp:wrapNone/>
                      <wp:docPr id="95" name="Frame9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6"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781685" cy="175260"/>
                      <wp:effectExtent l="0" t="0" r="0" b="0"/>
                      <wp:wrapNone/>
                      <wp:docPr id="98" name="Frame98"/>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5960" cy="175260"/>
                      <wp:effectExtent l="0" t="0" r="0" b="0"/>
                      <wp:wrapNone/>
                      <wp:docPr id="101" name="Frame10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5379"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14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Telecom </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3,187</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Consulting costs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4,309</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is currently evaluating its reorganization plan for the second half of 2026.</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 BASIS OF PRESENTATION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accompanying condensed consolidated financial statements have been prepared by the Company pursuant to the rules and regulations of the SEC. The financial information included herein is unaudited; however, the Company believes such information and the disclosures herein are adequate to make the information presented not misleading and reflect all adjustments (consisting only of normal recurring adjustments) that are necessary for a fair statement of the Company’s financial position and results of operations for the periods described therein. The year-end condensed balance sheet data was derived from audited financial statements but does not include all disclosures required by accounting principles generally accepted in the United States of America (“GAAP”). Results of interim periods may not be indicative of results for the full year. These condensed consolidated financial statements and related notes should be read in conjunction with the Company’s Annual Report on Form 10-K for the year ended December 31, 2025, filed with the SEC on March 16, 2026.</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condensed consolidated financial statements include the accounts of the Company, its subsidiaries in which the Company holds controlling interests and certain entities which are consolidated in accordance with the provisions of the Financial Accounting Standards Board’s (“FASB”) authoritative guidance on the consolidation of variable interest entities, since it is determined that the Company is the primary beneficiary of these entities.</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November 2024, the FASB issued Accounting Standards Update (“ASU”) No. 2024-03, “Disaggregation of Income Statements Expenses (DISE)” (“ASU 2024-03”), which requires that a public entity provide additional disclosure of the nature of expenses included in the income statement. The new standard requires disclosures about specific types of expenses included in the expense captions presented on the face of the income statement as well as disclosures about selling expenses. ASU 2024-03 will be effective for annual periods beginning after December 15, 2026, and interim periods beginning after December 15, 2027, with retrospective application. The standard allows early adoption of these requirements and the Company is currently evaluating the disclosure impacts of adoption.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September 2025, the FASB issued ASU No. 2025-06, “Intangibles - Goodwill and Other – Internal Use Software (Subtopic 350-40): Targeted Improvements to the Accounting for Internal-Use Software” (“ASU 2025-06”). ASU 2025-06 removes references to software development project stages and requires software cost capitalization when two criteria are met (i) management has authorized and committed to funding the project, and (ii) it is probable that the project will be completed and used as intended. ASU 2025-06 will be effective for annual reporting periods beginning after December 15, 2027. The Company is currently evaluating the impacts of its adoption.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July 2025, the FASB issued ASU No. 2025-05, “Measurement of Credit Losses for Accounts Receivable and Contract Assets” (“ASU 2025-05”), which provided a practical expedient for all entities to assume current conditions as of the balance sheet date will remain through the reasonable and supportable forecast period for eligible assets. Entities were required to adjust the historical data used in the estimation of credit losses to reflect current conditions. The Company prospectively adopted ASU 2025-05, effective January 1, 2026. The adoption of ASU 2025-05 did not have a material impact on its disclosures.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December 2025, the FASB issued ASU No. 2025-10, “Government Grants (Topic 832) – Accounting for Government Grants Received by Business Entities” (“ASU 2025-10”), which provides specific authoritative guidance for recognition, measurement, and presentation of government grants. ASU 2025-10 is effective on a prospective or retrospective basis for annual reporting periods beginning after December 15, 2028, and interim reporting periods within those annual reporting periods. The standard allows for early adoption of these requirements, and the Company is currently evaluating the impacts of its adoption.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December 2025, the FASB issued ASU No. 2025-11, “Interim Reporting (Topic 270) – Narrow-Scope Improvements” (“ASU 2025-11”), which provides additional guidance on disclosures that should be provided for interim reporting periods. ASU 2025-11 is effective on a prospective or retrospective basis for interim reporting periods within annual reporting periods beginning after December 15, 2027. The standard allows for early adoption of these requirements, and the Company is currently evaluating the impacts of its adoption.</w:t>
      </w:r>
    </w:p>
    <w:p>
      <w:pPr>
        <w:pStyle w:val="TextBody"/>
        <w:bidi w:val="0"/>
        <w:spacing w:before="280" w:after="240"/>
        <w:ind w:left="0" w:right="0" w:hanging="0"/>
        <w:jc w:val="left"/>
        <w:rPr>
          <w:rFonts w:ascii="Times New Roman;Times;serif" w:hAnsi="Times New Roman;Times;serif"/>
          <w:b/>
          <w:sz w:val="20"/>
        </w:rPr>
      </w:pPr>
      <w:r>
        <w:rPr>
          <w:rFonts w:ascii="Times New Roman;Times;serif" w:hAnsi="Times New Roman;Times;serif"/>
          <w:b/>
          <w:sz w:val="20"/>
        </w:rPr>
        <w:t>3. DISPOSITIONS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US Telecom – Tower Portfolio Transaction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previously disclosed, on February 11, 2026, through certain Commnet subsidiaries, the Company entered into a Purchase and Sale Agreement (the “Transaction Agreement”) with EIP Holdings IV, LLC, an affiliate of Everest Infrastructure Partners, Inc. (“Everest”), to sell approximately 214 tower portfolio sites (representing the substantial majority of its Commnet tower portfolio and operations, the “Tower Portfolio”) to Everest (the “Tower Portfolio Transaction”) for up to $297 million in cash consideration, subject to certain adjustments and prorations (the “Aggregate Consideration”).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On June 2, 2026 (the “Initial Closing Date”), the Company completed the initial closing of the Tower Portfolio Transaction (the “Initial Closing”), and the Company currently anticipates that it will complete the Tower Portfolio Transaction in one or more Subsequent Closings (as defined below) over the next eleven months. The Transaction Agreement sets forth certain conditions that must be satisfied prior to the conveyance of tower sites at a closing.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229" w:name="Tc_auiH6Rp80E-RSt5frNUqbA_16_2"/>
      <w:bookmarkStart w:id="1230" w:name="Tc_CCEpkoHoQkuzqkP3uH4mWQ_16_0"/>
      <w:bookmarkStart w:id="1231" w:name="Tc__RE28N0zyk6MTeEhHDY4ig_14_0"/>
      <w:bookmarkStart w:id="1232" w:name="Tc_qMoe356kV0GEPii_JcEZsA_12_0"/>
      <w:bookmarkStart w:id="1233" w:name="Tc_ttZynoZZLECXwGCebihQDw_10_0"/>
      <w:bookmarkStart w:id="1234" w:name="Tc_5h41NnZQr0KpvusbSY_-EA_9_0"/>
      <w:bookmarkStart w:id="1235" w:name="Tc_fVOihPq780SoP8dTKUIcdw_8_0"/>
      <w:bookmarkStart w:id="1236" w:name="Tc_t2YsU2pcMUGqGw4tRSqccA_7_0"/>
      <w:bookmarkStart w:id="1237" w:name="Tc_jpfrVb2LdU2qJ8m8mlt3NA_6_0"/>
      <w:bookmarkStart w:id="1238" w:name="Tc_mRxKcOQLJEGmaCg4VSGT9w_5_0"/>
      <w:bookmarkStart w:id="1239" w:name="Tc_VAGoISVL8EqCJE9640i4Ew_4_0"/>
      <w:bookmarkStart w:id="1240" w:name="Tc_RrRItS1y5kufXBOEVU3LeQ_3_0"/>
      <w:bookmarkStart w:id="1241" w:name="Tc_VHAReKo6l0GH2QetM5CLLQ_1_2"/>
      <w:bookmarkStart w:id="1242" w:name="Tc_2v9XPS1llU6VmMy0ZJqoAw_1_0"/>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r>
        <w:rPr>
          <w:rFonts w:ascii="Times New Roman;Times;serif" w:hAnsi="Times New Roman;Times;serif"/>
          <w:sz w:val="20"/>
        </w:rPr>
        <w:t>connection with the Initial Closing, the Company and Everest entered into an amendment to the Transaction Agreement to waive certain conditions to the Initial Closing and restate (i) the schedule of tower sites that were conveyed to Everest on the Initial Closing Date (the “Assigned Sites”), (ii) the list of tower sites that will be managed by Everest but still subject to certain managed site conditions prior to conveyance (the “Managed Sites”), and (iii) the list of tower sites that are still subject to certain managed site conditions and consideration has not been paid to date (the “Deferred Sites”). Everest will manage the Managed Sites until the conditions to their conveyance are satisfied, and such Managed Sites are transferred to Everest at one or more subsequent closings (each, a “Subsequent Closing”). At any Subsequent Closing at which one or more Deferred Sites are transferred, Everest will pay a portion of the Aggregate Consideration that is attributable to each Deferred Site. At the Initial Closing, the Company and Everest entered into, among other ancillary agreements, (i) the management agreement for the Managed Sites, (ii) master lease agreements, pursuant to which the Sale Site Subsidiary (as defined in the Transaction Agreement) will lease to the applicable Commnet Party the requisite ground, tower, or other space of the Assigned Sites (the “Leaseback”) for the Company’s continued use, and (iii) a preferred backhaul agreement whereby Commnet and/or one or more of its affiliates will become the preferred backhaul provider for Everest with respect to the Assigned Sites.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At the Initial Closing, Everest paid the Company $267.7 million in aggregate cash consideration (the “Initial Closing Cash Consideration”), of which $153.4 million is attributable to the Assigned Sites and $114.3 million is attributable to the Managed Sites. Of the Initial Closing Cash Consideration, $255.7 million was recorded as sale consideration and $12.0 million of such amount was deferred in advanced payments and deposits on the Company’s balance sheet as it is subject to the Company’s completion of certain conditions related to the Managed Sites. The Company can receive up to an additional $29.6 million of the Aggregate Consideration at Subsequent Closings for the Deferred Sites when and if closing conditions are satisfied or otherwise waived. The net book value of the assets and liabilities sold is listed in the table below (in thousands):</w:t>
      </w:r>
    </w:p>
    <w:p>
      <w:pPr>
        <w:pStyle w:val="TextBody"/>
        <w:bidi w:val="0"/>
        <w:spacing w:before="280" w:after="0"/>
        <w:ind w:left="0" w:right="0" w:firstLine="720"/>
        <w:jc w:val="left"/>
        <w:rPr/>
      </w:pPr>
      <w:r>
        <w:rPr/>
        <w:t>​</w:t>
      </w:r>
    </w:p>
    <w:tbl>
      <w:tblPr>
        <w:tblW w:w="4889" w:type="dxa"/>
        <w:jc w:val="left"/>
        <w:tblInd w:w="0" w:type="dxa"/>
        <w:tblLayout w:type="fixed"/>
        <w:tblCellMar>
          <w:top w:w="0" w:type="dxa"/>
          <w:left w:w="0" w:type="dxa"/>
          <w:bottom w:w="0" w:type="dxa"/>
          <w:right w:w="0" w:type="dxa"/>
        </w:tblCellMar>
      </w:tblPr>
      <w:tblGrid>
        <w:gridCol w:w="3646"/>
        <w:gridCol w:w="146"/>
        <w:gridCol w:w="211"/>
        <w:gridCol w:w="886"/>
      </w:tblGrid>
      <w:tr>
        <w:trPr/>
        <w:tc>
          <w:tcPr>
            <w:tcW w:w="36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92710" cy="175260"/>
                      <wp:effectExtent l="0" t="0" r="0" b="0"/>
                      <wp:wrapNone/>
                      <wp:docPr id="102" name="Frame10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62610" cy="175260"/>
                      <wp:effectExtent l="0" t="0" r="0" b="0"/>
                      <wp:wrapNone/>
                      <wp:docPr id="104" name="Frame10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Consideration received</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255,669</w:t>
            </w:r>
          </w:p>
        </w:tc>
      </w:tr>
      <w:tr>
        <w:trPr/>
        <w:tc>
          <w:tcPr>
            <w:tcW w:w="36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disposed:</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27,313</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4,432</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lease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excluding current portion</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(3,080)</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(2,885)</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assets disposed</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25,726</w:t>
            </w:r>
          </w:p>
        </w:tc>
      </w:tr>
      <w:tr>
        <w:trPr/>
        <w:tc>
          <w:tcPr>
            <w:tcW w:w="36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229,943</w:t>
            </w:r>
          </w:p>
        </w:tc>
      </w:tr>
      <w:tr>
        <w:trPr/>
        <w:tc>
          <w:tcPr>
            <w:tcW w:w="36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costs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8,464</w:t>
            </w:r>
          </w:p>
        </w:tc>
      </w:tr>
      <w:tr>
        <w:trPr/>
        <w:tc>
          <w:tcPr>
            <w:tcW w:w="36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assets after transaction costs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221,479</w:t>
            </w:r>
          </w:p>
        </w:tc>
      </w:tr>
    </w:tbl>
    <w:p>
      <w:pPr>
        <w:pStyle w:val="TextBody"/>
        <w:bidi w:val="0"/>
        <w:spacing w:before="0" w:after="0"/>
        <w:ind w:left="0" w:right="0" w:firstLine="72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incurred $8.5 million of transaction related charges pertaining to legal, accounting, and consulting services associated with the Tower Portfolio Transaction, of this amount $6.3 million and $7.1 million was incurred during the three and six months ended June 30, 2026, respectively, and $1.4 million was incurred during 2025. The fixed assets disposed had useful lives between 6 and 15 years.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At June 30, 2026, the Company recorded its remaining Tower Portfolio assets and liabilities as held for sale. These assets will be transferred at Subsequent Closings when and if the closing conditions are satisfied or otherwise waived. The assets and liabilities recorded as held for sale consist of $6.6 million of fixed assets, $0.3 million of lease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and $0.3 million of lease liabilities, of which $0.2 million is for the current portion of lease liabilities.</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Spectrum Sale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June 2026, the Company entered into an agreement to sell certain telecommunication spectrum licenses located in the United States. Under the agreement, the Company will sell certain spectrum licenses for $37.8 million and the option to purchase additional licenses for a total of $3.2 million. Upon entering into the agreement, the Company received $2.2 million in consideration for the spectrum license purchase options. In total ,the licenses have a book value of $36.4 million and the sales proceeds could total up to $41.0 million. The transaction is subject to regulatory approval and the Company currently expects to complete the sale in 2027 and the options to acquire the additional spectrum licenses expires in 2029. The Company expects to recognize a gain of up to $4.6 million upon close of the transaction. </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Equity Investments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2025, the Company entered into an agreement to sell its India solar investment. As a result of this transaction, the Company recorded its equity investment as held for sale at December 31, 2025. The transaction price was reduced in 2026 resulting in a $2.6 million impairment being recorded in other income (expense) during the six months ended June 30, 2026. The sale of the operating assets was complete in March 2026 and the Company is awaiting distribution of its share of the sales proceeds. The Company expects its share of the sales proceeds to be approximately $8.6 million, which continues to be recorded as held for sale in the Company’s June 30, 2026 balance sheet. The Company expects to receive the proceeds in the second half of 2026.</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Fixed Assets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June 30, 2026, the Company sold fixed assets related to certain real estate within its International Telecom segment for $1.3 million recognizing a gain of $1.1 million on the transaction. </w:t>
      </w:r>
    </w:p>
    <w:p>
      <w:pPr>
        <w:pStyle w:val="TextBody"/>
        <w:bidi w:val="0"/>
        <w:spacing w:before="280" w:after="0"/>
        <w:ind w:left="0" w:right="0" w:firstLine="720"/>
        <w:jc w:val="left"/>
        <w:rPr/>
      </w:pPr>
      <w:r>
        <w:rPr/>
        <w:t>​</w:t>
      </w:r>
    </w:p>
    <w:p>
      <w:pPr>
        <w:pStyle w:val="TextBody"/>
        <w:bidi w:val="0"/>
        <w:spacing w:before="280" w:after="240"/>
        <w:ind w:left="0" w:right="0" w:hanging="0"/>
        <w:jc w:val="left"/>
        <w:rPr>
          <w:rFonts w:ascii="Times New Roman;Times;serif" w:hAnsi="Times New Roman;Times;serif"/>
          <w:b/>
          <w:sz w:val="20"/>
        </w:rPr>
      </w:pPr>
      <w:r>
        <w:rPr>
          <w:rFonts w:ascii="Times New Roman;Times;serif" w:hAnsi="Times New Roman;Times;serif"/>
          <w:b/>
          <w:sz w:val="20"/>
        </w:rPr>
        <w:t xml:space="preserve">4. REVENUE RECOGNITION AND RECEIVABLES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records revenue in accordance with the FASB’s Accounting Standard Codification (“ASC”) Topic 606, “Revenue Recognition” (“ASC 606”), from contracts with customers and ASC Topic 842, “Leases” (“ASC 842”), from lease agreements, as well as government grants. Lease revenue recognized under ASC 842 is disclosed in Note 5 and government support revenue is disclosed in Note 9.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1243" w:name="Tc_RMUeZqvOHECWlE5Fks289Q_6_13"/>
      <w:bookmarkStart w:id="1244" w:name="Tc_OM7nHJoFmU651tKTVnZgIQ_6_8"/>
      <w:bookmarkStart w:id="1245" w:name="Tc_C90xhVZnV0KR4Y3-aMvXsQ_6_5"/>
      <w:bookmarkStart w:id="1246" w:name="Tc_gSsMEqpzwUyB8LplDqMeFg_6_2"/>
      <w:bookmarkStart w:id="1247" w:name="Tc_SMnAkZbXl0e0SGJYYgEANA_6_0"/>
      <w:bookmarkStart w:id="1248" w:name="Tc_j9vivu9sx0u3f_xkorwcbw_5_13"/>
      <w:bookmarkStart w:id="1249" w:name="Tc_HlbqHSiVoU-ClZcjdX9mBQ_5_0"/>
      <w:bookmarkStart w:id="1250" w:name="Tc_em9rEVUPCUO14FU4dr_-pQ_4_13"/>
      <w:bookmarkStart w:id="1251" w:name="Tc_ol9ZIfOaJ0m7jGIfEAZrmw_4_0"/>
      <w:bookmarkStart w:id="1252" w:name="Tc_epqEiVEy6k6ZaJaRGJNV7w_3_13"/>
      <w:bookmarkStart w:id="1253" w:name="Tc_sqCWmO4vhkKHyWdUbsjPuQ_3_0"/>
      <w:bookmarkStart w:id="1254" w:name="Tc_Ps2Ogc5TD0GIyhcBBUQClA_2_13"/>
      <w:bookmarkStart w:id="1255" w:name="Tc_LK2D-62yG0CPjQAzBvMvsg_2_8"/>
      <w:bookmarkStart w:id="1256" w:name="Tc_I6VHgxgbLkK2YXQISNR4_g_2_5"/>
      <w:bookmarkStart w:id="1257" w:name="Tc_XVq9uozS60ic6-z0lAgAqA_2_2"/>
      <w:bookmarkStart w:id="1258" w:name="Tc_FP1Zyj4J3ESbdt-ScMbi3g_2_0"/>
      <w:bookmarkStart w:id="1259" w:name="Tc_4f803yUrAkmRSOl97FIETQ_1_11"/>
      <w:bookmarkStart w:id="1260" w:name="Tc_-nKCSOyxSE2LQlcZ3mjMrg_1_9"/>
      <w:bookmarkStart w:id="1261" w:name="Tc_pulgAsV3wkOwnGWKwcRAUw_1_5"/>
      <w:bookmarkStart w:id="1262" w:name="Tc_XUF4c8cd9EyabJ4aVQHt6g_1_2"/>
      <w:bookmarkStart w:id="1263" w:name="_85bb2def_a118_43c3_ab47_f3da2375462c"/>
      <w:bookmarkStart w:id="1264" w:name="Tc_gBHg6GLVH0eHHkdGy9jSew_9_17"/>
      <w:bookmarkStart w:id="1265" w:name="Tc_eueNmrwfZkeGZ7dfzicpSQ_9_14"/>
      <w:bookmarkStart w:id="1266" w:name="Tc_R69FFN53QUqV2j5jcli9yQ_9_11"/>
      <w:bookmarkStart w:id="1267" w:name="Tc_jSSEUwOAAEGvYEwzDJT90Q_9_8"/>
      <w:bookmarkStart w:id="1268" w:name="Tc_biPAQuPEJEmr1DXWQZ_9lA_9_5"/>
      <w:bookmarkStart w:id="1269" w:name="Tc_CcVKMr0JTUa2uNQvBBOh1g_9_2"/>
      <w:bookmarkStart w:id="1270" w:name="Tc_r8Y-T59fmUyfcJbTUqq6rA_9_0"/>
      <w:bookmarkStart w:id="1271" w:name="Tc_REoEu2zYaEOUGqKynoZXOw_8_3"/>
      <w:bookmarkStart w:id="1272" w:name="Tc_yE5D4fU_nE-iH_fIQs31kQ_8_0"/>
      <w:bookmarkStart w:id="1273" w:name="Tc_moVW8vmGnECYZgDN5_kXNQ_7_0"/>
      <w:bookmarkStart w:id="1274" w:name="Tc_SNXhKfhR406Pd6sfBpvvOQ_6_17"/>
      <w:bookmarkStart w:id="1275" w:name="Tc_nqxvwuOAhE-q3tF_jM2kwg_6_14"/>
      <w:bookmarkStart w:id="1276" w:name="Tc_gpYU0r5De06mGYaSZTZPvA_6_11"/>
      <w:bookmarkStart w:id="1277" w:name="Tc_cfjIJVf-WkeU8E-r6zrqvg_6_8"/>
      <w:bookmarkStart w:id="1278" w:name="Tc_xzjecl7bQEi4Javz6NYZcw_6_5"/>
      <w:bookmarkStart w:id="1279" w:name="Tc_L637YiAxRkqJxXQHGjuJ0g_6_2"/>
      <w:bookmarkStart w:id="1280" w:name="Tc_s3IVsQip_0KGeDfWe2MKTg_6_0"/>
      <w:bookmarkStart w:id="1281" w:name="Tc_BQ45EaY6g0GuPw83CI4MHA_5_0"/>
      <w:bookmarkStart w:id="1282" w:name="Tc_peSi8HpOREej-VnH8Oo-Tg_4_17"/>
      <w:bookmarkStart w:id="1283" w:name="Tc_Qk5omIkjkUiQ-AiU04sIxQ_4_14"/>
      <w:bookmarkStart w:id="1284" w:name="Tc_Tyafw8xLMEiE_bA7JCqDkA_4_11"/>
      <w:bookmarkStart w:id="1285" w:name="Tc_ISb6VdINWkqOHkjzD4zHNg_4_8"/>
      <w:bookmarkStart w:id="1286" w:name="Tc__iMDKHaTlUi-5uVHxdgAvQ_4_5"/>
      <w:bookmarkStart w:id="1287" w:name="Tc_3AbNjU9K0UO1EyIOrB9Ocg_4_2"/>
      <w:bookmarkStart w:id="1288" w:name="Tc_fjKwFStEokGGazPfoDg9YA_4_0"/>
      <w:bookmarkStart w:id="1289" w:name="Tc_2c9JMHgq5UaDLsyUz-xW9A_3_17"/>
      <w:bookmarkStart w:id="1290" w:name="Tc_hR4jKNPRT0OVJveF0AMUQA_3_14"/>
      <w:bookmarkStart w:id="1291" w:name="Tc_im9ceoNFFEOylr2Y7yMxKQ_3_11"/>
      <w:bookmarkStart w:id="1292" w:name="Tc_9wGCQvZEG0io9X-v1AgNiw_3_8"/>
      <w:bookmarkStart w:id="1293" w:name="Tc_Pv8OD7RRU0-y8GxKeodYBA_3_5"/>
      <w:bookmarkStart w:id="1294" w:name="Tc_AsiYv1LR_UG1-j42FT2i6g_3_2"/>
      <w:bookmarkStart w:id="1295" w:name="Tc_EVmEpAgjvEuxVKt_2SKMQQ_2_14"/>
      <w:bookmarkStart w:id="1296" w:name="Tc_ECH9KQuYokeQFvmlsU2aWw_2_11"/>
      <w:bookmarkStart w:id="1297" w:name="Tc_BomMmaiPTE-F-r4LQw-QOg_2_5"/>
      <w:bookmarkStart w:id="1298" w:name="Tc_wAgGchhYt0ehKYMcQ4HHjw_2_2"/>
      <w:bookmarkStart w:id="1299" w:name="Tc_8dRK-M1wM0KMbTh7h9NBCA_1_11"/>
      <w:bookmarkStart w:id="1300" w:name="Tc_7NQFcDjM50-_fEbwQjx_zA_1_2"/>
      <w:bookmarkStart w:id="1301" w:name="_d6a8fc7d_660f_4e99_84b3_2fca14c9506d"/>
      <w:bookmarkStart w:id="1302" w:name="Tc_GJz0RyLmfkG071M7GdsZ_A_9_17"/>
      <w:bookmarkStart w:id="1303" w:name="Tc_jh-MSWGcKEmy6DIuE6m9yg_9_14"/>
      <w:bookmarkStart w:id="1304" w:name="Tc_vIDErSXJy0W4TewP-BQeSg_9_11"/>
      <w:bookmarkStart w:id="1305" w:name="Tc_GbYj4cjqm0CIDFDQXCZm1w_9_8"/>
      <w:bookmarkStart w:id="1306" w:name="Tc_wjDy3BRmfkOG444V1ytXSw_9_5"/>
      <w:bookmarkStart w:id="1307" w:name="Tc_ASfXC4E9IEGtfOieP5wLvw_9_2"/>
      <w:bookmarkStart w:id="1308" w:name="Tc_kp6SwqbiCUiuPEkspOAkVQ_9_0"/>
      <w:bookmarkStart w:id="1309" w:name="Tc_jm5iZDT1OEqMdeNiPj2JFQ_8_3"/>
      <w:bookmarkStart w:id="1310" w:name="Tc_KMFWfYPYFECUYTJLEO7U2w_8_0"/>
      <w:bookmarkStart w:id="1311" w:name="Tc_brWRi9XmhUuRdYgWaLItRQ_7_0"/>
      <w:bookmarkStart w:id="1312" w:name="Tc_zCb5zmX08E2HK1FhdZOx2g_6_17"/>
      <w:bookmarkStart w:id="1313" w:name="Tc_-fdIwbVW30251d0hsy3XnQ_6_14"/>
      <w:bookmarkStart w:id="1314" w:name="Tc_d4o7mVsdtE2jtAKs5cSncQ_6_11"/>
      <w:bookmarkStart w:id="1315" w:name="Tc_sm1GEyWtCEO0aq-Wz94-Pw_6_8"/>
      <w:bookmarkStart w:id="1316" w:name="Tc_1Opq1nBmokq-YejRWZ6QJA_6_5"/>
      <w:bookmarkStart w:id="1317" w:name="Tc__3dOqAPa0EOE-td-z2o1kQ_6_2"/>
      <w:bookmarkStart w:id="1318" w:name="Tc_Q_EFFnsoAU6C8vyVKIIv4A_6_0"/>
      <w:bookmarkStart w:id="1319" w:name="Tc_4m19QxvNkk2xnmgTqQYrFg_5_0"/>
      <w:bookmarkStart w:id="1320" w:name="Tc_mLAqS7gUEk6o_obFOBsysQ_4_17"/>
      <w:bookmarkStart w:id="1321" w:name="Tc_OYly3WJc8U6aThIIfgn5Kw_4_14"/>
      <w:bookmarkStart w:id="1322" w:name="Tc_hBelkktYqEeWu1GhupuwdA_4_11"/>
      <w:bookmarkStart w:id="1323" w:name="Tc_8myP3VNNRkGe30kMobrEuw_4_8"/>
      <w:bookmarkStart w:id="1324" w:name="Tc_e925Rt6rC0ejb0mmoSrfPA_4_5"/>
      <w:bookmarkStart w:id="1325" w:name="Tc_fsKwul6q90KsY5AT9S7ypQ_4_2"/>
      <w:bookmarkStart w:id="1326" w:name="Tc_7Dz6d2t1BEK-xLylhlNWvg_4_0"/>
      <w:bookmarkStart w:id="1327" w:name="Tc_oOkVkSD2ZEmuHpjtAfWhRQ_3_17"/>
      <w:bookmarkStart w:id="1328" w:name="Tc_kOzKyn8RCkqXwEJsC4UwUg_3_14"/>
      <w:bookmarkStart w:id="1329" w:name="Tc_PLTTdh7suEC7EDWnuACD-A_3_11"/>
      <w:bookmarkStart w:id="1330" w:name="Tc_YyZCgwJqx0aWRrOU-RLOWQ_3_8"/>
      <w:bookmarkStart w:id="1331" w:name="Tc_vE2eboOfNkizW7PPMsq6AQ_3_5"/>
      <w:bookmarkStart w:id="1332" w:name="Tc_0JjgkxvvlES3hcMgNagGQA_3_2"/>
      <w:bookmarkStart w:id="1333" w:name="Tc_eotfjd0bOkus9Ltm6FZ1Jg_2_14"/>
      <w:bookmarkStart w:id="1334" w:name="Tc_E-5kqz1Nl0atmRo8srtP2Q_2_11"/>
      <w:bookmarkStart w:id="1335" w:name="Tc_eYbH6OfqxEyxSk3GJ2Mxcg_2_5"/>
      <w:bookmarkStart w:id="1336" w:name="Tc_6O791OZh3Eix6d_SgSSt-Q_2_2"/>
      <w:bookmarkStart w:id="1337" w:name="Tc_D8eNkgLhKkKWl-D-FMtGJw_1_11"/>
      <w:bookmarkStart w:id="1338" w:name="Tc_IXFC8AwBtUuCybhnDsHu0w_1_2"/>
      <w:bookmarkStart w:id="1339" w:name="_8a33311c_3358_4770_b942_578574bd385d"/>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r>
        <w:rPr>
          <w:rFonts w:ascii="Times New Roman;Times;serif" w:hAnsi="Times New Roman;Times;serif"/>
          <w:i/>
          <w:sz w:val="20"/>
        </w:rPr>
        <w:t xml:space="preserve">Timing of Revenue Recognition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Revenue recognized consisted of the following for the periods presented below (in thousands): </w:t>
      </w:r>
    </w:p>
    <w:tbl>
      <w:tblPr>
        <w:tblW w:w="10205" w:type="dxa"/>
        <w:jc w:val="left"/>
        <w:tblInd w:w="0" w:type="dxa"/>
        <w:tblLayout w:type="fixed"/>
        <w:tblCellMar>
          <w:top w:w="0" w:type="dxa"/>
          <w:left w:w="0" w:type="dxa"/>
          <w:bottom w:w="0" w:type="dxa"/>
          <w:right w:w="0" w:type="dxa"/>
        </w:tblCellMar>
      </w:tblPr>
      <w:tblGrid>
        <w:gridCol w:w="2134"/>
        <w:gridCol w:w="346"/>
        <w:gridCol w:w="253"/>
        <w:gridCol w:w="813"/>
        <w:gridCol w:w="346"/>
        <w:gridCol w:w="211"/>
        <w:gridCol w:w="676"/>
        <w:gridCol w:w="346"/>
        <w:gridCol w:w="211"/>
        <w:gridCol w:w="781"/>
        <w:gridCol w:w="346"/>
        <w:gridCol w:w="253"/>
        <w:gridCol w:w="813"/>
        <w:gridCol w:w="346"/>
        <w:gridCol w:w="211"/>
        <w:gridCol w:w="676"/>
        <w:gridCol w:w="346"/>
        <w:gridCol w:w="211"/>
        <w:gridCol w:w="886"/>
      </w:tblGrid>
      <w:tr>
        <w:trPr/>
        <w:tc>
          <w:tcPr>
            <w:tcW w:w="2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55090" cy="175260"/>
                      <wp:effectExtent l="0" t="0" r="0" b="0"/>
                      <wp:wrapNone/>
                      <wp:docPr id="105" name="Frame105"/>
                      <a:graphic xmlns:a="http://schemas.openxmlformats.org/drawingml/2006/main">
                        <a:graphicData uri="http://schemas.microsoft.com/office/word/2010/wordprocessingShape">
                          <wps:wsp>
                            <wps:cNvSpPr txBox="1"/>
                            <wps:spPr>
                              <a:xfrm>
                                <a:off x="0" y="0"/>
                                <a:ext cx="1355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16255" cy="175260"/>
                      <wp:effectExtent l="0" t="0" r="0" b="0"/>
                      <wp:wrapNone/>
                      <wp:docPr id="106" name="Frame106"/>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29260" cy="175260"/>
                      <wp:effectExtent l="0" t="0" r="0" b="0"/>
                      <wp:wrapNone/>
                      <wp:docPr id="108" name="Frame10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95935" cy="175260"/>
                      <wp:effectExtent l="0" t="0" r="0" b="0"/>
                      <wp:wrapNone/>
                      <wp:docPr id="110" name="Frame1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16255" cy="175260"/>
                      <wp:effectExtent l="0" t="0" r="0" b="0"/>
                      <wp:wrapNone/>
                      <wp:docPr id="112" name="Frame112"/>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29260" cy="175260"/>
                      <wp:effectExtent l="0" t="0" r="0" b="0"/>
                      <wp:wrapNone/>
                      <wp:docPr id="114" name="Frame1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62610" cy="175260"/>
                      <wp:effectExtent l="0" t="0" r="0" b="0"/>
                      <wp:wrapNone/>
                      <wp:docPr id="116" name="Frame11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63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c>
          <w:tcPr>
            <w:tcW w:w="346" w:type="dxa"/>
            <w:tcBorders/>
            <w:vAlign w:val="center"/>
          </w:tcPr>
          <w:p>
            <w:pPr>
              <w:pStyle w:val="TableContents"/>
              <w:bidi w:val="0"/>
              <w:spacing w:before="0" w:after="0"/>
              <w:ind w:left="0" w:right="0" w:hanging="0"/>
              <w:jc w:val="left"/>
              <w:rPr/>
            </w:pPr>
            <w:r>
              <w:rPr/>
              <w:t>​</w:t>
            </w:r>
          </w:p>
        </w:tc>
        <w:tc>
          <w:tcPr>
            <w:tcW w:w="374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21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21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3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 transferred over time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164,542</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159,670</w:t>
            </w:r>
          </w:p>
        </w:tc>
      </w:tr>
      <w:tr>
        <w:trPr/>
        <w:tc>
          <w:tcPr>
            <w:tcW w:w="21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Goods and services transferred at a point in time</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6,007</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6,814</w:t>
            </w:r>
          </w:p>
        </w:tc>
      </w:tr>
      <w:tr>
        <w:trPr/>
        <w:tc>
          <w:tcPr>
            <w:tcW w:w="213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 accounted for under ASC 606</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170,549</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166,484</w:t>
            </w:r>
          </w:p>
        </w:tc>
      </w:tr>
      <w:tr>
        <w:trPr/>
        <w:tc>
          <w:tcPr>
            <w:tcW w:w="21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income</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w:t>
            </w:r>
          </w:p>
        </w:tc>
      </w:tr>
      <w:tr>
        <w:trPr/>
        <w:tc>
          <w:tcPr>
            <w:tcW w:w="213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Government support revenue (1)</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11,850</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12,768</w:t>
            </w:r>
          </w:p>
        </w:tc>
      </w:tr>
      <w:tr>
        <w:trPr/>
        <w:tc>
          <w:tcPr>
            <w:tcW w:w="213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184,504</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181,300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24"/>
        <w:gridCol w:w="346"/>
        <w:gridCol w:w="226"/>
        <w:gridCol w:w="840"/>
        <w:gridCol w:w="346"/>
        <w:gridCol w:w="211"/>
        <w:gridCol w:w="781"/>
        <w:gridCol w:w="346"/>
        <w:gridCol w:w="211"/>
        <w:gridCol w:w="781"/>
        <w:gridCol w:w="346"/>
        <w:gridCol w:w="226"/>
        <w:gridCol w:w="840"/>
        <w:gridCol w:w="346"/>
        <w:gridCol w:w="211"/>
        <w:gridCol w:w="781"/>
        <w:gridCol w:w="346"/>
        <w:gridCol w:w="211"/>
        <w:gridCol w:w="886"/>
      </w:tblGrid>
      <w:tr>
        <w:trPr/>
        <w:tc>
          <w:tcPr>
            <w:tcW w:w="1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221740" cy="175260"/>
                      <wp:effectExtent l="0" t="0" r="0" b="0"/>
                      <wp:wrapNone/>
                      <wp:docPr id="117" name="Frame117"/>
                      <a:graphic xmlns:a="http://schemas.openxmlformats.org/drawingml/2006/main">
                        <a:graphicData uri="http://schemas.microsoft.com/office/word/2010/wordprocessingShape">
                          <wps:wsp>
                            <wps:cNvSpPr txBox="1"/>
                            <wps:spPr>
                              <a:xfrm>
                                <a:off x="0" y="0"/>
                                <a:ext cx="1221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33400" cy="175260"/>
                      <wp:effectExtent l="0" t="0" r="0" b="0"/>
                      <wp:wrapNone/>
                      <wp:docPr id="118" name="Frame118"/>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95935" cy="175260"/>
                      <wp:effectExtent l="0" t="0" r="0" b="0"/>
                      <wp:wrapNone/>
                      <wp:docPr id="120" name="Frame1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95935" cy="175260"/>
                      <wp:effectExtent l="0" t="0" r="0" b="0"/>
                      <wp:wrapNone/>
                      <wp:docPr id="122" name="Frame1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33400" cy="175260"/>
                      <wp:effectExtent l="0" t="0" r="0" b="0"/>
                      <wp:wrapNone/>
                      <wp:docPr id="124" name="Frame124"/>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95935" cy="175260"/>
                      <wp:effectExtent l="0" t="0" r="0" b="0"/>
                      <wp:wrapNone/>
                      <wp:docPr id="126" name="Frame1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62610" cy="175260"/>
                      <wp:effectExtent l="0" t="0" r="0" b="0"/>
                      <wp:wrapNone/>
                      <wp:docPr id="128" name="Frame12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74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c>
          <w:tcPr>
            <w:tcW w:w="346" w:type="dxa"/>
            <w:tcBorders/>
            <w:vAlign w:val="center"/>
          </w:tcPr>
          <w:p>
            <w:pPr>
              <w:pStyle w:val="TableContents"/>
              <w:bidi w:val="0"/>
              <w:spacing w:before="0" w:after="0"/>
              <w:ind w:left="0" w:right="0" w:hanging="0"/>
              <w:jc w:val="left"/>
              <w:rPr/>
            </w:pPr>
            <w:r>
              <w:rPr/>
              <w:t>​</w:t>
            </w:r>
          </w:p>
        </w:tc>
        <w:tc>
          <w:tcPr>
            <w:tcW w:w="384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1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1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2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 transferred over time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327,397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317,891</w:t>
            </w:r>
          </w:p>
        </w:tc>
      </w:tr>
      <w:tr>
        <w:trPr/>
        <w:tc>
          <w:tcPr>
            <w:tcW w:w="19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Goods and services transferred at a point in time</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11,099</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13,232</w:t>
            </w:r>
          </w:p>
        </w:tc>
      </w:tr>
      <w:tr>
        <w:trPr/>
        <w:tc>
          <w:tcPr>
            <w:tcW w:w="192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 accounted for under ASC 606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338,496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331,123</w:t>
            </w:r>
          </w:p>
        </w:tc>
      </w:tr>
      <w:tr>
        <w:trPr/>
        <w:tc>
          <w:tcPr>
            <w:tcW w:w="19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income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4,031</w:t>
            </w:r>
          </w:p>
        </w:tc>
      </w:tr>
      <w:tr>
        <w:trPr/>
        <w:tc>
          <w:tcPr>
            <w:tcW w:w="192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Government support revenue (1)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23,668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25,440</w:t>
            </w:r>
          </w:p>
        </w:tc>
      </w:tr>
      <w:tr>
        <w:trPr/>
        <w:tc>
          <w:tcPr>
            <w:tcW w:w="19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174,470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366,722</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360,594</w:t>
            </w:r>
          </w:p>
        </w:tc>
      </w:tr>
    </w:tbl>
    <w:p>
      <w:pPr>
        <w:pStyle w:val="TextBody"/>
        <w:bidi w:val="0"/>
        <w:spacing w:before="0" w:after="0"/>
        <w:ind w:left="0" w:right="0" w:hanging="0"/>
        <w:jc w:val="left"/>
        <w:rPr/>
      </w:pPr>
      <w:r>
        <w:rPr/>
        <w:t>​</w:t>
      </w:r>
    </w:p>
    <w:tbl>
      <w:tblPr>
        <w:tblW w:w="8121" w:type="dxa"/>
        <w:jc w:val="left"/>
        <w:tblInd w:w="0" w:type="dxa"/>
        <w:tblLayout w:type="fixed"/>
        <w:tblCellMar>
          <w:top w:w="28" w:type="dxa"/>
          <w:left w:w="28" w:type="dxa"/>
          <w:bottom w:w="28" w:type="dxa"/>
          <w:right w:w="28" w:type="dxa"/>
        </w:tblCellMar>
      </w:tblPr>
      <w:tblGrid>
        <w:gridCol w:w="124"/>
        <w:gridCol w:w="331"/>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recognized from CAF II and USF programs (each as defined below). Refer to Note 9.</w:t>
            </w:r>
          </w:p>
        </w:tc>
      </w:tr>
    </w:tbl>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Contract Assets and Liabilities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Contract assets and liabilities consisted of the following (amounts in thousands):</w:t>
      </w:r>
    </w:p>
    <w:tbl>
      <w:tblPr>
        <w:tblW w:w="7707" w:type="dxa"/>
        <w:jc w:val="left"/>
        <w:tblInd w:w="0" w:type="dxa"/>
        <w:tblLayout w:type="fixed"/>
        <w:tblCellMar>
          <w:top w:w="0" w:type="dxa"/>
          <w:left w:w="0" w:type="dxa"/>
          <w:bottom w:w="0" w:type="dxa"/>
          <w:right w:w="0" w:type="dxa"/>
        </w:tblCellMar>
      </w:tblPr>
      <w:tblGrid>
        <w:gridCol w:w="2611"/>
        <w:gridCol w:w="109"/>
        <w:gridCol w:w="250"/>
        <w:gridCol w:w="876"/>
        <w:gridCol w:w="109"/>
        <w:gridCol w:w="334"/>
        <w:gridCol w:w="1167"/>
        <w:gridCol w:w="109"/>
        <w:gridCol w:w="211"/>
        <w:gridCol w:w="796"/>
        <w:gridCol w:w="109"/>
        <w:gridCol w:w="109"/>
        <w:gridCol w:w="586"/>
        <w:gridCol w:w="331"/>
      </w:tblGrid>
      <w:tr>
        <w:trPr/>
        <w:tc>
          <w:tcPr>
            <w:tcW w:w="26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56260" cy="175260"/>
                      <wp:effectExtent l="0" t="0" r="0" b="0"/>
                      <wp:wrapNone/>
                      <wp:docPr id="130" name="Frame130"/>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31" name="Frame1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741045" cy="175260"/>
                      <wp:effectExtent l="0" t="0" r="0" b="0"/>
                      <wp:wrapNone/>
                      <wp:docPr id="132" name="Frame132"/>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05460" cy="175260"/>
                      <wp:effectExtent l="0" t="0" r="0" b="0"/>
                      <wp:wrapNone/>
                      <wp:docPr id="135" name="Frame1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72110" cy="175260"/>
                      <wp:effectExtent l="0" t="0" r="0" b="0"/>
                      <wp:wrapNone/>
                      <wp:docPr id="138" name="Frame13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0185" cy="175260"/>
                      <wp:effectExtent l="0" t="0" r="0" b="0"/>
                      <wp:wrapNone/>
                      <wp:docPr id="139" name="Frame13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0"/>
              <w:ind w:left="0" w:right="0" w:hanging="0"/>
              <w:jc w:val="left"/>
              <w:rPr/>
            </w:pPr>
            <w:r>
              <w:rPr/>
              <w:t>​</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0"/>
              <w:ind w:left="0" w:right="0" w:hanging="0"/>
              <w:jc w:val="left"/>
              <w:rPr/>
            </w:pPr>
            <w:r>
              <w:rPr/>
              <w:t>​</w:t>
            </w:r>
          </w:p>
        </w:tc>
        <w:tc>
          <w:tcPr>
            <w:tcW w:w="102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 – current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4,083</w:t>
            </w:r>
          </w:p>
        </w:tc>
        <w:tc>
          <w:tcPr>
            <w:tcW w:w="109"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8.9 </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 – noncurrent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4,348</w:t>
            </w:r>
          </w:p>
        </w:tc>
        <w:tc>
          <w:tcPr>
            <w:tcW w:w="109"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liability – current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(31,696)</w:t>
            </w:r>
          </w:p>
        </w:tc>
        <w:tc>
          <w:tcPr>
            <w:tcW w:w="109"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11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(27,758)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(3,938)</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14.2 </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liability – noncurrent</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(45,017)</w:t>
            </w:r>
          </w:p>
        </w:tc>
        <w:tc>
          <w:tcPr>
            <w:tcW w:w="109" w:type="dxa"/>
            <w:tcBorders/>
            <w:vAlign w:val="center"/>
          </w:tcPr>
          <w:p>
            <w:pPr>
              <w:pStyle w:val="TableContents"/>
              <w:bidi w:val="0"/>
              <w:spacing w:before="0" w:after="0"/>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(48,084)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3,067</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contract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(68,282)</w:t>
            </w:r>
          </w:p>
        </w:tc>
        <w:tc>
          <w:tcPr>
            <w:tcW w:w="109" w:type="dxa"/>
            <w:tcBorders/>
            <w:shd w:fill="CCEEFF" w:val="clear"/>
            <w:vAlign w:val="center"/>
          </w:tcPr>
          <w:p>
            <w:pPr>
              <w:pStyle w:val="TableContents"/>
              <w:bidi w:val="0"/>
              <w:spacing w:before="0" w:after="0"/>
              <w:ind w:left="0" w:right="0" w:hanging="0"/>
              <w:jc w:val="left"/>
              <w:rPr/>
            </w:pPr>
            <w:r>
              <w:rPr/>
              <w:t>​</w:t>
            </w:r>
          </w:p>
        </w:tc>
        <w:tc>
          <w:tcPr>
            <w:tcW w:w="3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(66,207)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increase in the Company’s net contract liability was due to the timing of customer prepayments, contract billings, and recognition of deferred revenue. During the six months ended June 30, 2026, the Company recognized revenue of $20.9 million related to its December 31, 2025 contract liability and amortized $2.3 million of the December 31, 2025 contract asset to revenue. During the six months ended June 30, 2025, the Company recognized revenue of $22.8 million related to its December 31, 2024 contract liability and amortized $2.1 million of the December 31, 2024 contract asset to revenue.</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Contract Acquisition Costs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June 30, 2026 and December 31, 2025 balance sheets include contract acquisition costs of $10.8 million and $11.2 million, respectively, in other assets. During the three and six months ended June 30, 2026, the Company amortized $1.8 million and $3.5 million, respectively, of contract acquisition costs. During the three and six months ended June 30, 2025, the Company amortized $1.7 million and $3.5 million, respectively, of contract acquisition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Remaining Performance Obligations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Remaining performance obligations represent the transaction price allocated to unsatisfied performance obligations of certain multiyear Mobility and Fixed communication services contracts, Managed Services contracts, and the Company’s Carrier Services construction and service contracts. The transaction price allocated to unsatisfied performance obligations was $529 million at June 30, 2026. The Company expects to satisfy approximately 50% of the remaining performance obligations and recognize the transaction price within 24 months and a</w:t>
      </w:r>
      <w:r>
        <w:rPr>
          <w:rFonts w:ascii="Times New Roman;Times;serif" w:hAnsi="Times New Roman;Times;serif"/>
          <w:b w:val="false"/>
          <w:i w:val="false"/>
          <w:caps w:val="false"/>
          <w:smallCaps w:val="false"/>
          <w:sz w:val="20"/>
        </w:rPr>
        <w:t>ppro</w:t>
      </w:r>
      <w:r>
        <w:rPr>
          <w:rFonts w:ascii="Times New Roman;Times;serif" w:hAnsi="Times New Roman;Times;serif"/>
          <w:sz w:val="20"/>
        </w:rPr>
        <w:t>xi</w:t>
      </w:r>
      <w:r>
        <w:rPr>
          <w:rFonts w:ascii="Times New Roman;Times;serif" w:hAnsi="Times New Roman;Times;serif"/>
          <w:b w:val="false"/>
          <w:i w:val="false"/>
          <w:caps w:val="false"/>
          <w:smallCaps w:val="false"/>
          <w:sz w:val="20"/>
        </w:rPr>
        <w:t>matel</w:t>
      </w:r>
      <w:r>
        <w:rPr>
          <w:rFonts w:ascii="Times New Roman;Times;serif" w:hAnsi="Times New Roman;Times;serif"/>
          <w:sz w:val="20"/>
        </w:rPr>
        <w:t>y $57 million annually from 2028 through 2032. The Company omits performance obligations associated with a contract with a duration of one year or less and variable consideration under the right to invoice or wholly unsatisfied performance obligation practical expedients from this disclosure.</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Disaggregation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Company’s revenue is presented on a disaggregated basis in Note 13 based on an evaluation of disclosures outside the financial statements, information regularly reviewed by the chief operating decision makers for evaluating the financial performance of operating segments and other information that is used for performance evaluation and resource allocations. This includes revenue from Communication Services, Construction, and Other revenue. Communication Services revenue is further disaggregated into business and consumer Mobility, business and consumer Fixed, Carrier Services, and Other services. Other revenue is further disaggregated into Managed Services revenue.</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Receivables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records an estimate of future credit losses in conjunction with revenue transactions based on the information available including historical experience and management’s expectations of future conditions. Those estimates are updated as additional information becomes available. The Company’s allowance for uncollectible accounts receivable is based on management’s assessment of the collectability of assets pooled together with similar risk characteristics.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had gross accounts receivables of $99.9 million and $96.2 million as of June 30, 2026 and December 31, 2025, respectively. The Company also recorded allowances for credit losses against these receivables of $17.0 million and $15.5 million as of June 30, 2026 and December 31, 2025, respectively.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the Company also recorded a receivable under the Network Build and Maintenance Agreement with AT&amp;T Mobility, LLC (“AT&amp;T”) that was subsequently amended in May 2026 (the “FirstNet Agreement”) totaling $39.4 million as of June 30, 2026, of which $9.1 million was current and $30.3 million was long-term, and had a receivable under that same agreement of $43.9 million as of December 31, 2025, of which $8.8 million was current and $35.1 million was long-term. As of June 30, 2026, the Company had recorded $38.2 million of receivables under certain government support agreements, which included $22.3 million under the Replace and Remove Program (as defined below) and $15.9 million related to the Company’s participation in other government support programs. As of December 31, 2025, the Company had recorded $45.1 million of receivables under certain government support agreements, which included $31.9 million under the Replace and Remove Program and $13.3 million under the Company’s participation in other government support programs (refer to Note 9). </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340" w:name="Tc_-F6bntKGHk69fXb_-lq6tQ_8_5"/>
      <w:bookmarkStart w:id="1341" w:name="Tc_dWsLy6n5uU2f1omMtI5aig_8_2"/>
      <w:bookmarkStart w:id="1342" w:name="Tc_StoF_QY6a0OkNOQx6gedvQ_8_0"/>
      <w:bookmarkStart w:id="1343" w:name="Tc_34yRxMRWpkq08QN_IHe55A_7_0"/>
      <w:bookmarkStart w:id="1344" w:name="Tc_gC3yepREzkqsGzIdQXmHqA_6_0"/>
      <w:bookmarkStart w:id="1345" w:name="Tc_guYw4w1GQkWjAYPJs8sihQ_5_0"/>
      <w:bookmarkStart w:id="1346" w:name="Tc_5oUFqgJco0SLi_fH3bDZ5A_4_5"/>
      <w:bookmarkStart w:id="1347" w:name="Tc_S3orW6n2mECnU5u3WHLsTw_4_2"/>
      <w:bookmarkStart w:id="1348" w:name="Tc_fpF0-iLrEUG9P_DS9M66cA_4_0"/>
      <w:bookmarkStart w:id="1349" w:name="Tc_59Wo53QoVUe7uH_NDZGARg_2_5"/>
      <w:bookmarkStart w:id="1350" w:name="Tc_ugTSgllzDU-dGxcmBOtaPA_2_2"/>
      <w:bookmarkStart w:id="1351" w:name="Tc_wQ9EBSovvUmono1DW2sJ4Q_1_2"/>
      <w:bookmarkEnd w:id="1340"/>
      <w:bookmarkEnd w:id="1341"/>
      <w:bookmarkEnd w:id="1342"/>
      <w:bookmarkEnd w:id="1343"/>
      <w:bookmarkEnd w:id="1344"/>
      <w:bookmarkEnd w:id="1345"/>
      <w:bookmarkEnd w:id="1346"/>
      <w:bookmarkEnd w:id="1347"/>
      <w:bookmarkEnd w:id="1348"/>
      <w:bookmarkEnd w:id="1349"/>
      <w:bookmarkEnd w:id="1350"/>
      <w:bookmarkEnd w:id="1351"/>
      <w:r>
        <w:rPr>
          <w:rFonts w:ascii="Times New Roman;Times;serif" w:hAnsi="Times New Roman;Times;serif"/>
          <w:sz w:val="20"/>
        </w:rPr>
        <w:t>The Company monitors receivables through the use of historical operating data adjusted for the expectation of future performance as appropriate. Activity in the allowance for credit losses is below (in thousands):</w:t>
      </w:r>
    </w:p>
    <w:p>
      <w:pPr>
        <w:pStyle w:val="TextBody"/>
        <w:bidi w:val="0"/>
        <w:spacing w:before="0" w:after="0"/>
        <w:ind w:left="0" w:right="0" w:hanging="0"/>
        <w:jc w:val="left"/>
        <w:rPr/>
      </w:pPr>
      <w:r>
        <w:rPr/>
        <w:t>​</w:t>
      </w:r>
    </w:p>
    <w:tbl>
      <w:tblPr>
        <w:tblW w:w="6695" w:type="dxa"/>
        <w:jc w:val="left"/>
        <w:tblInd w:w="0" w:type="dxa"/>
        <w:tblLayout w:type="fixed"/>
        <w:tblCellMar>
          <w:top w:w="0" w:type="dxa"/>
          <w:left w:w="0" w:type="dxa"/>
          <w:bottom w:w="0" w:type="dxa"/>
          <w:right w:w="0" w:type="dxa"/>
        </w:tblCellMar>
      </w:tblPr>
      <w:tblGrid>
        <w:gridCol w:w="3706"/>
        <w:gridCol w:w="346"/>
        <w:gridCol w:w="267"/>
        <w:gridCol w:w="859"/>
        <w:gridCol w:w="346"/>
        <w:gridCol w:w="249"/>
        <w:gridCol w:w="922"/>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353310" cy="175260"/>
                      <wp:effectExtent l="0" t="0" r="0" b="0"/>
                      <wp:wrapNone/>
                      <wp:docPr id="140" name="Frame140"/>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69545" cy="175260"/>
                      <wp:effectExtent l="0" t="0" r="0" b="0"/>
                      <wp:wrapNone/>
                      <wp:docPr id="142" name="Frame142"/>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45465" cy="175260"/>
                      <wp:effectExtent l="0" t="0" r="0" b="0"/>
                      <wp:wrapNone/>
                      <wp:docPr id="143" name="Frame143"/>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58115" cy="175260"/>
                      <wp:effectExtent l="0" t="0" r="0" b="0"/>
                      <wp:wrapNone/>
                      <wp:docPr id="145" name="Frame14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85470" cy="175260"/>
                      <wp:effectExtent l="0" t="0" r="0" b="0"/>
                      <wp:wrapNone/>
                      <wp:docPr id="146" name="Frame146"/>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15,508</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15,132</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period provision for expected losses</w:t>
            </w:r>
          </w:p>
        </w:tc>
        <w:tc>
          <w:tcPr>
            <w:tcW w:w="3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4,245</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4,135</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Write-offs charged against the allowance</w:t>
            </w:r>
          </w:p>
        </w:tc>
        <w:tc>
          <w:tcPr>
            <w:tcW w:w="346"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(3,061)</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(5,326)</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Recoveries collected</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16,979</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14,088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52" w:name="Tc_tA9uA2EKKk2QyVWqxnkxLg_13_10"/>
      <w:bookmarkStart w:id="1353" w:name="Tc_ysuNmtvsLkG0gCHsPh_P2g_13_7"/>
      <w:bookmarkStart w:id="1354" w:name="Tc_hCgv5z4CHUW8FzVZL5HXMw_13_4"/>
      <w:bookmarkStart w:id="1355" w:name="Tc_yPzQ_tsDIEOgRJ5xBYp2Uw_13_1"/>
      <w:bookmarkStart w:id="1356" w:name="Tc_M2a5DwZ3CUi_F6MR1wJbTg_13_0"/>
      <w:bookmarkStart w:id="1357" w:name="Tc_UIjZDboB4k2Rfawd2iuC6A_12_0"/>
      <w:bookmarkStart w:id="1358" w:name="Tc_z7MtXormH0-wk0a0PkFNHw_11_0"/>
      <w:bookmarkStart w:id="1359" w:name="Tc_JVWEHUUwH0mZnj6KF4Gbdw_10_10"/>
      <w:bookmarkStart w:id="1360" w:name="Tc_IYxvYpgdlkaGamLXISzGBg_10_7"/>
      <w:bookmarkStart w:id="1361" w:name="Tc_Vvbl-iHAeUmUtuMeT3Uldg_10_4"/>
      <w:bookmarkStart w:id="1362" w:name="Tc_SRZ_dD6DPUK4T-9r59DaTg_10_1"/>
      <w:bookmarkStart w:id="1363" w:name="Tc_UemovBVpCUKsbLTa8n_xQQ_10_0"/>
      <w:bookmarkStart w:id="1364" w:name="Tc_oXDfrUTjgkyS3dOgmR7A8w_9_0"/>
      <w:bookmarkStart w:id="1365" w:name="Tc_mR7ZRy1xlUKe8wNm9UxP7Q_7_10"/>
      <w:bookmarkStart w:id="1366" w:name="Tc_sXk0uQjsVkWzBBgQ1N8g0w_7_7"/>
      <w:bookmarkStart w:id="1367" w:name="Tc_-HK0zlXr30WJUpj5tm23Ew_7_4"/>
      <w:bookmarkStart w:id="1368" w:name="Tc_8vg6pvzhJ0axVanyJoCbwg_7_1"/>
      <w:bookmarkStart w:id="1369" w:name="Tc_65odXIhNp0KV-wkO_xJBWw_7_0"/>
      <w:bookmarkStart w:id="1370" w:name="Tc_ho1Ab0oK2ES9Lsgs1p7N4g_6_0"/>
      <w:bookmarkStart w:id="1371" w:name="Tc_PmmnRQou6EabaEjiPfCqMA_5_0"/>
      <w:bookmarkStart w:id="1372" w:name="Tc_13QoLQrMaEmhcAAg4B8vyw_4_10"/>
      <w:bookmarkStart w:id="1373" w:name="Tc_MXwBxLRMm0Sd8nPR02Nz1Q_4_7"/>
      <w:bookmarkStart w:id="1374" w:name="Tc_TEjvcCdKokid19n5Ro81aQ_4_4"/>
      <w:bookmarkStart w:id="1375" w:name="Tc_ylXvnT8pskWIuDYJQP6aTw_4_1"/>
      <w:bookmarkStart w:id="1376" w:name="Tc_4Gj30eShxkGmhrRb6rggyg_4_0"/>
      <w:bookmarkStart w:id="1377" w:name="Tc_tu5a7wAp2kaQq8Mtt43Pmw_3_0"/>
      <w:bookmarkStart w:id="1378" w:name="Tc_nu_Qh-RfxkyNWvglpo2DFg_2_10"/>
      <w:bookmarkStart w:id="1379" w:name="Tc_1Zo9eh1EDUGg1X-wxtid1Q_2_7"/>
      <w:bookmarkStart w:id="1380" w:name="Tc__BxZHyVbjkS4f_Ba3wkWdg_2_4"/>
      <w:bookmarkStart w:id="1381" w:name="Tc_lq36BGNMM0C-wyhWYs0TOg_2_1"/>
      <w:bookmarkStart w:id="1382" w:name="Tc_cJ7pUOm0wUKhQ-zZXsU9Lw_1_7"/>
      <w:bookmarkStart w:id="1383" w:name="Tc_VLbFGxmVHU28m5CITgICbg_1_1"/>
      <w:bookmarkStart w:id="1384" w:name="_3595cad1_f0bc_4665_9cba_98c803da10ed"/>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r>
        <w:rPr>
          <w:rFonts w:ascii="Times New Roman;Times;serif" w:hAnsi="Times New Roman;Times;serif"/>
          <w:b/>
          <w:sz w:val="20"/>
        </w:rPr>
        <w:t>5. LEASES</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Lessee Disclosure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has operating and financing leases for towers, land, corporate offices, retail facilities, and data transport capacity. The </w:t>
      </w:r>
      <w:r>
        <w:rPr>
          <w:rFonts w:ascii="Times New Roman;Times;serif" w:hAnsi="Times New Roman;Times;serif"/>
          <w:b w:val="false"/>
          <w:i w:val="false"/>
          <w:caps w:val="false"/>
          <w:smallCaps w:val="false"/>
          <w:sz w:val="20"/>
        </w:rPr>
        <w:t>lease</w:t>
      </w:r>
      <w:r>
        <w:rPr>
          <w:rFonts w:ascii="Times New Roman;Times;serif" w:hAnsi="Times New Roman;Times;serif"/>
          <w:sz w:val="20"/>
        </w:rPr>
        <w:t xml:space="preserve"> terms are generally between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(3) and </w:t>
      </w:r>
      <w:r>
        <w:rPr>
          <w:rFonts w:ascii="Times New Roman;Times;serif" w:hAnsi="Times New Roman;Times;serif"/>
          <w:b w:val="false"/>
          <w:i w:val="false"/>
          <w:caps w:val="false"/>
          <w:smallCaps w:val="false"/>
          <w:sz w:val="20"/>
        </w:rPr>
        <w:t>ten (10) years</w:t>
      </w:r>
      <w:r>
        <w:rPr>
          <w:rFonts w:ascii="Times New Roman;Times;serif" w:hAnsi="Times New Roman;Times;serif"/>
          <w:sz w:val="20"/>
        </w:rPr>
        <w:t xml:space="preserve">, some of which include additional renewal options. </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Supplemental lease information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components of lease expense were as follows (in thousands):</w:t>
      </w:r>
    </w:p>
    <w:tbl>
      <w:tblPr>
        <w:tblW w:w="8186" w:type="dxa"/>
        <w:jc w:val="left"/>
        <w:tblInd w:w="0" w:type="dxa"/>
        <w:tblLayout w:type="fixed"/>
        <w:tblCellMar>
          <w:top w:w="0" w:type="dxa"/>
          <w:left w:w="0" w:type="dxa"/>
          <w:bottom w:w="0" w:type="dxa"/>
          <w:right w:w="0" w:type="dxa"/>
        </w:tblCellMar>
      </w:tblPr>
      <w:tblGrid>
        <w:gridCol w:w="2836"/>
        <w:gridCol w:w="303"/>
        <w:gridCol w:w="823"/>
        <w:gridCol w:w="346"/>
        <w:gridCol w:w="303"/>
        <w:gridCol w:w="823"/>
        <w:gridCol w:w="109"/>
        <w:gridCol w:w="267"/>
        <w:gridCol w:w="859"/>
        <w:gridCol w:w="346"/>
        <w:gridCol w:w="265"/>
        <w:gridCol w:w="906"/>
      </w:tblGrid>
      <w:tr>
        <w:trPr/>
        <w:tc>
          <w:tcPr>
            <w:tcW w:w="2836" w:type="dxa"/>
            <w:tcBorders/>
            <w:vAlign w:val="center"/>
          </w:tcPr>
          <w:p>
            <w:pPr>
              <w:pStyle w:val="TableContents"/>
              <w:bidi w:val="0"/>
              <w:spacing w:before="1" w:after="1"/>
              <w:ind w:left="0" w:right="0" w:hanging="0"/>
              <w:jc w:val="left"/>
              <w:rPr/>
            </w:pPr>
            <w:r>
              <w:rPr/>
              <w:t>​</w: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92405" cy="175895"/>
                      <wp:effectExtent l="0" t="0" r="0" b="0"/>
                      <wp:wrapNone/>
                      <wp:docPr id="147" name="Frame147"/>
                      <a:graphic xmlns:a="http://schemas.openxmlformats.org/drawingml/2006/main">
                        <a:graphicData uri="http://schemas.microsoft.com/office/word/2010/wordprocessingShape">
                          <wps:wsp>
                            <wps:cNvSpPr txBox="1"/>
                            <wps:spPr>
                              <a:xfrm>
                                <a:off x="0" y="0"/>
                                <a:ext cx="1924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22605" cy="175895"/>
                      <wp:effectExtent l="0" t="0" r="0" b="0"/>
                      <wp:wrapNone/>
                      <wp:docPr id="148" name="Frame148"/>
                      <a:graphic xmlns:a="http://schemas.openxmlformats.org/drawingml/2006/main">
                        <a:graphicData uri="http://schemas.microsoft.com/office/word/2010/wordprocessingShape">
                          <wps:wsp>
                            <wps:cNvSpPr txBox="1"/>
                            <wps:spPr>
                              <a:xfrm>
                                <a:off x="0" y="0"/>
                                <a:ext cx="5226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895"/>
                      <wp:effectExtent l="0" t="0" r="0" b="0"/>
                      <wp:wrapNone/>
                      <wp:docPr id="149" name="Frame149"/>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92405" cy="175895"/>
                      <wp:effectExtent l="0" t="0" r="0" b="0"/>
                      <wp:wrapNone/>
                      <wp:docPr id="150" name="Frame150"/>
                      <a:graphic xmlns:a="http://schemas.openxmlformats.org/drawingml/2006/main">
                        <a:graphicData uri="http://schemas.microsoft.com/office/word/2010/wordprocessingShape">
                          <wps:wsp>
                            <wps:cNvSpPr txBox="1"/>
                            <wps:spPr>
                              <a:xfrm>
                                <a:off x="0" y="0"/>
                                <a:ext cx="1924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22605" cy="175895"/>
                      <wp:effectExtent l="0" t="0" r="0" b="0"/>
                      <wp:wrapNone/>
                      <wp:docPr id="151" name="Frame151"/>
                      <a:graphic xmlns:a="http://schemas.openxmlformats.org/drawingml/2006/main">
                        <a:graphicData uri="http://schemas.microsoft.com/office/word/2010/wordprocessingShape">
                          <wps:wsp>
                            <wps:cNvSpPr txBox="1"/>
                            <wps:spPr>
                              <a:xfrm>
                                <a:off x="0" y="0"/>
                                <a:ext cx="5226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895"/>
                      <wp:effectExtent l="0" t="0" r="0" b="0"/>
                      <wp:wrapNone/>
                      <wp:docPr id="152" name="Frame152"/>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69545" cy="175895"/>
                      <wp:effectExtent l="0" t="0" r="0" b="0"/>
                      <wp:wrapNone/>
                      <wp:docPr id="153" name="Frame153"/>
                      <a:graphic xmlns:a="http://schemas.openxmlformats.org/drawingml/2006/main">
                        <a:graphicData uri="http://schemas.microsoft.com/office/word/2010/wordprocessingShape">
                          <wps:wsp>
                            <wps:cNvSpPr txBox="1"/>
                            <wps:spPr>
                              <a:xfrm>
                                <a:off x="0" y="0"/>
                                <a:ext cx="16954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45465" cy="175895"/>
                      <wp:effectExtent l="0" t="0" r="0" b="0"/>
                      <wp:wrapNone/>
                      <wp:docPr id="154" name="Frame154"/>
                      <a:graphic xmlns:a="http://schemas.openxmlformats.org/drawingml/2006/main">
                        <a:graphicData uri="http://schemas.microsoft.com/office/word/2010/wordprocessingShape">
                          <wps:wsp>
                            <wps:cNvSpPr txBox="1"/>
                            <wps:spPr>
                              <a:xfrm>
                                <a:off x="0" y="0"/>
                                <a:ext cx="5454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895"/>
                      <wp:effectExtent l="0" t="0" r="0" b="0"/>
                      <wp:wrapNone/>
                      <wp:docPr id="155" name="Frame155"/>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68275" cy="175895"/>
                      <wp:effectExtent l="0" t="0" r="0" b="0"/>
                      <wp:wrapNone/>
                      <wp:docPr id="156" name="Frame156"/>
                      <a:graphic xmlns:a="http://schemas.openxmlformats.org/drawingml/2006/main">
                        <a:graphicData uri="http://schemas.microsoft.com/office/word/2010/wordprocessingShape">
                          <wps:wsp>
                            <wps:cNvSpPr txBox="1"/>
                            <wps:spPr>
                              <a:xfrm>
                                <a:off x="0" y="0"/>
                                <a:ext cx="1682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75310" cy="175895"/>
                      <wp:effectExtent l="0" t="0" r="0" b="0"/>
                      <wp:wrapNone/>
                      <wp:docPr id="157" name="Frame157"/>
                      <a:graphic xmlns:a="http://schemas.openxmlformats.org/drawingml/2006/main">
                        <a:graphicData uri="http://schemas.microsoft.com/office/word/2010/wordprocessingShape">
                          <wps:wsp>
                            <wps:cNvSpPr txBox="1"/>
                            <wps:spPr>
                              <a:xfrm>
                                <a:off x="0" y="0"/>
                                <a:ext cx="5753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1" w:after="1"/>
              <w:ind w:left="0" w:right="0" w:hanging="0"/>
              <w:jc w:val="left"/>
              <w:rPr/>
            </w:pPr>
            <w:r>
              <w:rPr/>
              <w:t>​</w:t>
            </w:r>
          </w:p>
        </w:tc>
        <w:tc>
          <w:tcPr>
            <w:tcW w:w="2707" w:type="dxa"/>
            <w:gridSpan w:val="6"/>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643"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836" w:type="dxa"/>
            <w:tcBorders/>
            <w:vAlign w:val="center"/>
          </w:tcPr>
          <w:p>
            <w:pPr>
              <w:pStyle w:val="TableContents"/>
              <w:bidi w:val="0"/>
              <w:spacing w:before="1"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1"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109" w:type="dxa"/>
            <w:tcBorders/>
            <w:vAlign w:val="center"/>
          </w:tcPr>
          <w:p>
            <w:pPr>
              <w:pStyle w:val="TableContents"/>
              <w:bidi w:val="0"/>
              <w:spacing w:before="1" w:after="1"/>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1" w:after="1"/>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283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03" w:type="dxa"/>
            <w:tcBorders/>
            <w:shd w:fill="CCEEFF" w:val="clear"/>
            <w:vAlign w:val="center"/>
          </w:tcPr>
          <w:p>
            <w:pPr>
              <w:pStyle w:val="TableContents"/>
              <w:bidi w:val="0"/>
              <w:spacing w:before="1" w:after="1"/>
              <w:ind w:left="0" w:right="0" w:hanging="0"/>
              <w:jc w:val="left"/>
              <w:rPr/>
            </w:pPr>
            <w:r>
              <w:rPr/>
              <w:t>​</w:t>
            </w:r>
          </w:p>
        </w:tc>
        <w:tc>
          <w:tcPr>
            <w:tcW w:w="823"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303" w:type="dxa"/>
            <w:tcBorders/>
            <w:shd w:fill="CCEEFF" w:val="clear"/>
            <w:vAlign w:val="center"/>
          </w:tcPr>
          <w:p>
            <w:pPr>
              <w:pStyle w:val="TableContents"/>
              <w:bidi w:val="0"/>
              <w:spacing w:before="1" w:after="1"/>
              <w:ind w:left="0" w:right="0" w:hanging="0"/>
              <w:jc w:val="left"/>
              <w:rPr/>
            </w:pPr>
            <w:r>
              <w:rPr/>
              <w:t>​</w:t>
            </w:r>
          </w:p>
        </w:tc>
        <w:tc>
          <w:tcPr>
            <w:tcW w:w="823"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67" w:type="dxa"/>
            <w:tcBorders/>
            <w:shd w:fill="CCEEFF" w:val="clear"/>
            <w:vAlign w:val="center"/>
          </w:tcPr>
          <w:p>
            <w:pPr>
              <w:pStyle w:val="TableContents"/>
              <w:bidi w:val="0"/>
              <w:spacing w:before="1" w:after="1"/>
              <w:ind w:left="0" w:right="0" w:hanging="0"/>
              <w:jc w:val="left"/>
              <w:rPr/>
            </w:pPr>
            <w:r>
              <w:rPr/>
              <w:t>​</w:t>
            </w:r>
          </w:p>
        </w:tc>
        <w:tc>
          <w:tcPr>
            <w:tcW w:w="859"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906" w:type="dxa"/>
            <w:tcBorders/>
            <w:shd w:fill="CCEEFF" w:val="clear"/>
            <w:vAlign w:val="center"/>
          </w:tcPr>
          <w:p>
            <w:pPr>
              <w:pStyle w:val="TableContents"/>
              <w:bidi w:val="0"/>
              <w:spacing w:before="1" w:after="1"/>
              <w:ind w:left="0" w:right="0" w:hanging="0"/>
              <w:jc w:val="left"/>
              <w:rPr/>
            </w:pPr>
            <w:r>
              <w:rPr/>
              <w:t>​</w:t>
            </w:r>
          </w:p>
        </w:tc>
      </w:tr>
      <w:tr>
        <w:trPr/>
        <w:tc>
          <w:tcPr>
            <w:tcW w:w="283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03"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6,780</w:t>
            </w:r>
          </w:p>
        </w:tc>
        <w:tc>
          <w:tcPr>
            <w:tcW w:w="346" w:type="dxa"/>
            <w:tcBorders/>
            <w:vAlign w:val="center"/>
          </w:tcPr>
          <w:p>
            <w:pPr>
              <w:pStyle w:val="TableContents"/>
              <w:bidi w:val="0"/>
              <w:spacing w:before="1" w:after="1"/>
              <w:ind w:left="0" w:right="0" w:hanging="0"/>
              <w:jc w:val="left"/>
              <w:rPr/>
            </w:pPr>
            <w:r>
              <w:rPr/>
              <w:t>​</w:t>
            </w:r>
          </w:p>
        </w:tc>
        <w:tc>
          <w:tcPr>
            <w:tcW w:w="303"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6,074</w:t>
            </w:r>
          </w:p>
        </w:tc>
        <w:tc>
          <w:tcPr>
            <w:tcW w:w="109" w:type="dxa"/>
            <w:tcBorders/>
            <w:vAlign w:val="center"/>
          </w:tcPr>
          <w:p>
            <w:pPr>
              <w:pStyle w:val="TableContents"/>
              <w:bidi w:val="0"/>
              <w:spacing w:before="1" w:after="1"/>
              <w:ind w:left="0" w:right="0" w:hanging="0"/>
              <w:jc w:val="right"/>
              <w:rPr/>
            </w:pPr>
            <w:r>
              <w:rPr/>
              <w:t>​</w:t>
            </w:r>
          </w:p>
        </w:tc>
        <w:tc>
          <w:tcPr>
            <w:tcW w:w="26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12,854</w:t>
            </w:r>
          </w:p>
        </w:tc>
        <w:tc>
          <w:tcPr>
            <w:tcW w:w="346"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11,981</w:t>
            </w:r>
          </w:p>
        </w:tc>
      </w:tr>
      <w:tr>
        <w:trPr/>
        <w:tc>
          <w:tcPr>
            <w:tcW w:w="283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03" w:type="dxa"/>
            <w:tcBorders/>
            <w:shd w:fill="CCEEFF" w:val="clear"/>
            <w:vAlign w:val="center"/>
          </w:tcPr>
          <w:p>
            <w:pPr>
              <w:pStyle w:val="TableContents"/>
              <w:bidi w:val="0"/>
              <w:spacing w:before="1" w:after="1"/>
              <w:ind w:left="0" w:right="0" w:hanging="0"/>
              <w:jc w:val="left"/>
              <w:rPr/>
            </w:pPr>
            <w:r>
              <w:rPr/>
              <w:t>​</w:t>
            </w:r>
          </w:p>
        </w:tc>
        <w:tc>
          <w:tcPr>
            <w:tcW w:w="82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1,406</w:t>
            </w:r>
          </w:p>
        </w:tc>
        <w:tc>
          <w:tcPr>
            <w:tcW w:w="346" w:type="dxa"/>
            <w:tcBorders/>
            <w:shd w:fill="CCEEFF" w:val="clear"/>
            <w:vAlign w:val="center"/>
          </w:tcPr>
          <w:p>
            <w:pPr>
              <w:pStyle w:val="TableContents"/>
              <w:bidi w:val="0"/>
              <w:spacing w:before="1" w:after="1"/>
              <w:ind w:left="0" w:right="0" w:hanging="0"/>
              <w:jc w:val="left"/>
              <w:rPr/>
            </w:pPr>
            <w:r>
              <w:rPr/>
              <w:t>​</w:t>
            </w:r>
          </w:p>
        </w:tc>
        <w:tc>
          <w:tcPr>
            <w:tcW w:w="303" w:type="dxa"/>
            <w:tcBorders/>
            <w:shd w:fill="CCEEFF" w:val="clear"/>
            <w:vAlign w:val="center"/>
          </w:tcPr>
          <w:p>
            <w:pPr>
              <w:pStyle w:val="TableContents"/>
              <w:bidi w:val="0"/>
              <w:spacing w:before="1" w:after="1"/>
              <w:ind w:left="0" w:right="0" w:hanging="0"/>
              <w:jc w:val="left"/>
              <w:rPr/>
            </w:pPr>
            <w:r>
              <w:rPr/>
              <w:t>​</w:t>
            </w:r>
          </w:p>
        </w:tc>
        <w:tc>
          <w:tcPr>
            <w:tcW w:w="82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1,302</w:t>
            </w:r>
          </w:p>
        </w:tc>
        <w:tc>
          <w:tcPr>
            <w:tcW w:w="109" w:type="dxa"/>
            <w:tcBorders/>
            <w:shd w:fill="CCEEFF" w:val="clear"/>
            <w:vAlign w:val="center"/>
          </w:tcPr>
          <w:p>
            <w:pPr>
              <w:pStyle w:val="TableContents"/>
              <w:bidi w:val="0"/>
              <w:spacing w:before="1" w:after="1"/>
              <w:ind w:left="0" w:right="0" w:hanging="0"/>
              <w:jc w:val="right"/>
              <w:rPr/>
            </w:pPr>
            <w:r>
              <w:rPr/>
              <w:t>​</w:t>
            </w:r>
          </w:p>
        </w:tc>
        <w:tc>
          <w:tcPr>
            <w:tcW w:w="267" w:type="dxa"/>
            <w:tcBorders/>
            <w:shd w:fill="CCEEFF" w:val="clear"/>
            <w:vAlign w:val="center"/>
          </w:tcPr>
          <w:p>
            <w:pPr>
              <w:pStyle w:val="TableContents"/>
              <w:bidi w:val="0"/>
              <w:spacing w:before="1" w:after="1"/>
              <w:ind w:left="0" w:right="0" w:hanging="0"/>
              <w:jc w:val="left"/>
              <w:rPr/>
            </w:pPr>
            <w:r>
              <w:rPr/>
              <w:t>​</w:t>
            </w:r>
          </w:p>
        </w:tc>
        <w:tc>
          <w:tcPr>
            <w:tcW w:w="859"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3,067</w:t>
            </w:r>
          </w:p>
        </w:tc>
        <w:tc>
          <w:tcPr>
            <w:tcW w:w="346"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9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2,633</w:t>
            </w:r>
          </w:p>
        </w:tc>
      </w:tr>
      <w:tr>
        <w:trPr/>
        <w:tc>
          <w:tcPr>
            <w:tcW w:w="283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0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1,288</w:t>
            </w:r>
          </w:p>
        </w:tc>
        <w:tc>
          <w:tcPr>
            <w:tcW w:w="346" w:type="dxa"/>
            <w:tcBorders/>
            <w:vAlign w:val="center"/>
          </w:tcPr>
          <w:p>
            <w:pPr>
              <w:pStyle w:val="TableContents"/>
              <w:bidi w:val="0"/>
              <w:spacing w:before="1"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1,819</w:t>
            </w:r>
          </w:p>
        </w:tc>
        <w:tc>
          <w:tcPr>
            <w:tcW w:w="109" w:type="dxa"/>
            <w:tcBorders/>
            <w:vAlign w:val="center"/>
          </w:tcPr>
          <w:p>
            <w:pPr>
              <w:pStyle w:val="TableContents"/>
              <w:bidi w:val="0"/>
              <w:spacing w:before="1" w:after="1"/>
              <w:ind w:left="0" w:right="0" w:hanging="0"/>
              <w:jc w:val="right"/>
              <w:rPr/>
            </w:pPr>
            <w:r>
              <w:rPr/>
              <w:t>​</w:t>
            </w:r>
          </w:p>
        </w:tc>
        <w:tc>
          <w:tcPr>
            <w:tcW w:w="267"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2,891</w:t>
            </w:r>
          </w:p>
        </w:tc>
        <w:tc>
          <w:tcPr>
            <w:tcW w:w="346" w:type="dxa"/>
            <w:tcBorders/>
            <w:vAlign w:val="center"/>
          </w:tcPr>
          <w:p>
            <w:pPr>
              <w:pStyle w:val="TableContents"/>
              <w:bidi w:val="0"/>
              <w:spacing w:before="1"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3,774</w:t>
            </w:r>
          </w:p>
        </w:tc>
      </w:tr>
      <w:tr>
        <w:trPr/>
        <w:tc>
          <w:tcPr>
            <w:tcW w:w="283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operating lease cost</w:t>
            </w:r>
          </w:p>
        </w:tc>
        <w:tc>
          <w:tcPr>
            <w:tcW w:w="303"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9,474</w:t>
            </w:r>
          </w:p>
        </w:tc>
        <w:tc>
          <w:tcPr>
            <w:tcW w:w="346" w:type="dxa"/>
            <w:tcBorders/>
            <w:shd w:fill="CCEEFF" w:val="clear"/>
            <w:vAlign w:val="center"/>
          </w:tcPr>
          <w:p>
            <w:pPr>
              <w:pStyle w:val="TableContents"/>
              <w:bidi w:val="0"/>
              <w:spacing w:before="1"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9,195</w:t>
            </w:r>
          </w:p>
        </w:tc>
        <w:tc>
          <w:tcPr>
            <w:tcW w:w="109" w:type="dxa"/>
            <w:tcBorders/>
            <w:shd w:fill="CCEEFF" w:val="clear"/>
            <w:vAlign w:val="center"/>
          </w:tcPr>
          <w:p>
            <w:pPr>
              <w:pStyle w:val="TableContents"/>
              <w:bidi w:val="0"/>
              <w:spacing w:before="1"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18,812</w:t>
            </w:r>
          </w:p>
        </w:tc>
        <w:tc>
          <w:tcPr>
            <w:tcW w:w="346" w:type="dxa"/>
            <w:tcBorders/>
            <w:shd w:fill="CCEEFF" w:val="clear"/>
            <w:vAlign w:val="center"/>
          </w:tcPr>
          <w:p>
            <w:pPr>
              <w:pStyle w:val="TableContents"/>
              <w:bidi w:val="0"/>
              <w:spacing w:before="1" w:after="1"/>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18,388</w:t>
            </w:r>
          </w:p>
        </w:tc>
      </w:tr>
      <w:tr>
        <w:trPr/>
        <w:tc>
          <w:tcPr>
            <w:tcW w:w="2836" w:type="dxa"/>
            <w:tcBorders/>
            <w:vAlign w:val="center"/>
          </w:tcPr>
          <w:p>
            <w:pPr>
              <w:pStyle w:val="TableContents"/>
              <w:bidi w:val="0"/>
              <w:spacing w:before="1" w:after="1"/>
              <w:ind w:left="0" w:right="0" w:hanging="0"/>
              <w:jc w:val="left"/>
              <w:rPr/>
            </w:pPr>
            <w:r>
              <w:rPr/>
              <w:t>​</w:t>
            </w:r>
          </w:p>
        </w:tc>
        <w:tc>
          <w:tcPr>
            <w:tcW w:w="303" w:type="dxa"/>
            <w:tcBorders/>
            <w:vAlign w:val="center"/>
          </w:tcPr>
          <w:p>
            <w:pPr>
              <w:pStyle w:val="TableContents"/>
              <w:bidi w:val="0"/>
              <w:spacing w:before="1" w:after="1"/>
              <w:ind w:left="0" w:right="0" w:hanging="0"/>
              <w:jc w:val="left"/>
              <w:rPr/>
            </w:pPr>
            <w:r>
              <w:rPr/>
              <w:t>​</w:t>
            </w:r>
          </w:p>
        </w:tc>
        <w:tc>
          <w:tcPr>
            <w:tcW w:w="823"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303" w:type="dxa"/>
            <w:tcBorders/>
            <w:vAlign w:val="center"/>
          </w:tcPr>
          <w:p>
            <w:pPr>
              <w:pStyle w:val="TableContents"/>
              <w:bidi w:val="0"/>
              <w:spacing w:before="1" w:after="1"/>
              <w:ind w:left="0" w:right="0" w:hanging="0"/>
              <w:jc w:val="left"/>
              <w:rPr/>
            </w:pPr>
            <w:r>
              <w:rPr/>
              <w:t>​</w:t>
            </w:r>
          </w:p>
        </w:tc>
        <w:tc>
          <w:tcPr>
            <w:tcW w:w="823"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67" w:type="dxa"/>
            <w:tcBorders/>
            <w:vAlign w:val="center"/>
          </w:tcPr>
          <w:p>
            <w:pPr>
              <w:pStyle w:val="TableContents"/>
              <w:bidi w:val="0"/>
              <w:spacing w:before="1" w:after="1"/>
              <w:ind w:left="0" w:right="0" w:hanging="0"/>
              <w:jc w:val="left"/>
              <w:rPr/>
            </w:pPr>
            <w:r>
              <w:rPr/>
              <w:t>​</w:t>
            </w:r>
          </w:p>
        </w:tc>
        <w:tc>
          <w:tcPr>
            <w:tcW w:w="859"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pPr>
            <w:r>
              <w:rPr/>
              <w:t>​</w:t>
            </w:r>
          </w:p>
        </w:tc>
        <w:tc>
          <w:tcPr>
            <w:tcW w:w="906" w:type="dxa"/>
            <w:tcBorders/>
            <w:vAlign w:val="center"/>
          </w:tcPr>
          <w:p>
            <w:pPr>
              <w:pStyle w:val="TableContents"/>
              <w:bidi w:val="0"/>
              <w:spacing w:before="1" w:after="1"/>
              <w:ind w:left="0" w:right="0" w:hanging="0"/>
              <w:jc w:val="left"/>
              <w:rPr/>
            </w:pPr>
            <w:r>
              <w:rPr/>
              <w:t>​</w:t>
            </w:r>
          </w:p>
        </w:tc>
      </w:tr>
      <w:tr>
        <w:trPr/>
        <w:tc>
          <w:tcPr>
            <w:tcW w:w="283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303" w:type="dxa"/>
            <w:tcBorders/>
            <w:shd w:fill="CCEEFF" w:val="clear"/>
            <w:vAlign w:val="center"/>
          </w:tcPr>
          <w:p>
            <w:pPr>
              <w:pStyle w:val="TableContents"/>
              <w:bidi w:val="0"/>
              <w:spacing w:before="1" w:after="1"/>
              <w:ind w:left="0" w:right="0" w:hanging="0"/>
              <w:jc w:val="left"/>
              <w:rPr/>
            </w:pPr>
            <w:r>
              <w:rPr/>
              <w:t>​</w:t>
            </w:r>
          </w:p>
        </w:tc>
        <w:tc>
          <w:tcPr>
            <w:tcW w:w="823"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303" w:type="dxa"/>
            <w:tcBorders/>
            <w:shd w:fill="CCEEFF" w:val="clear"/>
            <w:vAlign w:val="center"/>
          </w:tcPr>
          <w:p>
            <w:pPr>
              <w:pStyle w:val="TableContents"/>
              <w:bidi w:val="0"/>
              <w:spacing w:before="1" w:after="1"/>
              <w:ind w:left="0" w:right="0" w:hanging="0"/>
              <w:jc w:val="left"/>
              <w:rPr/>
            </w:pPr>
            <w:r>
              <w:rPr/>
              <w:t>​</w:t>
            </w:r>
          </w:p>
        </w:tc>
        <w:tc>
          <w:tcPr>
            <w:tcW w:w="823"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67" w:type="dxa"/>
            <w:tcBorders/>
            <w:shd w:fill="CCEEFF" w:val="clear"/>
            <w:vAlign w:val="center"/>
          </w:tcPr>
          <w:p>
            <w:pPr>
              <w:pStyle w:val="TableContents"/>
              <w:bidi w:val="0"/>
              <w:spacing w:before="1" w:after="1"/>
              <w:ind w:left="0" w:right="0" w:hanging="0"/>
              <w:jc w:val="left"/>
              <w:rPr/>
            </w:pPr>
            <w:r>
              <w:rPr/>
              <w:t>​</w:t>
            </w:r>
          </w:p>
        </w:tc>
        <w:tc>
          <w:tcPr>
            <w:tcW w:w="859"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906" w:type="dxa"/>
            <w:tcBorders/>
            <w:shd w:fill="CCEEFF" w:val="clear"/>
            <w:vAlign w:val="center"/>
          </w:tcPr>
          <w:p>
            <w:pPr>
              <w:pStyle w:val="TableContents"/>
              <w:bidi w:val="0"/>
              <w:spacing w:before="1" w:after="1"/>
              <w:ind w:left="0" w:right="0" w:hanging="0"/>
              <w:jc w:val="left"/>
              <w:rPr/>
            </w:pPr>
            <w:r>
              <w:rPr/>
              <w:t>​</w:t>
            </w:r>
          </w:p>
        </w:tc>
      </w:tr>
      <w:tr>
        <w:trPr/>
        <w:tc>
          <w:tcPr>
            <w:tcW w:w="283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right-of-use asset</w:t>
            </w:r>
          </w:p>
        </w:tc>
        <w:tc>
          <w:tcPr>
            <w:tcW w:w="303"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574</w:t>
            </w:r>
          </w:p>
        </w:tc>
        <w:tc>
          <w:tcPr>
            <w:tcW w:w="346" w:type="dxa"/>
            <w:tcBorders/>
            <w:vAlign w:val="center"/>
          </w:tcPr>
          <w:p>
            <w:pPr>
              <w:pStyle w:val="TableContents"/>
              <w:bidi w:val="0"/>
              <w:spacing w:before="1" w:after="1"/>
              <w:ind w:left="0" w:right="0" w:hanging="0"/>
              <w:jc w:val="left"/>
              <w:rPr/>
            </w:pPr>
            <w:r>
              <w:rPr/>
              <w:t>​</w:t>
            </w:r>
          </w:p>
        </w:tc>
        <w:tc>
          <w:tcPr>
            <w:tcW w:w="303"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1,901</w:t>
            </w:r>
          </w:p>
        </w:tc>
        <w:tc>
          <w:tcPr>
            <w:tcW w:w="109" w:type="dxa"/>
            <w:tcBorders/>
            <w:vAlign w:val="center"/>
          </w:tcPr>
          <w:p>
            <w:pPr>
              <w:pStyle w:val="TableContents"/>
              <w:bidi w:val="0"/>
              <w:spacing w:before="1" w:after="1"/>
              <w:ind w:left="0" w:right="0" w:hanging="0"/>
              <w:jc w:val="right"/>
              <w:rPr/>
            </w:pPr>
            <w:r>
              <w:rPr/>
              <w:t>​</w:t>
            </w:r>
          </w:p>
        </w:tc>
        <w:tc>
          <w:tcPr>
            <w:tcW w:w="267"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1,149</w:t>
            </w:r>
          </w:p>
        </w:tc>
        <w:tc>
          <w:tcPr>
            <w:tcW w:w="346" w:type="dxa"/>
            <w:tcBorders/>
            <w:vAlign w:val="center"/>
          </w:tcPr>
          <w:p>
            <w:pPr>
              <w:pStyle w:val="TableContents"/>
              <w:bidi w:val="0"/>
              <w:spacing w:before="1" w:after="1"/>
              <w:ind w:left="0" w:right="0" w:hanging="0"/>
              <w:jc w:val="left"/>
              <w:rPr/>
            </w:pPr>
            <w:r>
              <w:rPr/>
              <w:t>​</w:t>
            </w:r>
          </w:p>
        </w:tc>
        <w:tc>
          <w:tcPr>
            <w:tcW w:w="265"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3,780</w:t>
            </w:r>
          </w:p>
        </w:tc>
      </w:tr>
      <w:tr>
        <w:trPr/>
        <w:tc>
          <w:tcPr>
            <w:tcW w:w="283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Variable costs</w:t>
            </w:r>
          </w:p>
        </w:tc>
        <w:tc>
          <w:tcPr>
            <w:tcW w:w="303" w:type="dxa"/>
            <w:tcBorders/>
            <w:shd w:fill="CCEEFF" w:val="clear"/>
            <w:vAlign w:val="center"/>
          </w:tcPr>
          <w:p>
            <w:pPr>
              <w:pStyle w:val="TableContents"/>
              <w:bidi w:val="0"/>
              <w:spacing w:before="1" w:after="1"/>
              <w:ind w:left="0" w:right="0" w:hanging="0"/>
              <w:jc w:val="left"/>
              <w:rPr/>
            </w:pPr>
            <w:r>
              <w:rPr/>
              <w:t>​</w:t>
            </w:r>
          </w:p>
        </w:tc>
        <w:tc>
          <w:tcPr>
            <w:tcW w:w="82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1" w:after="1"/>
              <w:ind w:left="0" w:right="0" w:hanging="0"/>
              <w:jc w:val="left"/>
              <w:rPr/>
            </w:pPr>
            <w:r>
              <w:rPr/>
              <w:t>​</w:t>
            </w:r>
          </w:p>
        </w:tc>
        <w:tc>
          <w:tcPr>
            <w:tcW w:w="303" w:type="dxa"/>
            <w:tcBorders/>
            <w:shd w:fill="CCEEFF" w:val="clear"/>
            <w:vAlign w:val="center"/>
          </w:tcPr>
          <w:p>
            <w:pPr>
              <w:pStyle w:val="TableContents"/>
              <w:bidi w:val="0"/>
              <w:spacing w:before="1" w:after="1"/>
              <w:ind w:left="0" w:right="0" w:hanging="0"/>
              <w:jc w:val="left"/>
              <w:rPr/>
            </w:pPr>
            <w:r>
              <w:rPr/>
              <w:t>​</w:t>
            </w:r>
          </w:p>
        </w:tc>
        <w:tc>
          <w:tcPr>
            <w:tcW w:w="82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109" w:type="dxa"/>
            <w:tcBorders/>
            <w:shd w:fill="CCEEFF" w:val="clear"/>
            <w:vAlign w:val="center"/>
          </w:tcPr>
          <w:p>
            <w:pPr>
              <w:pStyle w:val="TableContents"/>
              <w:bidi w:val="0"/>
              <w:spacing w:before="1" w:after="1"/>
              <w:ind w:left="0" w:right="0" w:hanging="0"/>
              <w:jc w:val="right"/>
              <w:rPr/>
            </w:pPr>
            <w:r>
              <w:rPr/>
              <w:t>​</w:t>
            </w:r>
          </w:p>
        </w:tc>
        <w:tc>
          <w:tcPr>
            <w:tcW w:w="267" w:type="dxa"/>
            <w:tcBorders/>
            <w:shd w:fill="CCEEFF" w:val="clear"/>
            <w:vAlign w:val="center"/>
          </w:tcPr>
          <w:p>
            <w:pPr>
              <w:pStyle w:val="TableContents"/>
              <w:bidi w:val="0"/>
              <w:spacing w:before="1" w:after="1"/>
              <w:ind w:left="0" w:right="0" w:hanging="0"/>
              <w:jc w:val="left"/>
              <w:rPr/>
            </w:pPr>
            <w:r>
              <w:rPr/>
              <w:t>​</w:t>
            </w:r>
          </w:p>
        </w:tc>
        <w:tc>
          <w:tcPr>
            <w:tcW w:w="859"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shd w:fill="CCEEFF" w:val="clear"/>
            <w:vAlign w:val="center"/>
          </w:tcPr>
          <w:p>
            <w:pPr>
              <w:pStyle w:val="TableContents"/>
              <w:bidi w:val="0"/>
              <w:spacing w:before="1" w:after="1"/>
              <w:ind w:left="0" w:right="0" w:hanging="0"/>
              <w:jc w:val="left"/>
              <w:rPr/>
            </w:pPr>
            <w:r>
              <w:rPr/>
              <w:t>​</w:t>
            </w:r>
          </w:p>
        </w:tc>
        <w:tc>
          <w:tcPr>
            <w:tcW w:w="265" w:type="dxa"/>
            <w:tcBorders/>
            <w:shd w:fill="CCEEFF" w:val="clear"/>
            <w:vAlign w:val="center"/>
          </w:tcPr>
          <w:p>
            <w:pPr>
              <w:pStyle w:val="TableContents"/>
              <w:bidi w:val="0"/>
              <w:spacing w:before="1" w:after="1"/>
              <w:ind w:left="0" w:right="0" w:hanging="0"/>
              <w:jc w:val="left"/>
              <w:rPr/>
            </w:pPr>
            <w:r>
              <w:rPr/>
              <w:t>​</w:t>
            </w:r>
          </w:p>
        </w:tc>
        <w:tc>
          <w:tcPr>
            <w:tcW w:w="9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422</w:t>
            </w:r>
          </w:p>
        </w:tc>
      </w:tr>
      <w:tr>
        <w:trPr/>
        <w:tc>
          <w:tcPr>
            <w:tcW w:w="283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costs</w:t>
            </w:r>
          </w:p>
        </w:tc>
        <w:tc>
          <w:tcPr>
            <w:tcW w:w="30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vAlign w:val="center"/>
          </w:tcPr>
          <w:p>
            <w:pPr>
              <w:pStyle w:val="TableContents"/>
              <w:bidi w:val="0"/>
              <w:spacing w:before="1"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109" w:type="dxa"/>
            <w:tcBorders/>
            <w:vAlign w:val="center"/>
          </w:tcPr>
          <w:p>
            <w:pPr>
              <w:pStyle w:val="TableContents"/>
              <w:bidi w:val="0"/>
              <w:spacing w:before="1" w:after="1"/>
              <w:ind w:left="0" w:right="0" w:hanging="0"/>
              <w:jc w:val="right"/>
              <w:rPr/>
            </w:pPr>
            <w:r>
              <w:rPr/>
              <w:t>​</w:t>
            </w:r>
          </w:p>
        </w:tc>
        <w:tc>
          <w:tcPr>
            <w:tcW w:w="267"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vAlign w:val="center"/>
          </w:tcPr>
          <w:p>
            <w:pPr>
              <w:pStyle w:val="TableContents"/>
              <w:bidi w:val="0"/>
              <w:spacing w:before="1"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283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finance lease cost</w:t>
            </w:r>
          </w:p>
        </w:tc>
        <w:tc>
          <w:tcPr>
            <w:tcW w:w="303"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738</w:t>
            </w:r>
          </w:p>
        </w:tc>
        <w:tc>
          <w:tcPr>
            <w:tcW w:w="346" w:type="dxa"/>
            <w:tcBorders/>
            <w:shd w:fill="CCEEFF" w:val="clear"/>
            <w:vAlign w:val="center"/>
          </w:tcPr>
          <w:p>
            <w:pPr>
              <w:pStyle w:val="TableContents"/>
              <w:bidi w:val="0"/>
              <w:spacing w:before="1"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2,120</w:t>
            </w:r>
          </w:p>
        </w:tc>
        <w:tc>
          <w:tcPr>
            <w:tcW w:w="109" w:type="dxa"/>
            <w:tcBorders/>
            <w:shd w:fill="CCEEFF" w:val="clear"/>
            <w:vAlign w:val="center"/>
          </w:tcPr>
          <w:p>
            <w:pPr>
              <w:pStyle w:val="TableContents"/>
              <w:bidi w:val="0"/>
              <w:spacing w:before="1"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1,501</w:t>
            </w:r>
          </w:p>
        </w:tc>
        <w:tc>
          <w:tcPr>
            <w:tcW w:w="346" w:type="dxa"/>
            <w:tcBorders/>
            <w:shd w:fill="CCEEFF" w:val="clear"/>
            <w:vAlign w:val="center"/>
          </w:tcPr>
          <w:p>
            <w:pPr>
              <w:pStyle w:val="TableContents"/>
              <w:bidi w:val="0"/>
              <w:spacing w:before="1" w:after="1"/>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4,376</w:t>
            </w:r>
          </w:p>
        </w:tc>
      </w:tr>
    </w:tbl>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six months ended June 30, 2026 and 2025, the Company paid $11.3 million and $13.2 million, respectively, for operating lease liabilities. During the six months ended June 30, 2026 and 2025, the Company recorded $51.0 million and $13.1 million, respectively, of operating lease liabilities arising from right of use assets. The increase during the six months ended June 30, 2026 includes $43.8 million of operating lease liabilities arising from the Tower Portfolio Transaction for the Company’s continued use of the Tower Portfolio.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At June 30, 2026, finance leases with a net book value of $23.0 million were included in fixed assets, net. During the six months ended June 30, 2026, the Company paid $0.4 million of financing cash flows and $0.2 million of operating cash flows for finance lease liabilities. During the six months ended June 30, 2025, the Company paid $1.0 million of financing cash flows and $0.2 million of operating cash flows for finance lease liabilities. At June 30, 2026, finance leases had a lease liability of $3.5 million, of which $0.8 million was current.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At December 31, 2025, finance leases with a net book value of $24.2 million were included in fixed assets, net.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bookmarkStart w:id="1385" w:name="Tc__0r3Ca3gb063O-KcaUv81g_10_4"/>
      <w:bookmarkStart w:id="1386" w:name="Tc_IsSJulmNmEegdbdmsrPKFQ_10_1"/>
      <w:bookmarkStart w:id="1387" w:name="Tc_UdT7tI7OlUiiMZx1uo1qgw_9_0"/>
      <w:bookmarkStart w:id="1388" w:name="Tc_4FMETzl83EeDyKloIV1UYQ_8_0"/>
      <w:bookmarkStart w:id="1389" w:name="Tc_tz9uuTB8hUirVJJTr4btVw_7_0"/>
      <w:bookmarkStart w:id="1390" w:name="Tc_1cBxoMfrxEK1SARA2eoggw_6_0"/>
      <w:bookmarkStart w:id="1391" w:name="Tc_z-9vL4QybUaEZ6IHZaPnvg_5_0"/>
      <w:bookmarkStart w:id="1392" w:name="Tc_gLA4inMC10-YnS0CbLrb0g_4_0"/>
      <w:bookmarkStart w:id="1393" w:name="Tc_sSn2N5-560iY2o1mSjcitg_3_0"/>
      <w:bookmarkStart w:id="1394" w:name="Tc_soLdZ-pjAU2ddq2iNXR3JA_2_4"/>
      <w:bookmarkStart w:id="1395" w:name="Tc_9px-fvcnPU-4Uc8mRd7RrQ_2_1"/>
      <w:bookmarkStart w:id="1396" w:name="Tc_Bel3-Mu1I0Oh87i0THmU6Q_2_0"/>
      <w:bookmarkStart w:id="1397" w:name="Tc_VzabyRM-1kOuXHaeZNpZUQ_1_4"/>
      <w:bookmarkStart w:id="1398" w:name="Tc_RXCLLvn8HkK_JBrr8phVQA_1_1"/>
      <w:bookmarkStart w:id="1399" w:name="_c62bf61c_3a26_4575_aa61_fbc818bdd58e"/>
      <w:bookmarkStart w:id="1400" w:name="Tc_onmWcQQDwUC0Y7OUw_O9vA_10_4"/>
      <w:bookmarkStart w:id="1401" w:name="Tc_dwcigD5NxU-VhrWc7aquTg_10_1"/>
      <w:bookmarkStart w:id="1402" w:name="Tc_ysAtWVJLT0GiIS02qYeLkw_9_0"/>
      <w:bookmarkStart w:id="1403" w:name="Tc_xPxjRkTGskuPVSWWI5U6Vg_8_0"/>
      <w:bookmarkStart w:id="1404" w:name="Tc_O2Hd8ibxCkmAC6WdvedFhg_7_0"/>
      <w:bookmarkStart w:id="1405" w:name="Tc_yega2QhYzE24lV2_tr4piQ_6_0"/>
      <w:bookmarkStart w:id="1406" w:name="Tc_cQCNAQYSw0isvzXH5Um9Mg_5_0"/>
      <w:bookmarkStart w:id="1407" w:name="Tc_6Uj6PgdbN0-elB0Zk9YKVQ_4_0"/>
      <w:bookmarkStart w:id="1408" w:name="Tc_LyqLhv0Kn0eCBqsLQC2lsQ_3_0"/>
      <w:bookmarkStart w:id="1409" w:name="Tc_8LbBTO7Q3Um6XWS9ODTTPA_2_0"/>
      <w:bookmarkStart w:id="1410" w:name="Tc_DXtB9-4z9UCr2sC58frFNw_1_4"/>
      <w:bookmarkStart w:id="1411" w:name="Tc_JEL6Scy98UWk0aBlo7Y0xA_1_1"/>
      <w:bookmarkStart w:id="1412" w:name="_a61b29a5_9f1a_4ce0_8bf0_d999a9f34170"/>
      <w:bookmarkStart w:id="1413" w:name="Tc_edO2DvwS7kisOKu6gruE-Q_8_0"/>
      <w:bookmarkStart w:id="1414" w:name="Tc_ceSV3-kSpk2iX_Os0WUG8A_7_0"/>
      <w:bookmarkStart w:id="1415" w:name="Tc_jKk44OQKGEuYhdB1Y_JUuw_6_0"/>
      <w:bookmarkStart w:id="1416" w:name="Tc_7jtP6PHAYkujZ0hF18UDZA_4_5"/>
      <w:bookmarkStart w:id="1417" w:name="Tc_104kiF8bNE-Zo_fgxn66UA_4_2"/>
      <w:bookmarkStart w:id="1418" w:name="Tc_YNiT4cQVqEGTyGz2v1MDpw_4_0"/>
      <w:bookmarkStart w:id="1419" w:name="Tc_dqOpI7MmQEGJ-POr9wvWKw_3_5"/>
      <w:bookmarkStart w:id="1420" w:name="Tc_oY73bFeA3kaR-0cchd062A_3_2"/>
      <w:bookmarkStart w:id="1421" w:name="Tc_ZCS6y6WWQki5j5uXl2T96g_3_0"/>
      <w:bookmarkStart w:id="1422" w:name="Tc_UjXa7-m-ZEKeIwIXuwmEYA_2_0"/>
      <w:bookmarkStart w:id="1423" w:name="Tc_A2Td-DnrC0SHGnCfXxGXOQ_1_4"/>
      <w:bookmarkStart w:id="1424" w:name="Tc_A9zTs95A-UyuMRGwrYZkKA_1_1"/>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r>
        <w:rPr>
          <w:rFonts w:ascii="Times New Roman;Times;serif" w:hAnsi="Times New Roman;Times;serif"/>
          <w:sz w:val="20"/>
        </w:rPr>
        <w:t>The weighted average remaining lease terms and discount rates as of June 30, 2026 and December 31, 2025 are set forth in the table below:</w:t>
      </w:r>
    </w:p>
    <w:p>
      <w:pPr>
        <w:pStyle w:val="TextBody"/>
        <w:bidi w:val="0"/>
        <w:spacing w:before="0" w:after="0"/>
        <w:ind w:left="0" w:right="0" w:firstLine="720"/>
        <w:jc w:val="left"/>
        <w:rPr/>
      </w:pPr>
      <w:r>
        <w:rPr/>
        <w:t>​</w:t>
      </w:r>
    </w:p>
    <w:tbl>
      <w:tblPr>
        <w:tblW w:w="6112" w:type="dxa"/>
        <w:jc w:val="left"/>
        <w:tblInd w:w="0" w:type="dxa"/>
        <w:tblLayout w:type="fixed"/>
        <w:tblCellMar>
          <w:top w:w="0" w:type="dxa"/>
          <w:left w:w="0" w:type="dxa"/>
          <w:bottom w:w="0" w:type="dxa"/>
          <w:right w:w="0" w:type="dxa"/>
        </w:tblCellMar>
      </w:tblPr>
      <w:tblGrid>
        <w:gridCol w:w="3331"/>
        <w:gridCol w:w="193"/>
        <w:gridCol w:w="933"/>
        <w:gridCol w:w="109"/>
        <w:gridCol w:w="247"/>
        <w:gridCol w:w="1299"/>
      </w:tblGrid>
      <w:tr>
        <w:trPr/>
        <w:tc>
          <w:tcPr>
            <w:tcW w:w="3331"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22555" cy="175260"/>
                      <wp:effectExtent l="0" t="0" r="0" b="0"/>
                      <wp:wrapNone/>
                      <wp:docPr id="158" name="Frame158"/>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92455" cy="175260"/>
                      <wp:effectExtent l="0" t="0" r="0" b="0"/>
                      <wp:wrapNone/>
                      <wp:docPr id="159" name="Frame159"/>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215" cy="175260"/>
                      <wp:effectExtent l="0" t="0" r="0" b="0"/>
                      <wp:wrapNone/>
                      <wp:docPr id="160" name="Frame1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56845" cy="175260"/>
                      <wp:effectExtent l="0" t="0" r="0" b="0"/>
                      <wp:wrapNone/>
                      <wp:docPr id="161" name="Frame161"/>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824865" cy="175260"/>
                      <wp:effectExtent l="0" t="0" r="0" b="0"/>
                      <wp:wrapNone/>
                      <wp:docPr id="162" name="Frame162"/>
                      <a:graphic xmlns:a="http://schemas.openxmlformats.org/drawingml/2006/main">
                        <a:graphicData uri="http://schemas.microsoft.com/office/word/2010/wordprocessingShape">
                          <wps:wsp>
                            <wps:cNvSpPr txBox="1"/>
                            <wps:spPr>
                              <a:xfrm>
                                <a:off x="0" y="0"/>
                                <a:ext cx="824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w:t>
            </w:r>
          </w:p>
        </w:tc>
        <w:tc>
          <w:tcPr>
            <w:tcW w:w="193"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93"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 years</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2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 years</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leases</w:t>
            </w:r>
          </w:p>
        </w:tc>
        <w:tc>
          <w:tcPr>
            <w:tcW w:w="193"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 years</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 years</w:t>
            </w:r>
          </w:p>
        </w:tc>
      </w:tr>
      <w:tr>
        <w:trPr/>
        <w:tc>
          <w:tcPr>
            <w:tcW w:w="3331"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299" w:type="dxa"/>
            <w:tcBorders/>
            <w:vAlign w:val="center"/>
          </w:tcPr>
          <w:p>
            <w:pPr>
              <w:pStyle w:val="TableContents"/>
              <w:bidi w:val="0"/>
              <w:spacing w:before="0" w:after="0"/>
              <w:ind w:left="0" w:right="0" w:hanging="0"/>
              <w:jc w:val="left"/>
              <w:rPr/>
            </w:pPr>
            <w:r>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193"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93"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2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leases</w:t>
            </w:r>
          </w:p>
        </w:tc>
        <w:tc>
          <w:tcPr>
            <w:tcW w:w="193"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8.7%</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Maturities of lease liabilities as of June 30, 2026 were as follows (in thousands):</w:t>
      </w:r>
    </w:p>
    <w:p>
      <w:pPr>
        <w:pStyle w:val="TextBody"/>
        <w:bidi w:val="0"/>
        <w:spacing w:before="0" w:after="0"/>
        <w:ind w:left="0" w:right="0" w:firstLine="720"/>
        <w:jc w:val="left"/>
        <w:rPr/>
      </w:pPr>
      <w:r>
        <w:rPr/>
        <w:t>​</w:t>
      </w:r>
    </w:p>
    <w:tbl>
      <w:tblPr>
        <w:tblW w:w="7340" w:type="dxa"/>
        <w:jc w:val="left"/>
        <w:tblInd w:w="0" w:type="dxa"/>
        <w:tblLayout w:type="fixed"/>
        <w:tblCellMar>
          <w:top w:w="0" w:type="dxa"/>
          <w:left w:w="0" w:type="dxa"/>
          <w:bottom w:w="0" w:type="dxa"/>
          <w:right w:w="0" w:type="dxa"/>
        </w:tblCellMar>
      </w:tblPr>
      <w:tblGrid>
        <w:gridCol w:w="4486"/>
        <w:gridCol w:w="286"/>
        <w:gridCol w:w="1079"/>
        <w:gridCol w:w="109"/>
        <w:gridCol w:w="328"/>
        <w:gridCol w:w="1052"/>
      </w:tblGrid>
      <w:tr>
        <w:trPr/>
        <w:tc>
          <w:tcPr>
            <w:tcW w:w="44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81610" cy="175260"/>
                      <wp:effectExtent l="0" t="0" r="0" b="0"/>
                      <wp:wrapNone/>
                      <wp:docPr id="163" name="Frame16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85165" cy="175260"/>
                      <wp:effectExtent l="0" t="0" r="0" b="0"/>
                      <wp:wrapNone/>
                      <wp:docPr id="164" name="Frame164"/>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5"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8280" cy="175260"/>
                      <wp:effectExtent l="0" t="0" r="0" b="0"/>
                      <wp:wrapNone/>
                      <wp:docPr id="166" name="Frame166"/>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68020" cy="175260"/>
                      <wp:effectExtent l="0" t="0" r="0" b="0"/>
                      <wp:wrapNone/>
                      <wp:docPr id="167" name="Frame167"/>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109" w:type="dxa"/>
            <w:tcBorders/>
            <w:vAlign w:val="center"/>
          </w:tcPr>
          <w:p>
            <w:pPr>
              <w:pStyle w:val="TableContents"/>
              <w:bidi w:val="0"/>
              <w:spacing w:before="0" w:after="0"/>
              <w:ind w:left="0" w:right="0" w:hanging="0"/>
              <w:jc w:val="left"/>
              <w:rPr/>
            </w:pPr>
            <w:r>
              <w:rPr/>
              <w:t>​</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Financing Leases</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(excluding the six months ended June 30, 2026)</w:t>
            </w:r>
          </w:p>
        </w:tc>
        <w:tc>
          <w:tcPr>
            <w:tcW w:w="28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13,405</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86"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24,681</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8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20,631</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286"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17,193</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28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15,794</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93,357</w:t>
            </w:r>
          </w:p>
        </w:tc>
        <w:tc>
          <w:tcPr>
            <w:tcW w:w="109"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28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185,061</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4,451</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(63,006)</w:t>
            </w:r>
          </w:p>
        </w:tc>
        <w:tc>
          <w:tcPr>
            <w:tcW w:w="109"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122,055</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3,474</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Maturities of lease liabilities as of December 31, 2025 were as follows (in thousands):</w:t>
      </w:r>
    </w:p>
    <w:p>
      <w:pPr>
        <w:pStyle w:val="TextBody"/>
        <w:bidi w:val="0"/>
        <w:spacing w:before="0" w:after="0"/>
        <w:ind w:left="0" w:right="0" w:firstLine="720"/>
        <w:jc w:val="left"/>
        <w:rPr/>
      </w:pPr>
      <w:r>
        <w:rPr/>
        <w:t>​</w:t>
      </w:r>
    </w:p>
    <w:tbl>
      <w:tblPr>
        <w:tblW w:w="4700" w:type="dxa"/>
        <w:jc w:val="left"/>
        <w:tblInd w:w="0" w:type="dxa"/>
        <w:tblLayout w:type="fixed"/>
        <w:tblCellMar>
          <w:top w:w="0" w:type="dxa"/>
          <w:left w:w="0" w:type="dxa"/>
          <w:bottom w:w="0" w:type="dxa"/>
          <w:right w:w="0" w:type="dxa"/>
        </w:tblCellMar>
      </w:tblPr>
      <w:tblGrid>
        <w:gridCol w:w="1846"/>
        <w:gridCol w:w="286"/>
        <w:gridCol w:w="1079"/>
        <w:gridCol w:w="109"/>
        <w:gridCol w:w="307"/>
        <w:gridCol w:w="1073"/>
      </w:tblGrid>
      <w:tr>
        <w:trPr/>
        <w:tc>
          <w:tcPr>
            <w:tcW w:w="18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81610" cy="175260"/>
                      <wp:effectExtent l="0" t="0" r="0" b="0"/>
                      <wp:wrapNone/>
                      <wp:docPr id="168" name="Frame16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85165" cy="175260"/>
                      <wp:effectExtent l="0" t="0" r="0" b="0"/>
                      <wp:wrapNone/>
                      <wp:docPr id="169" name="Frame169"/>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94945" cy="175260"/>
                      <wp:effectExtent l="0" t="0" r="0" b="0"/>
                      <wp:wrapNone/>
                      <wp:docPr id="171" name="Frame171"/>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81355" cy="175260"/>
                      <wp:effectExtent l="0" t="0" r="0" b="0"/>
                      <wp:wrapNone/>
                      <wp:docPr id="172" name="Frame172"/>
                      <a:graphic xmlns:a="http://schemas.openxmlformats.org/drawingml/2006/main">
                        <a:graphicData uri="http://schemas.microsoft.com/office/word/2010/wordprocessingShape">
                          <wps:wsp>
                            <wps:cNvSpPr txBox="1"/>
                            <wps:spPr>
                              <a:xfrm>
                                <a:off x="0" y="0"/>
                                <a:ext cx="681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109" w:type="dxa"/>
            <w:tcBorders/>
            <w:vAlign w:val="center"/>
          </w:tcPr>
          <w:p>
            <w:pPr>
              <w:pStyle w:val="TableContents"/>
              <w:bidi w:val="0"/>
              <w:spacing w:before="0" w:after="0"/>
              <w:ind w:left="0" w:right="0" w:hanging="0"/>
              <w:jc w:val="left"/>
              <w:rPr/>
            </w:pPr>
            <w:r>
              <w:rPr/>
              <w:t>​</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Financing Leases</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18,712</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86"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17,143</w:t>
            </w:r>
          </w:p>
        </w:tc>
        <w:tc>
          <w:tcPr>
            <w:tcW w:w="109"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8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13,051</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286"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9,395</w:t>
            </w:r>
          </w:p>
        </w:tc>
        <w:tc>
          <w:tcPr>
            <w:tcW w:w="109"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10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28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7,133</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72,553</w:t>
            </w:r>
          </w:p>
        </w:tc>
        <w:tc>
          <w:tcPr>
            <w:tcW w:w="109"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1,548</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28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137,987</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10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4,982</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(52,667)</w:t>
            </w:r>
          </w:p>
        </w:tc>
        <w:tc>
          <w:tcPr>
            <w:tcW w:w="109"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85,320</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3,848</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June 30, 2026, the Company did not have any material operating or finance leases that had not yet commenced.</w:t>
      </w:r>
    </w:p>
    <w:p>
      <w:pPr>
        <w:pStyle w:val="TextBody"/>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Lessor Disclosure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is the lessor in agreements to lease the use of its network assets including its wireless cell sites and buildings. For the six months ended June 30, 2026 and 2025, the Company recorded $4.6 million and $4.0 million, respectively, of lease income from agreements for which the Company is the lessor. Lease income is classified as Carrier Services revenue in the statement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bookmarkStart w:id="1425" w:name="Tc_LVnMfLwD_06KCk8E0KIQCA_7_1"/>
      <w:bookmarkStart w:id="1426" w:name="Tc_Rjdiae3QdEKzNlm9zbimCw_7_0"/>
      <w:bookmarkStart w:id="1427" w:name="Tc_Mq2upZRZKkehakeN_Ioi1A_6_0"/>
      <w:bookmarkStart w:id="1428" w:name="Tc_3EmSGbKT5kSpwgMSD-Hk7Q_5_0"/>
      <w:bookmarkStart w:id="1429" w:name="Tc_SUoU36GxTUyJSHtHMY25HQ_4_0"/>
      <w:bookmarkStart w:id="1430" w:name="Tc_JTb_sGAyYUWv0Cpx0KnNMw_3_0"/>
      <w:bookmarkStart w:id="1431" w:name="Tc_E4b83aNUwkGY4EvQsaDYNA_2_0"/>
      <w:bookmarkStart w:id="1432" w:name="Tc_hqC0xEhgMEOg6Tsy2bTaIA_1_1"/>
      <w:bookmarkStart w:id="1433" w:name="Tc_qdbQ1Qlxy0GwuyiKdrEwbg_1_0"/>
      <w:bookmarkStart w:id="1434" w:name="_9d6358b4_75b5_4e0b_9d6e_32e245daee52"/>
      <w:bookmarkEnd w:id="1425"/>
      <w:bookmarkEnd w:id="1426"/>
      <w:bookmarkEnd w:id="1427"/>
      <w:bookmarkEnd w:id="1428"/>
      <w:bookmarkEnd w:id="1429"/>
      <w:bookmarkEnd w:id="1430"/>
      <w:bookmarkEnd w:id="1431"/>
      <w:bookmarkEnd w:id="1432"/>
      <w:bookmarkEnd w:id="1433"/>
      <w:bookmarkEnd w:id="1434"/>
      <w:r>
        <w:rPr>
          <w:rFonts w:ascii="Times New Roman;Times;serif" w:hAnsi="Times New Roman;Times;serif"/>
          <w:sz w:val="20"/>
        </w:rPr>
        <w:t xml:space="preserve">The following table presents the maturities of future undiscounted lease payments for the periods indicated (in thousands): </w:t>
      </w:r>
    </w:p>
    <w:p>
      <w:pPr>
        <w:pStyle w:val="TextBody"/>
        <w:bidi w:val="0"/>
        <w:spacing w:before="0" w:after="0"/>
        <w:ind w:left="0" w:right="0" w:firstLine="720"/>
        <w:jc w:val="left"/>
        <w:rPr/>
      </w:pPr>
      <w:r>
        <w:rPr/>
        <w:t>​</w:t>
      </w:r>
    </w:p>
    <w:tbl>
      <w:tblPr>
        <w:tblW w:w="5373" w:type="dxa"/>
        <w:jc w:val="left"/>
        <w:tblInd w:w="0" w:type="dxa"/>
        <w:tblLayout w:type="fixed"/>
        <w:tblCellMar>
          <w:top w:w="0" w:type="dxa"/>
          <w:left w:w="0" w:type="dxa"/>
          <w:bottom w:w="0" w:type="dxa"/>
          <w:right w:w="0" w:type="dxa"/>
        </w:tblCellMar>
      </w:tblPr>
      <w:tblGrid>
        <w:gridCol w:w="4486"/>
        <w:gridCol w:w="211"/>
        <w:gridCol w:w="676"/>
      </w:tblGrid>
      <w:tr>
        <w:trPr/>
        <w:tc>
          <w:tcPr>
            <w:tcW w:w="44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29260" cy="175260"/>
                      <wp:effectExtent l="0" t="0" r="0" b="0"/>
                      <wp:wrapNone/>
                      <wp:docPr id="174" name="Frame1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(excluding the six months ended June 30, 2026)</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1,859</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lease payments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7,870</w:t>
            </w:r>
          </w:p>
        </w:tc>
      </w:tr>
    </w:tbl>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6. USE OF ESTIMATES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periods. The Company bases its estimates on historical experience and on various other assumptions that it believes are reasonable under the circumstances. The most significant estimates relate to revenue recognition, goodwill and long-lived intangible assets, income taxes, and contingencies. Actual results could differ significantly from those estimates.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7. FAIR VALUE MEASUREMENTS AND INVESTMENTS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accordance with the provisions of fair value accounting, a fair value measurement assumes that a transaction to sell an asset or transfer a liability occurs in the principal market for the asset or liability or, in the absence of a principal market, the most advantageous market for the asset or liability, and defines fair value based upon an exit price model.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fair value measurement guidance establishes a fair value hierarchy that requires an entity to maximize the use of observable inputs and minimize the use of unobservable inputs when measuring fair value. The guidance describes three levels of inputs that may be used to measure fair value:</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36"/>
        <w:gridCol w:w="109"/>
        <w:gridCol w:w="9360"/>
      </w:tblGrid>
      <w:tr>
        <w:trPr/>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5"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0" w:type="dxa"/>
            <w:tcBorders/>
            <w:vAlign w:val="center"/>
          </w:tcPr>
          <w:p>
            <w:pPr>
              <w:pStyle w:val="TableContents"/>
              <w:bidi w:val="0"/>
              <w:spacing w:before="0" w:after="0"/>
              <w:ind w:left="0" w:right="0" w:hanging="0"/>
              <w:jc w:val="left"/>
              <w:rPr/>
            </w:pPr>
            <w:r>
              <w:rPr/>
              <w:t>​</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1</w:t>
            </w:r>
          </w:p>
        </w:tc>
        <w:tc>
          <w:tcPr>
            <w:tcW w:w="109" w:type="dxa"/>
            <w:tcBorders/>
            <w:vAlign w:val="center"/>
          </w:tcPr>
          <w:p>
            <w:pPr>
              <w:pStyle w:val="TableContents"/>
              <w:bidi w:val="0"/>
              <w:spacing w:before="0" w:after="0"/>
              <w:ind w:left="0" w:right="0" w:hanging="0"/>
              <w:jc w:val="left"/>
              <w:rPr/>
            </w:pPr>
            <w:r>
              <w:rPr/>
              <w:t>​</w:t>
            </w:r>
          </w:p>
        </w:tc>
        <w:tc>
          <w:tcPr>
            <w:tcW w:w="9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Quoted prices in active markets for identical assets or liabilities as of the reporting date. Active markets are those in which transactions for the asset and liability occur in sufficient frequency and volume to provide pricing information on an ongoing basis. Level 1 assets and liabilities include money market funds, debt and equity securities and derivative contracts that are traded in an active exchange market.</w:t>
            </w:r>
          </w:p>
          <w:p>
            <w:pPr>
              <w:pStyle w:val="TableContents"/>
              <w:bidi w:val="0"/>
              <w:spacing w:before="0" w:after="0"/>
              <w:ind w:left="0" w:right="0" w:hanging="0"/>
              <w:jc w:val="left"/>
              <w:rPr/>
            </w:pPr>
            <w:r>
              <w:rPr/>
              <w:t>​</w:t>
            </w:r>
          </w:p>
        </w:tc>
      </w:tr>
      <w:tr>
        <w:trPr/>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60" w:type="dxa"/>
            <w:tcBorders/>
            <w:vAlign w:val="center"/>
          </w:tcPr>
          <w:p>
            <w:pPr>
              <w:pStyle w:val="TableContents"/>
              <w:bidi w:val="0"/>
              <w:spacing w:before="0" w:after="0"/>
              <w:ind w:left="0" w:right="0" w:hanging="0"/>
              <w:jc w:val="left"/>
              <w:rPr/>
            </w:pPr>
            <w:r>
              <w:rPr/>
              <w:t>​</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2</w:t>
            </w:r>
          </w:p>
        </w:tc>
        <w:tc>
          <w:tcPr>
            <w:tcW w:w="109" w:type="dxa"/>
            <w:tcBorders/>
            <w:vAlign w:val="center"/>
          </w:tcPr>
          <w:p>
            <w:pPr>
              <w:pStyle w:val="TableContents"/>
              <w:bidi w:val="0"/>
              <w:spacing w:before="0" w:after="0"/>
              <w:ind w:left="0" w:right="0" w:hanging="0"/>
              <w:jc w:val="left"/>
              <w:rPr/>
            </w:pPr>
            <w:r>
              <w:rPr/>
              <w:t>​</w:t>
            </w:r>
          </w:p>
        </w:tc>
        <w:tc>
          <w:tcPr>
            <w:tcW w:w="9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 traded instruments and derivative contracts whose value is determined using a pricing model with inputs that are observable in the market or can be derived principally from or corroborated by observable market data. This category generally includes corporate obligations and non-exchange traded derivative contracts.</w:t>
            </w:r>
          </w:p>
          <w:p>
            <w:pPr>
              <w:pStyle w:val="TableContents"/>
              <w:bidi w:val="0"/>
              <w:spacing w:before="0" w:after="0"/>
              <w:ind w:left="0" w:right="0" w:hanging="0"/>
              <w:jc w:val="left"/>
              <w:rPr/>
            </w:pPr>
            <w:r>
              <w:rPr/>
              <w:t>​</w:t>
            </w:r>
          </w:p>
        </w:tc>
      </w:tr>
      <w:tr>
        <w:trPr/>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60" w:type="dxa"/>
            <w:tcBorders/>
            <w:vAlign w:val="center"/>
          </w:tcPr>
          <w:p>
            <w:pPr>
              <w:pStyle w:val="TableContents"/>
              <w:bidi w:val="0"/>
              <w:spacing w:before="0" w:after="0"/>
              <w:ind w:left="0" w:right="0" w:hanging="0"/>
              <w:jc w:val="left"/>
              <w:rPr/>
            </w:pPr>
            <w:r>
              <w:rPr/>
              <w:t>​</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3</w:t>
            </w:r>
          </w:p>
        </w:tc>
        <w:tc>
          <w:tcPr>
            <w:tcW w:w="109" w:type="dxa"/>
            <w:tcBorders/>
            <w:vAlign w:val="center"/>
          </w:tcPr>
          <w:p>
            <w:pPr>
              <w:pStyle w:val="TableContents"/>
              <w:bidi w:val="0"/>
              <w:spacing w:before="0" w:after="0"/>
              <w:ind w:left="0" w:right="0" w:hanging="0"/>
              <w:jc w:val="left"/>
              <w:rPr/>
            </w:pPr>
            <w:r>
              <w:rPr/>
              <w:t>​</w:t>
            </w:r>
          </w:p>
        </w:tc>
        <w:tc>
          <w:tcPr>
            <w:tcW w:w="9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Unobservable inputs that are supported by little or no market activity and that are significant to the fair value of the assets or liabilities. Level 3 assets and liabilities include financial instruments and intangible assets that have been impaired whose value is determined using pricing models, discounted cash flow methodologies, or similar techniques, as well as instruments for which the determination of fair value requires significant management judgment or estimation.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435" w:name="Tc_P5Ey6QZvZE2d0DVY_W1Ljg_13_11"/>
      <w:bookmarkStart w:id="1436" w:name="Tc_6ZvV0NA1NEeYLcj6TlsZ_A_13_8"/>
      <w:bookmarkStart w:id="1437" w:name="Tc_jFqXMpDcm0OeHnHG5tSbcg_13_5"/>
      <w:bookmarkStart w:id="1438" w:name="Tc_TZYrf_Lu20-uCDmD0B-ALw_13_2"/>
      <w:bookmarkStart w:id="1439" w:name="Tc_dtgdMwa72kCoL15HwnnTQg_13_0"/>
      <w:bookmarkStart w:id="1440" w:name="Tc_Emznxaupdk-FuBsByRVrLQ_12_12"/>
      <w:bookmarkStart w:id="1441" w:name="Tc_eP5SiF3naUeghNaYsHN1aA_12_9"/>
      <w:bookmarkStart w:id="1442" w:name="Tc_s17fWIgm5UO2jXa-zdzm_Q_12_6"/>
      <w:bookmarkStart w:id="1443" w:name="Tc_Ma1SVTpfaEmDmeZwTsU7Sw_12_3"/>
      <w:bookmarkStart w:id="1444" w:name="Tc_WOwsIbzHYkOakdry6dI7UA_12_0"/>
      <w:bookmarkStart w:id="1445" w:name="Tc_1UawsBjMQ021jwE4nnKcfQ_11_12"/>
      <w:bookmarkStart w:id="1446" w:name="Tc_JldONyPjMEqtlC_feYdxEQ_11_9"/>
      <w:bookmarkStart w:id="1447" w:name="Tc_0LKKBOMOdUyEKsEMNBk8jQ_11_6"/>
      <w:bookmarkStart w:id="1448" w:name="Tc_YniDkI_LlESVcWvTtepIyQ_11_3"/>
      <w:bookmarkStart w:id="1449" w:name="Tc_o_2LYf2E0EuGNF3K2PfXeg_11_0"/>
      <w:bookmarkStart w:id="1450" w:name="Tc_OYl7ZKda1U-v8uuzauu0pQ_10_6"/>
      <w:bookmarkStart w:id="1451" w:name="Tc_k7uNbbkngk-p065ul_xmgg_10_3"/>
      <w:bookmarkStart w:id="1452" w:name="Tc_h2Mg_XR-PkulcjtZFPLS1A_10_0"/>
      <w:bookmarkStart w:id="1453" w:name="Tc_RzetF4pS7kq2ArkHtZY8zg_9_6"/>
      <w:bookmarkStart w:id="1454" w:name="Tc_Pp5imk2CC0K79NUDkiisjg_9_3"/>
      <w:bookmarkStart w:id="1455" w:name="Tc_MlYVtXPiiEeu_Gax2CVLhQ_9_0"/>
      <w:bookmarkStart w:id="1456" w:name="Tc_1z6tqV482U6uF4TumaZzwA_8_9"/>
      <w:bookmarkStart w:id="1457" w:name="Tc_ZqXJ6KtSH06Na3m8AgDYdA_8_3"/>
      <w:bookmarkStart w:id="1458" w:name="Tc_9SJlnkO8O0Sb3tEVO526TA_8_0"/>
      <w:bookmarkStart w:id="1459" w:name="Tc_aWuON_rIaUS3IlnKprwX5A_7_9"/>
      <w:bookmarkStart w:id="1460" w:name="Tc_Belr8yTYxUqKWd6nOpbvGg_7_6"/>
      <w:bookmarkStart w:id="1461" w:name="Tc_8NB-qpkLTEm6SZzN035acg_7_0"/>
      <w:bookmarkStart w:id="1462" w:name="Tc_6E-W6GeLXkWxc5uxiP83zg_6_11"/>
      <w:bookmarkStart w:id="1463" w:name="Tc_moOrplyn70CiXF1ID3gTNw_6_9"/>
      <w:bookmarkStart w:id="1464" w:name="Tc_ZeuOg8buR0K4Nd7JNlDgHA_6_8"/>
      <w:bookmarkStart w:id="1465" w:name="Tc_zibApjjpgkuMUt5g3C_Dng_6_6"/>
      <w:bookmarkStart w:id="1466" w:name="Tc_c4_Ra3ODv0uhzQtV_YKz7A_6_5"/>
      <w:bookmarkStart w:id="1467" w:name="Tc_rolHg5VFHUmXPqdGbLYvfg_6_2"/>
      <w:bookmarkStart w:id="1468" w:name="Tc_7p4TDUgSS0Sje8gSJZRn2w_6_0"/>
      <w:bookmarkStart w:id="1469" w:name="Tc_YOFflXVntkqbRLdNSC2z9g_5_11"/>
      <w:bookmarkStart w:id="1470" w:name="Tc_tHfmB2DbgkG_Zdbn7uCRsg_5_8"/>
      <w:bookmarkStart w:id="1471" w:name="Tc_OmfG6AGXbEaXmnnMyfJjFg_5_5"/>
      <w:bookmarkStart w:id="1472" w:name="Tc_3EpAFelvZUGRkoSp_J0aNw_5_2"/>
      <w:bookmarkStart w:id="1473" w:name="Tc_FgZe-vA25UuyY_YgJYHIEg_5_0"/>
      <w:bookmarkStart w:id="1474" w:name="Tc_x8yN2_9xOkqQW0PeYJLUGg_4_8"/>
      <w:bookmarkStart w:id="1475" w:name="Tc_mnTaPAf69kmJCjKmI44QaQ_4_5"/>
      <w:bookmarkStart w:id="1476" w:name="Tc_2ZiFBFH6tkuJ3qkVQfKSoQ_4_2"/>
      <w:bookmarkStart w:id="1477" w:name="Tc_g-vWDAwS0U2W465-KqObmg_3_8"/>
      <w:bookmarkStart w:id="1478" w:name="Tc_CMXDATSc5k-yuTb5AOs_-Q_3_5"/>
      <w:bookmarkStart w:id="1479" w:name="Tc_OYn6TnVLK0CGJpjPLSyU9A_3_2"/>
      <w:bookmarkStart w:id="1480" w:name="Tc_f_ldQM31vEKTOZKdkIQdPg_2_2"/>
      <w:bookmarkStart w:id="1481" w:name="Tc_w-eKFVTOuk-94vtxkip8Rw_1_2"/>
      <w:bookmarkStart w:id="1482" w:name="_4741470d_b31e_4c2e_a247_8aa9f4b4c48d"/>
      <w:bookmarkStart w:id="1483" w:name="Tc_wTOQIujmJ0mJ8f2kR1Xb4w_12_11"/>
      <w:bookmarkStart w:id="1484" w:name="Tc_6-vaNyka70S6VjwJ_zdvmQ_12_8"/>
      <w:bookmarkStart w:id="1485" w:name="Tc_1blcdPrUAU-Zb0Ph8W4N3Q_12_5"/>
      <w:bookmarkStart w:id="1486" w:name="Tc_3k9A20Gc_kCN0WzwvAKDGA_12_2"/>
      <w:bookmarkStart w:id="1487" w:name="Tc_3Xnqi1cuOU2UfeE2jEZkmA_12_0"/>
      <w:bookmarkStart w:id="1488" w:name="Tc_Aeo25Mft_kKacDo8c6dlYg_11_12"/>
      <w:bookmarkStart w:id="1489" w:name="Tc_LM4PR4eqTUGpYLreW64RGw_11_9"/>
      <w:bookmarkStart w:id="1490" w:name="Tc_9iT_YDN0CEOVyn_gbkWdfA_11_6"/>
      <w:bookmarkStart w:id="1491" w:name="Tc_HV7uJ2m5WEmhQ6_1lgfB8g_11_3"/>
      <w:bookmarkStart w:id="1492" w:name="Tc_lN1xBySX80yHJ1QnAaTolw_11_0"/>
      <w:bookmarkStart w:id="1493" w:name="Tc_kWxvx4_GkEWTj43LoNVsrQ_10_12"/>
      <w:bookmarkStart w:id="1494" w:name="Tc_JHZpSHyW_0qOk-uTHHj4rw_10_9"/>
      <w:bookmarkStart w:id="1495" w:name="Tc_TMhYJb7eQ02eoJUsQGjwsw_10_6"/>
      <w:bookmarkStart w:id="1496" w:name="Tc_wyh-wCmHa0qsAGLJMtxYjQ_10_3"/>
      <w:bookmarkStart w:id="1497" w:name="Tc_p3NZmy3GlkWOcE07DnfWsg_10_0"/>
      <w:bookmarkStart w:id="1498" w:name="Tc_YL-juj0oEEOxGmMGj9NTdA_9_6"/>
      <w:bookmarkStart w:id="1499" w:name="Tc_NyLu6DLG6UyBgqv33mFPoA_9_3"/>
      <w:bookmarkStart w:id="1500" w:name="Tc_5NCe-1LHAU2tsBKFYvHYCA_9_0"/>
      <w:bookmarkStart w:id="1501" w:name="Tc_zSuxpRCKVES2R2t-6KfNjQ_8_9"/>
      <w:bookmarkStart w:id="1502" w:name="Tc_h7eD7swrdEyJMVjPeeKe8A_8_3"/>
      <w:bookmarkStart w:id="1503" w:name="Tc_0sdooIG1AEy3__0b48kFxg_8_0"/>
      <w:bookmarkStart w:id="1504" w:name="Tc_8kcguZ_zWUqNCFlY3JZEgQ_7_9"/>
      <w:bookmarkStart w:id="1505" w:name="Tc_q81KL5Ty5UClp3b_Fmb6Sg_7_6"/>
      <w:bookmarkStart w:id="1506" w:name="Tc_JQWAQnqZSE2DnkFMAystXw_7_0"/>
      <w:bookmarkStart w:id="1507" w:name="Tc_Db4UZgdja0qj-R8qr10bFA_6_11"/>
      <w:bookmarkStart w:id="1508" w:name="Tc_AKksJmZ9X0uBn2W_HECnDA_6_9"/>
      <w:bookmarkStart w:id="1509" w:name="Tc_mM97y5I0Ckq6-aAqZomNhA_6_8"/>
      <w:bookmarkStart w:id="1510" w:name="Tc_bGwOM6pk-EKcxKDJYV3a_g_6_6"/>
      <w:bookmarkStart w:id="1511" w:name="Tc_7jI72qqug0qHkJkl6QeqIA_6_5"/>
      <w:bookmarkStart w:id="1512" w:name="Tc_B2sTedWbkky6SwGVF9qGbg_6_2"/>
      <w:bookmarkStart w:id="1513" w:name="Tc_zAPxHMRJhUalrFeGGyH4OQ_6_0"/>
      <w:bookmarkStart w:id="1514" w:name="Tc_ekRbgCq19EuWBToCgUgQLw_5_11"/>
      <w:bookmarkStart w:id="1515" w:name="Tc_FV1GAbUXSkeGvq6_V2O_NQ_5_8"/>
      <w:bookmarkStart w:id="1516" w:name="Tc_PJhOdrOLHE6VBvULSdmL8g_5_5"/>
      <w:bookmarkStart w:id="1517" w:name="Tc_UG6KIvZIbUGkNJzSoe-vtA_5_2"/>
      <w:bookmarkStart w:id="1518" w:name="Tc_Jlu2hv13i0OxmGLNUjNKJg_5_0"/>
      <w:bookmarkStart w:id="1519" w:name="Tc_TXLLoTRUUE-P1dq2yf1e1A_4_8"/>
      <w:bookmarkStart w:id="1520" w:name="Tc_ILGLrxhjLUuzUZBg6Z6ZTA_4_5"/>
      <w:bookmarkStart w:id="1521" w:name="Tc_05r8kgoIv0SJiltzpN6PXg_4_2"/>
      <w:bookmarkStart w:id="1522" w:name="Tc_S26FF8w3cEqo6e1RsUs4Qg_3_8"/>
      <w:bookmarkStart w:id="1523" w:name="Tc_OrYMOCl5fUmDP4coORB99Q_3_5"/>
      <w:bookmarkStart w:id="1524" w:name="Tc_XAUdruvoGUeZ6O5OWVCzYQ_3_2"/>
      <w:bookmarkStart w:id="1525" w:name="Tc_R-U6Eov1hEuA1ISFcOmUzQ_2_2"/>
      <w:bookmarkStart w:id="1526" w:name="Tc_YOw-bpLGT0W2ISbri4Ub2A_1_2"/>
      <w:bookmarkStart w:id="1527" w:name="_7c594b2d_e67a_405b_96cb_408344aabfbc"/>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Assets and liabilities of the Company measured at fair value on a recurring basis as of June 30, 2026 and December 31, 2025 are summarized as follows (in thousands):</w:t>
      </w:r>
    </w:p>
    <w:p>
      <w:pPr>
        <w:pStyle w:val="TextBody"/>
        <w:bidi w:val="0"/>
        <w:spacing w:before="0" w:after="0"/>
        <w:ind w:left="0" w:right="0" w:firstLine="720"/>
        <w:jc w:val="left"/>
        <w:rPr/>
      </w:pPr>
      <w:r>
        <w:rPr/>
        <w:t>​</w:t>
      </w:r>
    </w:p>
    <w:tbl>
      <w:tblPr>
        <w:tblW w:w="10027" w:type="dxa"/>
        <w:jc w:val="left"/>
        <w:tblInd w:w="0" w:type="dxa"/>
        <w:tblLayout w:type="fixed"/>
        <w:tblCellMar>
          <w:top w:w="0" w:type="dxa"/>
          <w:left w:w="0" w:type="dxa"/>
          <w:bottom w:w="0" w:type="dxa"/>
          <w:right w:w="0" w:type="dxa"/>
        </w:tblCellMar>
      </w:tblPr>
      <w:tblGrid>
        <w:gridCol w:w="5311"/>
        <w:gridCol w:w="109"/>
        <w:gridCol w:w="352"/>
        <w:gridCol w:w="954"/>
        <w:gridCol w:w="109"/>
        <w:gridCol w:w="251"/>
        <w:gridCol w:w="680"/>
        <w:gridCol w:w="109"/>
        <w:gridCol w:w="274"/>
        <w:gridCol w:w="822"/>
        <w:gridCol w:w="109"/>
        <w:gridCol w:w="211"/>
        <w:gridCol w:w="736"/>
      </w:tblGrid>
      <w:tr>
        <w:trPr/>
        <w:tc>
          <w:tcPr>
            <w:tcW w:w="5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372485" cy="175260"/>
                      <wp:effectExtent l="0" t="0" r="0" b="0"/>
                      <wp:wrapNone/>
                      <wp:docPr id="176" name="Frame176"/>
                      <a:graphic xmlns:a="http://schemas.openxmlformats.org/drawingml/2006/main">
                        <a:graphicData uri="http://schemas.microsoft.com/office/word/2010/wordprocessingShape">
                          <wps:wsp>
                            <wps:cNvSpPr txBox="1"/>
                            <wps:spPr>
                              <a:xfrm>
                                <a:off x="0" y="0"/>
                                <a:ext cx="3372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23520" cy="175260"/>
                      <wp:effectExtent l="0" t="0" r="0" b="0"/>
                      <wp:wrapNone/>
                      <wp:docPr id="178" name="Frame178"/>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05790" cy="175260"/>
                      <wp:effectExtent l="0" t="0" r="0" b="0"/>
                      <wp:wrapNone/>
                      <wp:docPr id="179" name="Frame179"/>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260"/>
                      <wp:effectExtent l="0" t="0" r="0" b="0"/>
                      <wp:wrapNone/>
                      <wp:docPr id="180"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59385" cy="175260"/>
                      <wp:effectExtent l="0" t="0" r="0" b="0"/>
                      <wp:wrapNone/>
                      <wp:docPr id="181" name="Frame181"/>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31800" cy="175260"/>
                      <wp:effectExtent l="0" t="0" r="0" b="0"/>
                      <wp:wrapNone/>
                      <wp:docPr id="182" name="Frame182"/>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83"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73990" cy="175260"/>
                      <wp:effectExtent l="0" t="0" r="0" b="0"/>
                      <wp:wrapNone/>
                      <wp:docPr id="184" name="Frame184"/>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21970" cy="175260"/>
                      <wp:effectExtent l="0" t="0" r="0" b="0"/>
                      <wp:wrapNone/>
                      <wp:docPr id="185" name="Frame185"/>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86"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67360" cy="175260"/>
                      <wp:effectExtent l="0" t="0" r="0" b="0"/>
                      <wp:wrapNone/>
                      <wp:docPr id="188" name="Frame18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0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5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0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r>
      <w:tr>
        <w:trPr/>
        <w:tc>
          <w:tcPr>
            <w:tcW w:w="5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5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5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Short term investments </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109" w:type="dxa"/>
            <w:tcBorders/>
            <w:shd w:fill="CCEEFF" w:val="clear"/>
            <w:vAlign w:val="center"/>
          </w:tcPr>
          <w:p>
            <w:pPr>
              <w:pStyle w:val="TableContents"/>
              <w:bidi w:val="0"/>
              <w:spacing w:before="0" w:after="0"/>
              <w:ind w:left="0" w:right="0" w:hanging="0"/>
              <w:jc w:val="righ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 plan investments</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2,488</w:t>
            </w:r>
          </w:p>
        </w:tc>
        <w:tc>
          <w:tcPr>
            <w:tcW w:w="109" w:type="dxa"/>
            <w:tcBorders/>
            <w:vAlign w:val="center"/>
          </w:tcPr>
          <w:p>
            <w:pPr>
              <w:pStyle w:val="TableContents"/>
              <w:bidi w:val="0"/>
              <w:spacing w:before="0" w:after="0"/>
              <w:ind w:left="0" w:right="0" w:hanging="0"/>
              <w:jc w:val="right"/>
              <w:rPr/>
            </w:pPr>
            <w:r>
              <w:rPr/>
              <w:t>​</w:t>
            </w:r>
          </w:p>
        </w:tc>
        <w:tc>
          <w:tcPr>
            <w:tcW w:w="25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2,488</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w:t>
            </w:r>
          </w:p>
        </w:tc>
        <w:tc>
          <w:tcPr>
            <w:tcW w:w="109" w:type="dxa"/>
            <w:tcBorders/>
            <w:shd w:fill="CCEEFF" w:val="clear"/>
            <w:vAlign w:val="center"/>
          </w:tcPr>
          <w:p>
            <w:pPr>
              <w:pStyle w:val="TableContents"/>
              <w:bidi w:val="0"/>
              <w:spacing w:before="0" w:after="0"/>
              <w:ind w:left="0" w:right="0" w:hanging="0"/>
              <w:jc w:val="righ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Alloy contingent consideration (2)</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(5,642)</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redeemable common units (3)</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on Alaska Communications redeemable common units</w:t>
            </w:r>
          </w:p>
        </w:tc>
        <w:tc>
          <w:tcPr>
            <w:tcW w:w="109"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 and liabilities measured at fair value</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2,884</w:t>
            </w:r>
          </w:p>
        </w:tc>
        <w:tc>
          <w:tcPr>
            <w:tcW w:w="109" w:type="dxa"/>
            <w:tcBorders/>
            <w:shd w:fill="CCEEFF" w:val="clear"/>
            <w:vAlign w:val="center"/>
          </w:tcPr>
          <w:p>
            <w:pPr>
              <w:pStyle w:val="TableContents"/>
              <w:bidi w:val="0"/>
              <w:spacing w:before="0" w:after="0"/>
              <w:ind w:left="0" w:right="0" w:hanging="0"/>
              <w:jc w:val="righ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w:t>
            </w:r>
          </w:p>
        </w:tc>
        <w:tc>
          <w:tcPr>
            <w:tcW w:w="109" w:type="dxa"/>
            <w:tcBorders/>
            <w:shd w:fill="CCEEFF" w:val="clear"/>
            <w:vAlign w:val="center"/>
          </w:tcPr>
          <w:p>
            <w:pPr>
              <w:pStyle w:val="TableContents"/>
              <w:bidi w:val="0"/>
              <w:spacing w:before="0" w:after="0"/>
              <w:ind w:left="0" w:right="0" w:hanging="0"/>
              <w:jc w:val="righ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(1,497)</w:t>
            </w:r>
          </w:p>
        </w:tc>
      </w:tr>
    </w:tbl>
    <w:p>
      <w:pPr>
        <w:pStyle w:val="TextBody"/>
        <w:bidi w:val="0"/>
        <w:spacing w:before="0" w:after="0"/>
        <w:ind w:left="0" w:right="0" w:firstLine="720"/>
        <w:jc w:val="left"/>
        <w:rPr/>
      </w:pPr>
      <w:r>
        <w:rPr/>
        <w:t>​</w:t>
      </w:r>
    </w:p>
    <w:tbl>
      <w:tblPr>
        <w:tblW w:w="10132" w:type="dxa"/>
        <w:jc w:val="left"/>
        <w:tblInd w:w="0" w:type="dxa"/>
        <w:tblLayout w:type="fixed"/>
        <w:tblCellMar>
          <w:top w:w="0" w:type="dxa"/>
          <w:left w:w="0" w:type="dxa"/>
          <w:bottom w:w="0" w:type="dxa"/>
          <w:right w:w="0" w:type="dxa"/>
        </w:tblCellMar>
      </w:tblPr>
      <w:tblGrid>
        <w:gridCol w:w="5311"/>
        <w:gridCol w:w="109"/>
        <w:gridCol w:w="352"/>
        <w:gridCol w:w="954"/>
        <w:gridCol w:w="109"/>
        <w:gridCol w:w="283"/>
        <w:gridCol w:w="648"/>
        <w:gridCol w:w="109"/>
        <w:gridCol w:w="244"/>
        <w:gridCol w:w="852"/>
        <w:gridCol w:w="109"/>
        <w:gridCol w:w="211"/>
        <w:gridCol w:w="841"/>
      </w:tblGrid>
      <w:tr>
        <w:trPr/>
        <w:tc>
          <w:tcPr>
            <w:tcW w:w="5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372485" cy="175260"/>
                      <wp:effectExtent l="0" t="0" r="0" b="0"/>
                      <wp:wrapNone/>
                      <wp:docPr id="189" name="Frame189"/>
                      <a:graphic xmlns:a="http://schemas.openxmlformats.org/drawingml/2006/main">
                        <a:graphicData uri="http://schemas.microsoft.com/office/word/2010/wordprocessingShape">
                          <wps:wsp>
                            <wps:cNvSpPr txBox="1"/>
                            <wps:spPr>
                              <a:xfrm>
                                <a:off x="0" y="0"/>
                                <a:ext cx="3372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90"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23520" cy="175260"/>
                      <wp:effectExtent l="0" t="0" r="0" b="0"/>
                      <wp:wrapNone/>
                      <wp:docPr id="191" name="Frame19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05790" cy="175260"/>
                      <wp:effectExtent l="0" t="0" r="0" b="0"/>
                      <wp:wrapNone/>
                      <wp:docPr id="192" name="Frame192"/>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215" cy="175260"/>
                      <wp:effectExtent l="0" t="0" r="0" b="0"/>
                      <wp:wrapNone/>
                      <wp:docPr id="193" name="Frame1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79705" cy="175260"/>
                      <wp:effectExtent l="0" t="0" r="0" b="0"/>
                      <wp:wrapNone/>
                      <wp:docPr id="194" name="Frame194"/>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11480" cy="175260"/>
                      <wp:effectExtent l="0" t="0" r="0" b="0"/>
                      <wp:wrapNone/>
                      <wp:docPr id="195" name="Frame195"/>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96" name="Frame1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54940" cy="175260"/>
                      <wp:effectExtent l="0" t="0" r="0" b="0"/>
                      <wp:wrapNone/>
                      <wp:docPr id="197" name="Frame197"/>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41020" cy="175260"/>
                      <wp:effectExtent l="0" t="0" r="0" b="0"/>
                      <wp:wrapNone/>
                      <wp:docPr id="198" name="Frame198"/>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9" name="Frame1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34035" cy="175260"/>
                      <wp:effectExtent l="0" t="0" r="0" b="0"/>
                      <wp:wrapNone/>
                      <wp:docPr id="201" name="Frame20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71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5311"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4712"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r>
      <w:tr>
        <w:trPr/>
        <w:tc>
          <w:tcPr>
            <w:tcW w:w="5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5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5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0"/>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term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 plan investments</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109"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Alloy redeemable common units (1)</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Alloy contingent consideration (2)</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(9,545)</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redeemable common units (3)</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on Alaska Communications redeemable common units</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 and liabilities measured at fair value</w:t>
            </w:r>
          </w:p>
        </w:tc>
        <w:tc>
          <w:tcPr>
            <w:tcW w:w="109" w:type="dxa"/>
            <w:tcBorders/>
            <w:vAlign w:val="center"/>
          </w:tcPr>
          <w:p>
            <w:pPr>
              <w:pStyle w:val="TableContents"/>
              <w:bidi w:val="0"/>
              <w:spacing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109"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(24,545)</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(22,438)</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89"/>
        <w:gridCol w:w="9792"/>
      </w:tblGrid>
      <w:tr>
        <w:trPr/>
        <w:tc>
          <w:tcPr>
            <w:tcW w:w="124" w:type="dxa"/>
            <w:tcBorders/>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redeemable common units in Alloy, Inc. (“Alloy”), the parent company of the Company’s operations in the southwest US. These units are carried at the higher or historical cost or fair value. At June 30, 2026, the historical cost of the units exceeded fair value and accordingly are not included in the above fair value table as of June 30, 2026.</w:t>
            </w:r>
          </w:p>
        </w:tc>
      </w:tr>
    </w:tbl>
    <w:tbl>
      <w:tblPr>
        <w:tblW w:w="10205" w:type="dxa"/>
        <w:jc w:val="left"/>
        <w:tblInd w:w="0" w:type="dxa"/>
        <w:tblLayout w:type="fixed"/>
        <w:tblCellMar>
          <w:top w:w="28" w:type="dxa"/>
          <w:left w:w="28" w:type="dxa"/>
          <w:bottom w:w="28" w:type="dxa"/>
          <w:right w:w="28" w:type="dxa"/>
        </w:tblCellMar>
      </w:tblPr>
      <w:tblGrid>
        <w:gridCol w:w="124"/>
        <w:gridCol w:w="329"/>
        <w:gridCol w:w="9752"/>
      </w:tblGrid>
      <w:tr>
        <w:trPr/>
        <w:tc>
          <w:tcPr>
            <w:tcW w:w="124" w:type="dxa"/>
            <w:tcBorders/>
            <w:vAlign w:val="center"/>
          </w:tcPr>
          <w:p>
            <w:pPr>
              <w:pStyle w:val="TableContents"/>
              <w:bidi w:val="0"/>
              <w:spacing w:before="0" w:after="283"/>
              <w:jc w:val="left"/>
              <w:rPr>
                <w:sz w:val="4"/>
                <w:szCs w:val="4"/>
              </w:rPr>
            </w:pPr>
            <w:r>
              <w:rPr>
                <w:sz w:val="4"/>
                <w:szCs w:val="4"/>
              </w:rPr>
            </w:r>
          </w:p>
        </w:tc>
        <w:tc>
          <w:tcPr>
            <w:tcW w:w="32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5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consideration related to the 2022 acquisition of Sacred Wind. Amounts are payable in 2026, 2027 and 2028.</w:t>
            </w:r>
          </w:p>
        </w:tc>
      </w:tr>
    </w:tbl>
    <w:tbl>
      <w:tblPr>
        <w:tblW w:w="5961" w:type="dxa"/>
        <w:jc w:val="left"/>
        <w:tblInd w:w="0" w:type="dxa"/>
        <w:tblLayout w:type="fixed"/>
        <w:tblCellMar>
          <w:top w:w="28" w:type="dxa"/>
          <w:left w:w="28" w:type="dxa"/>
          <w:bottom w:w="28" w:type="dxa"/>
          <w:right w:w="28" w:type="dxa"/>
        </w:tblCellMar>
      </w:tblPr>
      <w:tblGrid>
        <w:gridCol w:w="124"/>
        <w:gridCol w:w="331"/>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redeemable common units in Alaska Communications.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bookmarkStart w:id="1528" w:name="Tc_I2z-oiIxF0i4Ajqear_WWQ_6_0"/>
      <w:bookmarkStart w:id="1529" w:name="Tc_zKnE_tKQ1kWhjZX_zifmug_4_5"/>
      <w:bookmarkStart w:id="1530" w:name="Tc_-oUxdDDVwk2lK4BmzOjECQ_4_2"/>
      <w:bookmarkStart w:id="1531" w:name="Tc_4PumpPCIok-AkXwh6BbzQg_4_0"/>
      <w:bookmarkStart w:id="1532" w:name="Tc_12M2vdjDcku5kjfB6CB-Ww_3_0"/>
      <w:bookmarkStart w:id="1533" w:name="Tc_95bq5pFipUyEaAPBVr6aZw_2_5"/>
      <w:bookmarkStart w:id="1534" w:name="Tc_U_1nZeckTEyEo0KmFdxhUA_2_2"/>
      <w:bookmarkStart w:id="1535" w:name="Tc_4G3bG8KG0EO4meCx_8RHZg_2_0"/>
      <w:bookmarkStart w:id="1536" w:name="Tc_By2GmbbxZUie_Dq79ManAQ_1_5"/>
      <w:bookmarkStart w:id="1537" w:name="Tc_cLqkKT8q_kSzAU9B30n6MQ_1_2"/>
      <w:bookmarkEnd w:id="1528"/>
      <w:bookmarkEnd w:id="1529"/>
      <w:bookmarkEnd w:id="1530"/>
      <w:bookmarkEnd w:id="1531"/>
      <w:bookmarkEnd w:id="1532"/>
      <w:bookmarkEnd w:id="1533"/>
      <w:bookmarkEnd w:id="1534"/>
      <w:bookmarkEnd w:id="1535"/>
      <w:bookmarkEnd w:id="1536"/>
      <w:bookmarkEnd w:id="1537"/>
      <w:r>
        <w:rPr>
          <w:rFonts w:ascii="Times New Roman;Times;serif" w:hAnsi="Times New Roman;Times;serif"/>
          <w:i/>
          <w:sz w:val="20"/>
        </w:rPr>
        <w:t xml:space="preserve">Other Investments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holds investments in equity securities consisting of noncontrolling investments in privately held companies. As of June 30, 2026, these investments were all accounted for under the measurement alternative for investments without a readily determinable value. A roll forward of the investments is set forth below (in thousands):</w:t>
      </w:r>
    </w:p>
    <w:p>
      <w:pPr>
        <w:pStyle w:val="TextBody"/>
        <w:bidi w:val="0"/>
        <w:spacing w:before="0" w:after="0"/>
        <w:ind w:left="0" w:right="0" w:firstLine="720"/>
        <w:jc w:val="left"/>
        <w:rPr/>
      </w:pPr>
      <w:r>
        <w:rPr/>
        <w:t>​</w:t>
      </w:r>
    </w:p>
    <w:tbl>
      <w:tblPr>
        <w:tblW w:w="9176" w:type="dxa"/>
        <w:jc w:val="left"/>
        <w:tblInd w:w="0" w:type="dxa"/>
        <w:tblLayout w:type="fixed"/>
        <w:tblCellMar>
          <w:top w:w="0" w:type="dxa"/>
          <w:left w:w="0" w:type="dxa"/>
          <w:bottom w:w="0" w:type="dxa"/>
          <w:right w:w="0" w:type="dxa"/>
        </w:tblCellMar>
      </w:tblPr>
      <w:tblGrid>
        <w:gridCol w:w="3976"/>
        <w:gridCol w:w="109"/>
        <w:gridCol w:w="949"/>
        <w:gridCol w:w="3041"/>
        <w:gridCol w:w="109"/>
        <w:gridCol w:w="211"/>
        <w:gridCol w:w="781"/>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524760" cy="175895"/>
                      <wp:effectExtent l="0" t="0" r="0" b="0"/>
                      <wp:wrapNone/>
                      <wp:docPr id="202" name="Frame202"/>
                      <a:graphic xmlns:a="http://schemas.openxmlformats.org/drawingml/2006/main">
                        <a:graphicData uri="http://schemas.microsoft.com/office/word/2010/wordprocessingShape">
                          <wps:wsp>
                            <wps:cNvSpPr txBox="1"/>
                            <wps:spPr>
                              <a:xfrm>
                                <a:off x="0" y="0"/>
                                <a:ext cx="25247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895"/>
                      <wp:effectExtent l="0" t="0" r="0" b="0"/>
                      <wp:wrapNone/>
                      <wp:docPr id="203" name="Frame203"/>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02615" cy="175895"/>
                      <wp:effectExtent l="0" t="0" r="0" b="0"/>
                      <wp:wrapNone/>
                      <wp:docPr id="204" name="Frame204"/>
                      <a:graphic xmlns:a="http://schemas.openxmlformats.org/drawingml/2006/main">
                        <a:graphicData uri="http://schemas.microsoft.com/office/word/2010/wordprocessingShape">
                          <wps:wsp>
                            <wps:cNvSpPr txBox="1"/>
                            <wps:spPr>
                              <a:xfrm>
                                <a:off x="0" y="0"/>
                                <a:ext cx="6026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931035" cy="175895"/>
                      <wp:effectExtent l="0" t="0" r="0" b="0"/>
                      <wp:wrapNone/>
                      <wp:docPr id="205" name="Frame205"/>
                      <a:graphic xmlns:a="http://schemas.openxmlformats.org/drawingml/2006/main">
                        <a:graphicData uri="http://schemas.microsoft.com/office/word/2010/wordprocessingShape">
                          <wps:wsp>
                            <wps:cNvSpPr txBox="1"/>
                            <wps:spPr>
                              <a:xfrm>
                                <a:off x="0" y="0"/>
                                <a:ext cx="1931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895"/>
                      <wp:effectExtent l="0" t="0" r="0" b="0"/>
                      <wp:wrapNone/>
                      <wp:docPr id="206" name="Frame206"/>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895"/>
                      <wp:effectExtent l="0" t="0" r="0" b="0"/>
                      <wp:wrapNone/>
                      <wp:docPr id="207" name="Frame207"/>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95935" cy="175895"/>
                      <wp:effectExtent l="0" t="0" r="0" b="0"/>
                      <wp:wrapNone/>
                      <wp:docPr id="208" name="Frame208"/>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399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Investments without a readily determinable fair value</w:t>
            </w:r>
          </w:p>
        </w:tc>
        <w:tc>
          <w:tcPr>
            <w:tcW w:w="109" w:type="dxa"/>
            <w:tcBorders/>
            <w:vAlign w:val="center"/>
          </w:tcPr>
          <w:p>
            <w:pPr>
              <w:pStyle w:val="TableContents"/>
              <w:bidi w:val="0"/>
              <w:spacing w:before="1"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9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December 31, 2025</w:t>
            </w:r>
          </w:p>
        </w:tc>
        <w:tc>
          <w:tcPr>
            <w:tcW w:w="109" w:type="dxa"/>
            <w:tcBorders/>
            <w:shd w:fill="CCEEFF" w:val="clear"/>
            <w:vAlign w:val="center"/>
          </w:tcPr>
          <w:p>
            <w:pPr>
              <w:pStyle w:val="TableContents"/>
              <w:bidi w:val="0"/>
              <w:spacing w:before="1" w:after="1"/>
              <w:ind w:left="0" w:right="0" w:hanging="0"/>
              <w:jc w:val="left"/>
              <w:rPr/>
            </w:pPr>
            <w:r>
              <w:rPr/>
              <w:t>​</w:t>
            </w:r>
          </w:p>
        </w:tc>
        <w:tc>
          <w:tcPr>
            <w:tcW w:w="949"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4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36,646</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36,646</w:t>
            </w:r>
          </w:p>
        </w:tc>
      </w:tr>
      <w:tr>
        <w:trPr/>
        <w:tc>
          <w:tcPr>
            <w:tcW w:w="39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Impairments</w:t>
            </w:r>
          </w:p>
        </w:tc>
        <w:tc>
          <w:tcPr>
            <w:tcW w:w="109" w:type="dxa"/>
            <w:tcBorders/>
            <w:vAlign w:val="center"/>
          </w:tcPr>
          <w:p>
            <w:pPr>
              <w:pStyle w:val="TableContents"/>
              <w:bidi w:val="0"/>
              <w:spacing w:before="1" w:after="1"/>
              <w:ind w:left="0" w:right="0" w:hanging="0"/>
              <w:jc w:val="left"/>
              <w:rPr/>
            </w:pPr>
            <w:r>
              <w:rPr/>
              <w:t>​</w:t>
            </w:r>
          </w:p>
        </w:tc>
        <w:tc>
          <w:tcPr>
            <w:tcW w:w="949"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304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(2,600)</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(2,600)</w:t>
            </w:r>
          </w:p>
        </w:tc>
      </w:tr>
      <w:tr>
        <w:trPr/>
        <w:tc>
          <w:tcPr>
            <w:tcW w:w="39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June 30, 2026</w:t>
            </w:r>
          </w:p>
        </w:tc>
        <w:tc>
          <w:tcPr>
            <w:tcW w:w="109" w:type="dxa"/>
            <w:tcBorders/>
            <w:shd w:fill="CCEEFF" w:val="clear"/>
            <w:vAlign w:val="center"/>
          </w:tcPr>
          <w:p>
            <w:pPr>
              <w:pStyle w:val="TableContents"/>
              <w:bidi w:val="0"/>
              <w:spacing w:before="1" w:after="1"/>
              <w:ind w:left="0" w:right="0" w:hanging="0"/>
              <w:jc w:val="left"/>
              <w:rPr/>
            </w:pPr>
            <w:r>
              <w:rPr/>
              <w:t>​</w:t>
            </w:r>
          </w:p>
        </w:tc>
        <w:tc>
          <w:tcPr>
            <w:tcW w:w="949"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4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34,046</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34,046</w:t>
            </w:r>
          </w:p>
        </w:tc>
      </w:tr>
      <w:tr>
        <w:trPr/>
        <w:tc>
          <w:tcPr>
            <w:tcW w:w="397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949"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304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r>
      <w:tr>
        <w:trPr/>
        <w:tc>
          <w:tcPr>
            <w:tcW w:w="39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December 31, 2024 and June 30, 2025</w:t>
            </w:r>
          </w:p>
        </w:tc>
        <w:tc>
          <w:tcPr>
            <w:tcW w:w="109" w:type="dxa"/>
            <w:tcBorders/>
            <w:shd w:fill="CCEEFF" w:val="clear"/>
            <w:vAlign w:val="center"/>
          </w:tcPr>
          <w:p>
            <w:pPr>
              <w:pStyle w:val="TableContents"/>
              <w:bidi w:val="0"/>
              <w:spacing w:before="1" w:after="1"/>
              <w:ind w:left="0" w:right="0" w:hanging="0"/>
              <w:jc w:val="left"/>
              <w:rPr/>
            </w:pPr>
            <w:r>
              <w:rPr/>
              <w:t>​</w:t>
            </w:r>
          </w:p>
        </w:tc>
        <w:tc>
          <w:tcPr>
            <w:tcW w:w="949"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4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41,956</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41,956</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balance at June 30, 2026 includes $8.6 million recorded as held for sale representing the Company’s India solar investment. The remaining $25.4 million of investments are included with other assets on the consolidated balance sheets.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Redeemable Common Units and Warrants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issued redeemable common units, and warrants to purchase additional common units, in a subsidiary of the Company in conjunction with its acquisition of Alaska Communications. The Company also issued redeemable common units in the parent company of the Company’s operations in the southwest US, Alloy, in connection with its acquisition of Sacred Wind in 2022. The common units are carried at the higher of historical cost or fair value and the warrants to purchase common units are recorded at fair value in the Company’s financial statements. The instruments are redeemable at the option of the holder, beginning in November 2026 with respect to Alloy and with respect to Alaska Communications, at the earlier of its qualifying initial public offering or July 2028.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fair value of the Alaska Communications common units and the warrants to purchase the Alaska Communications common units was zero at both June 30, 2026 and December 31, 2025. The Alloy common units were carried at a historical cost of $22.3 million at June 30, 2026 and fair value of $15.0 million at December 31, 2025, which exceeded its historical cost of $10.1 million at December 31, 2025. The Company calculates the fair value of the instruments using a combination of market and discounted cash flows approaches with Level 3 inputs.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Other Fair Value Disclosures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carrying amounts of cash and cash equivalents, accounts receivable, and accounts payable and accrued expenses approximate their fair values because of the relatively short-term maturities of these financial instruments.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fair value of long-term debt is estimated using Level 2 inputs. At June 30, 2026, the fair value of long-term debt, including the current portion, was $520.3 million and its book value was $513.3 million. At December 31, 2025, the fair value of long-term debt, including the current portion, was $572.3 million and its book value was $565.2 million.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fair value of the customer receivable credit facility is estimated using Level 2 inputs. At June 30, 2026, the fair value of the customer receivable credit facility, including the current portion, was $34.8. million and its book value was $35.2 million. At December 31, 2025, the fair value of the customer receivable credit facility, including the current portion, was $39.2 million and its book value was $39.6 million.</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8. LONG-TERM DEBT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2023 CoBank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July 13, 2023, the Company, along with certain of its subsidiaries as guarantors, entered into a Credit Agreement (as may be amended from time to time, the “2023 CoBank Credit Agreement”) with CoBank, ACB (“CoBank”) and a syndicate of other lenders (the “2023 CoBank Credit Facility”). On July 10, 2024, the Company amended the 2023 CoBank Credit Agreement to add certain subsidiaries as guarantors and to provide further flexibility in order to accept certain grant and government program obligations.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2023 CoBank Credit Facility provides for a five-year $170 million revolving credit facility (the “2023 CoBank Revolving Loan”) and a six-year $130 million term loan facility (the “2023 CoBank Term Loan”). The Company may use (i) up to $25 million under the 2023 CoBank Revolving Loan for letters of credit, and (ii) up to $20 million under a swingline sub-facility.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2023 CoBank Term Loan has scheduled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pStyle w:val="TextBody"/>
        <w:bidi w:val="0"/>
        <w:spacing w:before="100" w:after="100"/>
        <w:ind w:left="0" w:right="0" w:firstLine="720"/>
        <w:jc w:val="left"/>
        <w:rPr/>
      </w:pPr>
      <w:r>
        <w:rPr/>
        <w:t>​</w:t>
      </w:r>
    </w:p>
    <w:tbl>
      <w:tblPr>
        <w:tblW w:w="8807" w:type="dxa"/>
        <w:jc w:val="left"/>
        <w:tblInd w:w="0" w:type="dxa"/>
        <w:tblLayout w:type="fixed"/>
        <w:tblCellMar>
          <w:top w:w="0" w:type="dxa"/>
          <w:left w:w="0" w:type="dxa"/>
          <w:bottom w:w="0" w:type="dxa"/>
          <w:right w:w="0" w:type="dxa"/>
        </w:tblCellMar>
      </w:tblPr>
      <w:tblGrid>
        <w:gridCol w:w="4501"/>
        <w:gridCol w:w="4306"/>
      </w:tblGrid>
      <w:tr>
        <w:trPr/>
        <w:tc>
          <w:tcPr>
            <w:tcW w:w="4501"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pPr>
            <w:r>
              <w:rPr/>
              <w:t>​</w:t>
            </w:r>
          </w:p>
        </w:tc>
      </w:tr>
      <w:tr>
        <w:trPr/>
        <w:tc>
          <w:tcPr>
            <w:tcW w:w="4501"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 CoBank Term Loan Quarterly Payment Dates</w:t>
            </w:r>
          </w:p>
        </w:tc>
        <w:tc>
          <w:tcPr>
            <w:tcW w:w="4306"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 CoBank Term Loan Quarterly Repayments</w:t>
            </w:r>
          </w:p>
        </w:tc>
      </w:tr>
      <w:tr>
        <w:trPr/>
        <w:tc>
          <w:tcPr>
            <w:tcW w:w="450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2023 – June 30, 2025</w:t>
            </w:r>
          </w:p>
        </w:tc>
        <w:tc>
          <w:tcPr>
            <w:tcW w:w="430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$812,500 (2.5% per annum)</w:t>
            </w:r>
          </w:p>
        </w:tc>
      </w:tr>
      <w:tr>
        <w:trPr/>
        <w:tc>
          <w:tcPr>
            <w:tcW w:w="450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2025 – June 30, 2026 </w:t>
            </w:r>
          </w:p>
        </w:tc>
        <w:tc>
          <w:tcPr>
            <w:tcW w:w="430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$1,625,000 (5% per annum)</w:t>
            </w:r>
          </w:p>
        </w:tc>
      </w:tr>
      <w:tr>
        <w:trPr/>
        <w:tc>
          <w:tcPr>
            <w:tcW w:w="450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2026 – June 30, 2029  </w:t>
            </w:r>
          </w:p>
        </w:tc>
        <w:tc>
          <w:tcPr>
            <w:tcW w:w="430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$2,437,500 (7.5% per annum)</w:t>
            </w:r>
          </w:p>
        </w:tc>
      </w:tr>
    </w:tbl>
    <w:p>
      <w:pPr>
        <w:pStyle w:val="TextBody"/>
        <w:shd w:fill="FFFFFF" w:val="clear"/>
        <w:bidi w:val="0"/>
        <w:spacing w:before="0" w:after="0"/>
        <w:ind w:left="0" w:right="0" w:firstLine="720"/>
        <w:jc w:val="left"/>
        <w:rPr/>
      </w:pPr>
      <w:r>
        <w:rPr/>
        <w: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Amounts borrowed under the 2023 CoBank Credit Facility bear interest at a rate equal to, at the Company’s option, either (i) the secured overnight financing rate (“SOFR”) as administered by the Federal Reserve Bank of New York plus an applicable margin ranging between 2.00% to 3.75% for the 2023 CoBank Term Loan and 1.75% to 3.50% for the 2023 CoBank Revolving Loan or (ii) a base rate plus an applicable margin ranging from 1.00% to 2.75% for the 2023 CoBank Term Loan and 0.75% to 2.50% for the 2023 CoBank Revolving Loan.  Swingline loans bear interest at the base rate plus the applicable margin for base rate loans. The applicable margin is determined based on the Total Net Leverage Ratio (as defined in the 2023 CoBank Credit Agreement). The Company will also pay a fee ranging from 0.25% to 0.50% on the average daily unused portion of the 2023 CoBank Credit Facility over each calendar quarter.</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2023 CoBank Credit Agreement contains a financial covenant (as further defined in the 2023 CoBank Credit Agreement) that imposes a maximum Total Net Leverage Ratio of 3.25 to 1.0, measured quarterly,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capitalized $4.5 million of fees associated with the 2023 CoBank Credit Facility, which are being amortized over the life of the debt and $2.1 million were unamortized as of June 30, 2026.</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Tower Portfolio Transaction, on February 11, 2026, the Company entered into a Consent Agreement (the “Consent”) with CoBank, as Administrative Agent, and the Lenders and Voting Participants (constituting Required Lenders (as defined in the 2023 CoBank Credit Agreement)) party thereto, in connection with the 2023 CoBank Credit Agreement. Pursuant to the terms of the Consent, CoBank and the other Lenders and Voting Participants (constituting Required Lenders) party thereto consented to: (i) the consummation of the Tower Portfolio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(ii) the distributions of the Net Cash Proceeds (as defined in the 2023 CoBank Credit Agreement) from the Tower Portfolio Transaction to the Company and the minority shareholders of the Commnet Parties; (iii) the Net Cash Proceeds received from the Tower Portfolio Transaction being applied to the repayment of the outstanding 2023 CoBank Revolving Loan rather than the 2023 CoBank Term Loan; and (iv) to the extent that there are Net Cash Proceeds remaining after repaying the outstanding 2023 CoBank Revolving Loan, such Net Cash Proceeds being used by the Company and its subsidiaries for working capital and general corporate purposes. The Consent further provides for the release of the Liens (as defined in the 2023 CoBank Credit Agreement) on the assets being sold in connection with the Tower Portfolio Transaction.</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2026, the Company had $117.8 million outstanding under the 2023 CoBank Term Loan and no outstanding borrowings under the 2023 CoBank Revolving Loan, as a result of the repayment of the outstanding 2023 CoBank Revolving Loan balance from Net Cash Proceeds from the Tower Portfolio Transaction. As of that date, the Company had $170.0 million of remaining availability under the 2023 CoBank Revolving Loan. The Company was in compliance with all financial covenants as of June 30, 2026.</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October 2023, the Company entered into a two-year, forward starting one-month floating to fixed SOFR interest rate swap agreement. The swap was effective November 13, 2023 in a non-amortizing notional amount of $50.0 million, had a fixed SOFR rate of 4.896% and matured on November 13, 2025.</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Letter of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November 14, 2022, the Company entered into a General Agreement of Indemnity to issue performance Standby Letters of Credit on behalf of the Company and its subsidiaries. As of June 30, 2026, $39.0 million of Standby Letters of Credit had been issued under this agreement.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2024 Alaska Credit Facility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August 29, 2024, Alaska Communications entered into a Credit Agreement (the “2024 Alaska Credit Agreement”) with Bank of America, N.A., as administrative agent, and a syndicate of lenders (the “2024 Alaska Credit Facility”), to provide debt financing in the form of a $300 million, five-year secured term loan facility (the “2024 Alaska Term Facility”) and a $90 million revolving facility (the “2024 Alaska Revolving Facility”). The maturity date for the 2024 Alaska Credit Facility is August 29, 2029.</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2024 Alaska Term Facility proceeds were used (a) to refinance Alaska Communications’ outstanding indebtedness under the 2022 Alaska Credit Facility (as defined below) in the amount of approximately $279 million plus accrued and unpaid interest, (b) to pay fees and expenses associated with the completion of this transaction, and (c) for general corporate purposes. As of June 30, 2026, $300.0 million was outstanding under the 2024 Alaska Term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Proceeds from the 2024 Alaska Revolving Facility are used, subject to certain limitations, (a) to issue letters of credit to replace or backstop existing letters of credit of Alaska Communications and its direct and indirect subsidiaries, and (b) for working capital purposes, capital expenditures and other general corporate purposes. As of June 30, 2026, $20.0 million was outstanding under the 2024 Alaska Revolving Facility and $0.6 million of letters of credit were issued. As a result, $69.4 million was available under the 2024 Alaska Revolving Facility as of June 30, 2026.</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2024 Alaska Credit Facility also provides for incremental term loans (“Incremental Term Loans”) up to an aggregate principal amount of the greater of $91 million and Alaska Communications’ trailing consolidated twelve-month EBITDA (as defined in the 2024 Alaska Credit Agreement), subject to Alaska Communications meeting certain conditions.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2024 Alaska Credit Facility, the Company incurred $6.9 million of fees and rolled over $2.1 million of fees for the 2022 Alaska Credit Facility to be amortized over the life of the debt. As of June 30, 2026,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had $5.7 million of unamortized fees, which are being amortized over the life of the debt, associated with the 2024 Alaska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Amounts outstanding under the 2024 Alaska Credit Facility bear an interest rate equal to, at the Company’s option, either (i) SOFR plus an applicable margin ranging between 3.00% to 4.50% or (ii) a base rate plus an applicable margin ranging from 2.00% to 3.50%. Swingline loans bear interest at the base rate plus the applicable margin for base rate loans. The Company also pays a fee ranging from 0.25% to 0.40% on the average daily unused portion of the 2024 Alaska Credit Facility over each calendar quarter.</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Principal payments on the 2024 Alaska Term Facility are due quarterly commencing in the fourth quarter of 2026 in quarterly amounts as follows: from the fourth quarter of 2026 through the third quarter of 2027, $1,875,000; and from the fourth quarter of 2027 through the second quarter of 2029, $3,750,000. The remaining unpaid balance is due on the final maturity date. Alaska Communications may prepay all revolving loans under the 2024 Alaska Revolving Facility at any time without premium or penalty, subject to certain notice requirements and balance restrictions.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Alaska Communications is required to maintain financial ratios, including (a) a maximum Consolidated Net Total Leverage Ratio (as defined in the 2024 Alaska Credit Agreement) of 4.75:1.00, stepping down to 4.50:1.00 beginning with the third quarter of 2027, and stepping down to 4.25:1.00 beginning with the third quarter of 2028; and (b) a minimum Consolidated Fixed Charge Coverage Ratio of not less than 1.25:1.00. The 2024 Alaska Credit Agreement contains customary covenants restricting the incurrence or assumption of debt, granting or assuming liens, declaring dividends and making other restricted payments, making investments, dispositions, engaging in transactions with affiliates, changes to the nature of business, modifying organizational documents and material agreements, entering into sale and leaseback transactions, amending or making prepayments on certain subordinated debt, and entering into mergers and acquisitions. The 2024 Alaska Credit Agreement contains usual and customary affirmative and negative covenants of the parties for credit facilities of this type or as otherwise deemed appropriate by the administrative agent, subject to customary exceptions and materiality standards. As of June 30, 2026, Alaska Communications was in compliance with all financial covenants.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2024 Alaska Credit Facility is secured by substantially all of the personal property and certain material real property owned by Alaska Communications Systems Holdings, the parent company of Alaska Communications (“Holdings”), Alaska Communications, and its wholly owned subsidiaries, excluding, among other things, certain federal and state licenses where a pledge is prohibited by applicable law or is permitted only with the consent of a governmental authority that has not been obtained.</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is not a guarantor under the 2024 Alaska Credit Agreement, and the lenders have no recourse against the Company in the event of an occurrence of an Event of Default (as defined in the 2024 Alaska Credit Agreement).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Alaska Interest Rate Swap Agreements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November 2023, Alaska Communications entered into two forward starting one-month floating to fixed SOFR interest rate swap agreements. The total non-amortizing notional amount of the agreements is $200 million, with fixed SOFR rates of 4.8695% and 4.8980%. These swap agreements matured on June 30, 2025.</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On September 26, 2025, Alaska Communications entered into four forward starting one-month floating to fixed SOFR interest rate swap agreements. The total non-amortizing notional amount of the four agreements was $200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million, with fixed SOFR rates ranging from 3.43% to 3.45% and have a maturity date of September 30, 2027. The swap agreements had a fair value of $1.3 million and $(0.5) million as of June 30, 2026 and December 31, 2025, respectively.</w:t>
      </w:r>
    </w:p>
    <w:p>
      <w:pPr>
        <w:pStyle w:val="TextBody"/>
        <w:pBdr/>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FirstNet Receivables Credit Facility</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March 26, 2020, Commnet Finance, a wholly owned subsidiary of Commnet Wireless, entered into a receivables credit facility with Commnet Wireless and CoBank (the “Receivables Credit Facility”).</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Receivables Credit Facility provided for a senior secured delayed draw term loan in an aggregate principal amount of up to $75.0 million with the proceeds used to acquire certain receivables from Commnet Wireless. The receivables financed and sold under the secured Receivables Credit Facility relate to the obligations of AT&amp;T under the FirstNet Agreement.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December 27, 2024, CoBank amended the Receivables Credit Facility and extended the delayed draw period to December 31, 2025. There were no further extensions of the draw period.</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Interest on the loans accrue at a fixed annual interest rate ranging from 3.21% to 7.13%.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Receivables Credit Facility contains customary events of termination, representations and warranties, affirmative and negative covenants and events of default customary for facilities of this type.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Commnet Wireless had $35.4 million outstanding, of which $9.0 million was classified as being current and $26.4 million as long-term on the Company’s balance sheet under the Receivables Credit Facility. Commnet Wireless capitalized $0.8 million in fees associated with the Receivables Credit Facility, which are being amortized over the life of the debt and $0.2 million were unamortized as of June 30, 2026.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IDB Credit Facilities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May 8, 2025, OneGY entered into a Credit Agreement (the “2025 IDB Credit Agreement”) with Inter-American Investment Corporation (“IDB Invest”) to provide (the “2025 IDB Credit Facilities”) a Revolving Credit Commitment of $10.0 million (the “2025 IDB Revolving Facility”) and Term Loan Commitment of up to $30.0 million (the “2025 IDB Term Loan”). The debt is secured by certain assets of OneGY and is not guaranteed by the Company.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Beginning in the second quarter of 2027, amounts drawn on the 2025 IDB Term Loan must be repaid in quarterly principal payments in the amounts set forth below, with the outstanding principal balance maturing on the tenth anniversary of the effective date. The 2025 IDB Revolving Loan may be repaid at any time on, or prior to, its maturity of 360 days after the first disbursement date.</w:t>
      </w:r>
    </w:p>
    <w:p>
      <w:pPr>
        <w:pStyle w:val="TextBody"/>
        <w:bidi w:val="0"/>
        <w:spacing w:before="280" w:after="0"/>
        <w:ind w:left="0" w:right="0" w:firstLine="720"/>
        <w:jc w:val="left"/>
        <w:rPr/>
      </w:pPr>
      <w:r>
        <w:rPr/>
        <w:t>​</w:t>
      </w:r>
    </w:p>
    <w:tbl>
      <w:tblPr>
        <w:tblW w:w="8117" w:type="dxa"/>
        <w:jc w:val="left"/>
        <w:tblInd w:w="0" w:type="dxa"/>
        <w:tblLayout w:type="fixed"/>
        <w:tblCellMar>
          <w:top w:w="0" w:type="dxa"/>
          <w:left w:w="0" w:type="dxa"/>
          <w:bottom w:w="0" w:type="dxa"/>
          <w:right w:w="0" w:type="dxa"/>
        </w:tblCellMar>
      </w:tblPr>
      <w:tblGrid>
        <w:gridCol w:w="4156"/>
        <w:gridCol w:w="3961"/>
      </w:tblGrid>
      <w:tr>
        <w:trPr/>
        <w:tc>
          <w:tcPr>
            <w:tcW w:w="415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4156"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 IDB Term Loan Quarterly Payment Dates</w:t>
            </w:r>
          </w:p>
        </w:tc>
        <w:tc>
          <w:tcPr>
            <w:tcW w:w="3961"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 IDB Term Loan Quarterly Repayments</w:t>
            </w:r>
          </w:p>
        </w:tc>
      </w:tr>
      <w:tr>
        <w:trPr/>
        <w:tc>
          <w:tcPr>
            <w:tcW w:w="415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22, 2027 – December 22, 2030</w:t>
            </w:r>
          </w:p>
        </w:tc>
        <w:tc>
          <w:tcPr>
            <w:tcW w:w="396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 bi-annually</w:t>
            </w:r>
          </w:p>
        </w:tc>
      </w:tr>
      <w:tr>
        <w:trPr/>
        <w:tc>
          <w:tcPr>
            <w:tcW w:w="415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22, 2031 – December 22, 2034 </w:t>
            </w:r>
          </w:p>
        </w:tc>
        <w:tc>
          <w:tcPr>
            <w:tcW w:w="396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 bi-annually</w:t>
            </w:r>
          </w:p>
        </w:tc>
      </w:tr>
    </w:tbl>
    <w:p>
      <w:pPr>
        <w:pStyle w:val="TextBody"/>
        <w:bidi w:val="0"/>
        <w:spacing w:before="0" w:after="0"/>
        <w:ind w:left="0" w:right="0" w:firstLine="720"/>
        <w:jc w:val="left"/>
        <w:rPr/>
      </w:pPr>
      <w:r>
        <w:rPr/>
        <w:t>​</w:t>
      </w:r>
    </w:p>
    <w:p>
      <w:pPr>
        <w:pStyle w:val="TextBody"/>
        <w:bidi w:val="0"/>
        <w:spacing w:before="120" w:after="0"/>
        <w:ind w:left="0" w:right="0" w:firstLine="720"/>
        <w:jc w:val="left"/>
        <w:rPr>
          <w:rFonts w:ascii="Times New Roman;Times;serif" w:hAnsi="Times New Roman;Times;serif"/>
          <w:sz w:val="20"/>
        </w:rPr>
      </w:pPr>
      <w:r>
        <w:rPr>
          <w:rFonts w:ascii="Times New Roman;Times;serif" w:hAnsi="Times New Roman;Times;serif"/>
          <w:sz w:val="20"/>
        </w:rPr>
        <w:t xml:space="preserve">Amounts borrowed under the 2025 IDB Credit Facilities bear interest at a rate equal to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an applicable margin of 2.4% for the 2025 IDB Revolving Facility and 3.0% for the 2025 IDB Term Loan. In the case of the 2025 IDB Term Loan, there is a prepayment fee equal to 1.0% until the first anniversary from the effective date, 0.5% until the second anniversary from the effective date, and 0.0% thereafter.</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2025 IDB Credit Agreement contains financial covenants that impose on OneGY: 1) a maximum Net Financial Debt to EBITDA Ratio; 2) a maximum Debt to Equity ratio; and 3) a minimum EBITDA to Net Financial Expense Ratio (each as defined in the 2025 IDB Credit Agreement), as well as customary representations, warranties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covenants. The 2025 IDB Credit Agreement provides for events of default customary for credit facilities of this type, including but not limited to non-payment, defaults on other debt, misrepresentation, breach of covenants, representations and warranties, insolvency and bankruptcy.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capitalized $1.1 million of fees associated with the 2025 IDB Credit Facilities, which are being amortized over the life of the debt and $1.0 million were unamortized as of June 30, 2026.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June 30, 2026, there were no outstanding borrowings under the 2025 IDB Revolving Facility and there was $5.0 million under the 2025 IDB Term loan as of that date. As of June 30, 2026, OneGY was in compliance with all financial covenants.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Sacred Wind Term Debt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Company’s subsidiary, Sacred Wind, has a term debt facility (the “Sacred Wind Term Debt”) with the US, acting through the Administrator of the Rural Utilities Service (“RUS”), which provides financial assistance in the form of loans under the Rural Electrification Act of 1936 to furnish or improve telecommunications and/or broadband services in rural areas, is secured by substantially all of the assets of Sacred Wind and is an underlying mortgage to the US. These mortgage notes are to be repaid in equal monthly installments covering principal and interest beginning after date of issue and expiring by 2035.</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Sacred Wind Term Debt contains certain restrictions on the declaration or payment of dividends, redemption of capital stock or investment in affiliated companies without the consent of the RUS noteholders. The agreements also contain a financial covenant that Sacred Wind was not in compliance with as of December 31, 2024. Sacred Wind submitted a corrective action plan to comply with the financial covenant by December 31, 2028. The corrective action plan was accepted by the RUS and, as of June 30, 2026, the Company was in compliance with that corrective action plan.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June 30, 2026, $19.6 million was outstanding under the Sacred Wind Term Debt. Of that amount, $3.6 million was current and $16.0 million was long term.</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mortgage notes carry fixed interest rates ranging from 0.88% to 5.0%.</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USVI Debt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and certain of its subsidiaries, entered into a loan agreement (the “OneVI Debt Agreement”) for a $60.0 million loan (the “OneVI Debt”) with National Cooperative Services Corporation (“NCSC”) on July 1, 2016. The OneVI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“OneVI Net Leverage Ratio”). On May 5, 2022, the Net Leverage Ratio was amended to 7.0 to 1.0 through the original maturity date. This covenant is tested on an annual basis at the end of each fiscal year and the Company was in compliance with the OneVI Net Leverage Ratio as of December 31, 2025. Interest was paid quarterly at a fixed rate of 4.0% per annum through June 30, 2026. The debt is secured by certain assets of the OneVI subsidiaries and is guaranteed by the Company.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On November 5, 2025, the Company and certain of its subsidiaries (the “OneVI Borrowers”) amended the OneVI Debt Agreement (the “OneVI Debt Amendment”) to extend the maturity date of the OneVI Debt from July 1, 2026 to July 1, 2035 (the “Extended Maturity Date”). The OneVI Debt Amendment further provided that the OneVI Debt would continue to accrue interest at the then current fixed 4.0% rate through June 30, 2026 and, beginning on July 1, 2026, NCSC offered, at the Borrowers’ option, a forward fixed rate or variable rate of interest for the remainder of the term of the OneVI Debt through the Extended Maturity Date. The OneVI Borrowers elected the variable rate, which is NCSC’s standard variable rate of interest for long-term loans and subject to change monthly, and the OneVI Borrowers have the option to convert all or a portion of principal outstanding as of the date specified in the Conversion Notice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538" w:name="Tc_vbtpZfYD8UOG_2B4ZyHPmA_12_12"/>
      <w:bookmarkStart w:id="1539" w:name="Tc_H6g-zoXw1EyDeyNlCxq2Sg_12_10"/>
      <w:bookmarkStart w:id="1540" w:name="Tc_U1p5_y3o3Euqhd-SX-cr8Q_12_7"/>
      <w:bookmarkStart w:id="1541" w:name="Tc_ddHk80-s6Ei01DTiB8JoNA_12_4"/>
      <w:bookmarkStart w:id="1542" w:name="Tc_VOwslg-rBUCSZIdFGVZI_Q_12_1"/>
      <w:bookmarkStart w:id="1543" w:name="Tc_ZEm_8mVqe0Ots3_xi2-u4w_12_0"/>
      <w:bookmarkStart w:id="1544" w:name="Tc_LuvlVCUrlU2ksN432-6CNA_11_0"/>
      <w:bookmarkStart w:id="1545" w:name="Tc_5y4Gmxqho0-Zi0VuWF3e7A_10_0"/>
      <w:bookmarkStart w:id="1546" w:name="Tc_mMIkGHm4s0SqohvnjNFxEQ_9_8"/>
      <w:bookmarkStart w:id="1547" w:name="Tc_X3KQkvnL4UykctqAGitL6g_9_0"/>
      <w:bookmarkStart w:id="1548" w:name="Tc_Xi9n5ZsW80OBJfuwqNyPwQ_8_8"/>
      <w:bookmarkStart w:id="1549" w:name="Tc_5fDdI7mmckisflp4fjBI3g_8_0"/>
      <w:bookmarkStart w:id="1550" w:name="Tc_8wgp0s3wKUKyF1Udhsl9cw_7_0"/>
      <w:bookmarkStart w:id="1551" w:name="Tc_K84Cvxx9BEWXb54e1ztpUA_6_0"/>
      <w:bookmarkStart w:id="1552" w:name="Tc_pY-sxd6L70uc1h-Kt2yP2Q_5_0"/>
      <w:bookmarkStart w:id="1553" w:name="Tc_KSW7iPzM3UCIZqFxVZ2buA_4_12"/>
      <w:bookmarkStart w:id="1554" w:name="Tc_p08i7PBhiEChRS0ooadE7A_4_10"/>
      <w:bookmarkStart w:id="1555" w:name="Tc_OmwoC9NFX0yf25zMXrxlZQ_4_7"/>
      <w:bookmarkStart w:id="1556" w:name="Tc_hXkU92P0LEmepI2L5u_IIA_4_4"/>
      <w:bookmarkStart w:id="1557" w:name="Tc_c7DOo4Cuy0mZsj1eLBJwpA_4_1"/>
      <w:bookmarkStart w:id="1558" w:name="Tc_4M8NLsbzQEy6_08I-qz03A_4_0"/>
      <w:bookmarkStart w:id="1559" w:name="Tc_lTWtOnJtPUC8Vccqjh0rCQ_3_12"/>
      <w:bookmarkStart w:id="1560" w:name="Tc_1g52LgDWdkWRR4-Kjy8TPw_3_10"/>
      <w:bookmarkStart w:id="1561" w:name="Tc_re_wqNOseUGfITlXkBd60w_3_7"/>
      <w:bookmarkStart w:id="1562" w:name="Tc_d7BWVNmRVEWhIASSKowREA_3_4"/>
      <w:bookmarkStart w:id="1563" w:name="Tc_v4C_9IVZSUKmmxHw6e-uIg_3_1"/>
      <w:bookmarkStart w:id="1564" w:name="Tc_Uwr3auGsqUe8b705arK0OA_3_0"/>
      <w:bookmarkStart w:id="1565" w:name="Tc_RfESw1zhRkihRrPWnVF8Ug_2_12"/>
      <w:bookmarkStart w:id="1566" w:name="Tc_HbHFZCuq5E2_aixLFLHBbw_2_10"/>
      <w:bookmarkStart w:id="1567" w:name="Tc_bsV6KRWm4USFsJBdEZHuuQ_2_7"/>
      <w:bookmarkStart w:id="1568" w:name="Tc_9sk_EVviv0OtoUOaruTQaQ_2_4"/>
      <w:bookmarkStart w:id="1569" w:name="Tc_uM3aZ51DcE6rWNt8wnG36Q_2_1"/>
      <w:bookmarkStart w:id="1570" w:name="Tc_HtJff9BJ5kK3RSy683tDGQ_1_12"/>
      <w:bookmarkStart w:id="1571" w:name="_08207755_a45f_4451_be20_b68574566a98"/>
      <w:bookmarkStart w:id="1572" w:name="Tc_-31dY190oEWyPK0rVXZj0Q_5_0"/>
      <w:bookmarkStart w:id="1573" w:name="Tc_iXsvHbFY4kGfp0GMnHv5kw_4_0"/>
      <w:bookmarkStart w:id="1574" w:name="Tc__lVLNseU606po-KrYS0G0w_3_0"/>
      <w:bookmarkStart w:id="1575" w:name="Tc_eg9ameYHdEKpA1hcDkPYlg_2_0"/>
      <w:bookmarkStart w:id="1576" w:name="Tc_W153zu9Tv0-6oVuNKtReSw_1_1"/>
      <w:bookmarkStart w:id="1577" w:name="Tc_1N8Zs5Plak-gj0BIOULQ-w_1_0"/>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r>
        <w:rPr>
          <w:rFonts w:ascii="Times New Roman;Times;serif" w:hAnsi="Times New Roman;Times;serif"/>
          <w:sz w:val="20"/>
        </w:rPr>
        <w:t>defined in the OneVI Debt Agreement), to NCSC’s standard fixed interest rates for long-term loans at any time thereafter without a fee.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Additionally, the OneVI Debt Amendment provided that the OneVI Debt would continue to require interest-only payments at the then current rate through June 30, 2026; beginning on July 1, 2026, the OneVI Debt became subject to a quarterly repayment schedule.</w:t>
      </w:r>
    </w:p>
    <w:p>
      <w:pPr>
        <w:pStyle w:val="TextBody"/>
        <w:bidi w:val="0"/>
        <w:spacing w:before="280" w:after="0"/>
        <w:ind w:left="0" w:right="0" w:firstLine="720"/>
        <w:jc w:val="left"/>
        <w:rPr/>
      </w:pPr>
      <w:r>
        <w:rPr/>
        <w:t>​</w:t>
      </w:r>
    </w:p>
    <w:tbl>
      <w:tblPr>
        <w:tblW w:w="3992" w:type="dxa"/>
        <w:jc w:val="left"/>
        <w:tblInd w:w="0" w:type="dxa"/>
        <w:tblLayout w:type="fixed"/>
        <w:tblCellMar>
          <w:top w:w="0" w:type="dxa"/>
          <w:left w:w="0" w:type="dxa"/>
          <w:bottom w:w="0" w:type="dxa"/>
          <w:right w:w="0" w:type="dxa"/>
        </w:tblCellMar>
      </w:tblPr>
      <w:tblGrid>
        <w:gridCol w:w="1381"/>
        <w:gridCol w:w="2611"/>
      </w:tblGrid>
      <w:tr>
        <w:trPr/>
        <w:tc>
          <w:tcPr>
            <w:tcW w:w="1381" w:type="dxa"/>
            <w:tcBorders/>
            <w:vAlign w:val="center"/>
          </w:tcPr>
          <w:p>
            <w:pPr>
              <w:pStyle w:val="TableContents"/>
              <w:bidi w:val="0"/>
              <w:spacing w:before="0" w:after="0"/>
              <w:ind w:left="0" w:right="0" w:hanging="0"/>
              <w:jc w:val="left"/>
              <w:rPr/>
            </w:pPr>
            <w:r>
              <w:rPr/>
              <w:t>​</w:t>
            </w:r>
          </w:p>
        </w:tc>
        <w:tc>
          <w:tcPr>
            <w:tcW w:w="2611" w:type="dxa"/>
            <w:tcBorders/>
            <w:vAlign w:val="center"/>
          </w:tcPr>
          <w:p>
            <w:pPr>
              <w:pStyle w:val="TableContents"/>
              <w:bidi w:val="0"/>
              <w:spacing w:before="0" w:after="0"/>
              <w:ind w:left="0" w:right="0" w:hanging="0"/>
              <w:jc w:val="left"/>
              <w:rPr/>
            </w:pPr>
            <w:r>
              <w:rPr/>
              <w:t>​</w:t>
            </w:r>
          </w:p>
        </w:tc>
      </w:tr>
      <w:tr>
        <w:trPr/>
        <w:tc>
          <w:tcPr>
            <w:tcW w:w="1381"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Payment Dates</w:t>
            </w:r>
          </w:p>
        </w:tc>
        <w:tc>
          <w:tcPr>
            <w:tcW w:w="2611"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Annual Principal Repayment</w:t>
            </w:r>
          </w:p>
        </w:tc>
      </w:tr>
      <w:tr>
        <w:trPr/>
        <w:tc>
          <w:tcPr>
            <w:tcW w:w="13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1-3</w:t>
            </w:r>
          </w:p>
        </w:tc>
        <w:tc>
          <w:tcPr>
            <w:tcW w:w="261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3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4-6</w:t>
            </w:r>
          </w:p>
        </w:tc>
        <w:tc>
          <w:tcPr>
            <w:tcW w:w="261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13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7-8</w:t>
            </w:r>
          </w:p>
        </w:tc>
        <w:tc>
          <w:tcPr>
            <w:tcW w:w="261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3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9</w:t>
            </w:r>
          </w:p>
        </w:tc>
        <w:tc>
          <w:tcPr>
            <w:tcW w:w="261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OneVI Debt Amendment includes financial covenants by the OneVI Borrowers that impose a maximum ratio of indebtedness to annual operating cash flow of 5.00 as of December 31, 2026, 4.75 as of December 31, 2027, and 4.50 times as of December 31, 2028 and each year thereafter. Additionally, the OneVI Borrowers are to maintain a minimum fixed charge cover ratio of 1.25 to begin December 31, 2026, tested annually thereafter through the Extended Maturity Date.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June 30, 2026, $60.0 million of the OneVI Debt was outstanding. Of that amount, $4.5 million was current and $55.5 million was long term.</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b/>
          <w:i/>
          <w:sz w:val="20"/>
        </w:rPr>
        <w:t>Debt Maturity</w:t>
      </w:r>
      <w:r>
        <w:rPr>
          <w:rFonts w:ascii="Times New Roman;Times;serif" w:hAnsi="Times New Roman;Times;serif"/>
          <w:sz w:val="20"/>
        </w:rPr>
        <w:t xml:space="preserv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table below summarizes the annual maturities of the Company’s debt instruments (amounts in thousands):</w:t>
      </w:r>
    </w:p>
    <w:tbl>
      <w:tblPr>
        <w:tblW w:w="9258" w:type="dxa"/>
        <w:jc w:val="left"/>
        <w:tblInd w:w="0" w:type="dxa"/>
        <w:tblLayout w:type="fixed"/>
        <w:tblCellMar>
          <w:top w:w="0" w:type="dxa"/>
          <w:left w:w="0" w:type="dxa"/>
          <w:bottom w:w="0" w:type="dxa"/>
          <w:right w:w="0" w:type="dxa"/>
        </w:tblCellMar>
      </w:tblPr>
      <w:tblGrid>
        <w:gridCol w:w="3436"/>
        <w:gridCol w:w="211"/>
        <w:gridCol w:w="781"/>
        <w:gridCol w:w="109"/>
        <w:gridCol w:w="253"/>
        <w:gridCol w:w="813"/>
        <w:gridCol w:w="109"/>
        <w:gridCol w:w="261"/>
        <w:gridCol w:w="969"/>
        <w:gridCol w:w="109"/>
        <w:gridCol w:w="211"/>
        <w:gridCol w:w="781"/>
        <w:gridCol w:w="258"/>
        <w:gridCol w:w="957"/>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81860" cy="175895"/>
                      <wp:effectExtent l="0" t="0" r="0" b="0"/>
                      <wp:wrapNone/>
                      <wp:docPr id="209" name="Frame209"/>
                      <a:graphic xmlns:a="http://schemas.openxmlformats.org/drawingml/2006/main">
                        <a:graphicData uri="http://schemas.microsoft.com/office/word/2010/wordprocessingShape">
                          <wps:wsp>
                            <wps:cNvSpPr txBox="1"/>
                            <wps:spPr>
                              <a:xfrm>
                                <a:off x="0" y="0"/>
                                <a:ext cx="21818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895"/>
                      <wp:effectExtent l="0" t="0" r="0" b="0"/>
                      <wp:wrapNone/>
                      <wp:docPr id="210" name="Frame21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95935" cy="175895"/>
                      <wp:effectExtent l="0" t="0" r="0" b="0"/>
                      <wp:wrapNone/>
                      <wp:docPr id="211" name="Frame211"/>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895"/>
                      <wp:effectExtent l="0" t="0" r="0" b="0"/>
                      <wp:wrapNone/>
                      <wp:docPr id="212" name="Frame212"/>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60655" cy="175895"/>
                      <wp:effectExtent l="0" t="0" r="0" b="0"/>
                      <wp:wrapNone/>
                      <wp:docPr id="213" name="Frame213"/>
                      <a:graphic xmlns:a="http://schemas.openxmlformats.org/drawingml/2006/main">
                        <a:graphicData uri="http://schemas.microsoft.com/office/word/2010/wordprocessingShape">
                          <wps:wsp>
                            <wps:cNvSpPr txBox="1"/>
                            <wps:spPr>
                              <a:xfrm>
                                <a:off x="0" y="0"/>
                                <a:ext cx="1606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16255" cy="175895"/>
                      <wp:effectExtent l="0" t="0" r="0" b="0"/>
                      <wp:wrapNone/>
                      <wp:docPr id="214" name="Frame214"/>
                      <a:graphic xmlns:a="http://schemas.openxmlformats.org/drawingml/2006/main">
                        <a:graphicData uri="http://schemas.microsoft.com/office/word/2010/wordprocessingShape">
                          <wps:wsp>
                            <wps:cNvSpPr txBox="1"/>
                            <wps:spPr>
                              <a:xfrm>
                                <a:off x="0" y="0"/>
                                <a:ext cx="5162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895"/>
                      <wp:effectExtent l="0" t="0" r="0" b="0"/>
                      <wp:wrapNone/>
                      <wp:docPr id="215" name="Frame21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65735" cy="175895"/>
                      <wp:effectExtent l="0" t="0" r="0" b="0"/>
                      <wp:wrapNone/>
                      <wp:docPr id="216" name="Frame216"/>
                      <a:graphic xmlns:a="http://schemas.openxmlformats.org/drawingml/2006/main">
                        <a:graphicData uri="http://schemas.microsoft.com/office/word/2010/wordprocessingShape">
                          <wps:wsp>
                            <wps:cNvSpPr txBox="1"/>
                            <wps:spPr>
                              <a:xfrm>
                                <a:off x="0" y="0"/>
                                <a:ext cx="1657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15315" cy="175895"/>
                      <wp:effectExtent l="0" t="0" r="0" b="0"/>
                      <wp:wrapNone/>
                      <wp:docPr id="217" name="Frame217"/>
                      <a:graphic xmlns:a="http://schemas.openxmlformats.org/drawingml/2006/main">
                        <a:graphicData uri="http://schemas.microsoft.com/office/word/2010/wordprocessingShape">
                          <wps:wsp>
                            <wps:cNvSpPr txBox="1"/>
                            <wps:spPr>
                              <a:xfrm>
                                <a:off x="0" y="0"/>
                                <a:ext cx="6153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895"/>
                      <wp:effectExtent l="0" t="0" r="0" b="0"/>
                      <wp:wrapNone/>
                      <wp:docPr id="218" name="Frame21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895"/>
                      <wp:effectExtent l="0" t="0" r="0" b="0"/>
                      <wp:wrapNone/>
                      <wp:docPr id="219" name="Frame219"/>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95935" cy="175895"/>
                      <wp:effectExtent l="0" t="0" r="0" b="0"/>
                      <wp:wrapNone/>
                      <wp:docPr id="220" name="Frame220"/>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63830" cy="175895"/>
                      <wp:effectExtent l="0" t="0" r="0" b="0"/>
                      <wp:wrapNone/>
                      <wp:docPr id="221" name="Frame221"/>
                      <a:graphic xmlns:a="http://schemas.openxmlformats.org/drawingml/2006/main">
                        <a:graphicData uri="http://schemas.microsoft.com/office/word/2010/wordprocessingShape">
                          <wps:wsp>
                            <wps:cNvSpPr txBox="1"/>
                            <wps:spPr>
                              <a:xfrm>
                                <a:off x="0" y="0"/>
                                <a:ext cx="16383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07695" cy="175895"/>
                      <wp:effectExtent l="0" t="0" r="0" b="0"/>
                      <wp:wrapNone/>
                      <wp:docPr id="222" name="Frame222"/>
                      <a:graphic xmlns:a="http://schemas.openxmlformats.org/drawingml/2006/main">
                        <a:graphicData uri="http://schemas.microsoft.com/office/word/2010/wordprocessingShape">
                          <wps:wsp>
                            <wps:cNvSpPr txBox="1"/>
                            <wps:spPr>
                              <a:xfrm>
                                <a:off x="0" y="0"/>
                                <a:ext cx="6076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53" w:type="dxa"/>
            <w:tcBorders/>
            <w:vAlign w:val="center"/>
          </w:tcPr>
          <w:p>
            <w:pPr>
              <w:pStyle w:val="TableContents"/>
              <w:bidi w:val="0"/>
              <w:spacing w:before="1" w:after="1"/>
              <w:ind w:left="0" w:right="0" w:hanging="0"/>
              <w:jc w:val="left"/>
              <w:rPr/>
            </w:pPr>
            <w:r>
              <w:rPr/>
              <w:t>​</w:t>
            </w:r>
          </w:p>
        </w:tc>
        <w:tc>
          <w:tcPr>
            <w:tcW w:w="813"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61" w:type="dxa"/>
            <w:tcBorders/>
            <w:vAlign w:val="center"/>
          </w:tcPr>
          <w:p>
            <w:pPr>
              <w:pStyle w:val="TableContents"/>
              <w:bidi w:val="0"/>
              <w:spacing w:before="1" w:after="1"/>
              <w:ind w:left="0" w:right="0" w:hanging="0"/>
              <w:jc w:val="left"/>
              <w:rPr/>
            </w:pPr>
            <w:r>
              <w:rPr/>
              <w:t>​</w:t>
            </w:r>
          </w:p>
        </w:tc>
        <w:tc>
          <w:tcPr>
            <w:tcW w:w="96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1215"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Customer</w:t>
            </w:r>
          </w:p>
        </w:tc>
      </w:tr>
      <w:tr>
        <w:trPr/>
        <w:tc>
          <w:tcPr>
            <w:tcW w:w="3436" w:type="dxa"/>
            <w:tcBorders/>
            <w:vAlign w:val="center"/>
          </w:tcPr>
          <w:p>
            <w:pPr>
              <w:pStyle w:val="TableContents"/>
              <w:bidi w:val="0"/>
              <w:spacing w:before="1" w:after="1"/>
              <w:ind w:left="0" w:right="0" w:hanging="0"/>
              <w:jc w:val="left"/>
              <w:rPr/>
            </w:pPr>
            <w:r>
              <w:rPr/>
              <w:t>​</w:t>
            </w:r>
          </w:p>
        </w:tc>
        <w:tc>
          <w:tcPr>
            <w:tcW w:w="992"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1" w:after="1"/>
              <w:ind w:left="0" w:right="0" w:hanging="0"/>
              <w:jc w:val="left"/>
              <w:rPr/>
            </w:pPr>
            <w:r>
              <w:rPr/>
              <w:t>​</w:t>
            </w:r>
          </w:p>
        </w:tc>
        <w:tc>
          <w:tcPr>
            <w:tcW w:w="106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1" w:after="1"/>
              <w:ind w:left="0" w:right="0" w:hanging="0"/>
              <w:jc w:val="center"/>
              <w:rPr/>
            </w:pPr>
            <w:r>
              <w:rPr/>
              <w:t>​</w:t>
            </w:r>
          </w:p>
        </w:tc>
        <w:tc>
          <w:tcPr>
            <w:tcW w:w="1230"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109" w:type="dxa"/>
            <w:tcBorders/>
            <w:vAlign w:val="center"/>
          </w:tcPr>
          <w:p>
            <w:pPr>
              <w:pStyle w:val="TableContents"/>
              <w:bidi w:val="0"/>
              <w:spacing w:before="1" w:after="1"/>
              <w:ind w:left="0" w:right="0" w:hanging="0"/>
              <w:jc w:val="left"/>
              <w:rPr/>
            </w:pPr>
            <w:r>
              <w:rPr/>
              <w:t>​</w:t>
            </w:r>
          </w:p>
        </w:tc>
        <w:tc>
          <w:tcPr>
            <w:tcW w:w="992"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215"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Receivable</w:t>
            </w:r>
          </w:p>
        </w:tc>
      </w:tr>
      <w:tr>
        <w:trPr/>
        <w:tc>
          <w:tcPr>
            <w:tcW w:w="3436" w:type="dxa"/>
            <w:tcBorders/>
            <w:vAlign w:val="center"/>
          </w:tcPr>
          <w:p>
            <w:pPr>
              <w:pStyle w:val="TableContents"/>
              <w:bidi w:val="0"/>
              <w:spacing w:before="1" w:after="1"/>
              <w:ind w:left="0" w:right="0" w:hanging="0"/>
              <w:jc w:val="left"/>
              <w:rPr>
                <w:rFonts w:ascii="Times New Roman;Times;serif" w:hAnsi="Times New Roman;Times;serif"/>
                <w:b/>
                <w:sz w:val="16"/>
              </w:rPr>
            </w:pPr>
            <w:r>
              <w:rPr>
                <w:rFonts w:ascii="Times New Roman;Times;serif" w:hAnsi="Times New Roman;Times;serif"/>
                <w:b/>
                <w:sz w:val="16"/>
              </w:rPr>
              <w:t>Amounts Maturing During</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1" w:after="1"/>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1" w:after="1"/>
              <w:ind w:left="0" w:right="0" w:hanging="0"/>
              <w:jc w:val="center"/>
              <w:rPr/>
            </w:pPr>
            <w:r>
              <w:rPr/>
              <w:t>​</w:t>
            </w:r>
          </w:p>
        </w:tc>
        <w:tc>
          <w:tcPr>
            <w:tcW w:w="123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1"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Debt</w:t>
            </w:r>
          </w:p>
        </w:tc>
        <w:tc>
          <w:tcPr>
            <w:tcW w:w="121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Credit Facility</w:t>
            </w:r>
          </w:p>
        </w:tc>
      </w:tr>
      <w:tr>
        <w:trPr/>
        <w:tc>
          <w:tcPr>
            <w:tcW w:w="343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July 1, 2026 through December 31, 2026</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3,710</w:t>
            </w:r>
          </w:p>
        </w:tc>
        <w:tc>
          <w:tcPr>
            <w:tcW w:w="109" w:type="dxa"/>
            <w:tcBorders/>
            <w:shd w:fill="CCEEFF" w:val="clear"/>
            <w:vAlign w:val="center"/>
          </w:tcPr>
          <w:p>
            <w:pPr>
              <w:pStyle w:val="TableContents"/>
              <w:bidi w:val="0"/>
              <w:spacing w:before="1" w:after="1"/>
              <w:ind w:left="0" w:right="0" w:hanging="0"/>
              <w:jc w:val="left"/>
              <w:rPr/>
            </w:pPr>
            <w:r>
              <w:rPr/>
              <w:t>​</w:t>
            </w:r>
          </w:p>
        </w:tc>
        <w:tc>
          <w:tcPr>
            <w:tcW w:w="25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2,250</w:t>
            </w:r>
          </w:p>
        </w:tc>
        <w:tc>
          <w:tcPr>
            <w:tcW w:w="109" w:type="dxa"/>
            <w:tcBorders/>
            <w:shd w:fill="CCEEFF" w:val="clear"/>
            <w:vAlign w:val="center"/>
          </w:tcPr>
          <w:p>
            <w:pPr>
              <w:pStyle w:val="TableContents"/>
              <w:bidi w:val="0"/>
              <w:spacing w:before="1" w:after="1"/>
              <w:ind w:left="0" w:right="0" w:hanging="0"/>
              <w:jc w:val="left"/>
              <w:rPr/>
            </w:pPr>
            <w:r>
              <w:rPr/>
              <w:t>​</w:t>
            </w:r>
          </w:p>
        </w:tc>
        <w:tc>
          <w:tcPr>
            <w:tcW w:w="2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4,875</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right w:val="single" w:sz="2" w:space="0" w:color="000000"/>
            </w:tcBorders>
            <w:shd w:fill="CCEEFF" w:val="clear"/>
            <w:tcMar>
              <w:right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10,835</w:t>
            </w:r>
          </w:p>
        </w:tc>
        <w:tc>
          <w:tcPr>
            <w:tcW w:w="258" w:type="dxa"/>
            <w:tcBorders>
              <w:left w:val="single" w:sz="2" w:space="0" w:color="000000"/>
            </w:tcBorders>
            <w:shd w:fill="CCEEFF" w:val="clear"/>
            <w:tcMar>
              <w:left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4,335</w:t>
            </w:r>
          </w:p>
        </w:tc>
      </w:tr>
      <w:tr>
        <w:trPr/>
        <w:tc>
          <w:tcPr>
            <w:tcW w:w="343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Year ending December 31, 2027</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13,098</w:t>
            </w:r>
          </w:p>
        </w:tc>
        <w:tc>
          <w:tcPr>
            <w:tcW w:w="109" w:type="dxa"/>
            <w:tcBorders/>
            <w:vAlign w:val="center"/>
          </w:tcPr>
          <w:p>
            <w:pPr>
              <w:pStyle w:val="TableContents"/>
              <w:bidi w:val="0"/>
              <w:spacing w:before="1" w:after="1"/>
              <w:ind w:left="0" w:right="0" w:hanging="0"/>
              <w:jc w:val="left"/>
              <w:rPr/>
            </w:pPr>
            <w:r>
              <w:rPr/>
              <w:t>​</w:t>
            </w:r>
          </w:p>
        </w:tc>
        <w:tc>
          <w:tcPr>
            <w:tcW w:w="253" w:type="dxa"/>
            <w:tcBorders/>
            <w:vAlign w:val="center"/>
          </w:tcPr>
          <w:p>
            <w:pPr>
              <w:pStyle w:val="TableContents"/>
              <w:bidi w:val="0"/>
              <w:spacing w:before="1" w:after="1"/>
              <w:ind w:left="0" w:right="0" w:hanging="0"/>
              <w:jc w:val="left"/>
              <w:rPr/>
            </w:pPr>
            <w:r>
              <w:rPr/>
              <w:t>​</w:t>
            </w:r>
          </w:p>
        </w:tc>
        <w:tc>
          <w:tcPr>
            <w:tcW w:w="81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5,000</w:t>
            </w:r>
          </w:p>
        </w:tc>
        <w:tc>
          <w:tcPr>
            <w:tcW w:w="109" w:type="dxa"/>
            <w:tcBorders/>
            <w:vAlign w:val="center"/>
          </w:tcPr>
          <w:p>
            <w:pPr>
              <w:pStyle w:val="TableContents"/>
              <w:bidi w:val="0"/>
              <w:spacing w:before="1" w:after="1"/>
              <w:ind w:left="0" w:right="0" w:hanging="0"/>
              <w:jc w:val="left"/>
              <w:rPr/>
            </w:pPr>
            <w:r>
              <w:rPr/>
              <w:t>​</w:t>
            </w:r>
          </w:p>
        </w:tc>
        <w:tc>
          <w:tcPr>
            <w:tcW w:w="261" w:type="dxa"/>
            <w:tcBorders/>
            <w:vAlign w:val="center"/>
          </w:tcPr>
          <w:p>
            <w:pPr>
              <w:pStyle w:val="TableContents"/>
              <w:bidi w:val="0"/>
              <w:spacing w:before="1" w:after="1"/>
              <w:ind w:left="0" w:right="0" w:hanging="0"/>
              <w:jc w:val="left"/>
              <w:rPr/>
            </w:pPr>
            <w:r>
              <w:rPr/>
              <w:t>​</w:t>
            </w:r>
          </w:p>
        </w:tc>
        <w:tc>
          <w:tcPr>
            <w:tcW w:w="969"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9,750</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right w:val="single" w:sz="2" w:space="0" w:color="000000"/>
            </w:tcBorders>
            <w:tcMar>
              <w:right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27,848</w:t>
            </w:r>
          </w:p>
        </w:tc>
        <w:tc>
          <w:tcPr>
            <w:tcW w:w="258" w:type="dxa"/>
            <w:tcBorders>
              <w:left w:val="single" w:sz="2" w:space="0" w:color="000000"/>
            </w:tcBorders>
            <w:tcMar>
              <w:left w:w="28" w:type="dxa"/>
            </w:tcMar>
            <w:vAlign w:val="center"/>
          </w:tcPr>
          <w:p>
            <w:pPr>
              <w:pStyle w:val="TableContents"/>
              <w:bidi w:val="0"/>
              <w:spacing w:before="1" w:after="1"/>
              <w:ind w:left="0" w:right="0" w:hanging="0"/>
              <w:jc w:val="left"/>
              <w:rPr/>
            </w:pPr>
            <w:r>
              <w:rPr/>
              <w:t>​</w:t>
            </w:r>
          </w:p>
        </w:tc>
        <w:tc>
          <w:tcPr>
            <w:tcW w:w="95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9,208</w:t>
            </w:r>
          </w:p>
        </w:tc>
      </w:tr>
      <w:tr>
        <w:trPr/>
        <w:tc>
          <w:tcPr>
            <w:tcW w:w="343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Year ending December 31, 2028</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18,858</w:t>
            </w:r>
          </w:p>
        </w:tc>
        <w:tc>
          <w:tcPr>
            <w:tcW w:w="109" w:type="dxa"/>
            <w:tcBorders/>
            <w:shd w:fill="CCEEFF" w:val="clear"/>
            <w:vAlign w:val="center"/>
          </w:tcPr>
          <w:p>
            <w:pPr>
              <w:pStyle w:val="TableContents"/>
              <w:bidi w:val="0"/>
              <w:spacing w:before="1" w:after="1"/>
              <w:ind w:left="0" w:right="0" w:hanging="0"/>
              <w:jc w:val="left"/>
              <w:rPr/>
            </w:pPr>
            <w:r>
              <w:rPr/>
              <w:t>​</w:t>
            </w:r>
          </w:p>
        </w:tc>
        <w:tc>
          <w:tcPr>
            <w:tcW w:w="253" w:type="dxa"/>
            <w:tcBorders/>
            <w:shd w:fill="CCEEFF" w:val="clear"/>
            <w:vAlign w:val="center"/>
          </w:tcPr>
          <w:p>
            <w:pPr>
              <w:pStyle w:val="TableContents"/>
              <w:bidi w:val="0"/>
              <w:spacing w:before="1" w:after="1"/>
              <w:ind w:left="0" w:right="0" w:hanging="0"/>
              <w:jc w:val="left"/>
              <w:rPr/>
            </w:pPr>
            <w:r>
              <w:rPr/>
              <w:t>​</w:t>
            </w:r>
          </w:p>
        </w:tc>
        <w:tc>
          <w:tcPr>
            <w:tcW w:w="81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5,000</w:t>
            </w:r>
          </w:p>
        </w:tc>
        <w:tc>
          <w:tcPr>
            <w:tcW w:w="109" w:type="dxa"/>
            <w:tcBorders/>
            <w:shd w:fill="CCEEFF" w:val="clear"/>
            <w:vAlign w:val="center"/>
          </w:tcPr>
          <w:p>
            <w:pPr>
              <w:pStyle w:val="TableContents"/>
              <w:bidi w:val="0"/>
              <w:spacing w:before="1" w:after="1"/>
              <w:ind w:left="0" w:right="0" w:hanging="0"/>
              <w:jc w:val="left"/>
              <w:rPr/>
            </w:pPr>
            <w:r>
              <w:rPr/>
              <w:t>​</w:t>
            </w:r>
          </w:p>
        </w:tc>
        <w:tc>
          <w:tcPr>
            <w:tcW w:w="261" w:type="dxa"/>
            <w:tcBorders/>
            <w:shd w:fill="CCEEFF" w:val="clear"/>
            <w:vAlign w:val="center"/>
          </w:tcPr>
          <w:p>
            <w:pPr>
              <w:pStyle w:val="TableContents"/>
              <w:bidi w:val="0"/>
              <w:spacing w:before="1" w:after="1"/>
              <w:ind w:left="0" w:right="0" w:hanging="0"/>
              <w:jc w:val="left"/>
              <w:rPr/>
            </w:pPr>
            <w:r>
              <w:rPr/>
              <w:t>​</w:t>
            </w:r>
          </w:p>
        </w:tc>
        <w:tc>
          <w:tcPr>
            <w:tcW w:w="969"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9,750</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right w:val="single" w:sz="2" w:space="0" w:color="000000"/>
            </w:tcBorders>
            <w:shd w:fill="CCEEFF" w:val="clear"/>
            <w:tcMar>
              <w:right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33,608</w:t>
            </w:r>
          </w:p>
        </w:tc>
        <w:tc>
          <w:tcPr>
            <w:tcW w:w="258" w:type="dxa"/>
            <w:tcBorders>
              <w:left w:val="single" w:sz="2" w:space="0" w:color="000000"/>
            </w:tcBorders>
            <w:shd w:fill="CCEEFF" w:val="clear"/>
            <w:tcMar>
              <w:left w:w="28" w:type="dxa"/>
            </w:tcMar>
            <w:vAlign w:val="center"/>
          </w:tcPr>
          <w:p>
            <w:pPr>
              <w:pStyle w:val="TableContents"/>
              <w:bidi w:val="0"/>
              <w:spacing w:before="1" w:after="1"/>
              <w:ind w:left="0" w:right="0" w:hanging="0"/>
              <w:jc w:val="left"/>
              <w:rPr/>
            </w:pPr>
            <w:r>
              <w:rPr/>
              <w:t>​</w:t>
            </w:r>
          </w:p>
        </w:tc>
        <w:tc>
          <w:tcPr>
            <w:tcW w:w="95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9,657</w:t>
            </w:r>
          </w:p>
        </w:tc>
      </w:tr>
      <w:tr>
        <w:trPr/>
        <w:tc>
          <w:tcPr>
            <w:tcW w:w="343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Year ending December 31, 2029</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297,749</w:t>
            </w:r>
          </w:p>
        </w:tc>
        <w:tc>
          <w:tcPr>
            <w:tcW w:w="109" w:type="dxa"/>
            <w:tcBorders/>
            <w:vAlign w:val="center"/>
          </w:tcPr>
          <w:p>
            <w:pPr>
              <w:pStyle w:val="TableContents"/>
              <w:bidi w:val="0"/>
              <w:spacing w:before="1" w:after="1"/>
              <w:ind w:left="0" w:right="0" w:hanging="0"/>
              <w:jc w:val="left"/>
              <w:rPr/>
            </w:pPr>
            <w:r>
              <w:rPr/>
              <w:t>​</w:t>
            </w:r>
          </w:p>
        </w:tc>
        <w:tc>
          <w:tcPr>
            <w:tcW w:w="253" w:type="dxa"/>
            <w:tcBorders/>
            <w:vAlign w:val="center"/>
          </w:tcPr>
          <w:p>
            <w:pPr>
              <w:pStyle w:val="TableContents"/>
              <w:bidi w:val="0"/>
              <w:spacing w:before="1" w:after="1"/>
              <w:ind w:left="0" w:right="0" w:hanging="0"/>
              <w:jc w:val="left"/>
              <w:rPr/>
            </w:pPr>
            <w:r>
              <w:rPr/>
              <w:t>​</w:t>
            </w:r>
          </w:p>
        </w:tc>
        <w:tc>
          <w:tcPr>
            <w:tcW w:w="81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5,750</w:t>
            </w:r>
          </w:p>
        </w:tc>
        <w:tc>
          <w:tcPr>
            <w:tcW w:w="109" w:type="dxa"/>
            <w:tcBorders/>
            <w:vAlign w:val="center"/>
          </w:tcPr>
          <w:p>
            <w:pPr>
              <w:pStyle w:val="TableContents"/>
              <w:bidi w:val="0"/>
              <w:spacing w:before="1" w:after="1"/>
              <w:ind w:left="0" w:right="0" w:hanging="0"/>
              <w:jc w:val="left"/>
              <w:rPr/>
            </w:pPr>
            <w:r>
              <w:rPr/>
              <w:t>​</w:t>
            </w:r>
          </w:p>
        </w:tc>
        <w:tc>
          <w:tcPr>
            <w:tcW w:w="261" w:type="dxa"/>
            <w:tcBorders/>
            <w:vAlign w:val="center"/>
          </w:tcPr>
          <w:p>
            <w:pPr>
              <w:pStyle w:val="TableContents"/>
              <w:bidi w:val="0"/>
              <w:spacing w:before="1" w:after="1"/>
              <w:ind w:left="0" w:right="0" w:hanging="0"/>
              <w:jc w:val="left"/>
              <w:rPr/>
            </w:pPr>
            <w:r>
              <w:rPr/>
              <w:t>​</w:t>
            </w:r>
          </w:p>
        </w:tc>
        <w:tc>
          <w:tcPr>
            <w:tcW w:w="969"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93,438</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right w:val="single" w:sz="2" w:space="0" w:color="000000"/>
            </w:tcBorders>
            <w:tcMar>
              <w:right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396,937</w:t>
            </w:r>
          </w:p>
        </w:tc>
        <w:tc>
          <w:tcPr>
            <w:tcW w:w="258" w:type="dxa"/>
            <w:tcBorders>
              <w:left w:val="single" w:sz="2" w:space="0" w:color="000000"/>
            </w:tcBorders>
            <w:tcMar>
              <w:left w:w="28" w:type="dxa"/>
            </w:tcMar>
            <w:vAlign w:val="center"/>
          </w:tcPr>
          <w:p>
            <w:pPr>
              <w:pStyle w:val="TableContents"/>
              <w:bidi w:val="0"/>
              <w:spacing w:before="1" w:after="1"/>
              <w:ind w:left="0" w:right="0" w:hanging="0"/>
              <w:jc w:val="left"/>
              <w:rPr/>
            </w:pPr>
            <w:r>
              <w:rPr/>
              <w:t>​</w:t>
            </w:r>
          </w:p>
        </w:tc>
        <w:tc>
          <w:tcPr>
            <w:tcW w:w="957"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6,274</w:t>
            </w:r>
          </w:p>
        </w:tc>
      </w:tr>
      <w:tr>
        <w:trPr/>
        <w:tc>
          <w:tcPr>
            <w:tcW w:w="343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Year ending December 31, 2030</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3,172</w:t>
            </w:r>
          </w:p>
        </w:tc>
        <w:tc>
          <w:tcPr>
            <w:tcW w:w="109" w:type="dxa"/>
            <w:tcBorders/>
            <w:shd w:fill="CCEEFF" w:val="clear"/>
            <w:vAlign w:val="center"/>
          </w:tcPr>
          <w:p>
            <w:pPr>
              <w:pStyle w:val="TableContents"/>
              <w:bidi w:val="0"/>
              <w:spacing w:before="1" w:after="1"/>
              <w:ind w:left="0" w:right="0" w:hanging="0"/>
              <w:jc w:val="left"/>
              <w:rPr/>
            </w:pPr>
            <w:r>
              <w:rPr/>
              <w:t>​</w:t>
            </w:r>
          </w:p>
        </w:tc>
        <w:tc>
          <w:tcPr>
            <w:tcW w:w="253" w:type="dxa"/>
            <w:tcBorders/>
            <w:shd w:fill="CCEEFF" w:val="clear"/>
            <w:vAlign w:val="center"/>
          </w:tcPr>
          <w:p>
            <w:pPr>
              <w:pStyle w:val="TableContents"/>
              <w:bidi w:val="0"/>
              <w:spacing w:before="1" w:after="1"/>
              <w:ind w:left="0" w:right="0" w:hanging="0"/>
              <w:jc w:val="left"/>
              <w:rPr/>
            </w:pPr>
            <w:r>
              <w:rPr/>
              <w:t>​</w:t>
            </w:r>
          </w:p>
        </w:tc>
        <w:tc>
          <w:tcPr>
            <w:tcW w:w="81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6,500</w:t>
            </w:r>
          </w:p>
        </w:tc>
        <w:tc>
          <w:tcPr>
            <w:tcW w:w="109" w:type="dxa"/>
            <w:tcBorders/>
            <w:shd w:fill="CCEEFF" w:val="clear"/>
            <w:vAlign w:val="center"/>
          </w:tcPr>
          <w:p>
            <w:pPr>
              <w:pStyle w:val="TableContents"/>
              <w:bidi w:val="0"/>
              <w:spacing w:before="1" w:after="1"/>
              <w:ind w:left="0" w:right="0" w:hanging="0"/>
              <w:jc w:val="left"/>
              <w:rPr/>
            </w:pPr>
            <w:r>
              <w:rPr/>
              <w:t>​</w:t>
            </w:r>
          </w:p>
        </w:tc>
        <w:tc>
          <w:tcPr>
            <w:tcW w:w="261" w:type="dxa"/>
            <w:tcBorders/>
            <w:shd w:fill="CCEEFF" w:val="clear"/>
            <w:vAlign w:val="center"/>
          </w:tcPr>
          <w:p>
            <w:pPr>
              <w:pStyle w:val="TableContents"/>
              <w:bidi w:val="0"/>
              <w:spacing w:before="1" w:after="1"/>
              <w:ind w:left="0" w:right="0" w:hanging="0"/>
              <w:jc w:val="left"/>
              <w:rPr/>
            </w:pPr>
            <w:r>
              <w:rPr/>
              <w:t>​</w:t>
            </w:r>
          </w:p>
        </w:tc>
        <w:tc>
          <w:tcPr>
            <w:tcW w:w="969"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right w:val="single" w:sz="2" w:space="0" w:color="000000"/>
            </w:tcBorders>
            <w:shd w:fill="CCEEFF" w:val="clear"/>
            <w:tcMar>
              <w:right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9,672</w:t>
            </w:r>
          </w:p>
        </w:tc>
        <w:tc>
          <w:tcPr>
            <w:tcW w:w="258" w:type="dxa"/>
            <w:tcBorders>
              <w:left w:val="single" w:sz="2" w:space="0" w:color="000000"/>
            </w:tcBorders>
            <w:shd w:fill="CCEEFF" w:val="clear"/>
            <w:tcMar>
              <w:left w:w="28" w:type="dxa"/>
            </w:tcMar>
            <w:vAlign w:val="center"/>
          </w:tcPr>
          <w:p>
            <w:pPr>
              <w:pStyle w:val="TableContents"/>
              <w:bidi w:val="0"/>
              <w:spacing w:before="1" w:after="1"/>
              <w:ind w:left="0" w:right="0" w:hanging="0"/>
              <w:jc w:val="left"/>
              <w:rPr/>
            </w:pPr>
            <w:r>
              <w:rPr/>
              <w:t>​</w:t>
            </w:r>
          </w:p>
        </w:tc>
        <w:tc>
          <w:tcPr>
            <w:tcW w:w="95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2,989</w:t>
            </w:r>
          </w:p>
        </w:tc>
      </w:tr>
      <w:tr>
        <w:trPr/>
        <w:tc>
          <w:tcPr>
            <w:tcW w:w="343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2,985</w:t>
            </w:r>
          </w:p>
        </w:tc>
        <w:tc>
          <w:tcPr>
            <w:tcW w:w="109" w:type="dxa"/>
            <w:tcBorders/>
            <w:vAlign w:val="center"/>
          </w:tcPr>
          <w:p>
            <w:pPr>
              <w:pStyle w:val="TableContents"/>
              <w:bidi w:val="0"/>
              <w:spacing w:before="1"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40,500</w:t>
            </w:r>
          </w:p>
        </w:tc>
        <w:tc>
          <w:tcPr>
            <w:tcW w:w="109" w:type="dxa"/>
            <w:tcBorders/>
            <w:vAlign w:val="center"/>
          </w:tcPr>
          <w:p>
            <w:pPr>
              <w:pStyle w:val="TableContents"/>
              <w:bidi w:val="0"/>
              <w:spacing w:before="1"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right w:val="single" w:sz="2" w:space="0" w:color="000000"/>
            </w:tcBorders>
            <w:tcMar>
              <w:bottom w:w="28" w:type="dxa"/>
              <w:right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43,485</w:t>
            </w:r>
          </w:p>
        </w:tc>
        <w:tc>
          <w:tcPr>
            <w:tcW w:w="258" w:type="dxa"/>
            <w:tcBorders>
              <w:left w:val="single" w:sz="2" w:space="0" w:color="000000"/>
              <w:bottom w:val="single" w:sz="2" w:space="0" w:color="000000"/>
            </w:tcBorders>
            <w:tcMar>
              <w:left w:w="28" w:type="dxa"/>
              <w:bottom w:w="28" w:type="dxa"/>
            </w:tcMar>
            <w:vAlign w:val="center"/>
          </w:tcPr>
          <w:p>
            <w:pPr>
              <w:pStyle w:val="TableContents"/>
              <w:bidi w:val="0"/>
              <w:spacing w:before="1" w:after="1"/>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2,958</w:t>
            </w:r>
          </w:p>
        </w:tc>
      </w:tr>
      <w:tr>
        <w:trPr/>
        <w:tc>
          <w:tcPr>
            <w:tcW w:w="343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339,572</w:t>
            </w:r>
          </w:p>
        </w:tc>
        <w:tc>
          <w:tcPr>
            <w:tcW w:w="109" w:type="dxa"/>
            <w:tcBorders/>
            <w:shd w:fill="CCEEFF" w:val="clear"/>
            <w:vAlign w:val="center"/>
          </w:tcPr>
          <w:p>
            <w:pPr>
              <w:pStyle w:val="TableContents"/>
              <w:bidi w:val="0"/>
              <w:spacing w:before="1"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65,000</w:t>
            </w:r>
          </w:p>
        </w:tc>
        <w:tc>
          <w:tcPr>
            <w:tcW w:w="109" w:type="dxa"/>
            <w:tcBorders/>
            <w:shd w:fill="CCEEFF" w:val="clear"/>
            <w:vAlign w:val="center"/>
          </w:tcPr>
          <w:p>
            <w:pPr>
              <w:pStyle w:val="TableContents"/>
              <w:bidi w:val="0"/>
              <w:spacing w:before="1"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117,813</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522,385</w:t>
            </w:r>
          </w:p>
        </w:tc>
        <w:tc>
          <w:tcPr>
            <w:tcW w:w="258"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1" w:after="1"/>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35,421</w:t>
            </w:r>
          </w:p>
        </w:tc>
      </w:tr>
      <w:tr>
        <w:trPr/>
        <w:tc>
          <w:tcPr>
            <w:tcW w:w="343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Debt Discounts</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(5,874)</w:t>
            </w:r>
          </w:p>
        </w:tc>
        <w:tc>
          <w:tcPr>
            <w:tcW w:w="109" w:type="dxa"/>
            <w:tcBorders/>
            <w:vAlign w:val="center"/>
          </w:tcPr>
          <w:p>
            <w:pPr>
              <w:pStyle w:val="TableContents"/>
              <w:bidi w:val="0"/>
              <w:spacing w:before="1"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(1,091)</w:t>
            </w:r>
          </w:p>
        </w:tc>
        <w:tc>
          <w:tcPr>
            <w:tcW w:w="109" w:type="dxa"/>
            <w:tcBorders/>
            <w:vAlign w:val="center"/>
          </w:tcPr>
          <w:p>
            <w:pPr>
              <w:pStyle w:val="TableContents"/>
              <w:bidi w:val="0"/>
              <w:spacing w:before="1"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(2,107)</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right w:val="single" w:sz="2" w:space="0" w:color="000000"/>
            </w:tcBorders>
            <w:tcMar>
              <w:bottom w:w="28" w:type="dxa"/>
              <w:right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(9,072)</w:t>
            </w:r>
          </w:p>
        </w:tc>
        <w:tc>
          <w:tcPr>
            <w:tcW w:w="258" w:type="dxa"/>
            <w:tcBorders>
              <w:left w:val="single" w:sz="2" w:space="0" w:color="000000"/>
              <w:bottom w:val="single" w:sz="2" w:space="0" w:color="000000"/>
            </w:tcBorders>
            <w:tcMar>
              <w:left w:w="28" w:type="dxa"/>
              <w:bottom w:w="28" w:type="dxa"/>
            </w:tcMar>
            <w:vAlign w:val="center"/>
          </w:tcPr>
          <w:p>
            <w:pPr>
              <w:pStyle w:val="TableContents"/>
              <w:bidi w:val="0"/>
              <w:spacing w:before="1" w:after="1"/>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343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Book Value as of June 30, 2026</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333,698</w:t>
            </w:r>
          </w:p>
        </w:tc>
        <w:tc>
          <w:tcPr>
            <w:tcW w:w="109" w:type="dxa"/>
            <w:tcBorders/>
            <w:shd w:fill="CCEEFF" w:val="clear"/>
            <w:vAlign w:val="center"/>
          </w:tcPr>
          <w:p>
            <w:pPr>
              <w:pStyle w:val="TableContents"/>
              <w:bidi w:val="0"/>
              <w:spacing w:before="1"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63,909</w:t>
            </w:r>
          </w:p>
        </w:tc>
        <w:tc>
          <w:tcPr>
            <w:tcW w:w="109" w:type="dxa"/>
            <w:tcBorders/>
            <w:shd w:fill="CCEEFF" w:val="clear"/>
            <w:vAlign w:val="center"/>
          </w:tcPr>
          <w:p>
            <w:pPr>
              <w:pStyle w:val="TableContents"/>
              <w:bidi w:val="0"/>
              <w:spacing w:before="1"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115,706</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513,313</w:t>
            </w:r>
          </w:p>
        </w:tc>
        <w:tc>
          <w:tcPr>
            <w:tcW w:w="258"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35,227</w:t>
            </w:r>
          </w:p>
        </w:tc>
      </w:tr>
    </w:tbl>
    <w:p>
      <w:pPr>
        <w:pStyle w:val="TextBody"/>
        <w:bidi w:val="0"/>
        <w:spacing w:before="100" w:after="100"/>
        <w:ind w:left="0" w:right="0" w:hanging="0"/>
        <w:jc w:val="both"/>
        <w:rPr/>
      </w:pPr>
      <w:r>
        <w:rPr/>
        <w:t>​</w:t>
      </w:r>
    </w:p>
    <w:p>
      <w:pPr>
        <w:pStyle w:val="TextBody"/>
        <w:bidi w:val="0"/>
        <w:spacing w:before="100" w:after="100"/>
        <w:ind w:left="0" w:right="0" w:hanging="0"/>
        <w:jc w:val="both"/>
        <w:rPr/>
      </w:pPr>
      <w:r>
        <w:rPr/>
        <w:t>​</w:t>
      </w:r>
    </w:p>
    <w:p>
      <w:pPr>
        <w:pStyle w:val="TextBody"/>
        <w:bidi w:val="0"/>
        <w:spacing w:before="100" w:after="100"/>
        <w:ind w:left="0" w:right="0" w:hanging="0"/>
        <w:jc w:val="both"/>
        <w:rPr/>
      </w:pPr>
      <w:r>
        <w:rPr/>
        <w:t>​</w:t>
      </w:r>
    </w:p>
    <w:p>
      <w:pPr>
        <w:pStyle w:val="TextBody"/>
        <w:pBdr/>
        <w:bidi w:val="0"/>
        <w:spacing w:before="100" w:after="100"/>
        <w:ind w:left="0" w:right="0" w:hanging="720"/>
        <w:jc w:val="left"/>
        <w:rPr/>
      </w:pPr>
      <w:r>
        <w:rPr/>
        <w:t>​</w:t>
      </w:r>
    </w:p>
    <w:p>
      <w:pPr>
        <w:pStyle w:val="TextBody"/>
        <w:bidi w:val="0"/>
        <w:spacing w:before="100" w:after="100"/>
        <w:ind w:left="0" w:right="0" w:firstLine="720"/>
        <w:jc w:val="left"/>
        <w:rPr/>
      </w:pPr>
      <w:r>
        <w:rPr/>
        <w:t>​</w:t>
      </w:r>
    </w:p>
    <w:p>
      <w:pPr>
        <w:pStyle w:val="TextBody"/>
        <w:bidi w:val="0"/>
        <w:spacing w:before="100" w:after="100"/>
        <w:ind w:left="0" w:right="0" w:firstLine="720"/>
        <w:jc w:val="left"/>
        <w:rPr/>
      </w:pPr>
      <w:r>
        <w:rPr/>
        <w:t>​</w:t>
      </w:r>
    </w:p>
    <w:p>
      <w:pPr>
        <w:pStyle w:val="TextBody"/>
        <w:bidi w:val="0"/>
        <w:spacing w:before="100" w:after="100"/>
        <w:ind w:left="0" w:right="0" w:firstLine="720"/>
        <w:jc w:val="left"/>
        <w:rPr/>
      </w:pPr>
      <w:r>
        <w:rPr/>
        <w:t>​</w:t>
      </w:r>
    </w:p>
    <w:p>
      <w:pPr>
        <w:pStyle w:val="TextBody"/>
        <w:bidi w:val="0"/>
        <w:spacing w:before="100" w:after="100"/>
        <w:ind w:left="0" w:right="0" w:firstLine="720"/>
        <w:jc w:val="left"/>
        <w:rPr/>
      </w:pPr>
      <w:r>
        <w:rPr/>
        <w:t>​</w:t>
      </w:r>
    </w:p>
    <w:p>
      <w:pPr>
        <w:pStyle w:val="TextBody"/>
        <w:bidi w:val="0"/>
        <w:spacing w:before="100" w:after="10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9. GOVERNMENT SUPPORT AND SPECTRUM MATTERS</w:t>
      </w:r>
    </w:p>
    <w:p>
      <w:pPr>
        <w:pStyle w:val="TextBody"/>
        <w:pBdr/>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Universal Service Fund and Other Domestic Funding Programs</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recognizes revenue from several government funded programs including but not limited to,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receives federal Universal Service Fund (“USF”) support under the Alaska Connect Fund (“ACF”). Beginning January 1, 2025, the Company began receiving $25.6</w:t>
            </w:r>
            <w:r>
              <w:rPr>
                <w:caps w:val="false"/>
                <w:smallCaps w:val="false"/>
              </w:rPr>
              <w:t xml:space="preserve"> </w:t>
            </w:r>
            <w:r>
              <w:rPr>
                <w:rFonts w:ascii="Times New Roman;Times;serif" w:hAnsi="Times New Roman;Times;serif"/>
                <w:b w:val="false"/>
                <w:i w:val="false"/>
                <w:caps w:val="false"/>
                <w:smallCaps w:val="false"/>
                <w:sz w:val="20"/>
              </w:rPr>
              <w:t>million per year and expects to continue receiving such annual funding until December 31, 2028. Beginning in 2029 and continuing through 2034, the amount of ACF support will be determined by the Federal Communications Commission (“FCC”) staff taking into consideration broadband deployment funded through the Broadband Equity Access and Deployment Program;</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part of the Enhanced Alternative Connect America Model (“E-ACAM”) funding available to the Company’s operations in the western US, the Company expects to receive</w:t>
            </w:r>
            <w:r>
              <w:rPr>
                <w:caps w:val="false"/>
                <w:smallCaps w:val="false"/>
                <w:shd w:fill="FFFFFF" w:val="clear"/>
              </w:rPr>
              <w:t xml:space="preserve"> </w:t>
            </w:r>
            <w:r>
              <w:rPr>
                <w:rFonts w:ascii="Times New Roman;Times;serif" w:hAnsi="Times New Roman;Times;serif"/>
                <w:b w:val="false"/>
                <w:i w:val="false"/>
                <w:caps w:val="false"/>
                <w:smallCaps w:val="false"/>
                <w:sz w:val="20"/>
              </w:rPr>
              <w:t>approximately $9</w:t>
            </w:r>
            <w:r>
              <w:rPr>
                <w:caps w:val="false"/>
                <w:smallCaps w:val="false"/>
              </w:rPr>
              <w:t xml:space="preserve"> </w:t>
            </w:r>
            <w:r>
              <w:rPr>
                <w:rFonts w:ascii="Times New Roman;Times;serif" w:hAnsi="Times New Roman;Times;serif"/>
                <w:b w:val="false"/>
                <w:i w:val="false"/>
                <w:caps w:val="false"/>
                <w:smallCaps w:val="false"/>
                <w:sz w:val="20"/>
              </w:rPr>
              <w:t>million annually through 2029 before gradually increasing to $13</w:t>
            </w:r>
            <w:r>
              <w:rPr>
                <w:caps w:val="false"/>
                <w:smallCaps w:val="false"/>
              </w:rPr>
              <w:t xml:space="preserve"> </w:t>
            </w:r>
            <w:r>
              <w:rPr>
                <w:rFonts w:ascii="Times New Roman;Times;serif" w:hAnsi="Times New Roman;Times;serif"/>
                <w:b w:val="false"/>
                <w:i w:val="false"/>
                <w:caps w:val="false"/>
                <w:smallCaps w:val="false"/>
                <w:sz w:val="20"/>
              </w:rPr>
              <w:t>million annually in 2038. This funding is subject to a requirement to deploy voice and broadband service at speeds of 100/20 Mbps to all required locations by the end of the calendar 2038;</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receives $8.0</w:t>
            </w:r>
            <w:r>
              <w:rPr>
                <w:caps w:val="false"/>
                <w:smallCaps w:val="false"/>
              </w:rPr>
              <w:t xml:space="preserve"> </w:t>
            </w:r>
            <w:r>
              <w:rPr>
                <w:rFonts w:ascii="Times New Roman;Times;serif" w:hAnsi="Times New Roman;Times;serif"/>
                <w:b w:val="false"/>
                <w:i w:val="false"/>
                <w:caps w:val="false"/>
                <w:smallCaps w:val="false"/>
                <w:sz w:val="20"/>
              </w:rPr>
              <w:t>million per year in Connect America Fund II (“CAF II”) support in the rural southwest until July 2028;</w:t>
            </w:r>
          </w:p>
        </w:tc>
      </w:tr>
    </w:tbl>
    <w:tbl>
      <w:tblPr>
        <w:tblW w:w="8946" w:type="dxa"/>
        <w:jc w:val="left"/>
        <w:tblInd w:w="0" w:type="dxa"/>
        <w:shd w:fill="FFFFFF" w:val="clear"/>
        <w:tblLayout w:type="fixed"/>
        <w:tblCellMar>
          <w:top w:w="28" w:type="dxa"/>
          <w:left w:w="28" w:type="dxa"/>
          <w:bottom w:w="28" w:type="dxa"/>
          <w:right w:w="28" w:type="dxa"/>
        </w:tblCellMar>
      </w:tblPr>
      <w:tblGrid>
        <w:gridCol w:w="124"/>
        <w:gridCol w:w="256"/>
        <w:gridCol w:w="856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received $5.5</w:t>
            </w:r>
            <w:r>
              <w:rPr>
                <w:caps w:val="false"/>
                <w:smallCaps w:val="false"/>
              </w:rPr>
              <w:t xml:space="preserve"> </w:t>
            </w:r>
            <w:r>
              <w:rPr>
                <w:rFonts w:ascii="Times New Roman;Times;serif" w:hAnsi="Times New Roman;Times;serif"/>
                <w:b w:val="false"/>
                <w:i w:val="false"/>
                <w:caps w:val="false"/>
                <w:smallCaps w:val="false"/>
                <w:sz w:val="20"/>
              </w:rPr>
              <w:t>million annually in the US Virgin Islands through December 31, 2025; and</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receives state USF support in Alaska of approximately $2.5</w:t>
            </w:r>
            <w:r>
              <w:rPr>
                <w:caps w:val="false"/>
                <w:smallCaps w:val="false"/>
              </w:rPr>
              <w:t xml:space="preserve"> </w:t>
            </w:r>
            <w:r>
              <w:rPr>
                <w:rFonts w:ascii="Times New Roman;Times;serif" w:hAnsi="Times New Roman;Times;serif"/>
                <w:b w:val="false"/>
                <w:i w:val="false"/>
                <w:caps w:val="false"/>
                <w:smallCaps w:val="false"/>
                <w:sz w:val="20"/>
              </w:rPr>
              <w:t>million annually.</w:t>
            </w:r>
          </w:p>
        </w:tc>
      </w:tr>
    </w:tbl>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As of June 30, 2026, the Company was in compliance in all material respects with its requirements associated with such funding.</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participates in the FCC’s Rural Health Care Universal Service Support Mechanism (“RHC Program”). During the three months ended June 30, 2026 and 2025, the Company received $6.6 million and $4.4 million, respectively, related to RHC Program funding. During the six months ended June 30, 2026 and 2025, the Company received $12.9 million and $8.7 million, respectively, related to RHC Program funding.</w:t>
      </w:r>
    </w:p>
    <w:p>
      <w:pPr>
        <w:pStyle w:val="TextBody"/>
        <w:bidi w:val="0"/>
        <w:spacing w:before="280" w:after="160"/>
        <w:ind w:left="0" w:right="0" w:firstLine="720"/>
        <w:jc w:val="both"/>
        <w:rPr>
          <w:rFonts w:ascii="Times New Roman;Times;serif" w:hAnsi="Times New Roman;Times;serif"/>
          <w:sz w:val="20"/>
        </w:rPr>
      </w:pPr>
      <w:r>
        <w:rPr>
          <w:rFonts w:ascii="Times New Roman;Times;serif" w:hAnsi="Times New Roman;Times;serif"/>
          <w:sz w:val="20"/>
        </w:rPr>
        <w:t>Revenue recognized from the USF High Cost Program, including the CAF II, ACF, and E-ACAM programs, is recognized as revenue from government grants.  Revenue from other programs is recognized in accordance with ASC 606.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bookmarkStart w:id="1578" w:name="Tc_vQxmyW2tT0WnVL_sSkYvjw_5_1"/>
      <w:bookmarkStart w:id="1579" w:name="Tc_t_hxIft-F0uPw6a_noifeA_5_0"/>
      <w:bookmarkStart w:id="1580" w:name="Tc_qimNLqCCG0CeODSqIjZ8_A_4_2"/>
      <w:bookmarkStart w:id="1581" w:name="Tc_Sid0uH0YZUmNzBOqAaP-PQ_4_0"/>
      <w:bookmarkStart w:id="1582" w:name="Tc_UWg9j1RJrkGdWU_x3Dnh8g_3_0"/>
      <w:bookmarkStart w:id="1583" w:name="Tc_YuShyIZXHke60ZB2G6ZLoA_2_1"/>
      <w:bookmarkStart w:id="1584" w:name="Tc_UdTiJGjUSUep1uCw_U6mvg_2_0"/>
      <w:bookmarkStart w:id="1585" w:name="Tc_qSFpODZHakmhjQUgRFyMrw_1_1"/>
      <w:bookmarkStart w:id="1586" w:name="Tc_UuvedSbCwEeTvtrgxFGulA_11_16"/>
      <w:bookmarkStart w:id="1587" w:name="Tc_NH5gDqFD1ES5GVsYMT6kAg_11_13"/>
      <w:bookmarkStart w:id="1588" w:name="Tc_EydItZhXR0aG8owlZcDPnw_11_10"/>
      <w:bookmarkStart w:id="1589" w:name="Tc_oZm13_Si_0m6xy95WUo_gA_11_7"/>
      <w:bookmarkStart w:id="1590" w:name="Tc_jZFu8lrFc0Opwl_Iz87QvQ_11_4"/>
      <w:bookmarkStart w:id="1591" w:name="Tc_xk_Gm2bZD0Sr0SVMs6i3pQ_11_1"/>
      <w:bookmarkStart w:id="1592" w:name="Tc_R2yFHlHpD0GQWoL7W03q9g_11_0"/>
      <w:bookmarkStart w:id="1593" w:name="Tc_suKVFOmvsUyn9QQ7oEM6zw_10_0"/>
      <w:bookmarkStart w:id="1594" w:name="Tc_VfL2wLPpGkuPR20XBrvTLg_9_14"/>
      <w:bookmarkStart w:id="1595" w:name="Tc_Q4ldjYW7o0GKhr7lMJR1sw_9_5"/>
      <w:bookmarkStart w:id="1596" w:name="Tc_7d6CDEVgf0aJbjVdWYYlMw_9_0"/>
      <w:bookmarkStart w:id="1597" w:name="Tc_oVs19nGKs02IwAhUs1TQuQ_8_14"/>
      <w:bookmarkStart w:id="1598" w:name="Tc_KFY2u_8rgEOd-JkYqXpTHg_8_5"/>
      <w:bookmarkStart w:id="1599" w:name="Tc_wK_TL41CFE6oUvM0ZKofGg_8_0"/>
      <w:bookmarkStart w:id="1600" w:name="Tc_2wFU2UpYLUanWErKM_pKqg_7_14"/>
      <w:bookmarkStart w:id="1601" w:name="Tc_BB1LmGXmmUSOUtwbV26avw_7_5"/>
      <w:bookmarkStart w:id="1602" w:name="Tc_T0uJWix2L0i86sALNk9QTg_7_0"/>
      <w:bookmarkStart w:id="1603" w:name="Tc_sl2WHcDGnkWW-ZRcnTkE1w_6_16"/>
      <w:bookmarkStart w:id="1604" w:name="Tc_um4ofbznqUebvhkqhqmBCg_6_13"/>
      <w:bookmarkStart w:id="1605" w:name="Tc_AleeI69TTkqCqIIjJ_FbRg_6_10"/>
      <w:bookmarkStart w:id="1606" w:name="Tc_H721eqWCaU-umhMm16xlsQ_6_7"/>
      <w:bookmarkStart w:id="1607" w:name="Tc_ol70UmAXc0uVwobtjmIFZw_6_5"/>
      <w:bookmarkStart w:id="1608" w:name="Tc_owi-F4Zu1UmunmNoGTitnA_6_4"/>
      <w:bookmarkStart w:id="1609" w:name="Tc_bQQNEud11Uqw7KqXn--K7A_6_1"/>
      <w:bookmarkStart w:id="1610" w:name="Tc_yeYAMSIuEk2TodrAxL5Fgw_6_0"/>
      <w:bookmarkStart w:id="1611" w:name="Tc_2XRdgqd8WUaSrqyxUQLT6A_4_16"/>
      <w:bookmarkStart w:id="1612" w:name="Tc_QlbjG8p0lk6nMqcLKPptHA_4_13"/>
      <w:bookmarkStart w:id="1613" w:name="Tc_cDFnthW4oUy8A9NigWSt0w_4_10"/>
      <w:bookmarkStart w:id="1614" w:name="Tc_hdFnB3eCb0eGhOI3pncnYw_4_7"/>
      <w:bookmarkStart w:id="1615" w:name="Tc_swaXnult1U6I3dBY6wf5LQ_4_4"/>
      <w:bookmarkStart w:id="1616" w:name="Tc_7klYXI0a0k2gA7OeGxiSXg_4_1"/>
      <w:bookmarkStart w:id="1617" w:name="Tc_WhNJRUIToEyJPDdL_RqA7g_2_10"/>
      <w:bookmarkStart w:id="1618" w:name="Tc_u_yQ61UPzk-hLTA9JdHGug_2_1"/>
      <w:bookmarkStart w:id="1619" w:name="Tc_xfQAn9U0ZkqPnJPNFfjHOw_1_10"/>
      <w:bookmarkStart w:id="1620" w:name="Tc_ubTj53qv8ESBGUSxNskN_w_1_1"/>
      <w:bookmarkStart w:id="1621" w:name="_5c16867a_2008_44d9_9efd_3cffdcdbdc7f"/>
      <w:bookmarkStart w:id="1622" w:name="Tc_A2SKEQT6bUq9hGeNlCxY8g_11_16"/>
      <w:bookmarkStart w:id="1623" w:name="Tc_bKgNwbuko0WEnvPN7mC74g_11_13"/>
      <w:bookmarkStart w:id="1624" w:name="Tc_EtAmbmE_uEOun0Q6vBD5aw_11_10"/>
      <w:bookmarkStart w:id="1625" w:name="Tc_qgQqZYGVhk-ag83jGlFAmA_11_7"/>
      <w:bookmarkStart w:id="1626" w:name="Tc_ExEs8ubFlUGQVE-A3BN2Kw_11_4"/>
      <w:bookmarkStart w:id="1627" w:name="Tc_ewpOnWrr1ECfbzM9bZJ3ZA_11_1"/>
      <w:bookmarkStart w:id="1628" w:name="Tc_Ie7XlwzctE-4OeuzBSaSeQ_11_0"/>
      <w:bookmarkStart w:id="1629" w:name="Tc_6F210EpgnUGzp5KobU70Uw_10_0"/>
      <w:bookmarkStart w:id="1630" w:name="Tc_2q4_ts7anU6Fr-Mh_h765w_9_14"/>
      <w:bookmarkStart w:id="1631" w:name="Tc_GfjFin6vNEW7hAKQSsah-Q_9_5"/>
      <w:bookmarkStart w:id="1632" w:name="Tc_sfPmlVitI0ysjlbQULf0WA_9_0"/>
      <w:bookmarkStart w:id="1633" w:name="Tc_sjapUAc9eUSrfMqm9h2vgA_8_14"/>
      <w:bookmarkStart w:id="1634" w:name="Tc_6FjylU5dbEG9UYkj4_G3Pg_8_5"/>
      <w:bookmarkStart w:id="1635" w:name="Tc_L6tlutFW70usF_GceD9iFA_8_0"/>
      <w:bookmarkStart w:id="1636" w:name="Tc_x0fDboskxU2n6ouM0AYbAQ_7_14"/>
      <w:bookmarkStart w:id="1637" w:name="Tc_4wkLAAHqUkC7Z6Ya1zT19g_7_5"/>
      <w:bookmarkStart w:id="1638" w:name="Tc_KKTwouii20KNI99FBIr5qQ_7_0"/>
      <w:bookmarkStart w:id="1639" w:name="Tc_fwlTL_2G502pKwHBrF3nrQ_6_16"/>
      <w:bookmarkStart w:id="1640" w:name="Tc_Sfk0uqBY10WBAl3TREG_nw_6_13"/>
      <w:bookmarkStart w:id="1641" w:name="Tc_dOb_ZqNDg0-0bAfSgZPIFw_6_10"/>
      <w:bookmarkStart w:id="1642" w:name="Tc_gnqjGAfF9k6gbXjZYzm_sw_6_7"/>
      <w:bookmarkStart w:id="1643" w:name="Tc_y3JW0eJ9wEC1Z0lbsv0pBQ_6_5"/>
      <w:bookmarkStart w:id="1644" w:name="Tc_vdkySQKoZkSJwQdObKMqJQ_6_4"/>
      <w:bookmarkStart w:id="1645" w:name="Tc_Izacl_jGGE63nzGK22nyaw_6_1"/>
      <w:bookmarkStart w:id="1646" w:name="Tc_QGBJiC1kq0m7O7jnZZNmDA_6_0"/>
      <w:bookmarkStart w:id="1647" w:name="Tc_2qFli1WMqky6FeyoSEb8cA_4_16"/>
      <w:bookmarkStart w:id="1648" w:name="Tc_BY5_ELHIGUKdS6Ir_qX9cQ_4_13"/>
      <w:bookmarkStart w:id="1649" w:name="Tc_BZ-7nVURykGByFbNqP_OWg_4_10"/>
      <w:bookmarkStart w:id="1650" w:name="Tc_O1DJKua7EkivnNylKbVuOg_4_7"/>
      <w:bookmarkStart w:id="1651" w:name="Tc_UsHnTDrpskC_Y6A4jzcJVA_4_4"/>
      <w:bookmarkStart w:id="1652" w:name="Tc_mQU3Dlc37UCbFUoAf52NWw_4_1"/>
      <w:bookmarkStart w:id="1653" w:name="Tc_HQm83inFe0aqojAYecyE1w_2_10"/>
      <w:bookmarkStart w:id="1654" w:name="Tc_7h-ivos-8EyK053yq6YmFg_2_1"/>
      <w:bookmarkStart w:id="1655" w:name="Tc_Jh1UFKKGlEqb6ofjRalJWA_1_10"/>
      <w:bookmarkStart w:id="1656" w:name="Tc_VkN2DOymOk-DRUo4J5JiCA_1_1"/>
      <w:bookmarkStart w:id="1657" w:name="_f47859ec_90e2_4bca_9df9_5768673c3aa3"/>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r>
        <w:rPr>
          <w:rFonts w:ascii="Times New Roman;Times;serif" w:hAnsi="Times New Roman;Times;serif"/>
          <w:sz w:val="20"/>
        </w:rPr>
        <w:t xml:space="preserve">The Company recorded the amounts below as communication services revenue for the reported periods (in thousands): </w:t>
      </w:r>
    </w:p>
    <w:p>
      <w:pPr>
        <w:pStyle w:val="TextBody"/>
        <w:bidi w:val="0"/>
        <w:spacing w:before="0" w:after="0"/>
        <w:ind w:left="0" w:right="0" w:hanging="0"/>
        <w:jc w:val="both"/>
        <w:rPr/>
      </w:pPr>
      <w:r>
        <w:rPr/>
        <w:t>​</w:t>
      </w:r>
    </w:p>
    <w:tbl>
      <w:tblPr>
        <w:tblW w:w="9805" w:type="dxa"/>
        <w:jc w:val="left"/>
        <w:tblInd w:w="0" w:type="dxa"/>
        <w:tblLayout w:type="fixed"/>
        <w:tblCellMar>
          <w:top w:w="0" w:type="dxa"/>
          <w:left w:w="0" w:type="dxa"/>
          <w:bottom w:w="0" w:type="dxa"/>
          <w:right w:w="0" w:type="dxa"/>
        </w:tblCellMar>
      </w:tblPr>
      <w:tblGrid>
        <w:gridCol w:w="2041"/>
        <w:gridCol w:w="228"/>
        <w:gridCol w:w="732"/>
        <w:gridCol w:w="109"/>
        <w:gridCol w:w="646"/>
        <w:gridCol w:w="1064"/>
        <w:gridCol w:w="109"/>
        <w:gridCol w:w="211"/>
        <w:gridCol w:w="676"/>
        <w:gridCol w:w="109"/>
        <w:gridCol w:w="228"/>
        <w:gridCol w:w="732"/>
        <w:gridCol w:w="109"/>
        <w:gridCol w:w="460"/>
        <w:gridCol w:w="1250"/>
        <w:gridCol w:w="109"/>
        <w:gridCol w:w="211"/>
        <w:gridCol w:w="781"/>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296035" cy="175895"/>
                      <wp:effectExtent l="0" t="0" r="0" b="0"/>
                      <wp:wrapNone/>
                      <wp:docPr id="223" name="Frame223"/>
                      <a:graphic xmlns:a="http://schemas.openxmlformats.org/drawingml/2006/main">
                        <a:graphicData uri="http://schemas.microsoft.com/office/word/2010/wordprocessingShape">
                          <wps:wsp>
                            <wps:cNvSpPr txBox="1"/>
                            <wps:spPr>
                              <a:xfrm>
                                <a:off x="0" y="0"/>
                                <a:ext cx="1296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646" w:type="dxa"/>
            <w:tcBorders/>
            <w:vAlign w:val="center"/>
          </w:tcPr>
          <w:p>
            <w:pPr>
              <w:pStyle w:val="TableContents"/>
              <w:bidi w:val="0"/>
              <w:spacing w:before="1" w:after="1"/>
              <w:ind w:left="0" w:right="0" w:hanging="0"/>
              <w:jc w:val="left"/>
              <w:rPr/>
            </w:pPr>
            <w:r>
              <w:rPr/>
              <w:t>​</w:t>
            </w:r>
          </w:p>
        </w:tc>
        <w:tc>
          <w:tcPr>
            <w:tcW w:w="1064"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895"/>
                      <wp:effectExtent l="0" t="0" r="0" b="0"/>
                      <wp:wrapNone/>
                      <wp:docPr id="224" name="Frame22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44780" cy="175895"/>
                      <wp:effectExtent l="0" t="0" r="0" b="0"/>
                      <wp:wrapNone/>
                      <wp:docPr id="225" name="Frame225"/>
                      <a:graphic xmlns:a="http://schemas.openxmlformats.org/drawingml/2006/main">
                        <a:graphicData uri="http://schemas.microsoft.com/office/word/2010/wordprocessingShape">
                          <wps:wsp>
                            <wps:cNvSpPr txBox="1"/>
                            <wps:spPr>
                              <a:xfrm>
                                <a:off x="0" y="0"/>
                                <a:ext cx="14478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64820" cy="175895"/>
                      <wp:effectExtent l="0" t="0" r="0" b="0"/>
                      <wp:wrapNone/>
                      <wp:docPr id="226" name="Frame226"/>
                      <a:graphic xmlns:a="http://schemas.openxmlformats.org/drawingml/2006/main">
                        <a:graphicData uri="http://schemas.microsoft.com/office/word/2010/wordprocessingShape">
                          <wps:wsp>
                            <wps:cNvSpPr txBox="1"/>
                            <wps:spPr>
                              <a:xfrm>
                                <a:off x="0" y="0"/>
                                <a:ext cx="4648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895"/>
                      <wp:effectExtent l="0" t="0" r="0" b="0"/>
                      <wp:wrapNone/>
                      <wp:docPr id="227" name="Frame227"/>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92100" cy="175895"/>
                      <wp:effectExtent l="0" t="0" r="0" b="0"/>
                      <wp:wrapNone/>
                      <wp:docPr id="228" name="Frame228"/>
                      <a:graphic xmlns:a="http://schemas.openxmlformats.org/drawingml/2006/main">
                        <a:graphicData uri="http://schemas.microsoft.com/office/word/2010/wordprocessingShape">
                          <wps:wsp>
                            <wps:cNvSpPr txBox="1"/>
                            <wps:spPr>
                              <a:xfrm>
                                <a:off x="0" y="0"/>
                                <a:ext cx="2921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793750" cy="175895"/>
                      <wp:effectExtent l="0" t="0" r="0" b="0"/>
                      <wp:wrapNone/>
                      <wp:docPr id="229" name="Frame229"/>
                      <a:graphic xmlns:a="http://schemas.openxmlformats.org/drawingml/2006/main">
                        <a:graphicData uri="http://schemas.microsoft.com/office/word/2010/wordprocessingShape">
                          <wps:wsp>
                            <wps:cNvSpPr txBox="1"/>
                            <wps:spPr>
                              <a:xfrm>
                                <a:off x="0" y="0"/>
                                <a:ext cx="7937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895"/>
                      <wp:effectExtent l="0" t="0" r="0" b="0"/>
                      <wp:wrapNone/>
                      <wp:docPr id="230" name="Frame230"/>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895"/>
                      <wp:effectExtent l="0" t="0" r="0" b="0"/>
                      <wp:wrapNone/>
                      <wp:docPr id="231" name="Frame23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95935" cy="175895"/>
                      <wp:effectExtent l="0" t="0" r="0" b="0"/>
                      <wp:wrapNone/>
                      <wp:docPr id="232" name="Frame232"/>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1" w:after="1"/>
              <w:ind w:left="0" w:right="0" w:hanging="0"/>
              <w:jc w:val="left"/>
              <w:rPr/>
            </w:pPr>
            <w:r>
              <w:rPr/>
              <w:t>​</w:t>
            </w:r>
          </w:p>
        </w:tc>
        <w:tc>
          <w:tcPr>
            <w:tcW w:w="3775" w:type="dxa"/>
            <w:gridSpan w:val="8"/>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1" w:after="1"/>
              <w:ind w:left="0" w:right="0" w:hanging="0"/>
              <w:jc w:val="left"/>
              <w:rPr/>
            </w:pPr>
            <w:r>
              <w:rPr/>
              <w:t>​</w:t>
            </w:r>
          </w:p>
        </w:tc>
        <w:tc>
          <w:tcPr>
            <w:tcW w:w="3880" w:type="dxa"/>
            <w:gridSpan w:val="8"/>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041" w:type="dxa"/>
            <w:tcBorders/>
            <w:vAlign w:val="center"/>
          </w:tcPr>
          <w:p>
            <w:pPr>
              <w:pStyle w:val="TableContents"/>
              <w:bidi w:val="0"/>
              <w:spacing w:before="1" w:after="1"/>
              <w:ind w:left="0" w:right="0" w:hanging="0"/>
              <w:jc w:val="left"/>
              <w:rPr/>
            </w:pPr>
            <w:r>
              <w:rPr/>
              <w:t>​</w:t>
            </w:r>
          </w:p>
        </w:tc>
        <w:tc>
          <w:tcPr>
            <w:tcW w:w="3775"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1" w:after="1"/>
              <w:ind w:left="0" w:right="0" w:hanging="0"/>
              <w:jc w:val="left"/>
              <w:rPr/>
            </w:pPr>
            <w:r>
              <w:rPr/>
              <w:t>​</w:t>
            </w:r>
          </w:p>
        </w:tc>
        <w:tc>
          <w:tcPr>
            <w:tcW w:w="3880"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2041" w:type="dxa"/>
            <w:tcBorders/>
            <w:vAlign w:val="center"/>
          </w:tcPr>
          <w:p>
            <w:pPr>
              <w:pStyle w:val="TableContents"/>
              <w:bidi w:val="0"/>
              <w:spacing w:before="1" w:after="1"/>
              <w:ind w:left="0" w:right="0" w:hanging="0"/>
              <w:jc w:val="left"/>
              <w:rPr/>
            </w:pPr>
            <w:r>
              <w:rPr/>
              <w:t>​</w:t>
            </w:r>
          </w:p>
        </w:tc>
        <w:tc>
          <w:tcPr>
            <w:tcW w:w="228" w:type="dxa"/>
            <w:tcBorders/>
            <w:vAlign w:val="center"/>
          </w:tcPr>
          <w:p>
            <w:pPr>
              <w:pStyle w:val="TableContents"/>
              <w:bidi w:val="0"/>
              <w:spacing w:before="1" w:after="1"/>
              <w:ind w:left="0" w:right="0" w:hanging="0"/>
              <w:jc w:val="center"/>
              <w:rPr/>
            </w:pPr>
            <w:r>
              <w:rPr/>
              <w:t>​</w:t>
            </w:r>
          </w:p>
        </w:tc>
        <w:tc>
          <w:tcPr>
            <w:tcW w:w="732"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646" w:type="dxa"/>
            <w:tcBorders/>
            <w:vAlign w:val="center"/>
          </w:tcPr>
          <w:p>
            <w:pPr>
              <w:pStyle w:val="TableContents"/>
              <w:bidi w:val="0"/>
              <w:spacing w:before="1" w:after="1"/>
              <w:ind w:left="0" w:right="0" w:hanging="0"/>
              <w:jc w:val="center"/>
              <w:rPr/>
            </w:pPr>
            <w:r>
              <w:rPr/>
              <w:t>​</w:t>
            </w:r>
          </w:p>
        </w:tc>
        <w:tc>
          <w:tcPr>
            <w:tcW w:w="1064"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11" w:type="dxa"/>
            <w:tcBorders/>
            <w:vAlign w:val="center"/>
          </w:tcPr>
          <w:p>
            <w:pPr>
              <w:pStyle w:val="TableContents"/>
              <w:bidi w:val="0"/>
              <w:spacing w:before="1" w:after="1"/>
              <w:ind w:left="0" w:right="0" w:hanging="0"/>
              <w:jc w:val="center"/>
              <w:rPr/>
            </w:pPr>
            <w:r>
              <w:rPr/>
              <w:t>​</w:t>
            </w:r>
          </w:p>
        </w:tc>
        <w:tc>
          <w:tcPr>
            <w:tcW w:w="676"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left"/>
              <w:rPr/>
            </w:pPr>
            <w:r>
              <w:rPr/>
              <w:t>​</w: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r>
      <w:tr>
        <w:trPr/>
        <w:tc>
          <w:tcPr>
            <w:tcW w:w="2041" w:type="dxa"/>
            <w:tcBorders/>
            <w:vAlign w:val="center"/>
          </w:tcPr>
          <w:p>
            <w:pPr>
              <w:pStyle w:val="TableContents"/>
              <w:bidi w:val="0"/>
              <w:spacing w:before="1" w:after="1"/>
              <w:ind w:left="0" w:right="0" w:hanging="0"/>
              <w:jc w:val="left"/>
              <w:rPr/>
            </w:pPr>
            <w:r>
              <w:rPr/>
              <w:t>​</w:t>
            </w:r>
          </w:p>
        </w:tc>
        <w:tc>
          <w:tcPr>
            <w:tcW w:w="96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US Telecom</w:t>
            </w:r>
          </w:p>
        </w:tc>
        <w:tc>
          <w:tcPr>
            <w:tcW w:w="109" w:type="dxa"/>
            <w:tcBorders/>
            <w:vAlign w:val="center"/>
          </w:tcPr>
          <w:p>
            <w:pPr>
              <w:pStyle w:val="TableContents"/>
              <w:bidi w:val="0"/>
              <w:spacing w:before="1" w:after="1"/>
              <w:ind w:left="0" w:right="0" w:hanging="0"/>
              <w:jc w:val="center"/>
              <w:rPr/>
            </w:pPr>
            <w:r>
              <w:rPr/>
              <w:t>​</w:t>
            </w:r>
          </w:p>
        </w:tc>
        <w:tc>
          <w:tcPr>
            <w:tcW w:w="171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International Telecom</w:t>
            </w:r>
          </w:p>
        </w:tc>
        <w:tc>
          <w:tcPr>
            <w:tcW w:w="109" w:type="dxa"/>
            <w:tcBorders/>
            <w:vAlign w:val="center"/>
          </w:tcPr>
          <w:p>
            <w:pPr>
              <w:pStyle w:val="TableContents"/>
              <w:bidi w:val="0"/>
              <w:spacing w:before="1"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c>
          <w:tcPr>
            <w:tcW w:w="109" w:type="dxa"/>
            <w:tcBorders/>
            <w:vAlign w:val="center"/>
          </w:tcPr>
          <w:p>
            <w:pPr>
              <w:pStyle w:val="TableContents"/>
              <w:bidi w:val="0"/>
              <w:spacing w:before="1" w:after="1"/>
              <w:ind w:left="0" w:right="0" w:hanging="0"/>
              <w:jc w:val="left"/>
              <w:rPr/>
            </w:pPr>
            <w:r>
              <w:rPr/>
              <w:t>​</w:t>
            </w:r>
          </w:p>
        </w:tc>
        <w:tc>
          <w:tcPr>
            <w:tcW w:w="96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US Telecom</w:t>
            </w:r>
          </w:p>
        </w:tc>
        <w:tc>
          <w:tcPr>
            <w:tcW w:w="109" w:type="dxa"/>
            <w:tcBorders/>
            <w:vAlign w:val="center"/>
          </w:tcPr>
          <w:p>
            <w:pPr>
              <w:pStyle w:val="TableContents"/>
              <w:bidi w:val="0"/>
              <w:spacing w:before="1" w:after="1"/>
              <w:ind w:left="0" w:right="0" w:hanging="0"/>
              <w:jc w:val="center"/>
              <w:rPr/>
            </w:pPr>
            <w:r>
              <w:rPr/>
              <w:t>​</w:t>
            </w:r>
          </w:p>
        </w:tc>
        <w:tc>
          <w:tcPr>
            <w:tcW w:w="171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International Telecom</w:t>
            </w:r>
          </w:p>
        </w:tc>
        <w:tc>
          <w:tcPr>
            <w:tcW w:w="109" w:type="dxa"/>
            <w:tcBorders/>
            <w:vAlign w:val="center"/>
          </w:tcPr>
          <w:p>
            <w:pPr>
              <w:pStyle w:val="TableContents"/>
              <w:bidi w:val="0"/>
              <w:spacing w:before="1"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2041" w:type="dxa"/>
            <w:tcBorders/>
            <w:vAlign w:val="center"/>
          </w:tcPr>
          <w:p>
            <w:pPr>
              <w:pStyle w:val="TableContents"/>
              <w:bidi w:val="0"/>
              <w:spacing w:before="1" w:after="1"/>
              <w:ind w:left="0" w:right="0" w:hanging="0"/>
              <w:jc w:val="left"/>
              <w:rPr/>
            </w:pPr>
            <w:r>
              <w:rPr/>
              <w:t>​</w: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646" w:type="dxa"/>
            <w:tcBorders/>
            <w:vAlign w:val="center"/>
          </w:tcPr>
          <w:p>
            <w:pPr>
              <w:pStyle w:val="TableContents"/>
              <w:bidi w:val="0"/>
              <w:spacing w:before="1" w:after="1"/>
              <w:ind w:left="0" w:right="0" w:hanging="0"/>
              <w:jc w:val="left"/>
              <w:rPr/>
            </w:pPr>
            <w:r>
              <w:rPr/>
              <w:t>​</w:t>
            </w:r>
          </w:p>
        </w:tc>
        <w:tc>
          <w:tcPr>
            <w:tcW w:w="1064"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r>
      <w:tr>
        <w:trPr/>
        <w:tc>
          <w:tcPr>
            <w:tcW w:w="20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High cost support</w:t>
            </w:r>
          </w:p>
        </w:tc>
        <w:tc>
          <w:tcPr>
            <w:tcW w:w="22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3,495</w:t>
            </w:r>
          </w:p>
        </w:tc>
        <w:tc>
          <w:tcPr>
            <w:tcW w:w="109" w:type="dxa"/>
            <w:tcBorders/>
            <w:shd w:fill="CCEEFF" w:val="clear"/>
            <w:vAlign w:val="center"/>
          </w:tcPr>
          <w:p>
            <w:pPr>
              <w:pStyle w:val="TableContents"/>
              <w:bidi w:val="0"/>
              <w:spacing w:before="1" w:after="1"/>
              <w:ind w:left="0" w:right="0" w:hanging="0"/>
              <w:jc w:val="left"/>
              <w:rPr/>
            </w:pPr>
            <w:r>
              <w:rPr/>
              <w:t>​</w:t>
            </w:r>
          </w:p>
        </w:tc>
        <w:tc>
          <w:tcPr>
            <w:tcW w:w="64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3,495</w:t>
            </w:r>
          </w:p>
        </w:tc>
        <w:tc>
          <w:tcPr>
            <w:tcW w:w="109" w:type="dxa"/>
            <w:tcBorders/>
            <w:shd w:fill="CCEEFF" w:val="clear"/>
            <w:vAlign w:val="center"/>
          </w:tcPr>
          <w:p>
            <w:pPr>
              <w:pStyle w:val="TableContents"/>
              <w:bidi w:val="0"/>
              <w:spacing w:before="1" w:after="1"/>
              <w:ind w:left="0" w:right="0" w:hanging="0"/>
              <w:jc w:val="left"/>
              <w:rPr/>
            </w:pPr>
            <w:r>
              <w:rPr/>
              <w:t>​</w:t>
            </w:r>
          </w:p>
        </w:tc>
        <w:tc>
          <w:tcPr>
            <w:tcW w:w="22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3,101</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1,370</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4,471</w:t>
            </w:r>
          </w:p>
        </w:tc>
      </w:tr>
      <w:tr>
        <w:trPr/>
        <w:tc>
          <w:tcPr>
            <w:tcW w:w="204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CAF II (including ACF)</w: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8,280</w:t>
            </w:r>
          </w:p>
        </w:tc>
        <w:tc>
          <w:tcPr>
            <w:tcW w:w="109" w:type="dxa"/>
            <w:tcBorders/>
            <w:vAlign w:val="center"/>
          </w:tcPr>
          <w:p>
            <w:pPr>
              <w:pStyle w:val="TableContents"/>
              <w:bidi w:val="0"/>
              <w:spacing w:before="1" w:after="1"/>
              <w:ind w:left="0" w:right="0" w:hanging="0"/>
              <w:jc w:val="left"/>
              <w:rPr/>
            </w:pPr>
            <w:r>
              <w:rPr/>
              <w:t>​</w:t>
            </w:r>
          </w:p>
        </w:tc>
        <w:tc>
          <w:tcPr>
            <w:tcW w:w="646" w:type="dxa"/>
            <w:tcBorders/>
            <w:vAlign w:val="center"/>
          </w:tcPr>
          <w:p>
            <w:pPr>
              <w:pStyle w:val="TableContents"/>
              <w:bidi w:val="0"/>
              <w:spacing w:before="1" w:after="1"/>
              <w:ind w:left="0" w:right="0" w:hanging="0"/>
              <w:jc w:val="left"/>
              <w:rPr/>
            </w:pPr>
            <w:r>
              <w:rPr/>
              <w:t>​</w:t>
            </w:r>
          </w:p>
        </w:tc>
        <w:tc>
          <w:tcPr>
            <w:tcW w:w="1064"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8,280</w:t>
            </w:r>
          </w:p>
        </w:tc>
        <w:tc>
          <w:tcPr>
            <w:tcW w:w="109" w:type="dxa"/>
            <w:tcBorders/>
            <w:vAlign w:val="center"/>
          </w:tcPr>
          <w:p>
            <w:pPr>
              <w:pStyle w:val="TableContents"/>
              <w:bidi w:val="0"/>
              <w:spacing w:before="1" w:after="1"/>
              <w:ind w:left="0" w:right="0" w:hanging="0"/>
              <w:jc w:val="left"/>
              <w:rPr/>
            </w:pPr>
            <w:r>
              <w:rPr/>
              <w:t>​</w: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8,227</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8,227</w:t>
            </w:r>
          </w:p>
        </w:tc>
      </w:tr>
      <w:tr>
        <w:trPr/>
        <w:tc>
          <w:tcPr>
            <w:tcW w:w="20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RDOF</w:t>
            </w:r>
          </w:p>
        </w:tc>
        <w:tc>
          <w:tcPr>
            <w:tcW w:w="228" w:type="dxa"/>
            <w:tcBorders/>
            <w:shd w:fill="CCEEFF" w:val="clear"/>
            <w:vAlign w:val="center"/>
          </w:tcPr>
          <w:p>
            <w:pPr>
              <w:pStyle w:val="TableContents"/>
              <w:bidi w:val="0"/>
              <w:spacing w:before="1" w:after="1"/>
              <w:ind w:left="0" w:right="0" w:hanging="0"/>
              <w:jc w:val="left"/>
              <w:rPr/>
            </w:pPr>
            <w:r>
              <w:rPr/>
              <w:t>​</w:t>
            </w:r>
          </w:p>
        </w:tc>
        <w:tc>
          <w:tcPr>
            <w:tcW w:w="73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109" w:type="dxa"/>
            <w:tcBorders/>
            <w:shd w:fill="CCEEFF" w:val="clear"/>
            <w:vAlign w:val="center"/>
          </w:tcPr>
          <w:p>
            <w:pPr>
              <w:pStyle w:val="TableContents"/>
              <w:bidi w:val="0"/>
              <w:spacing w:before="1" w:after="1"/>
              <w:ind w:left="0" w:right="0" w:hanging="0"/>
              <w:jc w:val="left"/>
              <w:rPr/>
            </w:pPr>
            <w:r>
              <w:rPr/>
              <w:t>​</w:t>
            </w:r>
          </w:p>
        </w:tc>
        <w:tc>
          <w:tcPr>
            <w:tcW w:w="646" w:type="dxa"/>
            <w:tcBorders/>
            <w:shd w:fill="CCEEFF" w:val="clear"/>
            <w:vAlign w:val="center"/>
          </w:tcPr>
          <w:p>
            <w:pPr>
              <w:pStyle w:val="TableContents"/>
              <w:bidi w:val="0"/>
              <w:spacing w:before="1" w:after="1"/>
              <w:ind w:left="0" w:right="0" w:hanging="0"/>
              <w:jc w:val="left"/>
              <w:rPr/>
            </w:pPr>
            <w:r>
              <w:rPr/>
              <w:t>​</w:t>
            </w:r>
          </w:p>
        </w:tc>
        <w:tc>
          <w:tcPr>
            <w:tcW w:w="1064"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109" w:type="dxa"/>
            <w:tcBorders/>
            <w:shd w:fill="CCEEFF" w:val="clear"/>
            <w:vAlign w:val="center"/>
          </w:tcPr>
          <w:p>
            <w:pPr>
              <w:pStyle w:val="TableContents"/>
              <w:bidi w:val="0"/>
              <w:spacing w:before="1" w:after="1"/>
              <w:ind w:left="0" w:right="0" w:hanging="0"/>
              <w:jc w:val="left"/>
              <w:rPr/>
            </w:pPr>
            <w:r>
              <w:rPr/>
              <w:t>​</w:t>
            </w:r>
          </w:p>
        </w:tc>
        <w:tc>
          <w:tcPr>
            <w:tcW w:w="228" w:type="dxa"/>
            <w:tcBorders/>
            <w:shd w:fill="CCEEFF" w:val="clear"/>
            <w:vAlign w:val="center"/>
          </w:tcPr>
          <w:p>
            <w:pPr>
              <w:pStyle w:val="TableContents"/>
              <w:bidi w:val="0"/>
              <w:spacing w:before="1" w:after="1"/>
              <w:ind w:left="0" w:right="0" w:hanging="0"/>
              <w:jc w:val="left"/>
              <w:rPr/>
            </w:pPr>
            <w:r>
              <w:rPr/>
              <w:t>​</w:t>
            </w:r>
          </w:p>
        </w:tc>
        <w:tc>
          <w:tcPr>
            <w:tcW w:w="73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shd w:fill="CCEEFF" w:val="clear"/>
            <w:vAlign w:val="center"/>
          </w:tcPr>
          <w:p>
            <w:pPr>
              <w:pStyle w:val="TableContents"/>
              <w:bidi w:val="0"/>
              <w:spacing w:before="1" w:after="1"/>
              <w:ind w:left="0" w:right="0" w:hanging="0"/>
              <w:jc w:val="left"/>
              <w:rPr/>
            </w:pPr>
            <w:r>
              <w:rPr/>
              <w:t>​</w:t>
            </w:r>
          </w:p>
        </w:tc>
        <w:tc>
          <w:tcPr>
            <w:tcW w:w="1250"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204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RHC</w: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6,563</w:t>
            </w:r>
          </w:p>
        </w:tc>
        <w:tc>
          <w:tcPr>
            <w:tcW w:w="109" w:type="dxa"/>
            <w:tcBorders/>
            <w:vAlign w:val="center"/>
          </w:tcPr>
          <w:p>
            <w:pPr>
              <w:pStyle w:val="TableContents"/>
              <w:bidi w:val="0"/>
              <w:spacing w:before="1" w:after="1"/>
              <w:ind w:left="0" w:right="0" w:hanging="0"/>
              <w:jc w:val="left"/>
              <w:rPr/>
            </w:pPr>
            <w:r>
              <w:rPr/>
              <w:t>​</w:t>
            </w:r>
          </w:p>
        </w:tc>
        <w:tc>
          <w:tcPr>
            <w:tcW w:w="646" w:type="dxa"/>
            <w:tcBorders/>
            <w:vAlign w:val="center"/>
          </w:tcPr>
          <w:p>
            <w:pPr>
              <w:pStyle w:val="TableContents"/>
              <w:bidi w:val="0"/>
              <w:spacing w:before="1" w:after="1"/>
              <w:ind w:left="0" w:right="0" w:hanging="0"/>
              <w:jc w:val="left"/>
              <w:rPr/>
            </w:pPr>
            <w:r>
              <w:rPr/>
              <w:t>​</w:t>
            </w:r>
          </w:p>
        </w:tc>
        <w:tc>
          <w:tcPr>
            <w:tcW w:w="1064"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6,563</w:t>
            </w:r>
          </w:p>
        </w:tc>
        <w:tc>
          <w:tcPr>
            <w:tcW w:w="109" w:type="dxa"/>
            <w:tcBorders/>
            <w:vAlign w:val="center"/>
          </w:tcPr>
          <w:p>
            <w:pPr>
              <w:pStyle w:val="TableContents"/>
              <w:bidi w:val="0"/>
              <w:spacing w:before="1" w:after="1"/>
              <w:ind w:left="0" w:right="0" w:hanging="0"/>
              <w:jc w:val="left"/>
              <w:rPr/>
            </w:pPr>
            <w:r>
              <w:rPr/>
              <w:t>​</w:t>
            </w:r>
          </w:p>
        </w:tc>
        <w:tc>
          <w:tcPr>
            <w:tcW w:w="228" w:type="dxa"/>
            <w:tcBorders/>
            <w:vAlign w:val="center"/>
          </w:tcPr>
          <w:p>
            <w:pPr>
              <w:pStyle w:val="TableContents"/>
              <w:bidi w:val="0"/>
              <w:spacing w:before="1" w:after="1"/>
              <w:ind w:left="0" w:right="0" w:hanging="0"/>
              <w:jc w:val="left"/>
              <w:rPr/>
            </w:pPr>
            <w:r>
              <w:rPr/>
              <w:t>​</w:t>
            </w:r>
          </w:p>
        </w:tc>
        <w:tc>
          <w:tcPr>
            <w:tcW w:w="73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4,353</w:t>
            </w:r>
          </w:p>
        </w:tc>
        <w:tc>
          <w:tcPr>
            <w:tcW w:w="109" w:type="dxa"/>
            <w:tcBorders/>
            <w:vAlign w:val="center"/>
          </w:tcPr>
          <w:p>
            <w:pPr>
              <w:pStyle w:val="TableContents"/>
              <w:bidi w:val="0"/>
              <w:spacing w:before="1" w:after="1"/>
              <w:ind w:left="0" w:right="0" w:hanging="0"/>
              <w:jc w:val="left"/>
              <w:rPr/>
            </w:pPr>
            <w:r>
              <w:rPr/>
              <w:t>​</w:t>
            </w:r>
          </w:p>
        </w:tc>
        <w:tc>
          <w:tcPr>
            <w:tcW w:w="460" w:type="dxa"/>
            <w:tcBorders/>
            <w:vAlign w:val="center"/>
          </w:tcPr>
          <w:p>
            <w:pPr>
              <w:pStyle w:val="TableContents"/>
              <w:bidi w:val="0"/>
              <w:spacing w:before="1" w:after="1"/>
              <w:ind w:left="0" w:right="0" w:hanging="0"/>
              <w:jc w:val="left"/>
              <w:rPr/>
            </w:pPr>
            <w:r>
              <w:rPr/>
              <w:t>​</w:t>
            </w:r>
          </w:p>
        </w:tc>
        <w:tc>
          <w:tcPr>
            <w:tcW w:w="1250"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4,353</w:t>
            </w:r>
          </w:p>
        </w:tc>
      </w:tr>
      <w:tr>
        <w:trPr/>
        <w:tc>
          <w:tcPr>
            <w:tcW w:w="20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228"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1,461</w:t>
            </w:r>
          </w:p>
        </w:tc>
        <w:tc>
          <w:tcPr>
            <w:tcW w:w="109" w:type="dxa"/>
            <w:tcBorders/>
            <w:shd w:fill="CCEEFF" w:val="clear"/>
            <w:vAlign w:val="center"/>
          </w:tcPr>
          <w:p>
            <w:pPr>
              <w:pStyle w:val="TableContents"/>
              <w:bidi w:val="0"/>
              <w:spacing w:before="1" w:after="1"/>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064"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1,465</w:t>
            </w:r>
          </w:p>
        </w:tc>
        <w:tc>
          <w:tcPr>
            <w:tcW w:w="109" w:type="dxa"/>
            <w:tcBorders/>
            <w:shd w:fill="CCEEFF" w:val="clear"/>
            <w:vAlign w:val="center"/>
          </w:tcPr>
          <w:p>
            <w:pPr>
              <w:pStyle w:val="TableContents"/>
              <w:bidi w:val="0"/>
              <w:spacing w:before="1"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1,567</w:t>
            </w:r>
          </w:p>
        </w:tc>
        <w:tc>
          <w:tcPr>
            <w:tcW w:w="109" w:type="dxa"/>
            <w:tcBorders/>
            <w:shd w:fill="CCEEFF" w:val="clear"/>
            <w:vAlign w:val="center"/>
          </w:tcPr>
          <w:p>
            <w:pPr>
              <w:pStyle w:val="TableContents"/>
              <w:bidi w:val="0"/>
              <w:spacing w:before="1" w:after="1"/>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250"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1,571</w:t>
            </w:r>
          </w:p>
        </w:tc>
      </w:tr>
      <w:tr>
        <w:trPr/>
        <w:tc>
          <w:tcPr>
            <w:tcW w:w="204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228"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19,874</w:t>
            </w:r>
          </w:p>
        </w:tc>
        <w:tc>
          <w:tcPr>
            <w:tcW w:w="109" w:type="dxa"/>
            <w:tcBorders/>
            <w:vAlign w:val="center"/>
          </w:tcPr>
          <w:p>
            <w:pPr>
              <w:pStyle w:val="TableContents"/>
              <w:bidi w:val="0"/>
              <w:spacing w:before="1" w:after="1"/>
              <w:ind w:left="0" w:right="0" w:hanging="0"/>
              <w:jc w:val="left"/>
              <w:rPr/>
            </w:pPr>
            <w:r>
              <w:rPr/>
              <w:t>​</w:t>
            </w:r>
          </w:p>
        </w:tc>
        <w:tc>
          <w:tcPr>
            <w:tcW w:w="646"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19,878</w:t>
            </w:r>
          </w:p>
        </w:tc>
        <w:tc>
          <w:tcPr>
            <w:tcW w:w="109" w:type="dxa"/>
            <w:tcBorders/>
            <w:vAlign w:val="center"/>
          </w:tcPr>
          <w:p>
            <w:pPr>
              <w:pStyle w:val="TableContents"/>
              <w:bidi w:val="0"/>
              <w:spacing w:before="1"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17,317</w:t>
            </w:r>
          </w:p>
        </w:tc>
        <w:tc>
          <w:tcPr>
            <w:tcW w:w="109" w:type="dxa"/>
            <w:tcBorders/>
            <w:vAlign w:val="center"/>
          </w:tcPr>
          <w:p>
            <w:pPr>
              <w:pStyle w:val="TableContents"/>
              <w:bidi w:val="0"/>
              <w:spacing w:before="1" w:after="1"/>
              <w:ind w:left="0" w:right="0" w:hanging="0"/>
              <w:jc w:val="left"/>
              <w:rPr/>
            </w:pPr>
            <w:r>
              <w:rPr/>
              <w:t>​</w:t>
            </w:r>
          </w:p>
        </w:tc>
        <w:tc>
          <w:tcPr>
            <w:tcW w:w="460"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1,374</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18,691</w:t>
            </w:r>
          </w:p>
        </w:tc>
      </w:tr>
    </w:tbl>
    <w:p>
      <w:pPr>
        <w:pStyle w:val="TextBody"/>
        <w:bidi w:val="0"/>
        <w:spacing w:before="100" w:after="100"/>
        <w:ind w:left="0" w:right="0" w:hanging="0"/>
        <w:jc w:val="both"/>
        <w:rPr/>
      </w:pPr>
      <w:r>
        <w:rPr/>
        <w:t>​</w:t>
      </w:r>
    </w:p>
    <w:tbl>
      <w:tblPr>
        <w:tblW w:w="9805" w:type="dxa"/>
        <w:jc w:val="left"/>
        <w:tblInd w:w="0" w:type="dxa"/>
        <w:tblLayout w:type="fixed"/>
        <w:tblCellMar>
          <w:top w:w="0" w:type="dxa"/>
          <w:left w:w="0" w:type="dxa"/>
          <w:bottom w:w="0" w:type="dxa"/>
          <w:right w:w="0" w:type="dxa"/>
        </w:tblCellMar>
      </w:tblPr>
      <w:tblGrid>
        <w:gridCol w:w="2041"/>
        <w:gridCol w:w="228"/>
        <w:gridCol w:w="732"/>
        <w:gridCol w:w="109"/>
        <w:gridCol w:w="646"/>
        <w:gridCol w:w="1064"/>
        <w:gridCol w:w="109"/>
        <w:gridCol w:w="211"/>
        <w:gridCol w:w="676"/>
        <w:gridCol w:w="109"/>
        <w:gridCol w:w="228"/>
        <w:gridCol w:w="732"/>
        <w:gridCol w:w="109"/>
        <w:gridCol w:w="460"/>
        <w:gridCol w:w="1250"/>
        <w:gridCol w:w="109"/>
        <w:gridCol w:w="211"/>
        <w:gridCol w:w="781"/>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296035" cy="175260"/>
                      <wp:effectExtent l="0" t="0" r="0" b="0"/>
                      <wp:wrapNone/>
                      <wp:docPr id="233" name="Frame233"/>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34"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pPr>
            <w:r>
              <w:rPr/>
              <w:t>​</w:t>
            </w:r>
          </w:p>
        </w:tc>
        <w:tc>
          <w:tcPr>
            <w:tcW w:w="3775"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09" w:type="dxa"/>
            <w:tcBorders/>
            <w:vAlign w:val="center"/>
          </w:tcPr>
          <w:p>
            <w:pPr>
              <w:pStyle w:val="TableContents"/>
              <w:bidi w:val="0"/>
              <w:spacing w:before="0" w:after="0"/>
              <w:ind w:left="0" w:right="0" w:hanging="0"/>
              <w:jc w:val="left"/>
              <w:rPr/>
            </w:pPr>
            <w:r>
              <w:rPr/>
              <w:t>​</w:t>
            </w:r>
          </w:p>
        </w:tc>
        <w:tc>
          <w:tcPr>
            <w:tcW w:w="3880"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041" w:type="dxa"/>
            <w:tcBorders/>
            <w:vAlign w:val="center"/>
          </w:tcPr>
          <w:p>
            <w:pPr>
              <w:pStyle w:val="TableContents"/>
              <w:bidi w:val="0"/>
              <w:spacing w:before="0" w:after="0"/>
              <w:ind w:left="0" w:right="0" w:hanging="0"/>
              <w:jc w:val="left"/>
              <w:rPr/>
            </w:pPr>
            <w:r>
              <w:rPr/>
              <w:t>​</w:t>
            </w:r>
          </w:p>
        </w:tc>
        <w:tc>
          <w:tcPr>
            <w:tcW w:w="377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0"/>
              <w:ind w:left="0" w:right="0" w:hanging="0"/>
              <w:jc w:val="left"/>
              <w:rPr/>
            </w:pPr>
            <w:r>
              <w:rPr/>
              <w:t>​</w:t>
            </w:r>
          </w:p>
        </w:tc>
        <w:tc>
          <w:tcPr>
            <w:tcW w:w="388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2041"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73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106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73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0" w:type="dxa"/>
            <w:tcBorders/>
            <w:vAlign w:val="center"/>
          </w:tcPr>
          <w:p>
            <w:pPr>
              <w:pStyle w:val="TableContents"/>
              <w:bidi w:val="0"/>
              <w:spacing w:before="0" w:after="0"/>
              <w:ind w:left="0" w:right="0" w:hanging="0"/>
              <w:jc w:val="center"/>
              <w:rPr/>
            </w:pPr>
            <w:r>
              <w:rPr/>
              <w:t>​</w:t>
            </w:r>
          </w:p>
        </w:tc>
        <w:tc>
          <w:tcPr>
            <w:tcW w:w="125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2041" w:type="dxa"/>
            <w:tcBorders/>
            <w:vAlign w:val="center"/>
          </w:tcPr>
          <w:p>
            <w:pPr>
              <w:pStyle w:val="TableContents"/>
              <w:bidi w:val="0"/>
              <w:spacing w:before="0" w:after="0"/>
              <w:ind w:left="0" w:right="0" w:hanging="0"/>
              <w:jc w:val="left"/>
              <w:rPr/>
            </w:pPr>
            <w:r>
              <w:rPr/>
              <w:t>​</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Telecom</w:t>
            </w:r>
          </w:p>
        </w:tc>
        <w:tc>
          <w:tcPr>
            <w:tcW w:w="109" w:type="dxa"/>
            <w:tcBorders/>
            <w:vAlign w:val="center"/>
          </w:tcPr>
          <w:p>
            <w:pPr>
              <w:pStyle w:val="TableContents"/>
              <w:bidi w:val="0"/>
              <w:spacing w:before="0" w:after="0"/>
              <w:ind w:left="0" w:right="0" w:hanging="0"/>
              <w:jc w:val="center"/>
              <w:rPr/>
            </w:pPr>
            <w:r>
              <w:rPr/>
              <w:t>​</w:t>
            </w:r>
          </w:p>
        </w:tc>
        <w:tc>
          <w:tcPr>
            <w:tcW w:w="1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 Telecom</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c>
          <w:tcPr>
            <w:tcW w:w="109" w:type="dxa"/>
            <w:tcBorders/>
            <w:vAlign w:val="center"/>
          </w:tcPr>
          <w:p>
            <w:pPr>
              <w:pStyle w:val="TableContents"/>
              <w:bidi w:val="0"/>
              <w:spacing w:before="0" w:after="0"/>
              <w:ind w:left="0" w:right="0" w:hanging="0"/>
              <w:jc w:val="left"/>
              <w:rPr/>
            </w:pPr>
            <w:r>
              <w:rPr/>
              <w:t>​</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Telecom</w:t>
            </w:r>
          </w:p>
        </w:tc>
        <w:tc>
          <w:tcPr>
            <w:tcW w:w="109" w:type="dxa"/>
            <w:tcBorders/>
            <w:vAlign w:val="center"/>
          </w:tcPr>
          <w:p>
            <w:pPr>
              <w:pStyle w:val="TableContents"/>
              <w:bidi w:val="0"/>
              <w:spacing w:before="0" w:after="0"/>
              <w:ind w:left="0" w:right="0" w:hanging="0"/>
              <w:jc w:val="center"/>
              <w:rPr/>
            </w:pPr>
            <w:r>
              <w:rPr/>
              <w:t>​</w:t>
            </w:r>
          </w:p>
        </w:tc>
        <w:tc>
          <w:tcPr>
            <w:tcW w:w="1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 Telecom</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2041"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High cost support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6,970</w:t>
            </w:r>
          </w:p>
        </w:tc>
        <w:tc>
          <w:tcPr>
            <w:tcW w:w="109"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6,970</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6,216</w:t>
            </w:r>
          </w:p>
        </w:tc>
        <w:tc>
          <w:tcPr>
            <w:tcW w:w="109"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8,899</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CAF II (including ACF)</w:t>
            </w:r>
          </w:p>
        </w:tc>
        <w:tc>
          <w:tcPr>
            <w:tcW w:w="228"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16,548</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16,548</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16,397</w:t>
            </w:r>
          </w:p>
        </w:tc>
        <w:tc>
          <w:tcPr>
            <w:tcW w:w="109"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16,397</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RDOF</w:t>
            </w:r>
          </w:p>
        </w:tc>
        <w:tc>
          <w:tcPr>
            <w:tcW w:w="228"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109"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c>
          <w:tcPr>
            <w:tcW w:w="106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109"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RHC</w:t>
            </w:r>
          </w:p>
        </w:tc>
        <w:tc>
          <w:tcPr>
            <w:tcW w:w="228"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12,881</w:t>
            </w:r>
          </w:p>
        </w:tc>
        <w:tc>
          <w:tcPr>
            <w:tcW w:w="10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12,881</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8,715</w:t>
            </w:r>
          </w:p>
        </w:tc>
        <w:tc>
          <w:tcPr>
            <w:tcW w:w="109"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12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8,715</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2,904</w:t>
            </w:r>
          </w:p>
        </w:tc>
        <w:tc>
          <w:tcPr>
            <w:tcW w:w="109" w:type="dxa"/>
            <w:tcBorders/>
            <w:shd w:fill="CCEEFF" w:val="cle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2,910</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3,204</w:t>
            </w:r>
          </w:p>
        </w:tc>
        <w:tc>
          <w:tcPr>
            <w:tcW w:w="109" w:type="dxa"/>
            <w:tcBorders/>
            <w:shd w:fill="CCEEFF" w:val="clear"/>
            <w:vAlign w:val="center"/>
          </w:tcPr>
          <w:p>
            <w:pPr>
              <w:pStyle w:val="TableContents"/>
              <w:bidi w:val="0"/>
              <w:spacing w:before="0" w:after="0"/>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3,212</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39,453</w:t>
            </w:r>
          </w:p>
        </w:tc>
        <w:tc>
          <w:tcPr>
            <w:tcW w:w="109" w:type="dxa"/>
            <w:tcBorders/>
            <w:vAlign w:val="center"/>
          </w:tcPr>
          <w:p>
            <w:pPr>
              <w:pStyle w:val="TableContents"/>
              <w:bidi w:val="0"/>
              <w:spacing w:before="0" w:after="0"/>
              <w:ind w:left="0" w:right="0" w:hanging="0"/>
              <w:jc w:val="left"/>
              <w:rPr/>
            </w:pPr>
            <w:r>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39,459</w:t>
            </w:r>
          </w:p>
        </w:tc>
        <w:tc>
          <w:tcPr>
            <w:tcW w:w="109"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34,676</w:t>
            </w:r>
          </w:p>
        </w:tc>
        <w:tc>
          <w:tcPr>
            <w:tcW w:w="109" w:type="dxa"/>
            <w:tcBorders/>
            <w:vAlign w:val="center"/>
          </w:tcPr>
          <w:p>
            <w:pPr>
              <w:pStyle w:val="TableContents"/>
              <w:bidi w:val="0"/>
              <w:spacing w:before="0" w:after="0"/>
              <w:ind w:left="0" w:right="0" w:hanging="0"/>
              <w:jc w:val="left"/>
              <w:rPr/>
            </w:pPr>
            <w:r>
              <w:rPr/>
              <w:t>​</w:t>
            </w:r>
          </w:p>
        </w:tc>
        <w:tc>
          <w:tcPr>
            <w:tcW w:w="4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37,367</w:t>
            </w:r>
          </w:p>
        </w:tc>
      </w:tr>
    </w:tbl>
    <w:p>
      <w:pPr>
        <w:pStyle w:val="TextBody"/>
        <w:bidi w:val="0"/>
        <w:spacing w:before="0" w:after="0"/>
        <w:ind w:left="0" w:right="0" w:hanging="0"/>
        <w:jc w:val="left"/>
        <w:rPr/>
      </w:pPr>
      <w:r>
        <w:rPr/>
        <w:t>​</w:t>
      </w:r>
    </w:p>
    <w:p>
      <w:pPr>
        <w:pStyle w:val="TextBody"/>
        <w:bidi w:val="0"/>
        <w:spacing w:before="280" w:after="0"/>
        <w:ind w:left="0" w:right="0" w:hanging="0"/>
        <w:jc w:val="left"/>
        <w:rPr>
          <w:rFonts w:ascii="Times New Roman;Times;serif" w:hAnsi="Times New Roman;Times;serif"/>
          <w:b/>
          <w:sz w:val="20"/>
        </w:rPr>
      </w:pPr>
      <w:r>
        <w:rPr>
          <w:rFonts w:ascii="Times New Roman;Times;serif" w:hAnsi="Times New Roman;Times;serif"/>
          <w:b/>
          <w:sz w:val="20"/>
        </w:rPr>
        <w:t>Construction Grants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The Company has also been awarded construction grants to build network connectivity for eligible communities. The funding of these grants, used to reimburse the Company for its construction costs, is generally distributed upon completion of a project. Once these projects are constructed, the Company is obligated to provide service to the participants. The Company expects to meet all requirements associated with these grants.  The Company is currently reviewing funding available under the BEAD grant program. A roll forward of the Company’s grant awards is below (in thousands).</w:t>
      </w:r>
    </w:p>
    <w:p>
      <w:pPr>
        <w:pStyle w:val="TextBody"/>
        <w:bidi w:val="0"/>
        <w:spacing w:before="280" w:after="0"/>
        <w:ind w:left="0" w:right="0" w:hanging="0"/>
        <w:jc w:val="left"/>
        <w:rPr/>
      </w:pPr>
      <w:r>
        <w:rPr/>
        <w:t>​</w:t>
      </w:r>
    </w:p>
    <w:tbl>
      <w:tblPr>
        <w:tblW w:w="4128" w:type="dxa"/>
        <w:jc w:val="left"/>
        <w:tblInd w:w="0" w:type="dxa"/>
        <w:tblLayout w:type="fixed"/>
        <w:tblCellMar>
          <w:top w:w="0" w:type="dxa"/>
          <w:left w:w="0" w:type="dxa"/>
          <w:bottom w:w="0" w:type="dxa"/>
          <w:right w:w="0" w:type="dxa"/>
        </w:tblCellMar>
      </w:tblPr>
      <w:tblGrid>
        <w:gridCol w:w="3031"/>
        <w:gridCol w:w="211"/>
        <w:gridCol w:w="886"/>
      </w:tblGrid>
      <w:tr>
        <w:trPr/>
        <w:tc>
          <w:tcPr>
            <w:tcW w:w="30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62610" cy="175260"/>
                      <wp:effectExtent l="0" t="0" r="0" b="0"/>
                      <wp:wrapNone/>
                      <wp:docPr id="235" name="Frame23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Grants awarded, December 31, 2025</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98,826</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grants</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2,041</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complete</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Grants awarded, June 30, 2026</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100,867</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2026, the Company disbursed capital expenditures of $9.5 million under these programs and received reimbursement of $8.1 million. These cash flows are classified as investing activities in the Company’s statement of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bookmarkStart w:id="1658" w:name="Tc_gE6iNwsb1Umjbz_oVqAFcg_11_7"/>
      <w:bookmarkStart w:id="1659" w:name="Tc_EI_2EnK4Uk25fiQoU5-GoQ_11_4"/>
      <w:bookmarkStart w:id="1660" w:name="Tc_TUTFWsvhtUmrhNwmIdFXGg_11_1"/>
      <w:bookmarkStart w:id="1661" w:name="Tc_WjspEKnhpk2AYRBo_F36kQ_11_0"/>
      <w:bookmarkStart w:id="1662" w:name="Tc_WN8Q2DR-7kSYQlUpkAB3IA_9_7"/>
      <w:bookmarkStart w:id="1663" w:name="Tc_ZW48zJg-PkCdWfe6z4GhRw_9_4"/>
      <w:bookmarkStart w:id="1664" w:name="Tc_dPJf8LDGTE65GcNdivyQsg_9_1"/>
      <w:bookmarkStart w:id="1665" w:name="Tc_hKQ5ppCfRkWRKgr3oSPYOg_9_0"/>
      <w:bookmarkStart w:id="1666" w:name="Tc_YTb5ewsNIE6vy3RIKeHIfA_8_0"/>
      <w:bookmarkStart w:id="1667" w:name="Tc_A3-sT762202L1sfnfSctyQ_7_7"/>
      <w:bookmarkStart w:id="1668" w:name="Tc_e5UJbyQmPki8x_sCbxCChQ_7_4"/>
      <w:bookmarkStart w:id="1669" w:name="Tc_MVyyVcC9WkOC1Q4_ASRz7Q_7_1"/>
      <w:bookmarkStart w:id="1670" w:name="Tc_U5taeqKvDEilaftocU9o1w_7_0"/>
      <w:bookmarkStart w:id="1671" w:name="Tc_Tp9euus5H06G4rC-OWNwEA_5_7"/>
      <w:bookmarkStart w:id="1672" w:name="Tc_1ajHXqUsTkuf8d7EhnwJrQ_5_4"/>
      <w:bookmarkStart w:id="1673" w:name="Tc_H3tOW69dEESUTZW5EqNkHg_5_1"/>
      <w:bookmarkStart w:id="1674" w:name="Tc_C3d9taXtFka8RR79PdCJyg_5_0"/>
      <w:bookmarkStart w:id="1675" w:name="Tc_GxjoQBfUB0iKe8un1meneg_4_0"/>
      <w:bookmarkStart w:id="1676" w:name="Tc_Ri6GyHi_EUSQZIci1CXoMg_3_7"/>
      <w:bookmarkStart w:id="1677" w:name="Tc_CrFK0dUdvk-OguKYfpt-zw_3_4"/>
      <w:bookmarkStart w:id="1678" w:name="Tc_vO8geECMR0uBTGugZguipQ_3_1"/>
      <w:bookmarkStart w:id="1679" w:name="Tc_v-5CsQ1iw0OAJzysLqFMUw_3_0"/>
      <w:bookmarkStart w:id="1680" w:name="Tc_iJ-L1JFtiUqeHmk4JKiFtA_1_7"/>
      <w:bookmarkStart w:id="1681" w:name="Tc_FKal1FmVSUi6DuKhkgNLMg_1_4"/>
      <w:bookmarkStart w:id="1682" w:name="Tc_T2Ih9vLtK0WrsOW-g2fZCg_1_1"/>
      <w:bookmarkStart w:id="1683" w:name="_c645f2c3_97e8_4cf4_bff6_942a7dccbc4b"/>
      <w:bookmarkStart w:id="1684" w:name="Tc_E_ONds_rHUuGwEESOhpDvA_12_7"/>
      <w:bookmarkStart w:id="1685" w:name="Tc_2B1IBRLfyki_wg7Ut2GSHA_12_4"/>
      <w:bookmarkStart w:id="1686" w:name="Tc_nWbAqRrkNUWKQ_7C_br2og_12_1"/>
      <w:bookmarkStart w:id="1687" w:name="Tc_y7pVYgaZRk-xjrLIohkY7g_12_0"/>
      <w:bookmarkStart w:id="1688" w:name="Tc_bgDMgJLM30KvwYffvqHGFw_10_7"/>
      <w:bookmarkStart w:id="1689" w:name="Tc_V79SeiHTP0efELx4OG0CAA_10_4"/>
      <w:bookmarkStart w:id="1690" w:name="Tc_9UwexMQyv06ra1GleHqZxg_10_1"/>
      <w:bookmarkStart w:id="1691" w:name="Tc_VZm7-vaazUSSM4AIfn_rsg_10_0"/>
      <w:bookmarkStart w:id="1692" w:name="Tc_FSI3W4mBwUewqgvyPMH5SQ_9_0"/>
      <w:bookmarkStart w:id="1693" w:name="Tc_GMR5ZUAcXkumnPrbcwD8nw_8_7"/>
      <w:bookmarkStart w:id="1694" w:name="Tc_HRuqvqZby02ab1ezSUdvwA_8_4"/>
      <w:bookmarkStart w:id="1695" w:name="Tc_A2JFqDTBwka_GsSSFSwVog_8_1"/>
      <w:bookmarkStart w:id="1696" w:name="Tc_dUYlYJYf5km1Pxtsg02png_8_0"/>
      <w:bookmarkStart w:id="1697" w:name="Tc_MvOF8oHSTUS6sb3zH7VxHg_6_7"/>
      <w:bookmarkStart w:id="1698" w:name="Tc_KF_BS77B4UykdiucAEMJuw_6_4"/>
      <w:bookmarkStart w:id="1699" w:name="Tc_CUX9NZhEN0-t_gaD6zgCag_6_1"/>
      <w:bookmarkStart w:id="1700" w:name="Tc_C5_VwM75mUO_VK3u8Mk7zA_6_0"/>
      <w:bookmarkStart w:id="1701" w:name="Tc_VMQcVgbcMEKUtEkJOAL5xg_5_5"/>
      <w:bookmarkStart w:id="1702" w:name="Tc_LvFGt3GpNUO0Lh4ntlH0vw_5_0"/>
      <w:bookmarkStart w:id="1703" w:name="Tc_Gxja-iQEm0mMF-NQzarkMA_4_0"/>
      <w:bookmarkStart w:id="1704" w:name="Tc_4rZW3ud9S02auwA-6GDnCw_3_7"/>
      <w:bookmarkStart w:id="1705" w:name="Tc_CmWgyycKrUWZ310bjPGc0w_3_4"/>
      <w:bookmarkStart w:id="1706" w:name="Tc_bnllEL4Fr0eDMGxgAf2-TQ_3_1"/>
      <w:bookmarkStart w:id="1707" w:name="Tc_9BgLsCmcKkaTzmp0Jyksgw_3_0"/>
      <w:bookmarkStart w:id="1708" w:name="Tc_HJkut6k5T0euRBe2yRl-Vg_1_7"/>
      <w:bookmarkStart w:id="1709" w:name="Tc_ZoItPrK1fUejaVn44jDWaw_1_4"/>
      <w:bookmarkStart w:id="1710" w:name="Tc_TAEM3bHjAkyjFcqVuealfw_1_1"/>
      <w:bookmarkStart w:id="1711" w:name="_28c6db69_9d22_4957_82c9_acfe32bebe32"/>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r>
        <w:rPr>
          <w:rFonts w:ascii="Times New Roman;Times;serif" w:hAnsi="Times New Roman;Times;serif"/>
          <w:sz w:val="20"/>
        </w:rPr>
        <w:t xml:space="preserve">In addition, the Company partners with tribal governments to obtain grants under various government grant programs including, but not limited to, the Tribal Broadband Connectivity Program (“TBCP”) and the Rural Development Broadband ReConnect Program (“ReConnect”). These programs are administered by US government agencies to deploy broadband connectivity in certain underserved areas. The Company was identified as a sub recipient of grants under these programs totaling $239.0 million as of June 30, 2026. Under these grants the Company expects to enter into agreements to construct and operate the networks for the grant recipient. Once construction is complete the Company will hold a long-term lease to operate the network. The operating agreement will require the Company to meet certain minimum service requirements. Through June 30, 2026, the Company has received $41.8 million of funding under these programs and spent $45.0 million on construction obligations. These amounts are recorded as operating cash flows in the Company’s statement of cash flows. </w:t>
      </w:r>
    </w:p>
    <w:p>
      <w:pPr>
        <w:pStyle w:val="TextBody"/>
        <w:bidi w:val="0"/>
        <w:spacing w:before="28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 xml:space="preserve">Replace and Remove Program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July 2022, the Company was approved to participate in the FCC’s Secure and Trusted Communications Networks Reimbursement Program (the “Replace and Remove Program”), designed to reimburse providers of advanced communications services for reasonable costs incurred in the required removal, replacement, and disposal of communications equipment and services in their networks that has been deemed to pose a national security risk. Pursuant to the Replace and Remove Program, the Company’s eligible subsidiaries were initially allocated up to approximately $207 million to replace, remove and securely destroy such communications equipment and services in the Company’s networks in the western US and in the US Virgin Islands; however, in December 2024, this program was fully funded for an increased allocation to the Company of an aggregate amount of approximately $517 million. The Replace and Remove Program requires each of the Company’s participating subsidiaries to complete the project no later than a specified deadline, which was recently extended through early November 2026.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 summary of the amounts spent and reimbursed under the Replace and Remove Program is below (in thousands):</w:t>
      </w:r>
    </w:p>
    <w:p>
      <w:pPr>
        <w:pStyle w:val="TextBody"/>
        <w:bidi w:val="0"/>
        <w:spacing w:before="280" w:after="0"/>
        <w:ind w:left="0" w:right="0" w:firstLine="720"/>
        <w:jc w:val="left"/>
        <w:rPr/>
      </w:pPr>
      <w:r>
        <w:rPr/>
        <w:t>​</w:t>
      </w:r>
    </w:p>
    <w:tbl>
      <w:tblPr>
        <w:tblW w:w="7035" w:type="dxa"/>
        <w:jc w:val="left"/>
        <w:tblInd w:w="0" w:type="dxa"/>
        <w:tblLayout w:type="fixed"/>
        <w:tblCellMar>
          <w:top w:w="0" w:type="dxa"/>
          <w:left w:w="0" w:type="dxa"/>
          <w:bottom w:w="0" w:type="dxa"/>
          <w:right w:w="0" w:type="dxa"/>
        </w:tblCellMar>
      </w:tblPr>
      <w:tblGrid>
        <w:gridCol w:w="3541"/>
        <w:gridCol w:w="211"/>
        <w:gridCol w:w="901"/>
        <w:gridCol w:w="109"/>
        <w:gridCol w:w="211"/>
        <w:gridCol w:w="796"/>
        <w:gridCol w:w="109"/>
        <w:gridCol w:w="211"/>
        <w:gridCol w:w="946"/>
      </w:tblGrid>
      <w:tr>
        <w:trPr/>
        <w:tc>
          <w:tcPr>
            <w:tcW w:w="3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572135" cy="175260"/>
                      <wp:effectExtent l="0" t="0" r="0" b="0"/>
                      <wp:wrapNone/>
                      <wp:docPr id="237" name="Frame23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9215" cy="175260"/>
                      <wp:effectExtent l="0" t="0" r="0" b="0"/>
                      <wp:wrapNone/>
                      <wp:docPr id="238" name="Frame2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05460" cy="175260"/>
                      <wp:effectExtent l="0" t="0" r="0" b="0"/>
                      <wp:wrapNone/>
                      <wp:docPr id="240" name="Frame24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00710" cy="175260"/>
                      <wp:effectExtent l="0" t="0" r="0" b="0"/>
                      <wp:wrapNone/>
                      <wp:docPr id="243" name="Frame24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109" w:type="dxa"/>
            <w:tcBorders/>
            <w:vAlign w:val="center"/>
          </w:tcPr>
          <w:p>
            <w:pPr>
              <w:pStyle w:val="TableContents"/>
              <w:bidi w:val="0"/>
              <w:spacing w:before="0" w:after="0"/>
              <w:ind w:left="0" w:right="0" w:hanging="0"/>
              <w:jc w:val="left"/>
              <w:rPr/>
            </w:pPr>
            <w:r>
              <w:rPr/>
              <w:t>​</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3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spend, December 31, 2025</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194,897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38,799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233,696</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spent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15,353</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transferred</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(9,030)</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spend, June 30, 2026</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198,351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41,668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240,019</w:t>
            </w:r>
          </w:p>
        </w:tc>
      </w:tr>
      <w:tr>
        <w:trPr/>
        <w:tc>
          <w:tcPr>
            <w:tcW w:w="354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reimbursements, December 31, 2025</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(163,122)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(38,682)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(201,804)</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Reimbursements received</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(15,876)</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reimbursements, June 30, 2026</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(177,458)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(40,222)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(217,680)</w:t>
            </w:r>
          </w:p>
        </w:tc>
      </w:tr>
      <w:tr>
        <w:trPr/>
        <w:tc>
          <w:tcPr>
            <w:tcW w:w="354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pending reimbursement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22,339</w:t>
            </w:r>
          </w:p>
        </w:tc>
      </w:tr>
    </w:tbl>
    <w:p>
      <w:pPr>
        <w:pStyle w:val="TextBody"/>
        <w:bidi w:val="0"/>
        <w:spacing w:before="0" w:after="0"/>
        <w:ind w:left="0" w:right="0" w:hanging="0"/>
        <w:jc w:val="left"/>
        <w:rPr/>
      </w:pPr>
      <w:r>
        <w:rPr/>
        <w:t>​</w:t>
      </w:r>
    </w:p>
    <w:tbl>
      <w:tblPr>
        <w:tblW w:w="7035" w:type="dxa"/>
        <w:jc w:val="left"/>
        <w:tblInd w:w="0" w:type="dxa"/>
        <w:tblLayout w:type="fixed"/>
        <w:tblCellMar>
          <w:top w:w="0" w:type="dxa"/>
          <w:left w:w="0" w:type="dxa"/>
          <w:bottom w:w="0" w:type="dxa"/>
          <w:right w:w="0" w:type="dxa"/>
        </w:tblCellMar>
      </w:tblPr>
      <w:tblGrid>
        <w:gridCol w:w="3541"/>
        <w:gridCol w:w="211"/>
        <w:gridCol w:w="901"/>
        <w:gridCol w:w="109"/>
        <w:gridCol w:w="211"/>
        <w:gridCol w:w="796"/>
        <w:gridCol w:w="109"/>
        <w:gridCol w:w="211"/>
        <w:gridCol w:w="946"/>
      </w:tblGrid>
      <w:tr>
        <w:trPr/>
        <w:tc>
          <w:tcPr>
            <w:tcW w:w="3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72135" cy="175260"/>
                      <wp:effectExtent l="0" t="0" r="0" b="0"/>
                      <wp:wrapNone/>
                      <wp:docPr id="245" name="Frame24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9215" cy="175260"/>
                      <wp:effectExtent l="0" t="0" r="0" b="0"/>
                      <wp:wrapNone/>
                      <wp:docPr id="246" name="Frame2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05460" cy="175260"/>
                      <wp:effectExtent l="0" t="0" r="0" b="0"/>
                      <wp:wrapNone/>
                      <wp:docPr id="248" name="Frame24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9215" cy="175260"/>
                      <wp:effectExtent l="0" t="0" r="0" b="0"/>
                      <wp:wrapNone/>
                      <wp:docPr id="249" name="Frame2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00710" cy="175260"/>
                      <wp:effectExtent l="0" t="0" r="0" b="0"/>
                      <wp:wrapNone/>
                      <wp:docPr id="251" name="Frame25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109" w:type="dxa"/>
            <w:tcBorders/>
            <w:vAlign w:val="center"/>
          </w:tcPr>
          <w:p>
            <w:pPr>
              <w:pStyle w:val="TableContents"/>
              <w:bidi w:val="0"/>
              <w:spacing w:before="0" w:after="0"/>
              <w:ind w:left="0" w:right="0" w:hanging="0"/>
              <w:jc w:val="left"/>
              <w:rPr/>
            </w:pPr>
            <w:r>
              <w:rPr/>
              <w:t>​</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35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spend, December 31, 2024</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140,949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27,446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168,395</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spent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32,089</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spend, June 30, 2025</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167,827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200,484</w:t>
            </w:r>
          </w:p>
        </w:tc>
      </w:tr>
      <w:tr>
        <w:trPr/>
        <w:tc>
          <w:tcPr>
            <w:tcW w:w="354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reimbursements, December 31, 2024</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(130,721)</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Reimbursements received</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(31,940)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(37,026)</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reimbursements, June 30, 2025</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(32,267)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(167,747)</w:t>
            </w:r>
          </w:p>
        </w:tc>
      </w:tr>
      <w:tr>
        <w:trPr/>
        <w:tc>
          <w:tcPr>
            <w:tcW w:w="354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pending reimbursement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32,347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32,737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At June 30, 2026, $12.5 million of the capital expenditures spent under the Replace and Remove Program were accrued and unpaid. Amounts identified as capital are recorded as investing cash flows and amounts identified as operating are recorded as operating cash flows in the Company’s statement of cash flows. During the six months ended June 30, 2026, the Company determined that reimbursement was not probable for $9.0 million of capital expenditures incurred under the Replace and Remove Program. As a result, the Company transferred $9.0 million to fixed assets. Except for this $9.0 million, the Company expects to be reimbursed, within the next twelve months, for all amounts spent. </w:t>
      </w:r>
    </w:p>
    <w:p>
      <w:pPr>
        <w:pStyle w:val="TextBody"/>
        <w:bidi w:val="0"/>
        <w:spacing w:before="28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712" w:name="Tc_18z2eCg23UyftINxbmiOKw_10_24"/>
      <w:bookmarkStart w:id="1713" w:name="Tc_MRAmHMCJqESWtMyehGdDaQ_10_21"/>
      <w:bookmarkStart w:id="1714" w:name="Tc_akhuJf24rkeTKONLYAzQ8g_10_18"/>
      <w:bookmarkStart w:id="1715" w:name="Tc_pR8ne7oDZEO_mBTb8dnSTw_10_15"/>
      <w:bookmarkStart w:id="1716" w:name="Tc_rQ-_gbLqzUKPjC5PhEK2RA_10_11"/>
      <w:bookmarkStart w:id="1717" w:name="Tc_abwaJQP_rESFYi-naQ3K-Q_10_8"/>
      <w:bookmarkStart w:id="1718" w:name="Tc_jx3RiiPO2UeS_fjiZNaYeg_10_5"/>
      <w:bookmarkStart w:id="1719" w:name="Tc_rEnjxGIZvkSdo9L4NPSlRg_10_2"/>
      <w:bookmarkStart w:id="1720" w:name="Tc_u38tBZL8z0utgd8WlEJOHw_10_0"/>
      <w:bookmarkStart w:id="1721" w:name="Tc_gMDGcvk4XkGAAkxtMiKMXQ_9_0"/>
      <w:bookmarkStart w:id="1722" w:name="Tc_SQNqb7g1DU230_Y1-QgEAg_8_25"/>
      <w:bookmarkStart w:id="1723" w:name="Tc_gDQIGc6N7kem5tQCcvE3mQ_8_19"/>
      <w:bookmarkStart w:id="1724" w:name="Tc_J8KLf7I9FUa86gVdbqdiLw_8_12"/>
      <w:bookmarkStart w:id="1725" w:name="Tc_tr7peommeUiJPV82fKCNBw_8_6"/>
      <w:bookmarkStart w:id="1726" w:name="Tc_FXAK2sZ3i0mMPknok7NoZg_8_0"/>
      <w:bookmarkStart w:id="1727" w:name="Tc_mCCz2sOXHUqGV6F9DU0-Pw_7_0"/>
      <w:bookmarkStart w:id="1728" w:name="Tc_RdOEjkHFgE-5FbtHgE5Jeg_6_0"/>
      <w:bookmarkStart w:id="1729" w:name="Tc_BJz86ZugIUGxsFsskX4YIg_5_24"/>
      <w:bookmarkStart w:id="1730" w:name="Tc_4RmrAY9hQkW_1lluf2e4BQ_5_21"/>
      <w:bookmarkStart w:id="1731" w:name="Tc_wbuBS2N-f0az-bd-Y_WJiA_5_18"/>
      <w:bookmarkStart w:id="1732" w:name="Tc_262GKcmyRUetCM3DG_6U-w_5_15"/>
      <w:bookmarkStart w:id="1733" w:name="Tc_35tsecrc_EKxsoHSm6Q2fg_5_11"/>
      <w:bookmarkStart w:id="1734" w:name="Tc_97NMSkwAQEaMT30S5mcKKQ_5_8"/>
      <w:bookmarkStart w:id="1735" w:name="Tc_bc7AsgiRN0qERTj4320yyA_5_5"/>
      <w:bookmarkStart w:id="1736" w:name="Tc_aoUZP7cXd0Cz7ICzEgmbcg_5_2"/>
      <w:bookmarkStart w:id="1737" w:name="Tc_aKIZHjuPvUWCfoeDPlR6uA_5_0"/>
      <w:bookmarkStart w:id="1738" w:name="Tc_ZB3pNfJ39UKq9EJfzc6ihw_4_0"/>
      <w:bookmarkStart w:id="1739" w:name="Tc__Oft1CoYH0mTVJu30WM3FQ_3_24"/>
      <w:bookmarkStart w:id="1740" w:name="Tc_6X_jzQwthEel5ckxLPmV3g_3_21"/>
      <w:bookmarkStart w:id="1741" w:name="Tc_wQzzhUKiYk2Jdizsi3AVMw_3_18"/>
      <w:bookmarkStart w:id="1742" w:name="Tc_LpZrV4nKOE-vTgp3u69HIA_3_15"/>
      <w:bookmarkStart w:id="1743" w:name="Tc_uTAiEBLRbkOGYSdNcZjrqQ_3_11"/>
      <w:bookmarkStart w:id="1744" w:name="Tc_RvL2CCH6FEawZJ0OrSu7qg_3_8"/>
      <w:bookmarkStart w:id="1745" w:name="Tc_qSpYsNNTUk26oadKXhXN6Q_3_5"/>
      <w:bookmarkStart w:id="1746" w:name="Tc_UL8Y8OTs-EyDNB16KZoiUA_3_2"/>
      <w:bookmarkStart w:id="1747" w:name="Tc_fJnbz-5vhkSL_ecbjNezbg_2_21"/>
      <w:bookmarkStart w:id="1748" w:name="Tc_2X-I4EBlpkiMjeDO9zJbLA_2_15"/>
      <w:bookmarkStart w:id="1749" w:name="Tc_cOqY2dCWz0WHodDByCxvPA_2_8"/>
      <w:bookmarkStart w:id="1750" w:name="Tc_C74Krp3fQ0Kdp184P1wh9g_2_2"/>
      <w:bookmarkStart w:id="1751" w:name="Tc_z7QeFS_uF0Si-W78lQG9gg_1_15"/>
      <w:bookmarkStart w:id="1752" w:name="Tc_X3zQefnMvk283wE3b0g4UA_1_2"/>
      <w:bookmarkStart w:id="1753" w:name="_b092ca51_05a5_440e_ac7d_a6156b9dd9b7"/>
      <w:bookmarkStart w:id="1754" w:name="s92d3bbcec15451228006ab1e0a77225"/>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r>
        <w:rPr>
          <w:rFonts w:ascii="Times New Roman;Times;serif" w:hAnsi="Times New Roman;Times;serif"/>
          <w:b/>
          <w:sz w:val="20"/>
        </w:rPr>
        <w:t>10. RETIREMENT PLANS</w:t>
      </w:r>
    </w:p>
    <w:p>
      <w:pPr>
        <w:pStyle w:val="TextBody"/>
        <w:pBdr/>
        <w:shd w:fill="FFFFFF" w:val="clear"/>
        <w:bidi w:val="0"/>
        <w:spacing w:before="280" w:after="0"/>
        <w:ind w:left="0" w:right="0" w:hanging="0"/>
        <w:jc w:val="left"/>
        <w:rPr>
          <w:rFonts w:ascii="Times New Roman;Times;serif" w:hAnsi="Times New Roman;Times;serif"/>
          <w:i/>
          <w:sz w:val="20"/>
        </w:rPr>
      </w:pPr>
      <w:r>
        <w:rPr>
          <w:rFonts w:ascii="Times New Roman;Times;serif" w:hAnsi="Times New Roman;Times;serif"/>
          <w:i/>
          <w:sz w:val="20"/>
        </w:rPr>
        <w:t>Multi-employer Defined Benefit Plan</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Pension benefits for substantially all of the Company’s Alaska-based employees are provided through the Alaska Electrical Pension Fund (“AEPF”). The Company pays a contractual hourly amount based on employee classification or base compensation to the AEPF. As a multi-employer defined benefit plan, the accumulated benefits and plan assets are not determined for, or allocated separately to, the individual employer. This plan was not in endangered or in critical status during the plan year.</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Defined Benefit Plan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has noncontributory defined benefit pension and noncontributory defined medical, dental, vision, and life benefit plans for employees who meet certain eligibility criteria. The majority of the benefits under these plans are frozen and the plans no longer allow new participants to join.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recorded the net periodic benefit cost identified below (in thousands):</w:t>
      </w:r>
    </w:p>
    <w:p>
      <w:pPr>
        <w:pStyle w:val="TextBody"/>
        <w:bidi w:val="0"/>
        <w:spacing w:before="280" w:after="0"/>
        <w:ind w:left="0" w:right="0" w:firstLine="720"/>
        <w:jc w:val="left"/>
        <w:rPr/>
      </w:pPr>
      <w:r>
        <w:rPr/>
        <w:t>​</w:t>
      </w:r>
    </w:p>
    <w:tbl>
      <w:tblPr>
        <w:tblW w:w="10852" w:type="dxa"/>
        <w:jc w:val="left"/>
        <w:tblInd w:w="0" w:type="dxa"/>
        <w:tblLayout w:type="fixed"/>
        <w:tblCellMar>
          <w:top w:w="0" w:type="dxa"/>
          <w:left w:w="0" w:type="dxa"/>
          <w:bottom w:w="0" w:type="dxa"/>
          <w:right w:w="0" w:type="dxa"/>
        </w:tblCellMar>
      </w:tblPr>
      <w:tblGrid>
        <w:gridCol w:w="1306"/>
        <w:gridCol w:w="109"/>
        <w:gridCol w:w="211"/>
        <w:gridCol w:w="481"/>
        <w:gridCol w:w="109"/>
        <w:gridCol w:w="426"/>
        <w:gridCol w:w="760"/>
        <w:gridCol w:w="286"/>
        <w:gridCol w:w="211"/>
        <w:gridCol w:w="481"/>
        <w:gridCol w:w="109"/>
        <w:gridCol w:w="426"/>
        <w:gridCol w:w="760"/>
        <w:gridCol w:w="226"/>
        <w:gridCol w:w="346"/>
        <w:gridCol w:w="211"/>
        <w:gridCol w:w="631"/>
        <w:gridCol w:w="109"/>
        <w:gridCol w:w="426"/>
        <w:gridCol w:w="760"/>
        <w:gridCol w:w="286"/>
        <w:gridCol w:w="211"/>
        <w:gridCol w:w="631"/>
        <w:gridCol w:w="109"/>
        <w:gridCol w:w="352"/>
        <w:gridCol w:w="879"/>
      </w:tblGrid>
      <w:tr>
        <w:trPr/>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829310" cy="175260"/>
                      <wp:effectExtent l="0" t="0" r="0" b="0"/>
                      <wp:wrapNone/>
                      <wp:docPr id="252" name="Frame252"/>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215" cy="175260"/>
                      <wp:effectExtent l="0" t="0" r="0" b="0"/>
                      <wp:wrapNone/>
                      <wp:docPr id="253" name="Frame2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05435" cy="175260"/>
                      <wp:effectExtent l="0" t="0" r="0" b="0"/>
                      <wp:wrapNone/>
                      <wp:docPr id="255" name="Frame25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215" cy="175260"/>
                      <wp:effectExtent l="0" t="0" r="0" b="0"/>
                      <wp:wrapNone/>
                      <wp:docPr id="256" name="Frame2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70510" cy="175260"/>
                      <wp:effectExtent l="0" t="0" r="0" b="0"/>
                      <wp:wrapNone/>
                      <wp:docPr id="257" name="Frame257"/>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82600" cy="175260"/>
                      <wp:effectExtent l="0" t="0" r="0" b="0"/>
                      <wp:wrapNone/>
                      <wp:docPr id="258" name="Frame258"/>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81610" cy="175260"/>
                      <wp:effectExtent l="0" t="0" r="0" b="0"/>
                      <wp:wrapNone/>
                      <wp:docPr id="259" name="Frame25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305435" cy="175260"/>
                      <wp:effectExtent l="0" t="0" r="0" b="0"/>
                      <wp:wrapNone/>
                      <wp:docPr id="261" name="Frame261"/>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2"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70510" cy="175260"/>
                      <wp:effectExtent l="0" t="0" r="0" b="0"/>
                      <wp:wrapNone/>
                      <wp:docPr id="263" name="Frame263"/>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82600" cy="175260"/>
                      <wp:effectExtent l="0" t="0" r="0" b="0"/>
                      <wp:wrapNone/>
                      <wp:docPr id="264" name="Frame264"/>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43510" cy="175260"/>
                      <wp:effectExtent l="0" t="0" r="0" b="0"/>
                      <wp:wrapNone/>
                      <wp:docPr id="265" name="Frame26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00685" cy="175260"/>
                      <wp:effectExtent l="0" t="0" r="0" b="0"/>
                      <wp:wrapNone/>
                      <wp:docPr id="268" name="Frame26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9" name="Frame2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70510" cy="175260"/>
                      <wp:effectExtent l="0" t="0" r="0" b="0"/>
                      <wp:wrapNone/>
                      <wp:docPr id="270" name="Frame270"/>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82600" cy="175260"/>
                      <wp:effectExtent l="0" t="0" r="0" b="0"/>
                      <wp:wrapNone/>
                      <wp:docPr id="271" name="Frame271"/>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81610" cy="175260"/>
                      <wp:effectExtent l="0" t="0" r="0" b="0"/>
                      <wp:wrapNone/>
                      <wp:docPr id="272" name="Frame27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00685" cy="175260"/>
                      <wp:effectExtent l="0" t="0" r="0" b="0"/>
                      <wp:wrapNone/>
                      <wp:docPr id="274" name="Frame27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9215" cy="175260"/>
                      <wp:effectExtent l="0" t="0" r="0" b="0"/>
                      <wp:wrapNone/>
                      <wp:docPr id="275" name="Frame2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23520" cy="175260"/>
                      <wp:effectExtent l="0" t="0" r="0" b="0"/>
                      <wp:wrapNone/>
                      <wp:docPr id="276" name="Frame276"/>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58165" cy="175260"/>
                      <wp:effectExtent l="0" t="0" r="0" b="0"/>
                      <wp:wrapNone/>
                      <wp:docPr id="277" name="Frame277"/>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6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2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460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3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8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286" w:type="dxa"/>
            <w:tcBorders/>
            <w:vAlign w:val="center"/>
          </w:tcPr>
          <w:p>
            <w:pPr>
              <w:pStyle w:val="TableContents"/>
              <w:bidi w:val="0"/>
              <w:spacing w:before="0" w:after="0"/>
              <w:ind w:left="0" w:right="0" w:hanging="0"/>
              <w:jc w:val="left"/>
              <w:rPr/>
            </w:pPr>
            <w:r>
              <w:rPr/>
              <w:t>  ​ ​</w:t>
            </w:r>
          </w:p>
        </w:tc>
        <w:tc>
          <w:tcPr>
            <w:tcW w:w="198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2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286" w:type="dxa"/>
            <w:tcBorders/>
            <w:vAlign w:val="center"/>
          </w:tcPr>
          <w:p>
            <w:pPr>
              <w:pStyle w:val="TableContents"/>
              <w:bidi w:val="0"/>
              <w:spacing w:before="0" w:after="0"/>
              <w:ind w:left="0" w:right="0" w:hanging="0"/>
              <w:jc w:val="left"/>
              <w:rPr/>
            </w:pPr>
            <w:r>
              <w:rPr/>
              <w:t>  ​ ​</w:t>
            </w:r>
          </w:p>
        </w:tc>
        <w:tc>
          <w:tcPr>
            <w:tcW w:w="218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13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c>
          <w:tcPr>
            <w:tcW w:w="286" w:type="dxa"/>
            <w:tcBorders/>
            <w:vAlign w:val="center"/>
          </w:tcPr>
          <w:p>
            <w:pPr>
              <w:pStyle w:val="TableContents"/>
              <w:bidi w:val="0"/>
              <w:spacing w:before="0" w:after="0"/>
              <w:ind w:left="0" w:right="0" w:hanging="0"/>
              <w:jc w:val="center"/>
              <w:rPr/>
            </w:pPr>
            <w:r>
              <w:rPr/>
              <w:t>​</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c>
          <w:tcPr>
            <w:tcW w:w="2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c>
          <w:tcPr>
            <w:tcW w:w="286" w:type="dxa"/>
            <w:tcBorders/>
            <w:vAlign w:val="center"/>
          </w:tcPr>
          <w:p>
            <w:pPr>
              <w:pStyle w:val="TableContents"/>
              <w:bidi w:val="0"/>
              <w:spacing w:before="0" w:after="0"/>
              <w:ind w:left="0" w:right="0" w:hanging="0"/>
              <w:jc w:val="center"/>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109" w:type="dxa"/>
            <w:tcBorders/>
            <w:vAlign w:val="center"/>
          </w:tcPr>
          <w:p>
            <w:pPr>
              <w:pStyle w:val="TableContents"/>
              <w:bidi w:val="0"/>
              <w:spacing w:before="0" w:after="0"/>
              <w:ind w:left="0" w:right="0" w:hanging="0"/>
              <w:jc w:val="left"/>
              <w:rPr/>
            </w:pPr>
            <w:r>
              <w:rPr/>
              <w:t>​</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48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6" w:type="dxa"/>
            <w:tcBorders/>
            <w:shd w:fill="CCEEFF" w:val="clear"/>
            <w:vAlign w:val="center"/>
          </w:tcPr>
          <w:p>
            <w:pPr>
              <w:pStyle w:val="TableContents"/>
              <w:bidi w:val="0"/>
              <w:spacing w:before="0" w:after="0"/>
              <w:ind w:left="0" w:right="0" w:hanging="0"/>
              <w:jc w:val="center"/>
              <w:rPr/>
            </w:pPr>
            <w:r>
              <w:rPr/>
              <w:t>​</w:t>
            </w:r>
          </w:p>
        </w:tc>
        <w:tc>
          <w:tcPr>
            <w:tcW w:w="76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48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6" w:type="dxa"/>
            <w:tcBorders/>
            <w:shd w:fill="CCEEFF" w:val="clear"/>
            <w:vAlign w:val="center"/>
          </w:tcPr>
          <w:p>
            <w:pPr>
              <w:pStyle w:val="TableContents"/>
              <w:bidi w:val="0"/>
              <w:spacing w:before="0" w:after="0"/>
              <w:ind w:left="0" w:right="0" w:hanging="0"/>
              <w:jc w:val="center"/>
              <w:rPr/>
            </w:pPr>
            <w:r>
              <w:rPr/>
              <w:t>​</w:t>
            </w:r>
          </w:p>
        </w:tc>
        <w:tc>
          <w:tcPr>
            <w:tcW w:w="760"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6" w:type="dxa"/>
            <w:tcBorders/>
            <w:shd w:fill="CCEEFF" w:val="clear"/>
            <w:vAlign w:val="center"/>
          </w:tcPr>
          <w:p>
            <w:pPr>
              <w:pStyle w:val="TableContents"/>
              <w:bidi w:val="0"/>
              <w:spacing w:before="0" w:after="0"/>
              <w:ind w:left="0" w:right="0" w:hanging="0"/>
              <w:jc w:val="center"/>
              <w:rPr/>
            </w:pPr>
            <w:r>
              <w:rPr/>
              <w:t>​</w:t>
            </w:r>
          </w:p>
        </w:tc>
        <w:tc>
          <w:tcPr>
            <w:tcW w:w="760" w:type="dxa"/>
            <w:tcBorders/>
            <w:shd w:fill="CCEEFF" w:val="clear"/>
            <w:vAlign w:val="center"/>
          </w:tcPr>
          <w:p>
            <w:pPr>
              <w:pStyle w:val="TableContents"/>
              <w:bidi w:val="0"/>
              <w:spacing w:before="0" w:after="0"/>
              <w:ind w:left="0" w:right="0" w:hanging="0"/>
              <w:jc w:val="center"/>
              <w:rPr/>
            </w:pPr>
            <w:r>
              <w:rPr/>
              <w:t>​</w:t>
            </w:r>
          </w:p>
        </w:tc>
        <w:tc>
          <w:tcPr>
            <w:tcW w:w="28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center"/>
              <w:rPr/>
            </w:pPr>
            <w:r>
              <w:rPr/>
              <w:t>​</w:t>
            </w:r>
          </w:p>
        </w:tc>
        <w:tc>
          <w:tcPr>
            <w:tcW w:w="879" w:type="dxa"/>
            <w:tcBorders/>
            <w:shd w:fill="CCEEFF" w:val="clear"/>
            <w:vAlign w:val="center"/>
          </w:tcPr>
          <w:p>
            <w:pPr>
              <w:pStyle w:val="TableContents"/>
              <w:bidi w:val="0"/>
              <w:spacing w:before="0" w:after="0"/>
              <w:ind w:left="0" w:right="0" w:hanging="0"/>
              <w:jc w:val="center"/>
              <w:rPr/>
            </w:pPr>
            <w:r>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09"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2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Non-operating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left"/>
              <w:rPr/>
            </w:pPr>
            <w:r>
              <w:rPr/>
              <w:t>​</w:t>
            </w:r>
          </w:p>
        </w:tc>
        <w:tc>
          <w:tcPr>
            <w:tcW w:w="76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left"/>
              <w:rPr/>
            </w:pPr>
            <w:r>
              <w:rPr/>
              <w:t>​</w:t>
            </w:r>
          </w:p>
        </w:tc>
        <w:tc>
          <w:tcPr>
            <w:tcW w:w="76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left"/>
              <w:rPr/>
            </w:pPr>
            <w:r>
              <w:rPr/>
              <w:t>​</w:t>
            </w:r>
          </w:p>
        </w:tc>
        <w:tc>
          <w:tcPr>
            <w:tcW w:w="76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w:t>
            </w:r>
          </w:p>
        </w:tc>
        <w:tc>
          <w:tcPr>
            <w:tcW w:w="109"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c>
          <w:tcPr>
            <w:tcW w:w="109"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2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w:t>
            </w:r>
          </w:p>
        </w:tc>
        <w:tc>
          <w:tcPr>
            <w:tcW w:w="109"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109"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right"/>
              <w:rPr/>
            </w:pPr>
            <w:r>
              <w:rPr/>
              <w:t> </w:t>
            </w:r>
          </w:p>
        </w:tc>
        <w:tc>
          <w:tcPr>
            <w:tcW w:w="76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109"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right"/>
              <w:rPr/>
            </w:pPr>
            <w:r>
              <w:rPr/>
              <w:t> </w:t>
            </w:r>
          </w:p>
        </w:tc>
        <w:tc>
          <w:tcPr>
            <w:tcW w:w="76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w:t>
            </w:r>
          </w:p>
        </w:tc>
        <w:tc>
          <w:tcPr>
            <w:tcW w:w="109"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right"/>
              <w:rPr/>
            </w:pPr>
            <w:r>
              <w:rPr/>
              <w:t> </w:t>
            </w:r>
          </w:p>
        </w:tc>
        <w:tc>
          <w:tcPr>
            <w:tcW w:w="76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right"/>
              <w:rPr/>
            </w:pPr>
            <w:r>
              <w:rPr/>
              <w:t> </w:t>
            </w:r>
          </w:p>
        </w:tc>
        <w:tc>
          <w:tcPr>
            <w:tcW w:w="879" w:type="dxa"/>
            <w:tcBorders/>
            <w:shd w:fill="CCEEFF" w:val="clear"/>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unrecognized actuarial gain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109" w:type="dxa"/>
            <w:tcBorders/>
            <w:vAlign w:val="center"/>
          </w:tcPr>
          <w:p>
            <w:pPr>
              <w:pStyle w:val="TableContents"/>
              <w:bidi w:val="0"/>
              <w:spacing w:before="0" w:after="0"/>
              <w:ind w:left="0" w:right="0" w:hanging="0"/>
              <w:jc w:val="left"/>
              <w:rPr/>
            </w:pPr>
            <w:r>
              <w:rPr/>
              <w:t>​</w:t>
            </w:r>
          </w:p>
        </w:tc>
        <w:tc>
          <w:tcPr>
            <w:tcW w:w="4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bidi w:val="0"/>
              <w:spacing w:before="0" w:after="0"/>
              <w:ind w:left="0" w:right="0" w:hanging="0"/>
              <w:jc w:val="left"/>
              <w:rPr/>
            </w:pPr>
            <w:r>
              <w:rPr/>
              <w:t>​</w:t>
            </w:r>
          </w:p>
        </w:tc>
        <w:tc>
          <w:tcPr>
            <w:tcW w:w="4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2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109" w:type="dxa"/>
            <w:tcBorders/>
            <w:vAlign w:val="center"/>
          </w:tcPr>
          <w:p>
            <w:pPr>
              <w:pStyle w:val="TableContents"/>
              <w:bidi w:val="0"/>
              <w:spacing w:before="0" w:after="0"/>
              <w:ind w:left="0" w:right="0" w:hanging="0"/>
              <w:jc w:val="left"/>
              <w:rPr/>
            </w:pPr>
            <w:r>
              <w:rPr/>
              <w:t>​</w:t>
            </w:r>
          </w:p>
        </w:tc>
        <w:tc>
          <w:tcPr>
            <w:tcW w:w="4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109"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periodic pension expense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109" w:type="dxa"/>
            <w:tcBorders/>
            <w:shd w:fill="CCEEFF" w:val="clear"/>
            <w:vAlign w:val="center"/>
          </w:tcPr>
          <w:p>
            <w:pPr>
              <w:pStyle w:val="TableContents"/>
              <w:bidi w:val="0"/>
              <w:spacing w:before="0" w:after="0"/>
              <w:ind w:left="0" w:right="0" w:hanging="0"/>
              <w:jc w:val="left"/>
              <w:rPr/>
            </w:pPr>
            <w:r>
              <w:rPr/>
              <w:t>​</w:t>
            </w:r>
          </w:p>
        </w:tc>
        <w:tc>
          <w:tcPr>
            <w:tcW w:w="4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shd w:fill="CCEEFF" w:val="clear"/>
            <w:vAlign w:val="center"/>
          </w:tcPr>
          <w:p>
            <w:pPr>
              <w:pStyle w:val="TableContents"/>
              <w:bidi w:val="0"/>
              <w:spacing w:before="0" w:after="0"/>
              <w:ind w:left="0" w:right="0" w:hanging="0"/>
              <w:jc w:val="left"/>
              <w:rPr/>
            </w:pPr>
            <w:r>
              <w:rPr/>
              <w:t>​</w:t>
            </w:r>
          </w:p>
        </w:tc>
        <w:tc>
          <w:tcPr>
            <w:tcW w:w="4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2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109" w:type="dxa"/>
            <w:tcBorders/>
            <w:shd w:fill="CCEEFF" w:val="clear"/>
            <w:vAlign w:val="center"/>
          </w:tcPr>
          <w:p>
            <w:pPr>
              <w:pStyle w:val="TableContents"/>
              <w:bidi w:val="0"/>
              <w:spacing w:before="0" w:after="0"/>
              <w:ind w:left="0" w:right="0" w:hanging="0"/>
              <w:jc w:val="left"/>
              <w:rPr/>
            </w:pPr>
            <w:r>
              <w:rPr/>
              <w:t>​</w:t>
            </w:r>
          </w:p>
        </w:tc>
        <w:tc>
          <w:tcPr>
            <w:tcW w:w="4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109</w:t>
            </w:r>
          </w:p>
        </w:tc>
      </w:tr>
    </w:tbl>
    <w:p>
      <w:pPr>
        <w:pStyle w:val="TextBody"/>
        <w:bidi w:val="0"/>
        <w:spacing w:before="0" w:after="0"/>
        <w:ind w:left="0" w:right="0" w:hanging="0"/>
        <w:jc w:val="left"/>
        <w:rPr/>
      </w:pPr>
      <w:r>
        <w:rPr/>
        <w:t>​</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was not required to make contributions to its pension plans during the six months ended June 30, 2026 and 2025. However, the Company periodically evaluates whether to make discretionary contributions. The Company funds its postretirement benefit plans as claims are made and did not make contributions to its pension plans during the six months ended June 30, 2026 and 2025. </w:t>
      </w:r>
    </w:p>
    <w:p>
      <w:pPr>
        <w:pStyle w:val="TextBody"/>
        <w:bidi w:val="0"/>
        <w:spacing w:before="280" w:after="0"/>
        <w:ind w:left="0" w:right="0" w:hanging="0"/>
        <w:jc w:val="left"/>
        <w:rPr/>
      </w:pPr>
      <w:r>
        <w:rPr/>
        <w:t>​</w:t>
      </w:r>
    </w:p>
    <w:p>
      <w:pPr>
        <w:pStyle w:val="TextBody"/>
        <w:bidi w:val="0"/>
        <w:spacing w:before="100" w:after="100"/>
        <w:ind w:left="0" w:right="0" w:firstLine="72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11.  INCOME TAXES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July 2025, the One Big Beautiful Bill Act (“OBBBA”) was enacted in the US. The OBBBA includes significant provisions, such as the permanent extension of certain expiring provisions of the Tax Cuts and Jobs Act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2017, modifications to the international tax framework and the restoration of favorable tax treatment for certain business provisions. The legislation has multiple effective dates, with certain provisions effective in 2025 and others implemented through 2027. The Company has reflected the impact of the enacted provisions in its financial statements for the six months ended, June 30, 2026, which were determined to be immaterial. The Company will continue to evaluate the impact of the OBBBA provisions effective in future years on the Company’s financial statements and related disclosures.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effective tax rate for the three months ended June 30, 2026 and 2025 was 18.4% and 29.0%, respectively.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recorded an income tax expense of $42.1 million in relation to a pretax income of $228.6 million for the three months ended June 30, 2026. The effective tax rate for the three months ended June 30, 2026 was primarily impacted by the following items: (i) the mix of income generated among the jurisdictions in which the Company operates, (ii) the exclusion of losses in Alaska and the US Virgin Islands due to valuation allowance positions placed on certain deferred tax assets that are not expected to be realized based on the weight of positive and negative evidence, and (iii) discrete items including a $4.9 million net benefit from the reversal of an unrecognized tax position due to a statute of limitations expiration, net of interest on prior years uncertain tax positions, and a $0.8 million expense associated with a return to provision adjustment related to tax returns filed in Guyana.</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recorded an income tax benefit of $3.8 million in relation to a pretax loss of $13.0 million for the three months ended June 30, 2025. The effective tax rate for the three months ended June 30, 2025 was primarily impacted by the following items: (i) the mix of income generated among the jurisdictions in which the Company operates, (ii) net expense related to valuation allowances placed on certain deferred tax assets that are not expected to be realizable based on the weight of positive and negative evidence, and (iii) discrete items including a $4.9 million benefit from the reversal of an unrecognized tax position due to a statute of limitations expiration, a $0.6 million expense for interest on prior years uncertain tax positions, and a $1.0 million benefit from the release of a capital loss carryover valuation allowance based on the Company’s conclusion that it was more likely than not this deferred tax asset would be realized in the future.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Company’s effective tax rate for the six months ended June 30, 2026 and 2025 was 19.3% and 16.1%, respectively.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recorded an income tax expense of $43.7 million in relation to a pretax income of $226.7 million for the six months ended June 30, 2026. The effective tax rate for the six months ended June 30, 2026 was primarily impacted by the following items: (i) the mix of income generated among the jurisdictions in which the Company operates, (ii) the exclusion of losses in Alaska and the US Virgin Islands due to valuation allowance positions placed on certain deferred tax assets that are not expected to be realized based on the weight of positive and negative evidence, and (iii) discrete items including a $4.6 million net benefit from the reversal of an unrecognized tax position due to a statute of limitations expiration, net of interest on prior years uncertain tax positions, a $0.9 million expense associated with stock option shortfalls, and a $0.8 million expense associated with a return to provision adjustment related to tax returns filed in Guyana.</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recorded an income tax benefit of $4.0 million in relation to a pretax loss of $24.6 million for the six months ended June 30, 2025. The effective tax rate for the six months ended June 30, 2025 was primarily impacted by the following items: (i) the mix of income generated among the jurisdictions in which we operate, (ii) net expense related to valuation allowances placed on certain deferred tax assets that are not expected to be realized based on the weight of positive and negative evidence, and (iii) discrete items including a $4.9 million benefit from the reversal of an unrecognized tax position due to a statute of limitations expiration, a $1.2 million expense for interest on prior years uncertain tax positions, a $0.5 million expense associated with stock option shortfalls, and a $1.0 million benefit from the release of a capital loss carryover valuation allowance based on the Company’s conclusion that it was more likely than not that this deferred tax asset would be realized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The Company’s consolidated tax rate will continue to be impacted by any transactional or one-time items in the future and the mix of income in any given year generated among the jurisdictions in which the Company operates. While the Company believes it has adequately provided for all tax positions, amounts asserted by taxing authorities could materially differ from the Company’s accrued positions as a result of uncertain and complex application of tax law and regulations. Additionally, the recognition and measurement of certain tax benefits include estimates and judgments by management. Accordingly, the Company could record additional provisions or benefits for US federal, state, and foreign tax matters in future periods as new information becomes available.</w:t>
      </w:r>
    </w:p>
    <w:p>
      <w:pPr>
        <w:pStyle w:val="TextBody"/>
        <w:bidi w:val="0"/>
        <w:spacing w:before="280" w:after="0"/>
        <w:ind w:left="0" w:right="0" w:hanging="0"/>
        <w:jc w:val="left"/>
        <w:rPr/>
      </w:pPr>
      <w:bookmarkStart w:id="1755" w:name="Tc_0dX_D0Pv7U6EVZTaX0YhGw_10_0"/>
      <w:bookmarkStart w:id="1756" w:name="Tc_WniBA63QLEOs1JKzXa5vVg_9_0"/>
      <w:bookmarkStart w:id="1757" w:name="Tc_VnvwW_KiK0ypiARsaKz-lQ_8_0"/>
      <w:bookmarkStart w:id="1758" w:name="Tc_tAN2jnXd6E-MoUSp7kpFIA_6_10"/>
      <w:bookmarkStart w:id="1759" w:name="Tc_swOFW_EByk-Trr3Dn5Bd0A_6_7"/>
      <w:bookmarkStart w:id="1760" w:name="Tc_m4ilbEfT9UW3Dze1cvaDdg_6_4"/>
      <w:bookmarkStart w:id="1761" w:name="Tc_kqbOPTQv0UWqYn5GaXks-w_6_1"/>
      <w:bookmarkStart w:id="1762" w:name="Tc_huhZHmq3k0SSUQ6bn-93Gg_6_0"/>
      <w:bookmarkStart w:id="1763" w:name="Tc_xOVC3VxUMkKibapzxvsV4g_5_0"/>
      <w:bookmarkStart w:id="1764" w:name="Tc_UtHpoiCjZkucwsw3IqlQ_A_4_0"/>
      <w:bookmarkStart w:id="1765" w:name="Tc_Gsy8kMkOdEq6PII8UbFg6w_3_0"/>
      <w:bookmarkStart w:id="1766" w:name="Tc_bdLceHhrYkGMIAJbz8KErA_2_10"/>
      <w:bookmarkStart w:id="1767" w:name="Tc_V4q1oCn0kUihQZT7L_QolA_2_7"/>
      <w:bookmarkStart w:id="1768" w:name="Tc_uFtImsKdNUe8apLdihGT3A_2_4"/>
      <w:bookmarkStart w:id="1769" w:name="Tc_oyrCiLLaYkicQGC9PW5OxQ_2_1"/>
      <w:bookmarkStart w:id="1770" w:name="Tc_QwMjc-aV_kyOpQQBPeZ_9g_1_7"/>
      <w:bookmarkStart w:id="1771" w:name="Tc_68jRgCOoUUqbNi8IW9nwlA_1_1"/>
      <w:bookmarkStart w:id="1772" w:name="_0c8ecc6a_e1ce_438c_be65_1a0e6644b7c7"/>
      <w:bookmarkStart w:id="1773" w:name="_7b4bb4f9_3c6b_44b7_a7d0_235f9acc0066"/>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12. EARNINGS PER SHARE AND REDEEMABLE NONCONTROLLING INTERESTS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Earnings Per Share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following table reconciles the numerator and denominator in the computations of basic and diluted earnings per share (in thousands):</w:t>
      </w:r>
    </w:p>
    <w:p>
      <w:pPr>
        <w:pStyle w:val="TextBody"/>
        <w:bidi w:val="0"/>
        <w:spacing w:before="28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5796"/>
        <w:gridCol w:w="228"/>
        <w:gridCol w:w="847"/>
        <w:gridCol w:w="118"/>
        <w:gridCol w:w="228"/>
        <w:gridCol w:w="744"/>
        <w:gridCol w:w="109"/>
        <w:gridCol w:w="211"/>
        <w:gridCol w:w="781"/>
        <w:gridCol w:w="109"/>
        <w:gridCol w:w="211"/>
        <w:gridCol w:w="823"/>
      </w:tblGrid>
      <w:tr>
        <w:trPr/>
        <w:tc>
          <w:tcPr>
            <w:tcW w:w="579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44780" cy="175260"/>
                      <wp:effectExtent l="0" t="0" r="0" b="0"/>
                      <wp:wrapNone/>
                      <wp:docPr id="278" name="Frame27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37845" cy="175260"/>
                      <wp:effectExtent l="0" t="0" r="0" b="0"/>
                      <wp:wrapNone/>
                      <wp:docPr id="279" name="Frame279"/>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4930" cy="175260"/>
                      <wp:effectExtent l="0" t="0" r="0" b="0"/>
                      <wp:wrapNone/>
                      <wp:docPr id="280" name="Frame280"/>
                      <a:graphic xmlns:a="http://schemas.openxmlformats.org/drawingml/2006/main">
                        <a:graphicData uri="http://schemas.microsoft.com/office/word/2010/wordprocessingShape">
                          <wps:wsp>
                            <wps:cNvSpPr txBox="1"/>
                            <wps:spPr>
                              <a:xfrm>
                                <a:off x="0" y="0"/>
                                <a:ext cx="74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44780" cy="175260"/>
                      <wp:effectExtent l="0" t="0" r="0" b="0"/>
                      <wp:wrapNone/>
                      <wp:docPr id="281" name="Frame281"/>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72440" cy="175260"/>
                      <wp:effectExtent l="0" t="0" r="0" b="0"/>
                      <wp:wrapNone/>
                      <wp:docPr id="282" name="Frame282"/>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95935" cy="175260"/>
                      <wp:effectExtent l="0" t="0" r="0" b="0"/>
                      <wp:wrapNone/>
                      <wp:docPr id="284" name="Frame2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9215" cy="175260"/>
                      <wp:effectExtent l="0" t="0" r="0" b="0"/>
                      <wp:wrapNone/>
                      <wp:docPr id="285" name="Frame2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22605" cy="175260"/>
                      <wp:effectExtent l="0" t="0" r="0" b="0"/>
                      <wp:wrapNone/>
                      <wp:docPr id="287" name="Frame287"/>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96" w:type="dxa"/>
            <w:tcBorders/>
            <w:vAlign w:val="center"/>
          </w:tcPr>
          <w:p>
            <w:pPr>
              <w:pStyle w:val="TableContents"/>
              <w:bidi w:val="0"/>
              <w:spacing w:before="0" w:after="0"/>
              <w:ind w:left="0" w:right="0" w:hanging="0"/>
              <w:jc w:val="left"/>
              <w:rPr/>
            </w:pPr>
            <w:r>
              <w:rPr/>
              <w:t>​</w:t>
            </w:r>
          </w:p>
        </w:tc>
        <w:tc>
          <w:tcPr>
            <w:tcW w:w="21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796" w:type="dxa"/>
            <w:tcBorders/>
            <w:vAlign w:val="center"/>
          </w:tcPr>
          <w:p>
            <w:pPr>
              <w:pStyle w:val="TableContents"/>
              <w:bidi w:val="0"/>
              <w:spacing w:before="0" w:after="0"/>
              <w:ind w:left="0" w:right="0" w:hanging="0"/>
              <w:jc w:val="left"/>
              <w:rPr/>
            </w:pPr>
            <w:r>
              <w:rPr/>
              <w:t>​</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8" w:type="dxa"/>
            <w:tcBorders/>
            <w:vAlign w:val="center"/>
          </w:tcPr>
          <w:p>
            <w:pPr>
              <w:pStyle w:val="TableContents"/>
              <w:bidi w:val="0"/>
              <w:spacing w:before="0" w:after="0"/>
              <w:ind w:left="0" w:right="0" w:hanging="0"/>
              <w:jc w:val="center"/>
              <w:rPr/>
            </w:pPr>
            <w:r>
              <w:rPr/>
              <w:t>​</w:t>
            </w:r>
          </w:p>
        </w:tc>
        <w:tc>
          <w:tcPr>
            <w:tcW w:w="9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0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228" w:type="dxa"/>
            <w:tcBorders/>
            <w:shd w:fill="CCEEFF" w:val="clear"/>
            <w:vAlign w:val="center"/>
          </w:tcPr>
          <w:p>
            <w:pPr>
              <w:pStyle w:val="TableContents"/>
              <w:bidi w:val="0"/>
              <w:spacing w:before="0" w:after="0"/>
              <w:ind w:left="0" w:right="0" w:hanging="0"/>
              <w:jc w:val="left"/>
              <w:rPr/>
            </w:pPr>
            <w:r>
              <w:rPr/>
              <w:t>​</w:t>
            </w:r>
          </w:p>
        </w:tc>
        <w:tc>
          <w:tcPr>
            <w:tcW w:w="847" w:type="dxa"/>
            <w:tcBorders/>
            <w:shd w:fill="CCEEFF" w:val="clear"/>
            <w:vAlign w:val="center"/>
          </w:tcPr>
          <w:p>
            <w:pPr>
              <w:pStyle w:val="TableContents"/>
              <w:bidi w:val="0"/>
              <w:spacing w:before="0" w:after="0"/>
              <w:ind w:left="0" w:right="0" w:hanging="0"/>
              <w:jc w:val="left"/>
              <w:rPr/>
            </w:pPr>
            <w:r>
              <w:rPr/>
              <w:t>​</w:t>
            </w:r>
          </w:p>
        </w:tc>
        <w:tc>
          <w:tcPr>
            <w:tcW w:w="118"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left"/>
              <w:rPr/>
            </w:pPr>
            <w:r>
              <w:rPr/>
              <w:t>​</w:t>
            </w:r>
          </w:p>
        </w:tc>
      </w:tr>
      <w:tr>
        <w:trPr/>
        <w:tc>
          <w:tcPr>
            <w:tcW w:w="5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ATN International, Inc. stockholders- Basic</w:t>
            </w:r>
          </w:p>
        </w:tc>
        <w:tc>
          <w:tcPr>
            <w:tcW w:w="228"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167,288</w:t>
            </w:r>
          </w:p>
        </w:tc>
        <w:tc>
          <w:tcPr>
            <w:tcW w:w="118" w:type="dxa"/>
            <w:tcBorders/>
            <w:vAlign w:val="center"/>
          </w:tcPr>
          <w:p>
            <w:pPr>
              <w:pStyle w:val="TableContents"/>
              <w:bidi w:val="0"/>
              <w:spacing w:before="0" w:after="0"/>
              <w:ind w:left="0" w:right="0" w:hanging="0"/>
              <w:jc w:val="right"/>
              <w:rPr/>
            </w:pPr>
            <w:r>
              <w:rPr/>
              <w:t>​</w:t>
            </w:r>
          </w:p>
        </w:tc>
        <w:tc>
          <w:tcPr>
            <w:tcW w:w="228" w:type="dxa"/>
            <w:tcBorders/>
            <w:vAlign w:val="center"/>
          </w:tcPr>
          <w:p>
            <w:pPr>
              <w:pStyle w:val="TableContents"/>
              <w:bidi w:val="0"/>
              <w:spacing w:before="0" w:after="0"/>
              <w:ind w:left="0" w:right="0" w:hanging="0"/>
              <w:jc w:val="righ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164,491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(15,954)</w:t>
            </w:r>
          </w:p>
        </w:tc>
      </w:tr>
      <w:tr>
        <w:trPr/>
        <w:tc>
          <w:tcPr>
            <w:tcW w:w="5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Preferred dividends</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w:t>
            </w:r>
          </w:p>
        </w:tc>
        <w:tc>
          <w:tcPr>
            <w:tcW w:w="118"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r>
      <w:tr>
        <w:trPr/>
        <w:tc>
          <w:tcPr>
            <w:tcW w:w="5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ATN International, Inc. common stockholders- Basic and Diluted</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165,640</w:t>
            </w:r>
          </w:p>
        </w:tc>
        <w:tc>
          <w:tcPr>
            <w:tcW w:w="118"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161,249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(18,919)</w:t>
            </w:r>
          </w:p>
        </w:tc>
      </w:tr>
      <w:tr>
        <w:trPr/>
        <w:tc>
          <w:tcPr>
            <w:tcW w:w="579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47" w:type="dxa"/>
            <w:tcBorders/>
            <w:shd w:fill="CCEEFF" w:val="clear"/>
            <w:vAlign w:val="center"/>
          </w:tcPr>
          <w:p>
            <w:pPr>
              <w:pStyle w:val="TableContents"/>
              <w:bidi w:val="0"/>
              <w:spacing w:before="0" w:after="0"/>
              <w:ind w:left="0" w:right="0" w:hanging="0"/>
              <w:jc w:val="left"/>
              <w:rPr/>
            </w:pPr>
            <w:r>
              <w:rPr/>
              <w:t>​</w:t>
            </w:r>
          </w:p>
        </w:tc>
        <w:tc>
          <w:tcPr>
            <w:tcW w:w="118"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left"/>
              <w:rPr/>
            </w:pPr>
            <w:r>
              <w:rPr/>
              <w:t>​</w:t>
            </w:r>
          </w:p>
        </w:tc>
      </w:tr>
      <w:tr>
        <w:trPr/>
        <w:tc>
          <w:tcPr>
            <w:tcW w:w="5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228"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left"/>
              <w:rPr/>
            </w:pPr>
            <w:r>
              <w:rPr/>
              <w:t>​</w:t>
            </w:r>
          </w:p>
        </w:tc>
        <w:tc>
          <w:tcPr>
            <w:tcW w:w="118"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left"/>
              <w:rPr/>
            </w:pPr>
            <w:r>
              <w:rPr/>
              <w:t>​</w:t>
            </w:r>
          </w:p>
        </w:tc>
      </w:tr>
      <w:tr>
        <w:trPr/>
        <w:tc>
          <w:tcPr>
            <w:tcW w:w="5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Basic</w:t>
            </w:r>
          </w:p>
        </w:tc>
        <w:tc>
          <w:tcPr>
            <w:tcW w:w="228" w:type="dxa"/>
            <w:tcBorders/>
            <w:shd w:fill="CCEEFF" w:val="clear"/>
            <w:vAlign w:val="center"/>
          </w:tcPr>
          <w:p>
            <w:pPr>
              <w:pStyle w:val="TableContents"/>
              <w:bidi w:val="0"/>
              <w:spacing w:before="0" w:after="0"/>
              <w:ind w:left="0" w:right="0" w:hanging="0"/>
              <w:jc w:val="left"/>
              <w:rPr/>
            </w:pPr>
            <w:r>
              <w:rPr/>
              <w:t>​</w:t>
            </w:r>
          </w:p>
        </w:tc>
        <w:tc>
          <w:tcPr>
            <w:tcW w:w="8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15,384</w:t>
            </w:r>
          </w:p>
        </w:tc>
        <w:tc>
          <w:tcPr>
            <w:tcW w:w="118" w:type="dxa"/>
            <w:tcBorders/>
            <w:shd w:fill="CCEEFF" w:val="clear"/>
            <w:vAlign w:val="center"/>
          </w:tcPr>
          <w:p>
            <w:pPr>
              <w:pStyle w:val="TableContents"/>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righ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15,177</w:t>
            </w:r>
          </w:p>
        </w:tc>
      </w:tr>
      <w:tr>
        <w:trPr/>
        <w:tc>
          <w:tcPr>
            <w:tcW w:w="5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Diluted</w:t>
            </w:r>
          </w:p>
        </w:tc>
        <w:tc>
          <w:tcPr>
            <w:tcW w:w="228"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15,459</w:t>
            </w:r>
          </w:p>
        </w:tc>
        <w:tc>
          <w:tcPr>
            <w:tcW w:w="118"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15,177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Redeemable Noncontrolling Interests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connection with certain acquisitions, the Company accounts for third-party non-controlling minority investments as redeemable noncontrolling interests, which consist of both redeemable common and, in some instances, preferred units, in its consolidated financial statements.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common units contain put options allowing the holder to sell at a future date, the common units to a subsidiary of the Company at the then fair market value. The common units participate in the earnings and losses of the subsidiaries and are allocated their applicable share of earnings and losses. After the allocation of earnings and losses, the Company estimates the fair value of the common units and records the common units at the higher of the book value or the estimated fair value of the common units.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preferred units contain put options allowing the holder to sell at a future date, the preferred units to a subsidiary of the Company at a fixed price equal to face value of the units plus unpaid dividends. The preferred units hold a distribution preference over common units and carry a fixed dividend rate.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put options for both the common and preferred units, if any, are nonrecourse to the Company. The put options for the Alloy common units are exercisable beginning in November 2026 and the put options for the Alaska Communications common and preferred units are exercisable at the earlier of a future initial public offering of the subsidiary or July 2028.</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June 30, 2026 and 2025, the Company allocated income of $9.3 million and losses of $5.1 million, respectively, to the redeemable common units representing their proportionate share of operating income and losses. For the six months ended June 30, 2026 and 2025, the Company allocated income of $6.3 million and losses of $8.7 million, respectively, to the redeemable common units representing their proportionate share of operating income and losses. The common units are carried at the higher of historical cost or fair value. The Alaska Communications common units were carried at a fair value of zero at both June 30, 2026 and December 31, 2025. The Alloy common units were carried at a historical cost of $22.3 million and a fair value of $15.0 million at June 30, 2026 and December 31, 2025, respectively.</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774" w:name="Tc_gLZR5yRFMk6Lm15EBz6tUw_6_7"/>
      <w:bookmarkStart w:id="1775" w:name="Tc_LmUFU84PrkeJR363LTX5hA_6_4"/>
      <w:bookmarkStart w:id="1776" w:name="Tc_Gkuyh64MI0-ND0fgHcJx8w_6_1"/>
      <w:bookmarkStart w:id="1777" w:name="Tc_o-uqi0EGbE2ECPFeuBbjDA_6_0"/>
      <w:bookmarkStart w:id="1778" w:name="Tc_kVRn5mJVEE6A5zUJR1Odrg_5_2"/>
      <w:bookmarkStart w:id="1779" w:name="Tc_letKtPFGkkakL1LFQutSKg_5_0"/>
      <w:bookmarkStart w:id="1780" w:name="Tc_eWiap1HVsEyjzpCJotRxCg_4_2"/>
      <w:bookmarkStart w:id="1781" w:name="Tc_-laBiVSQmkScs_GgyjVxCQ_4_0"/>
      <w:bookmarkStart w:id="1782" w:name="Tc_oZSH79_EmE6UnFRWC07Jvg_3_5"/>
      <w:bookmarkStart w:id="1783" w:name="Tc_7JRbtYDBn0iRXDfLgcZWzw_3_0"/>
      <w:bookmarkStart w:id="1784" w:name="Tc_5vPGb36UJkKdsSSjzinVIA_2_7"/>
      <w:bookmarkStart w:id="1785" w:name="Tc_9pJ-WR6eLESzMTRJHMSazg_2_4"/>
      <w:bookmarkStart w:id="1786" w:name="Tc_sX-6TNg8DkGgrGQ6DcxlTA_2_1"/>
      <w:bookmarkStart w:id="1787" w:name="Tc_IBQGhi0TKEajjrtvruCzMQ_2_0"/>
      <w:bookmarkStart w:id="1788" w:name="Tc_XXkw5mBFe0yVxJpd-jwM7Q_1_7"/>
      <w:bookmarkStart w:id="1789" w:name="Tc_ESPeW6lzjk2QmdxkRm0o5g_1_4"/>
      <w:bookmarkStart w:id="1790" w:name="Tc_DARTm-g8lUyWE4MlqJEpsA_1_1"/>
      <w:bookmarkStart w:id="1791" w:name="_2ba05a01_2865_4965_b022_944f9ea1d19e"/>
      <w:bookmarkStart w:id="1792" w:name="Tc_qeWh6U017U2a5dDmBd5IhQ_6_7"/>
      <w:bookmarkStart w:id="1793" w:name="Tc_6sMsrUf1aE-ab_axQeCygg_6_4"/>
      <w:bookmarkStart w:id="1794" w:name="Tc_E36sxvrRZ0mdHVNSNDU90g_6_1"/>
      <w:bookmarkStart w:id="1795" w:name="Tc_YZDPCkr3Ckm-48ay6iuLEA_6_0"/>
      <w:bookmarkStart w:id="1796" w:name="Tc_gJB7fAEbCUaiK11XY_O5DA_5_2"/>
      <w:bookmarkStart w:id="1797" w:name="Tc_yHjIcsAW80CcJkdscRLiIA_5_0"/>
      <w:bookmarkStart w:id="1798" w:name="Tc_qneQiw5opUecTfMUtdk44g_4_2"/>
      <w:bookmarkStart w:id="1799" w:name="Tc_afFiJxGYLUGrmJB_7gOOLg_4_0"/>
      <w:bookmarkStart w:id="1800" w:name="Tc_ChD3pM9hoE2o0X7JJwyZTQ_3_5"/>
      <w:bookmarkStart w:id="1801" w:name="Tc_hoPckKbzF0-94PhVBgLlLw_3_0"/>
      <w:bookmarkStart w:id="1802" w:name="Tc_h6fN9p9VnUeFTUw1AK1m8A_2_7"/>
      <w:bookmarkStart w:id="1803" w:name="Tc_Y3nSOJKeRUWB4nCPD_AJeQ_2_4"/>
      <w:bookmarkStart w:id="1804" w:name="Tc_ucr-qbg5AE6X-zhrkGRbVw_2_1"/>
      <w:bookmarkStart w:id="1805" w:name="Tc_EQI6lZe_SkibkGLFD26c6Q_2_0"/>
      <w:bookmarkStart w:id="1806" w:name="Tc_3UodrbtbJ0qzxIdmoyBQ3g_1_7"/>
      <w:bookmarkStart w:id="1807" w:name="Tc_ZwK5HqN6YE2JaXBsGzQxrw_1_4"/>
      <w:bookmarkStart w:id="1808" w:name="Tc_YayUggdeNUWZy94zc_blCQ_1_1"/>
      <w:bookmarkStart w:id="1809" w:name="_0c212ee0_eec7_4a58_9dab_b4a4d5ea24ea"/>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r>
        <w:rPr>
          <w:rFonts w:ascii="Times New Roman;Times;serif" w:hAnsi="Times New Roman;Times;serif"/>
          <w:sz w:val="20"/>
        </w:rPr>
        <w:t>The following table provides a roll forward of the activity related to the Company’s redeemable noncontrolling interests for the six months ended June 30, 2026 and 2025 (in thousands):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167"/>
        <w:gridCol w:w="532"/>
        <w:gridCol w:w="1711"/>
        <w:gridCol w:w="109"/>
        <w:gridCol w:w="523"/>
        <w:gridCol w:w="1684"/>
        <w:gridCol w:w="109"/>
        <w:gridCol w:w="715"/>
        <w:gridCol w:w="2655"/>
      </w:tblGrid>
      <w:tr>
        <w:trPr/>
        <w:tc>
          <w:tcPr>
            <w:tcW w:w="2167" w:type="dxa"/>
            <w:tcBorders/>
            <w:vAlign w:val="center"/>
          </w:tcPr>
          <w:p>
            <w:pPr>
              <w:pStyle w:val="TableContents"/>
              <w:bidi w:val="0"/>
              <w:spacing w:before="0" w:after="0"/>
              <w:ind w:left="0" w:right="0" w:hanging="0"/>
              <w:jc w:val="left"/>
              <w:rPr/>
            </w:pPr>
            <w:r>
              <w:rPr/>
              <w:t>​</w:t>
            </w:r>
          </w:p>
        </w:tc>
        <w:tc>
          <w:tcPr>
            <w:tcW w:w="532"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086485" cy="175260"/>
                      <wp:effectExtent l="0" t="0" r="0" b="0"/>
                      <wp:wrapNone/>
                      <wp:docPr id="288" name="Frame288"/>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9215" cy="175260"/>
                      <wp:effectExtent l="0" t="0" r="0" b="0"/>
                      <wp:wrapNone/>
                      <wp:docPr id="289" name="Frame2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0"/>
              <w:ind w:left="0" w:right="0" w:hanging="0"/>
              <w:jc w:val="left"/>
              <w:rPr/>
            </w:pPr>
            <w:r>
              <w:rPr/>
              <w:t>​</w:t>
            </w:r>
          </w:p>
        </w:tc>
        <w:tc>
          <w:tcPr>
            <w:tcW w:w="1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069340" cy="175260"/>
                      <wp:effectExtent l="0" t="0" r="0" b="0"/>
                      <wp:wrapNone/>
                      <wp:docPr id="290" name="Frame290"/>
                      <a:graphic xmlns:a="http://schemas.openxmlformats.org/drawingml/2006/main">
                        <a:graphicData uri="http://schemas.microsoft.com/office/word/2010/wordprocessingShape">
                          <wps:wsp>
                            <wps:cNvSpPr txBox="1"/>
                            <wps:spPr>
                              <a:xfrm>
                                <a:off x="0" y="0"/>
                                <a:ext cx="1069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9215" cy="175260"/>
                      <wp:effectExtent l="0" t="0" r="0" b="0"/>
                      <wp:wrapNone/>
                      <wp:docPr id="291" name="Frame2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0"/>
              <w:ind w:left="0" w:right="0" w:hanging="0"/>
              <w:jc w:val="left"/>
              <w:rPr/>
            </w:pPr>
            <w:r>
              <w:rPr/>
              <w:t>​</w:t>
            </w:r>
          </w:p>
        </w:tc>
        <w:tc>
          <w:tcPr>
            <w:tcW w:w="2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685925" cy="175260"/>
                      <wp:effectExtent l="0" t="0" r="0" b="0"/>
                      <wp:wrapNone/>
                      <wp:docPr id="292" name="Frame292"/>
                      <a:graphic xmlns:a="http://schemas.openxmlformats.org/drawingml/2006/main">
                        <a:graphicData uri="http://schemas.microsoft.com/office/word/2010/wordprocessingShape">
                          <wps:wsp>
                            <wps:cNvSpPr txBox="1"/>
                            <wps:spPr>
                              <a:xfrm>
                                <a:off x="0" y="0"/>
                                <a:ext cx="168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7" w:type="dxa"/>
            <w:tcBorders/>
            <w:vAlign w:val="center"/>
          </w:tcPr>
          <w:p>
            <w:pPr>
              <w:pStyle w:val="TableContents"/>
              <w:bidi w:val="0"/>
              <w:spacing w:before="0" w:after="0"/>
              <w:ind w:left="0" w:right="0" w:hanging="0"/>
              <w:jc w:val="left"/>
              <w:rPr/>
            </w:pPr>
            <w:r>
              <w:rPr/>
              <w:t>​</w:t>
            </w:r>
          </w:p>
        </w:tc>
        <w:tc>
          <w:tcPr>
            <w:tcW w:w="22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Redeemable Preferred Units</w:t>
            </w:r>
          </w:p>
        </w:tc>
        <w:tc>
          <w:tcPr>
            <w:tcW w:w="109" w:type="dxa"/>
            <w:tcBorders/>
            <w:vAlign w:val="center"/>
          </w:tcPr>
          <w:p>
            <w:pPr>
              <w:pStyle w:val="TableContents"/>
              <w:bidi w:val="0"/>
              <w:spacing w:before="0" w:after="0"/>
              <w:ind w:left="0" w:right="0" w:hanging="0"/>
              <w:jc w:val="left"/>
              <w:rPr/>
            </w:pPr>
            <w:r>
              <w:rPr/>
              <w:t>​</w:t>
            </w:r>
          </w:p>
        </w:tc>
        <w:tc>
          <w:tcPr>
            <w:tcW w:w="22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Redeemable Common Units</w:t>
            </w:r>
          </w:p>
        </w:tc>
        <w:tc>
          <w:tcPr>
            <w:tcW w:w="109" w:type="dxa"/>
            <w:tcBorders/>
            <w:vAlign w:val="center"/>
          </w:tcPr>
          <w:p>
            <w:pPr>
              <w:pStyle w:val="TableContents"/>
              <w:bidi w:val="0"/>
              <w:spacing w:before="0" w:after="0"/>
              <w:ind w:left="0" w:right="0" w:hanging="0"/>
              <w:jc w:val="left"/>
              <w:rPr/>
            </w:pPr>
            <w:r>
              <w:rPr/>
              <w:t>​</w:t>
            </w:r>
          </w:p>
        </w:tc>
        <w:tc>
          <w:tcPr>
            <w:tcW w:w="3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Redeemable Noncontrolling Interests</w:t>
            </w:r>
          </w:p>
        </w:tc>
      </w:tr>
      <w:tr>
        <w:trPr/>
        <w:tc>
          <w:tcPr>
            <w:tcW w:w="2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2025</w:t>
            </w:r>
          </w:p>
        </w:tc>
        <w:tc>
          <w:tcPr>
            <w:tcW w:w="5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71,820</w:t>
            </w:r>
          </w:p>
        </w:tc>
        <w:tc>
          <w:tcPr>
            <w:tcW w:w="109" w:type="dxa"/>
            <w:tcBorders/>
            <w:vAlign w:val="center"/>
          </w:tcPr>
          <w:p>
            <w:pPr>
              <w:pStyle w:val="TableContents"/>
              <w:bidi w:val="0"/>
              <w:spacing w:before="0" w:after="0"/>
              <w:ind w:left="0" w:right="0" w:hanging="0"/>
              <w:jc w:val="left"/>
              <w:rPr/>
            </w:pPr>
            <w:r>
              <w:rPr/>
              <w:t>​</w:t>
            </w:r>
          </w:p>
        </w:tc>
        <w:tc>
          <w:tcPr>
            <w:tcW w:w="5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15,001</w:t>
            </w:r>
          </w:p>
        </w:tc>
        <w:tc>
          <w:tcPr>
            <w:tcW w:w="109"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86,821</w:t>
            </w:r>
          </w:p>
        </w:tc>
      </w:tr>
      <w:tr>
        <w:trPr/>
        <w:tc>
          <w:tcPr>
            <w:tcW w:w="2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preferred dividend</w:t>
            </w:r>
          </w:p>
        </w:tc>
        <w:tc>
          <w:tcPr>
            <w:tcW w:w="532"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3,242</w:t>
            </w:r>
          </w:p>
        </w:tc>
        <w:tc>
          <w:tcPr>
            <w:tcW w:w="109" w:type="dxa"/>
            <w:tcBorders/>
            <w:shd w:fill="CCEEFF" w:val="clear"/>
            <w:vAlign w:val="center"/>
          </w:tcPr>
          <w:p>
            <w:pPr>
              <w:pStyle w:val="TableContents"/>
              <w:bidi w:val="0"/>
              <w:spacing w:before="0" w:after="0"/>
              <w:ind w:left="0" w:right="0" w:hanging="0"/>
              <w:jc w:val="left"/>
              <w:rPr/>
            </w:pPr>
            <w:r>
              <w:rPr/>
              <w:t>​</w:t>
            </w:r>
          </w:p>
        </w:tc>
        <w:tc>
          <w:tcPr>
            <w:tcW w:w="523" w:type="dxa"/>
            <w:tcBorders/>
            <w:shd w:fill="CCEEFF" w:val="clear"/>
            <w:vAlign w:val="center"/>
          </w:tcPr>
          <w:p>
            <w:pPr>
              <w:pStyle w:val="TableContents"/>
              <w:bidi w:val="0"/>
              <w:spacing w:before="0" w:after="0"/>
              <w:ind w:left="0" w:right="0" w:hanging="0"/>
              <w:jc w:val="left"/>
              <w:rPr/>
            </w:pPr>
            <w:r>
              <w:rPr/>
              <w:t>​</w:t>
            </w:r>
          </w:p>
        </w:tc>
        <w:tc>
          <w:tcPr>
            <w:tcW w:w="16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left"/>
              <w:rPr/>
            </w:pPr>
            <w:r>
              <w:rPr/>
              <w:t>​</w:t>
            </w:r>
          </w:p>
        </w:tc>
        <w:tc>
          <w:tcPr>
            <w:tcW w:w="2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3,242</w:t>
            </w:r>
          </w:p>
        </w:tc>
      </w:tr>
      <w:tr>
        <w:trPr/>
        <w:tc>
          <w:tcPr>
            <w:tcW w:w="2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Allocated net income</w:t>
            </w:r>
          </w:p>
        </w:tc>
        <w:tc>
          <w:tcPr>
            <w:tcW w:w="532"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23" w:type="dxa"/>
            <w:tcBorders/>
            <w:vAlign w:val="center"/>
          </w:tcPr>
          <w:p>
            <w:pPr>
              <w:pStyle w:val="TableContents"/>
              <w:bidi w:val="0"/>
              <w:spacing w:before="0" w:after="0"/>
              <w:ind w:left="0" w:right="0" w:hanging="0"/>
              <w:jc w:val="left"/>
              <w:rPr/>
            </w:pPr>
            <w:r>
              <w:rPr/>
              <w:t>​</w:t>
            </w:r>
          </w:p>
        </w:tc>
        <w:tc>
          <w:tcPr>
            <w:tcW w:w="1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6,306</w:t>
            </w:r>
          </w:p>
        </w:tc>
        <w:tc>
          <w:tcPr>
            <w:tcW w:w="109"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left"/>
              <w:rPr/>
            </w:pPr>
            <w:r>
              <w:rPr/>
              <w:t>​</w:t>
            </w:r>
          </w:p>
        </w:tc>
        <w:tc>
          <w:tcPr>
            <w:tcW w:w="26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6,306</w:t>
            </w:r>
          </w:p>
        </w:tc>
      </w:tr>
      <w:tr>
        <w:trPr/>
        <w:tc>
          <w:tcPr>
            <w:tcW w:w="2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5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w:t>
            </w:r>
          </w:p>
        </w:tc>
        <w:tc>
          <w:tcPr>
            <w:tcW w:w="109" w:type="dxa"/>
            <w:tcBorders/>
            <w:shd w:fill="CCEEFF" w:val="clear"/>
            <w:vAlign w:val="center"/>
          </w:tcPr>
          <w:p>
            <w:pPr>
              <w:pStyle w:val="TableContents"/>
              <w:bidi w:val="0"/>
              <w:spacing w:before="0" w:after="0"/>
              <w:ind w:left="0" w:right="0" w:hanging="0"/>
              <w:jc w:val="left"/>
              <w:rPr/>
            </w:pPr>
            <w:r>
              <w:rPr/>
              <w:t>​</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6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w:t>
            </w:r>
          </w:p>
        </w:tc>
      </w:tr>
      <w:tr>
        <w:trPr/>
        <w:tc>
          <w:tcPr>
            <w:tcW w:w="2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June 30, 2026</w:t>
            </w:r>
          </w:p>
        </w:tc>
        <w:tc>
          <w:tcPr>
            <w:tcW w:w="5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75,062</w:t>
            </w:r>
          </w:p>
        </w:tc>
        <w:tc>
          <w:tcPr>
            <w:tcW w:w="109" w:type="dxa"/>
            <w:tcBorders/>
            <w:vAlign w:val="center"/>
          </w:tcPr>
          <w:p>
            <w:pPr>
              <w:pStyle w:val="TableContents"/>
              <w:bidi w:val="0"/>
              <w:spacing w:before="0" w:after="0"/>
              <w:ind w:left="0" w:right="0" w:hanging="0"/>
              <w:jc w:val="left"/>
              <w:rPr/>
            </w:pPr>
            <w:r>
              <w:rPr/>
              <w:t>​</w:t>
            </w:r>
          </w:p>
        </w:tc>
        <w:tc>
          <w:tcPr>
            <w:tcW w:w="5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22,331</w:t>
            </w:r>
          </w:p>
        </w:tc>
        <w:tc>
          <w:tcPr>
            <w:tcW w:w="109" w:type="dxa"/>
            <w:tcBorders/>
            <w:vAlign w:val="center"/>
          </w:tcPr>
          <w:p>
            <w:pPr>
              <w:pStyle w:val="TableContents"/>
              <w:bidi w:val="0"/>
              <w:spacing w:before="0" w:after="0"/>
              <w:ind w:left="0" w:right="0" w:hanging="0"/>
              <w:jc w:val="left"/>
              <w:rPr/>
            </w:pPr>
            <w:r>
              <w:rPr/>
              <w:t>​</w:t>
            </w:r>
          </w:p>
        </w:tc>
        <w:tc>
          <w:tcPr>
            <w:tcW w:w="7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5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97,393</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167"/>
        <w:gridCol w:w="532"/>
        <w:gridCol w:w="1711"/>
        <w:gridCol w:w="109"/>
        <w:gridCol w:w="523"/>
        <w:gridCol w:w="1684"/>
        <w:gridCol w:w="109"/>
        <w:gridCol w:w="715"/>
        <w:gridCol w:w="2655"/>
      </w:tblGrid>
      <w:tr>
        <w:trPr/>
        <w:tc>
          <w:tcPr>
            <w:tcW w:w="2167" w:type="dxa"/>
            <w:tcBorders/>
            <w:vAlign w:val="center"/>
          </w:tcPr>
          <w:p>
            <w:pPr>
              <w:pStyle w:val="TableContents"/>
              <w:bidi w:val="0"/>
              <w:spacing w:before="0" w:after="0"/>
              <w:ind w:left="0" w:right="0" w:hanging="0"/>
              <w:jc w:val="left"/>
              <w:rPr/>
            </w:pPr>
            <w:r>
              <w:rPr/>
              <w:t>​</w:t>
            </w:r>
          </w:p>
        </w:tc>
        <w:tc>
          <w:tcPr>
            <w:tcW w:w="532"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086485" cy="175260"/>
                      <wp:effectExtent l="0" t="0" r="0" b="0"/>
                      <wp:wrapNone/>
                      <wp:docPr id="293" name="Frame293"/>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94" name="Frame2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0"/>
              <w:ind w:left="0" w:right="0" w:hanging="0"/>
              <w:jc w:val="left"/>
              <w:rPr/>
            </w:pPr>
            <w:r>
              <w:rPr/>
              <w:t>​</w:t>
            </w:r>
          </w:p>
        </w:tc>
        <w:tc>
          <w:tcPr>
            <w:tcW w:w="1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069340" cy="175260"/>
                      <wp:effectExtent l="0" t="0" r="0" b="0"/>
                      <wp:wrapNone/>
                      <wp:docPr id="295" name="Frame295"/>
                      <a:graphic xmlns:a="http://schemas.openxmlformats.org/drawingml/2006/main">
                        <a:graphicData uri="http://schemas.microsoft.com/office/word/2010/wordprocessingShape">
                          <wps:wsp>
                            <wps:cNvSpPr txBox="1"/>
                            <wps:spPr>
                              <a:xfrm>
                                <a:off x="0" y="0"/>
                                <a:ext cx="1069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215" cy="175260"/>
                      <wp:effectExtent l="0" t="0" r="0" b="0"/>
                      <wp:wrapNone/>
                      <wp:docPr id="296" name="Frame2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0"/>
              <w:ind w:left="0" w:right="0" w:hanging="0"/>
              <w:jc w:val="left"/>
              <w:rPr/>
            </w:pPr>
            <w:r>
              <w:rPr/>
              <w:t>​</w:t>
            </w:r>
          </w:p>
        </w:tc>
        <w:tc>
          <w:tcPr>
            <w:tcW w:w="2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685925" cy="175260"/>
                      <wp:effectExtent l="0" t="0" r="0" b="0"/>
                      <wp:wrapNone/>
                      <wp:docPr id="297" name="Frame297"/>
                      <a:graphic xmlns:a="http://schemas.openxmlformats.org/drawingml/2006/main">
                        <a:graphicData uri="http://schemas.microsoft.com/office/word/2010/wordprocessingShape">
                          <wps:wsp>
                            <wps:cNvSpPr txBox="1"/>
                            <wps:spPr>
                              <a:xfrm>
                                <a:off x="0" y="0"/>
                                <a:ext cx="168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7" w:type="dxa"/>
            <w:tcBorders/>
            <w:vAlign w:val="center"/>
          </w:tcPr>
          <w:p>
            <w:pPr>
              <w:pStyle w:val="TableContents"/>
              <w:bidi w:val="0"/>
              <w:spacing w:before="0" w:after="0"/>
              <w:ind w:left="0" w:right="0" w:hanging="0"/>
              <w:jc w:val="left"/>
              <w:rPr/>
            </w:pPr>
            <w:r>
              <w:rPr/>
              <w:t>​</w:t>
            </w:r>
          </w:p>
        </w:tc>
        <w:tc>
          <w:tcPr>
            <w:tcW w:w="22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Redeemable Preferred Units</w:t>
            </w:r>
          </w:p>
        </w:tc>
        <w:tc>
          <w:tcPr>
            <w:tcW w:w="109" w:type="dxa"/>
            <w:tcBorders/>
            <w:vAlign w:val="center"/>
          </w:tcPr>
          <w:p>
            <w:pPr>
              <w:pStyle w:val="TableContents"/>
              <w:bidi w:val="0"/>
              <w:spacing w:before="0" w:after="0"/>
              <w:ind w:left="0" w:right="0" w:hanging="0"/>
              <w:jc w:val="left"/>
              <w:rPr/>
            </w:pPr>
            <w:r>
              <w:rPr/>
              <w:t>​</w:t>
            </w:r>
          </w:p>
        </w:tc>
        <w:tc>
          <w:tcPr>
            <w:tcW w:w="22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Redeemable Common Units</w:t>
            </w:r>
          </w:p>
        </w:tc>
        <w:tc>
          <w:tcPr>
            <w:tcW w:w="109" w:type="dxa"/>
            <w:tcBorders/>
            <w:vAlign w:val="center"/>
          </w:tcPr>
          <w:p>
            <w:pPr>
              <w:pStyle w:val="TableContents"/>
              <w:bidi w:val="0"/>
              <w:spacing w:before="0" w:after="0"/>
              <w:ind w:left="0" w:right="0" w:hanging="0"/>
              <w:jc w:val="left"/>
              <w:rPr/>
            </w:pPr>
            <w:r>
              <w:rPr/>
              <w:t>​</w:t>
            </w:r>
          </w:p>
        </w:tc>
        <w:tc>
          <w:tcPr>
            <w:tcW w:w="3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Redeemable Noncontrolling Interests</w:t>
            </w:r>
          </w:p>
        </w:tc>
      </w:tr>
      <w:tr>
        <w:trPr/>
        <w:tc>
          <w:tcPr>
            <w:tcW w:w="2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2024</w:t>
            </w:r>
          </w:p>
        </w:tc>
        <w:tc>
          <w:tcPr>
            <w:tcW w:w="5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65,704</w:t>
            </w:r>
          </w:p>
        </w:tc>
        <w:tc>
          <w:tcPr>
            <w:tcW w:w="109" w:type="dxa"/>
            <w:tcBorders/>
            <w:vAlign w:val="center"/>
          </w:tcPr>
          <w:p>
            <w:pPr>
              <w:pStyle w:val="TableContents"/>
              <w:bidi w:val="0"/>
              <w:spacing w:before="0" w:after="0"/>
              <w:ind w:left="0" w:right="0" w:hanging="0"/>
              <w:jc w:val="left"/>
              <w:rPr/>
            </w:pPr>
            <w:r>
              <w:rPr/>
              <w:t>​</w:t>
            </w:r>
          </w:p>
        </w:tc>
        <w:tc>
          <w:tcPr>
            <w:tcW w:w="5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10,599</w:t>
            </w:r>
          </w:p>
        </w:tc>
        <w:tc>
          <w:tcPr>
            <w:tcW w:w="109"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76,303</w:t>
            </w:r>
          </w:p>
        </w:tc>
      </w:tr>
      <w:tr>
        <w:trPr/>
        <w:tc>
          <w:tcPr>
            <w:tcW w:w="2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preferred dividend</w:t>
            </w:r>
          </w:p>
        </w:tc>
        <w:tc>
          <w:tcPr>
            <w:tcW w:w="532"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c>
          <w:tcPr>
            <w:tcW w:w="109" w:type="dxa"/>
            <w:tcBorders/>
            <w:shd w:fill="CCEEFF" w:val="clear"/>
            <w:vAlign w:val="center"/>
          </w:tcPr>
          <w:p>
            <w:pPr>
              <w:pStyle w:val="TableContents"/>
              <w:bidi w:val="0"/>
              <w:spacing w:before="0" w:after="0"/>
              <w:ind w:left="0" w:right="0" w:hanging="0"/>
              <w:jc w:val="left"/>
              <w:rPr/>
            </w:pPr>
            <w:r>
              <w:rPr/>
              <w:t>​</w:t>
            </w:r>
          </w:p>
        </w:tc>
        <w:tc>
          <w:tcPr>
            <w:tcW w:w="523" w:type="dxa"/>
            <w:tcBorders/>
            <w:shd w:fill="CCEEFF" w:val="clear"/>
            <w:vAlign w:val="center"/>
          </w:tcPr>
          <w:p>
            <w:pPr>
              <w:pStyle w:val="TableContents"/>
              <w:bidi w:val="0"/>
              <w:spacing w:before="0" w:after="0"/>
              <w:ind w:left="0" w:right="0" w:hanging="0"/>
              <w:jc w:val="left"/>
              <w:rPr/>
            </w:pPr>
            <w:r>
              <w:rPr/>
              <w:t>​</w:t>
            </w:r>
          </w:p>
        </w:tc>
        <w:tc>
          <w:tcPr>
            <w:tcW w:w="16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left"/>
              <w:rPr/>
            </w:pPr>
            <w:r>
              <w:rPr/>
              <w:t>​</w:t>
            </w:r>
          </w:p>
        </w:tc>
        <w:tc>
          <w:tcPr>
            <w:tcW w:w="2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r>
      <w:tr>
        <w:trPr/>
        <w:tc>
          <w:tcPr>
            <w:tcW w:w="2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Allocated net loss</w:t>
            </w:r>
          </w:p>
        </w:tc>
        <w:tc>
          <w:tcPr>
            <w:tcW w:w="532"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23" w:type="dxa"/>
            <w:tcBorders/>
            <w:vAlign w:val="center"/>
          </w:tcPr>
          <w:p>
            <w:pPr>
              <w:pStyle w:val="TableContents"/>
              <w:bidi w:val="0"/>
              <w:spacing w:before="0" w:after="0"/>
              <w:ind w:left="0" w:right="0" w:hanging="0"/>
              <w:jc w:val="left"/>
              <w:rPr/>
            </w:pPr>
            <w:r>
              <w:rPr/>
              <w:t>​</w:t>
            </w:r>
          </w:p>
        </w:tc>
        <w:tc>
          <w:tcPr>
            <w:tcW w:w="1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(8,746)</w:t>
            </w:r>
          </w:p>
        </w:tc>
        <w:tc>
          <w:tcPr>
            <w:tcW w:w="109"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left"/>
              <w:rPr/>
            </w:pPr>
            <w:r>
              <w:rPr/>
              <w:t>​</w:t>
            </w:r>
          </w:p>
        </w:tc>
        <w:tc>
          <w:tcPr>
            <w:tcW w:w="26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(8,746)</w:t>
            </w:r>
          </w:p>
        </w:tc>
      </w:tr>
      <w:tr>
        <w:trPr/>
        <w:tc>
          <w:tcPr>
            <w:tcW w:w="2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5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8,193</w:t>
            </w:r>
          </w:p>
        </w:tc>
        <w:tc>
          <w:tcPr>
            <w:tcW w:w="109" w:type="dxa"/>
            <w:tcBorders/>
            <w:shd w:fill="CCEEFF" w:val="clear"/>
            <w:vAlign w:val="center"/>
          </w:tcPr>
          <w:p>
            <w:pPr>
              <w:pStyle w:val="TableContents"/>
              <w:bidi w:val="0"/>
              <w:spacing w:before="0" w:after="0"/>
              <w:ind w:left="0" w:right="0" w:hanging="0"/>
              <w:jc w:val="left"/>
              <w:rPr/>
            </w:pPr>
            <w:r>
              <w:rPr/>
              <w:t>​</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6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8,193</w:t>
            </w:r>
          </w:p>
        </w:tc>
      </w:tr>
      <w:tr>
        <w:trPr/>
        <w:tc>
          <w:tcPr>
            <w:tcW w:w="2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June 30, 2025</w:t>
            </w:r>
          </w:p>
        </w:tc>
        <w:tc>
          <w:tcPr>
            <w:tcW w:w="5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68,669</w:t>
            </w:r>
          </w:p>
        </w:tc>
        <w:tc>
          <w:tcPr>
            <w:tcW w:w="109" w:type="dxa"/>
            <w:tcBorders/>
            <w:vAlign w:val="center"/>
          </w:tcPr>
          <w:p>
            <w:pPr>
              <w:pStyle w:val="TableContents"/>
              <w:bidi w:val="0"/>
              <w:spacing w:before="0" w:after="0"/>
              <w:ind w:left="0" w:right="0" w:hanging="0"/>
              <w:jc w:val="left"/>
              <w:rPr/>
            </w:pPr>
            <w:r>
              <w:rPr/>
              <w:t>​</w:t>
            </w:r>
          </w:p>
        </w:tc>
        <w:tc>
          <w:tcPr>
            <w:tcW w:w="5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10,046</w:t>
            </w:r>
          </w:p>
        </w:tc>
        <w:tc>
          <w:tcPr>
            <w:tcW w:w="109" w:type="dxa"/>
            <w:tcBorders/>
            <w:vAlign w:val="center"/>
          </w:tcPr>
          <w:p>
            <w:pPr>
              <w:pStyle w:val="TableContents"/>
              <w:bidi w:val="0"/>
              <w:spacing w:before="0" w:after="0"/>
              <w:ind w:left="0" w:right="0" w:hanging="0"/>
              <w:jc w:val="left"/>
              <w:rPr/>
            </w:pPr>
            <w:r>
              <w:rPr/>
              <w:t>​</w:t>
            </w:r>
          </w:p>
        </w:tc>
        <w:tc>
          <w:tcPr>
            <w:tcW w:w="7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5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78,715</w:t>
            </w:r>
          </w:p>
        </w:tc>
      </w:tr>
    </w:tbl>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280" w:after="0"/>
        <w:ind w:left="0" w:right="0" w:hanging="0"/>
        <w:jc w:val="left"/>
        <w:rPr>
          <w:rFonts w:ascii="Times New Roman;Times;serif" w:hAnsi="Times New Roman;Times;serif"/>
          <w:b/>
          <w:sz w:val="20"/>
        </w:rPr>
      </w:pPr>
      <w:r>
        <w:rPr>
          <w:rFonts w:ascii="Times New Roman;Times;serif" w:hAnsi="Times New Roman;Times;serif"/>
          <w:b/>
          <w:sz w:val="20"/>
        </w:rPr>
        <w:t>13. SEGMENT REPORTING</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Through June 30, 2026, the Company had the following two reportable and operating segments: (i) International Telecom and (ii) US Telecom.</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Operating income is the segment measure of profit or loss reported to the chief operating decision maker for purposes of assessing the segments’ performance and making capital allocation decisions. The Company believes operating income is a useful measure of its operating results as it provides relevant and useful information to investors and other users of its financial data in evaluating the effectiveness of its operations and underlying business trends in a manner that is consistent with management’s evaluation of business performance. The Company’s chief operating decision maker is its Chief Executive Officer.</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810" w:name="Tc_mdDFm3W290CIy9UGpCpu_A_46_0"/>
      <w:bookmarkStart w:id="1811" w:name="Tc_KBxCtcNFGkaYWZXSEN-8sg_45_8"/>
      <w:bookmarkStart w:id="1812" w:name="Tc_SwRtaVG08EmyqT6qInYGaQ_45_5"/>
      <w:bookmarkStart w:id="1813" w:name="Tc_ED5SEDmBCUCB4jGoBO1AMA_45_2"/>
      <w:bookmarkStart w:id="1814" w:name="Tc_2ug3bMAN2UKK3Roy-AUswA_44_5"/>
      <w:bookmarkStart w:id="1815" w:name="Tc_IvXTIExGBUS7u36ipZZrjg_44_2"/>
      <w:bookmarkStart w:id="1816" w:name="Tc_7tySOitVlkuLcy9oe1HbPw_43_0"/>
      <w:bookmarkStart w:id="1817" w:name="Tc_qqfNPaNB_k6-W2rf_4lZPw_41_0"/>
      <w:bookmarkStart w:id="1818" w:name="Tc_hNoyqbsGWUu_6VuyeT1W6g_40_0"/>
      <w:bookmarkStart w:id="1819" w:name="Tc_d_dFvjyfaku5Hr72nwhqjA_39_0"/>
      <w:bookmarkStart w:id="1820" w:name="Tc_OdUhiZpD-06R5DdVPQ-qZw_38_0"/>
      <w:bookmarkStart w:id="1821" w:name="Tc_uR9_anq7pESSS6f2DWrPRw_37_0"/>
      <w:bookmarkStart w:id="1822" w:name="Tc_p6lF5O_yokCfGJjjTG1Ljw_36_0"/>
      <w:bookmarkStart w:id="1823" w:name="Tc_r46d8PRK9Uam91j6F3FXAQ_35_0"/>
      <w:bookmarkStart w:id="1824" w:name="Tc_juLeOFwfOkqRjsAum8lZtA_34_0"/>
      <w:bookmarkStart w:id="1825" w:name="Tc_laD_iL9J6kWbw0c5t0ftxQ_33_0"/>
      <w:bookmarkStart w:id="1826" w:name="Tc_mZLPkiSxhE2u0vi8F9DUGQ_32_0"/>
      <w:bookmarkStart w:id="1827" w:name="Tc_srIZgRaHQUCKnI89Qd9scw_31_0"/>
      <w:bookmarkStart w:id="1828" w:name="Tc_6cppPHUDM06vIlYrSalqtA_30_0"/>
      <w:bookmarkStart w:id="1829" w:name="Tc_z0oLG8yoYEGhrTCoQo_qPw_29_0"/>
      <w:bookmarkStart w:id="1830" w:name="Tc__SDc7Y_2XkuSzD1NgzsvuA_28_0"/>
      <w:bookmarkStart w:id="1831" w:name="Tc_eO-DXRFUrUGRw4fXC0qCaA_27_3"/>
      <w:bookmarkStart w:id="1832" w:name="Tc_E5D2bIGhjECN1QVLFhNcCQ_27_0"/>
      <w:bookmarkStart w:id="1833" w:name="Tc_YK1OUfNtGkSykD0dhXhdqg_26_6"/>
      <w:bookmarkStart w:id="1834" w:name="Tc_t9Ot0op9tEOABELcd24ahQ_26_0"/>
      <w:bookmarkStart w:id="1835" w:name="Tc_b7ZJX4tyuE2zm4WOPxQdLg_25_0"/>
      <w:bookmarkStart w:id="1836" w:name="Tc_lgYNJZL8L0uJm2U5Bv2DYQ_24_3"/>
      <w:bookmarkStart w:id="1837" w:name="Tc__TtFcCAM6ki5V1qdeDqPOw_24_0"/>
      <w:bookmarkStart w:id="1838" w:name="Tc_W-CZe0i8vUmUkOCJeDIQBw_23_0"/>
      <w:bookmarkStart w:id="1839" w:name="Tc_rlcBPGuzF0yOulwRrXIqjQ_22_0"/>
      <w:bookmarkStart w:id="1840" w:name="Tc_09S27UukIUu6xdrzGEngIg_20_0"/>
      <w:bookmarkStart w:id="1841" w:name="Tc_NQ_z1hoYSkKTf5HRbUR9xg_19_0"/>
      <w:bookmarkStart w:id="1842" w:name="Tc_NVDzeke_1UKLI1ZM6WqZaA_18_0"/>
      <w:bookmarkStart w:id="1843" w:name="Tc_fTlg1VTtrku_yzeRjEb30Q_17_0"/>
      <w:bookmarkStart w:id="1844" w:name="Tc_Ec0TNxNG0UaNuFQBvRYdmw_16_3"/>
      <w:bookmarkStart w:id="1845" w:name="Tc_Jb_nhfNpYkahbf781mUH1w_16_0"/>
      <w:bookmarkStart w:id="1846" w:name="Tc_PSpqmTeCBUGNoSksCraQew_15_0"/>
      <w:bookmarkStart w:id="1847" w:name="Tc_JAKhVGDXu0uuO3i8a_LhyQ_14_0"/>
      <w:bookmarkStart w:id="1848" w:name="Tc_jKsxW7Hdw0Gj6e7v4A4JEw_13_0"/>
      <w:bookmarkStart w:id="1849" w:name="Tc_MVZRXsNtHUaHHe4zlAQ1Rg_12_0"/>
      <w:bookmarkStart w:id="1850" w:name="Tc_CdMBbct-bUGfJ-v7qQ1auQ_11_0"/>
      <w:bookmarkStart w:id="1851" w:name="Tc_ya48DY-2hkqrMI4nMJQiCg_10_0"/>
      <w:bookmarkStart w:id="1852" w:name="Tc_3tW14qEkQUWO3HoNDx2o0A_9_6"/>
      <w:bookmarkStart w:id="1853" w:name="Tc_JlYaKrryu06WWXXXGNGeyw_9_0"/>
      <w:bookmarkStart w:id="1854" w:name="Tc_415yfu1ed0uZ3hl1r3B30A_8_6"/>
      <w:bookmarkStart w:id="1855" w:name="Tc_FEJNUwt4uE-KDnu8NnyzPw_8_0"/>
      <w:bookmarkStart w:id="1856" w:name="Tc_ZO3_hoECrUyvIChpZLgW9w_7_8"/>
      <w:bookmarkStart w:id="1857" w:name="Tc_popy_kiUYk6Pa08356qo3g_7_6"/>
      <w:bookmarkStart w:id="1858" w:name="Tc_jnT495hNZ06047aU9ZxJ_Q_7_5"/>
      <w:bookmarkStart w:id="1859" w:name="Tc_C1hZh4lcfkexl2LmL7RPxQ_7_2"/>
      <w:bookmarkStart w:id="1860" w:name="Tc_BpFMWoAx5UaoRrm4ehfBug_7_0"/>
      <w:bookmarkStart w:id="1861" w:name="Tc_-8oBSIzAF0ew3JLG4ZCthg_6_0"/>
      <w:bookmarkStart w:id="1862" w:name="Tc_W8FO-WGU8Eqy9FpWLPBDEw_5_0"/>
      <w:bookmarkStart w:id="1863" w:name="Tc__DbHWarrbk2tc4rLNUsK1g_4_8"/>
      <w:bookmarkStart w:id="1864" w:name="Tc_L97Z16tgpUW3FgM3msGGCQ_4_5"/>
      <w:bookmarkStart w:id="1865" w:name="Tc_Ly2SKLuPdUG-eOps-33ZCA_4_2"/>
      <w:bookmarkStart w:id="1866" w:name="Tc_gk1yV8csFUW7OTrDsLOcgA_3_5"/>
      <w:bookmarkStart w:id="1867" w:name="Tc_2i5uKjry8UCkrNqqvqUAqg_3_2"/>
      <w:bookmarkStart w:id="1868" w:name="Tc_nwMr8zbMJUWfOotHFLWYng_1_0"/>
      <w:bookmarkStart w:id="1869" w:name="_4b9b7b5e_7c44_4c07_8cc9_bf8d25bb0307"/>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r>
        <w:rPr>
          <w:rFonts w:ascii="Times New Roman;Times;serif" w:hAnsi="Times New Roman;Times;serif"/>
          <w:sz w:val="20"/>
        </w:rPr>
        <w:t>The following tables provide information for each operating segment (in thousands):</w:t>
      </w:r>
    </w:p>
    <w:p>
      <w:pPr>
        <w:pStyle w:val="TextBody"/>
        <w:bidi w:val="0"/>
        <w:spacing w:before="28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5875"/>
        <w:gridCol w:w="346"/>
        <w:gridCol w:w="253"/>
        <w:gridCol w:w="813"/>
        <w:gridCol w:w="346"/>
        <w:gridCol w:w="211"/>
        <w:gridCol w:w="879"/>
        <w:gridCol w:w="346"/>
        <w:gridCol w:w="211"/>
        <w:gridCol w:w="925"/>
      </w:tblGrid>
      <w:tr>
        <w:trPr/>
        <w:tc>
          <w:tcPr>
            <w:tcW w:w="5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730625" cy="175260"/>
                      <wp:effectExtent l="0" t="0" r="0" b="0"/>
                      <wp:wrapNone/>
                      <wp:docPr id="298" name="Frame298"/>
                      <a:graphic xmlns:a="http://schemas.openxmlformats.org/drawingml/2006/main">
                        <a:graphicData uri="http://schemas.microsoft.com/office/word/2010/wordprocessingShape">
                          <wps:wsp>
                            <wps:cNvSpPr txBox="1"/>
                            <wps:spPr>
                              <a:xfrm>
                                <a:off x="0" y="0"/>
                                <a:ext cx="3730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9"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60655" cy="175260"/>
                      <wp:effectExtent l="0" t="0" r="0" b="0"/>
                      <wp:wrapNone/>
                      <wp:docPr id="300" name="Frame300"/>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516255" cy="175260"/>
                      <wp:effectExtent l="0" t="0" r="0" b="0"/>
                      <wp:wrapNone/>
                      <wp:docPr id="301" name="Frame301"/>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3" name="Frame3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558165" cy="175260"/>
                      <wp:effectExtent l="0" t="0" r="0" b="0"/>
                      <wp:wrapNone/>
                      <wp:docPr id="304" name="Frame304"/>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87375" cy="175260"/>
                      <wp:effectExtent l="0" t="0" r="0" b="0"/>
                      <wp:wrapNone/>
                      <wp:docPr id="307" name="Frame307"/>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2026</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90"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center"/>
              <w:rPr/>
            </w:pPr>
            <w:r>
              <w:rPr/>
              <w:t>​</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10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136" w:type="dxa"/>
            <w:gridSpan w:val="2"/>
            <w:tcBorders/>
            <w:vAlign w:val="center"/>
          </w:tcPr>
          <w:p>
            <w:pPr>
              <w:pStyle w:val="TableContents"/>
              <w:bidi w:val="0"/>
              <w:spacing w:before="0" w:after="0"/>
              <w:ind w:left="0" w:right="0" w:hanging="0"/>
              <w:jc w:val="center"/>
              <w:rPr/>
            </w:pPr>
            <w:r>
              <w:rPr/>
              <w:t>​</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1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left"/>
              <w:rPr/>
            </w:pPr>
            <w:r>
              <w:rPr/>
              <w:t>​</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left"/>
              <w:rPr/>
            </w:pPr>
            <w:r>
              <w:rPr/>
              <w:t>​</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Business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5,161</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Consumer</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21,977</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Mobility</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27,138</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Business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49,106</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Consumer</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63,777</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112,883</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36,342</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3,778</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Communication Services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180,141</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Construction </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left"/>
              <w:rPr/>
            </w:pPr>
            <w:r>
              <w:rPr/>
              <w:t>​</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184,504</w:t>
            </w:r>
          </w:p>
        </w:tc>
      </w:tr>
      <w:tr>
        <w:trPr/>
        <w:tc>
          <w:tcPr>
            <w:tcW w:w="58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pPr>
            <w:r>
              <w:rPr/>
              <w:t>​</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 by segment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communication services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78,450</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50,490</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8,117</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reorganization expenses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29,834</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 transfers and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(230,949)</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 by segment</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(61,605)</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Adjusted Income (loss) from operations by segment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224,191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246,109</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Adjusted Income (loss) from operations by segment to Income before income taxes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unallocated Corporate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6,377</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(10,869)</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(11,115)</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228,617</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segment disclosures: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pPr>
            <w:r>
              <w:rPr/>
              <w:t>​</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10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136" w:type="dxa"/>
            <w:gridSpan w:val="2"/>
            <w:tcBorders/>
            <w:vAlign w:val="center"/>
          </w:tcPr>
          <w:p>
            <w:pPr>
              <w:pStyle w:val="TableContents"/>
              <w:bidi w:val="0"/>
              <w:spacing w:before="0" w:after="0"/>
              <w:ind w:left="0" w:right="0" w:hanging="0"/>
              <w:jc w:val="center"/>
              <w:rPr/>
            </w:pPr>
            <w:r>
              <w:rPr/>
              <w:t>​</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1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(19,237)</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870" w:name="Tc_4Ad-x3AUYkCREMTvVswJSA_47_0"/>
      <w:bookmarkStart w:id="1871" w:name="Tc_tAPh8EhEkEGQdKWYE8q80g_45_8"/>
      <w:bookmarkStart w:id="1872" w:name="Tc_iM7BmbAVrUesAFn5jUr_zg_45_5"/>
      <w:bookmarkStart w:id="1873" w:name="Tc_0qHX2JWI2Um0h1B0C3wJ-w_45_2"/>
      <w:bookmarkStart w:id="1874" w:name="Tc_0vE4_lOLxUalhwUfl4ScBA_44_5"/>
      <w:bookmarkStart w:id="1875" w:name="Tc_HtDmUFe1cUSAB2iI39xgRg_44_2"/>
      <w:bookmarkStart w:id="1876" w:name="Tc_HvuClxeim0OZiFXO4XveNQ_43_0"/>
      <w:bookmarkStart w:id="1877" w:name="Tc_5-EWZrj4QECcXPGwAgf_JA_41_0"/>
      <w:bookmarkStart w:id="1878" w:name="Tc_r4Z5sjXGy06fha_YpUym4Q_40_0"/>
      <w:bookmarkStart w:id="1879" w:name="Tc_O5F06DFGZ0WGyNCqT8wz0g_39_0"/>
      <w:bookmarkStart w:id="1880" w:name="Tc_iPDHMgmBFkytItE6WVPRUw_38_0"/>
      <w:bookmarkStart w:id="1881" w:name="Tc_i51Q019az0aWproHxpKsow_37_0"/>
      <w:bookmarkStart w:id="1882" w:name="Tc_c_GG5YtanUaLsuauO7UP8w_36_0"/>
      <w:bookmarkStart w:id="1883" w:name="Tc_VsGiuHVxtU2ytUmRii3ZVQ_35_0"/>
      <w:bookmarkStart w:id="1884" w:name="Tc_t8RQT8O7J0i6gUM1X_2apw_34_0"/>
      <w:bookmarkStart w:id="1885" w:name="Tc_0Yrxn3b1oUmHo-RyUb0ovQ_33_0"/>
      <w:bookmarkStart w:id="1886" w:name="Tc_1Mj_QyR5nkKLKH1yhBy45g_32_0"/>
      <w:bookmarkStart w:id="1887" w:name="Tc_AhtIclqmmEKN-wklAWEXMw_31_0"/>
      <w:bookmarkStart w:id="1888" w:name="Tc_IQHY2eMtlUCovb03vKxe5w_30_0"/>
      <w:bookmarkStart w:id="1889" w:name="Tc_nN_F4ThKB0eLx02z9AGq_A_29_0"/>
      <w:bookmarkStart w:id="1890" w:name="Tc_2p_yuiE3UkmwzvcrIXghcw_28_0"/>
      <w:bookmarkStart w:id="1891" w:name="Tc_ifMre1q-PE-0DhsbXmeTPw_27_9"/>
      <w:bookmarkStart w:id="1892" w:name="Tc_LL7Uy6ZlCka3Y434cd90ww_27_6"/>
      <w:bookmarkStart w:id="1893" w:name="Tc_czXsTemd6UWA1OXSa92HyQ_27_3"/>
      <w:bookmarkStart w:id="1894" w:name="Tc_y1Gpl8ZnHkKG6YWVMvr9Ow_27_0"/>
      <w:bookmarkStart w:id="1895" w:name="Tc_vtty2VbSP0OS1HmZF6Nrrg_26_0"/>
      <w:bookmarkStart w:id="1896" w:name="Tc_Jy6TcX7XwEmSyrg8QkKy1Q_25_0"/>
      <w:bookmarkStart w:id="1897" w:name="Tc_zh5ue0D6mE-Wy3e6oGO4nw_24_3"/>
      <w:bookmarkStart w:id="1898" w:name="Tc_RCT1sMxsH0elNugsA6eYZw_24_0"/>
      <w:bookmarkStart w:id="1899" w:name="Tc_Yw7pTKMb70qbdT5FPn74eA_23_0"/>
      <w:bookmarkStart w:id="1900" w:name="Tc_2M6tgxIN9EqyYwyj-uENEA_22_0"/>
      <w:bookmarkStart w:id="1901" w:name="Tc_AFsQm0o14UagDmqI3oZrGA_20_0"/>
      <w:bookmarkStart w:id="1902" w:name="Tc_E_LtXUA5-k-gIBKVABShfg_19_0"/>
      <w:bookmarkStart w:id="1903" w:name="Tc_JSnbbobgU0q1JkO0WnISwQ_18_0"/>
      <w:bookmarkStart w:id="1904" w:name="Tc_VwZqnneI3kiWW2DrvWJWUA_17_0"/>
      <w:bookmarkStart w:id="1905" w:name="Tc_PjTw5MHma0O6Mv7VbLKFNA_16_3"/>
      <w:bookmarkStart w:id="1906" w:name="Tc_XfmLwp2wBEKnX_R1hCjxCA_16_0"/>
      <w:bookmarkStart w:id="1907" w:name="Tc_srkLECHEjE67Bh5sLG45mw_15_0"/>
      <w:bookmarkStart w:id="1908" w:name="Tc_kD1E6rvItkqxyg_ckFPLPA_14_0"/>
      <w:bookmarkStart w:id="1909" w:name="Tc_bfmpFYaBgE2W62xzxkbziw_13_0"/>
      <w:bookmarkStart w:id="1910" w:name="Tc_ILjWrd9x1UKDGmS3IipEuQ_12_0"/>
      <w:bookmarkStart w:id="1911" w:name="Tc_x4EXUdJ8gkqaLzWxxj1qGA_11_0"/>
      <w:bookmarkStart w:id="1912" w:name="Tc_fvaffJef0E-uRatZ5U3Chw_10_0"/>
      <w:bookmarkStart w:id="1913" w:name="Tc_uEEXWchEhUGoi2-Ljsbyaw_9_0"/>
      <w:bookmarkStart w:id="1914" w:name="Tc_oGgUNBrQI0Oy8uiGfdZj9A_8_6"/>
      <w:bookmarkStart w:id="1915" w:name="Tc_2pEQBoMsh0-mWiPCZgrkBA_8_0"/>
      <w:bookmarkStart w:id="1916" w:name="Tc_AY3tKoTFEkyqQQR3z6jeBA_7_8"/>
      <w:bookmarkStart w:id="1917" w:name="Tc_jKcX4KLqM0mkuD0OndIBNQ_7_5"/>
      <w:bookmarkStart w:id="1918" w:name="Tc_Cb2hmlUtkUGQhzpT1G8EIQ_7_2"/>
      <w:bookmarkStart w:id="1919" w:name="Tc_vnNHgNZVaEu8fj3dFZm7AA_7_0"/>
      <w:bookmarkStart w:id="1920" w:name="Tc_5C-trVGqjUuMC2dXhIHg9g_6_0"/>
      <w:bookmarkStart w:id="1921" w:name="Tc_XVJNIue3I0SLohtK_BxY8Q_5_0"/>
      <w:bookmarkStart w:id="1922" w:name="Tc_5h2pGaBLy0SQZulRO1wR8w_4_8"/>
      <w:bookmarkStart w:id="1923" w:name="Tc_NyFU_dMjakWkbx6pK1TD3g_4_5"/>
      <w:bookmarkStart w:id="1924" w:name="Tc_sojAYuYF5USBnJbkHWzqsw_4_2"/>
      <w:bookmarkStart w:id="1925" w:name="Tc_03MpOFHZp0aR8xQLJqjgxw_3_5"/>
      <w:bookmarkStart w:id="1926" w:name="Tc_G4YwHqN1jUGy6GDRo_oMvQ_3_2"/>
      <w:bookmarkStart w:id="1927" w:name="Tc_Pb89oItcJUe0xYJusdPgug_1_0"/>
      <w:bookmarkStart w:id="1928" w:name="_3b969b63_ec1d_45ba_bab3_6cca5f4df74c"/>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r>
        <w:rPr/>
        <w:t>​</w:t>
      </w:r>
    </w:p>
    <w:tbl>
      <w:tblPr>
        <w:tblW w:w="10205" w:type="dxa"/>
        <w:jc w:val="left"/>
        <w:tblInd w:w="0" w:type="dxa"/>
        <w:tblLayout w:type="fixed"/>
        <w:tblCellMar>
          <w:top w:w="0" w:type="dxa"/>
          <w:left w:w="0" w:type="dxa"/>
          <w:bottom w:w="0" w:type="dxa"/>
          <w:right w:w="0" w:type="dxa"/>
        </w:tblCellMar>
      </w:tblPr>
      <w:tblGrid>
        <w:gridCol w:w="6155"/>
        <w:gridCol w:w="346"/>
        <w:gridCol w:w="253"/>
        <w:gridCol w:w="813"/>
        <w:gridCol w:w="346"/>
        <w:gridCol w:w="211"/>
        <w:gridCol w:w="686"/>
        <w:gridCol w:w="346"/>
        <w:gridCol w:w="211"/>
        <w:gridCol w:w="838"/>
      </w:tblGrid>
      <w:tr>
        <w:trPr/>
        <w:tc>
          <w:tcPr>
            <w:tcW w:w="6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3908425" cy="175260"/>
                      <wp:effectExtent l="0" t="0" r="0" b="0"/>
                      <wp:wrapNone/>
                      <wp:docPr id="308" name="Frame308"/>
                      <a:graphic xmlns:a="http://schemas.openxmlformats.org/drawingml/2006/main">
                        <a:graphicData uri="http://schemas.microsoft.com/office/word/2010/wordprocessingShape">
                          <wps:wsp>
                            <wps:cNvSpPr txBox="1"/>
                            <wps:spPr>
                              <a:xfrm>
                                <a:off x="0" y="0"/>
                                <a:ext cx="390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60655" cy="175260"/>
                      <wp:effectExtent l="0" t="0" r="0" b="0"/>
                      <wp:wrapNone/>
                      <wp:docPr id="310" name="Frame310"/>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16255" cy="175260"/>
                      <wp:effectExtent l="0" t="0" r="0" b="0"/>
                      <wp:wrapNone/>
                      <wp:docPr id="311" name="Frame311"/>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2"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3" name="Frame3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35610" cy="175260"/>
                      <wp:effectExtent l="0" t="0" r="0" b="0"/>
                      <wp:wrapNone/>
                      <wp:docPr id="314" name="Frame314"/>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5"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6"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32130" cy="175260"/>
                      <wp:effectExtent l="0" t="0" r="0" b="0"/>
                      <wp:wrapNone/>
                      <wp:docPr id="317" name="Frame317"/>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2025</w:t>
            </w:r>
          </w:p>
        </w:tc>
      </w:tr>
      <w:tr>
        <w:trPr/>
        <w:tc>
          <w:tcPr>
            <w:tcW w:w="61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97" w:type="dxa"/>
            <w:gridSpan w:val="2"/>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center"/>
              <w:rPr/>
            </w:pPr>
            <w:r>
              <w:rPr/>
              <w:t>​</w:t>
            </w:r>
          </w:p>
        </w:tc>
      </w:tr>
      <w:tr>
        <w:trPr/>
        <w:tc>
          <w:tcPr>
            <w:tcW w:w="61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049" w:type="dxa"/>
            <w:gridSpan w:val="2"/>
            <w:tcBorders/>
            <w:vAlign w:val="center"/>
          </w:tcPr>
          <w:p>
            <w:pPr>
              <w:pStyle w:val="TableContents"/>
              <w:bidi w:val="0"/>
              <w:spacing w:before="0" w:after="0"/>
              <w:ind w:left="0" w:right="0" w:hanging="0"/>
              <w:jc w:val="center"/>
              <w:rPr/>
            </w:pPr>
            <w:r>
              <w:rPr/>
              <w:t>​</w:t>
            </w:r>
          </w:p>
        </w:tc>
      </w:tr>
      <w:tr>
        <w:trPr/>
        <w:tc>
          <w:tcPr>
            <w:tcW w:w="61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0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left"/>
              <w:rPr/>
            </w:pPr>
            <w:r>
              <w:rPr/>
              <w:t>​</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left"/>
              <w:rPr/>
            </w:pPr>
            <w:r>
              <w:rPr/>
              <w:t>​</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Business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4,865</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Consumer</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21,466</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Mobility</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26,331</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Business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47,270</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Consumer</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65,838</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113,108</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33,229</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Communication Services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174,874</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left"/>
              <w:rPr/>
            </w:pPr>
            <w:r>
              <w:rPr/>
              <w:t>​</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181,300</w:t>
            </w:r>
          </w:p>
        </w:tc>
      </w:tr>
      <w:tr>
        <w:trPr/>
        <w:tc>
          <w:tcPr>
            <w:tcW w:w="61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 by segment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communication services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77,165</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50,416</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reorganization expenses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3,742</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33,004</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disposition of assets, transfers and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 by segment</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170,612</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Adjusted Income (loss) from operations by segment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10,688</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Adjusted Income (loss) from operations by segment to Loss before income taxes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unallocated Corporate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10,455</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(12,810)</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(13,269)</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(13,036)</w:t>
            </w:r>
          </w:p>
        </w:tc>
      </w:tr>
      <w:tr>
        <w:trPr/>
        <w:tc>
          <w:tcPr>
            <w:tcW w:w="61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segment disclosures: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61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049" w:type="dxa"/>
            <w:gridSpan w:val="2"/>
            <w:tcBorders/>
            <w:vAlign w:val="center"/>
          </w:tcPr>
          <w:p>
            <w:pPr>
              <w:pStyle w:val="TableContents"/>
              <w:bidi w:val="0"/>
              <w:spacing w:before="0" w:after="0"/>
              <w:ind w:left="0" w:right="0" w:hanging="0"/>
              <w:jc w:val="center"/>
              <w:rPr/>
            </w:pPr>
            <w:r>
              <w:rPr/>
              <w:t>​</w:t>
            </w:r>
          </w:p>
        </w:tc>
      </w:tr>
      <w:tr>
        <w:trPr/>
        <w:tc>
          <w:tcPr>
            <w:tcW w:w="61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shd w:fill="CCEEFF" w:val="clear"/>
            <w:vAlign w:val="center"/>
          </w:tcPr>
          <w:p>
            <w:pPr>
              <w:pStyle w:val="TableContents"/>
              <w:bidi w:val="0"/>
              <w:spacing w:before="0" w:after="0"/>
              <w:ind w:left="0" w:right="0" w:hanging="0"/>
              <w:jc w:val="left"/>
              <w:rPr/>
            </w:pPr>
            <w:r>
              <w:rPr/>
              <w:t>​</w:t>
            </w:r>
          </w:p>
        </w:tc>
        <w:tc>
          <w:tcPr>
            <w:tcW w:w="897"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shd w:fill="CCEEFF" w:val="clear"/>
            <w:vAlign w:val="center"/>
          </w:tcPr>
          <w:p>
            <w:pPr>
              <w:pStyle w:val="TableContents"/>
              <w:bidi w:val="0"/>
              <w:spacing w:before="0" w:after="0"/>
              <w:ind w:left="0" w:right="0" w:hanging="0"/>
              <w:jc w:val="left"/>
              <w:rPr/>
            </w:pPr>
            <w:r>
              <w:rPr/>
              <w:t>​</w:t>
            </w:r>
          </w:p>
        </w:tc>
        <w:tc>
          <w:tcPr>
            <w:tcW w:w="1049"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1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center"/>
              <w:rPr/>
            </w:pPr>
            <w:r>
              <w:rPr/>
              <w:t>​</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929" w:name="Tc_1_nfeUEaq0aiYoFmZztVuw_46_0"/>
      <w:bookmarkStart w:id="1930" w:name="Tc_piVfzIdaVkOus-6izj5irg_45_8"/>
      <w:bookmarkStart w:id="1931" w:name="Tc_UhEzyAr-XUaMu_x2FpgZkg_45_5"/>
      <w:bookmarkStart w:id="1932" w:name="Tc_CuiDZQnUGUG-bMHld3NccQ_45_2"/>
      <w:bookmarkStart w:id="1933" w:name="Tc_yPTL659gdEqp0PTOOTgrtg_44_5"/>
      <w:bookmarkStart w:id="1934" w:name="Tc_36HZriEzVUy-Dim_F0Gp-Q_44_2"/>
      <w:bookmarkStart w:id="1935" w:name="Tc_ZH4oAIrT30KAXE8UPxn0BQ_43_0"/>
      <w:bookmarkStart w:id="1936" w:name="Tc_jmsQOVHOSESebwT2XjfBAw_41_0"/>
      <w:bookmarkStart w:id="1937" w:name="Tc_FH80SdRZ70S8dtEgmgR8Kg_40_0"/>
      <w:bookmarkStart w:id="1938" w:name="Tc_UYsBftnIFkSNxGQc2Pgu8A_39_0"/>
      <w:bookmarkStart w:id="1939" w:name="Tc_Z7uCdlfSZk-2ARbgxvV0yA_38_0"/>
      <w:bookmarkStart w:id="1940" w:name="Tc_ZhIJDT_tGESt92mfH0I36A_37_0"/>
      <w:bookmarkStart w:id="1941" w:name="Tc_lfsEixGou06UoQM9aUx8fw_36_0"/>
      <w:bookmarkStart w:id="1942" w:name="Tc_RXRkyqA-CE2Tu0WXFpB-5Q_35_0"/>
      <w:bookmarkStart w:id="1943" w:name="Tc_Di12YFahGUOmTguaZFXD4w_34_0"/>
      <w:bookmarkStart w:id="1944" w:name="Tc_VCVSt4npU0aN_0ZDYG5dGA_33_0"/>
      <w:bookmarkStart w:id="1945" w:name="Tc_fmXi_NuZ4UyyNMF72pEw6A_32_0"/>
      <w:bookmarkStart w:id="1946" w:name="Tc_l1v8MHshyUuEN8ttMoF8-A_31_0"/>
      <w:bookmarkStart w:id="1947" w:name="Tc_99eUtDPNbU28KHa0ZBTuuw_30_0"/>
      <w:bookmarkStart w:id="1948" w:name="Tc_SyBwKsd4PEq73EpmTirFzQ_29_0"/>
      <w:bookmarkStart w:id="1949" w:name="Tc__ptGrCssZUK9xIf3at8MNg_28_0"/>
      <w:bookmarkStart w:id="1950" w:name="Tc_x7UuwuXexUu97PBxrwpURA_27_3"/>
      <w:bookmarkStart w:id="1951" w:name="Tc_UexAIljdWkGyF_JZwPDmAQ_27_0"/>
      <w:bookmarkStart w:id="1952" w:name="Tc_c-ncsf64VU2r23CJKXV21Q_26_0"/>
      <w:bookmarkStart w:id="1953" w:name="Tc_61hnJwh5o0ug5Jxgpg3r9g_25_0"/>
      <w:bookmarkStart w:id="1954" w:name="Tc_yqFbPwzGtEOqrC1HveNCyQ_24_3"/>
      <w:bookmarkStart w:id="1955" w:name="Tc_6yre3qVHVUmqsSy-UMfAQQ_24_0"/>
      <w:bookmarkStart w:id="1956" w:name="Tc_EbJ_Aly9XU-jbDArMHoC1g_23_0"/>
      <w:bookmarkStart w:id="1957" w:name="Tc_uQ2pdtgoVUi4mnZxqiyMJg_22_0"/>
      <w:bookmarkStart w:id="1958" w:name="Tc_7jAoDKVAVEeYbKDMlqcODw_20_0"/>
      <w:bookmarkStart w:id="1959" w:name="Tc_I-M8PBgY5kWNzC-RGkhUfg_19_0"/>
      <w:bookmarkStart w:id="1960" w:name="Tc_J0dNscZIEUu5gKxNAUYjgw_18_0"/>
      <w:bookmarkStart w:id="1961" w:name="Tc_7Xu84K4avkexMx5XaMMYQg_17_0"/>
      <w:bookmarkStart w:id="1962" w:name="Tc_8MA8kIx-40uoHLj2irotmw_16_3"/>
      <w:bookmarkStart w:id="1963" w:name="Tc_nICSLYA8S0WP-Q0J-RP4Gw_16_0"/>
      <w:bookmarkStart w:id="1964" w:name="Tc_cflIDE6ZFkyajSBRGHH3YQ_15_0"/>
      <w:bookmarkStart w:id="1965" w:name="Tc_mEGVjXfkr0msER9nBniQSg_14_0"/>
      <w:bookmarkStart w:id="1966" w:name="Tc_qeYd7p84F0-ha1lLpgJNXA_13_0"/>
      <w:bookmarkStart w:id="1967" w:name="Tc_8D72kr7XKEyVbnIsaF5DWg_12_0"/>
      <w:bookmarkStart w:id="1968" w:name="Tc_Pm1nfY7P8k2UEX4RG_kPjQ_11_0"/>
      <w:bookmarkStart w:id="1969" w:name="Tc_Ny2T_CmYR0SUVOYKP6NbrQ_10_0"/>
      <w:bookmarkStart w:id="1970" w:name="Tc_moM6pxwXzEGMozXNEStltA_9_6"/>
      <w:bookmarkStart w:id="1971" w:name="Tc_fcvL1gx5aE-p7aeQoREVSw_9_0"/>
      <w:bookmarkStart w:id="1972" w:name="Tc_0i6YHcX5SEafiZlsTzg2ow_8_6"/>
      <w:bookmarkStart w:id="1973" w:name="Tc_dG17mg3w1ECJhtA4iry5iw_8_0"/>
      <w:bookmarkStart w:id="1974" w:name="Tc_LIiWNz-tNk62a1Q2z_Rfyw_7_8"/>
      <w:bookmarkStart w:id="1975" w:name="Tc_-yuKhZEWMUuDZseH8D0aAQ_7_6"/>
      <w:bookmarkStart w:id="1976" w:name="Tc_574frIJUike3xQIRafdH5A_7_5"/>
      <w:bookmarkStart w:id="1977" w:name="Tc_THdqdi5pDUOdRMZRpUzfIw_7_2"/>
      <w:bookmarkStart w:id="1978" w:name="Tc_XtAthniJ8E69J0IIc_Z-5w_7_0"/>
      <w:bookmarkStart w:id="1979" w:name="Tc_G3YFslbsh0a_AB1Ur2oGGA_6_0"/>
      <w:bookmarkStart w:id="1980" w:name="Tc_L6w5BAjhY0i4LRUTUtFZBA_5_0"/>
      <w:bookmarkStart w:id="1981" w:name="Tc_NMtD_a4LB0CZ0XK2QRZfNg_4_8"/>
      <w:bookmarkStart w:id="1982" w:name="Tc_sMM4WL8dUEybmr_AEdU5dw_4_5"/>
      <w:bookmarkStart w:id="1983" w:name="Tc_EFhF7MYa6kK6pCnb5ENddw_4_2"/>
      <w:bookmarkStart w:id="1984" w:name="Tc_8vGpCeaqpECzx2NFym5wJA_3_5"/>
      <w:bookmarkStart w:id="1985" w:name="Tc_zLu5KcFDukSwUe4dW8FnUA_3_2"/>
      <w:bookmarkStart w:id="1986" w:name="Tc__jGxs75csUCPvUbv5xV-2A_1_0"/>
      <w:bookmarkStart w:id="1987" w:name="_82017781_af7c_4bcf_9de5_02e6e71ae942"/>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r>
        <w:rPr/>
        <w:t>​</w:t>
      </w:r>
    </w:p>
    <w:tbl>
      <w:tblPr>
        <w:tblW w:w="10205" w:type="dxa"/>
        <w:jc w:val="left"/>
        <w:tblInd w:w="0" w:type="dxa"/>
        <w:tblLayout w:type="fixed"/>
        <w:tblCellMar>
          <w:top w:w="0" w:type="dxa"/>
          <w:left w:w="0" w:type="dxa"/>
          <w:bottom w:w="0" w:type="dxa"/>
          <w:right w:w="0" w:type="dxa"/>
        </w:tblCellMar>
      </w:tblPr>
      <w:tblGrid>
        <w:gridCol w:w="5875"/>
        <w:gridCol w:w="346"/>
        <w:gridCol w:w="226"/>
        <w:gridCol w:w="840"/>
        <w:gridCol w:w="346"/>
        <w:gridCol w:w="211"/>
        <w:gridCol w:w="879"/>
        <w:gridCol w:w="346"/>
        <w:gridCol w:w="211"/>
        <w:gridCol w:w="925"/>
      </w:tblGrid>
      <w:tr>
        <w:trPr/>
        <w:tc>
          <w:tcPr>
            <w:tcW w:w="5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730625" cy="175260"/>
                      <wp:effectExtent l="0" t="0" r="0" b="0"/>
                      <wp:wrapNone/>
                      <wp:docPr id="318" name="Frame318"/>
                      <a:graphic xmlns:a="http://schemas.openxmlformats.org/drawingml/2006/main">
                        <a:graphicData uri="http://schemas.microsoft.com/office/word/2010/wordprocessingShape">
                          <wps:wsp>
                            <wps:cNvSpPr txBox="1"/>
                            <wps:spPr>
                              <a:xfrm>
                                <a:off x="0" y="0"/>
                                <a:ext cx="3730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43510" cy="175260"/>
                      <wp:effectExtent l="0" t="0" r="0" b="0"/>
                      <wp:wrapNone/>
                      <wp:docPr id="320" name="Frame32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33400" cy="175260"/>
                      <wp:effectExtent l="0" t="0" r="0" b="0"/>
                      <wp:wrapNone/>
                      <wp:docPr id="321" name="Frame321"/>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22"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3985" cy="175260"/>
                      <wp:effectExtent l="0" t="0" r="0" b="0"/>
                      <wp:wrapNone/>
                      <wp:docPr id="323" name="Frame3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58165" cy="175260"/>
                      <wp:effectExtent l="0" t="0" r="0" b="0"/>
                      <wp:wrapNone/>
                      <wp:docPr id="324" name="Frame324"/>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5"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6"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87375" cy="175260"/>
                      <wp:effectExtent l="0" t="0" r="0" b="0"/>
                      <wp:wrapNone/>
                      <wp:docPr id="327" name="Frame327"/>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2026</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90"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center"/>
              <w:rPr/>
            </w:pPr>
            <w:r>
              <w:rPr/>
              <w:t>​</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10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136" w:type="dxa"/>
            <w:gridSpan w:val="2"/>
            <w:tcBorders/>
            <w:vAlign w:val="center"/>
          </w:tcPr>
          <w:p>
            <w:pPr>
              <w:pStyle w:val="TableContents"/>
              <w:bidi w:val="0"/>
              <w:spacing w:before="0" w:after="0"/>
              <w:ind w:left="0" w:right="0" w:hanging="0"/>
              <w:jc w:val="center"/>
              <w:rPr/>
            </w:pPr>
            <w:r>
              <w:rPr/>
              <w:t>​</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1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center"/>
              <w:rPr/>
            </w:pPr>
            <w:r>
              <w:rPr/>
              <w:t>​</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left"/>
              <w:rPr/>
            </w:pPr>
            <w:r>
              <w:rPr/>
              <w:t>​</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Business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10,337</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Consumer</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43,160</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Mobility</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53,497</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Business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97,779</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Consumer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127,771</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225,550</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72,429</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7,123</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Communication Services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358,599</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pPr>
            <w:r>
              <w:rPr/>
              <w:t>​</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7,344</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7,344</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174,468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366,722</w:t>
            </w:r>
          </w:p>
        </w:tc>
      </w:tr>
      <w:tr>
        <w:trPr/>
        <w:tc>
          <w:tcPr>
            <w:tcW w:w="58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pPr>
            <w:r>
              <w:rPr/>
              <w:t>​</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communication services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155,876</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101,504</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8,134</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reorganization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60,266</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 transfers and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(229,494)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(230,167)</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99,654</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Adjusted Income (loss) from operations by segment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225,929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267,068</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Adjusted Income (loss) from operations by segment to Income before income taxes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unallocated Corporate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15,648</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(21,345)</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(3,979)</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(24,691)</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226,729</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segment disclosures: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pPr>
            <w:r>
              <w:rPr/>
              <w:t>​</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10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136" w:type="dxa"/>
            <w:gridSpan w:val="2"/>
            <w:tcBorders/>
            <w:vAlign w:val="center"/>
          </w:tcPr>
          <w:p>
            <w:pPr>
              <w:pStyle w:val="TableContents"/>
              <w:bidi w:val="0"/>
              <w:spacing w:before="0" w:after="0"/>
              <w:ind w:left="0" w:right="0" w:hanging="0"/>
              <w:jc w:val="center"/>
              <w:rPr/>
            </w:pPr>
            <w:r>
              <w:rPr/>
              <w:t>​</w:t>
            </w:r>
          </w:p>
        </w:tc>
      </w:tr>
      <w:tr>
        <w:trPr/>
        <w:tc>
          <w:tcPr>
            <w:tcW w:w="58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shd w:fill="CCEEFF" w:val="clear"/>
            <w:vAlign w:val="center"/>
          </w:tcPr>
          <w:p>
            <w:pPr>
              <w:pStyle w:val="TableContents"/>
              <w:bidi w:val="0"/>
              <w:spacing w:before="0" w:after="0"/>
              <w:ind w:left="0" w:right="0" w:hanging="0"/>
              <w:jc w:val="left"/>
              <w:rPr/>
            </w:pPr>
            <w:r>
              <w:rPr/>
              <w:t>​</w:t>
            </w:r>
          </w:p>
        </w:tc>
        <w:tc>
          <w:tcPr>
            <w:tcW w:w="109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shd w:fill="CCEEFF" w:val="clear"/>
            <w:vAlign w:val="center"/>
          </w:tcPr>
          <w:p>
            <w:pPr>
              <w:pStyle w:val="TableContents"/>
              <w:bidi w:val="0"/>
              <w:spacing w:before="0" w:after="0"/>
              <w:ind w:left="0" w:right="0" w:hanging="0"/>
              <w:jc w:val="left"/>
              <w:rPr/>
            </w:pPr>
            <w:r>
              <w:rPr/>
              <w:t>​</w:t>
            </w:r>
          </w:p>
        </w:tc>
        <w:tc>
          <w:tcPr>
            <w:tcW w:w="1136"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988" w:name="Tc_crTvOAaZC02ipXi6EXs-4Q_46_0"/>
      <w:bookmarkStart w:id="1989" w:name="Tc_AyDDwRpbs0W5WJ_yPE5xiw_45_8"/>
      <w:bookmarkStart w:id="1990" w:name="Tc_L2SYIRZ81k-ThPZh8p1j1w_45_5"/>
      <w:bookmarkStart w:id="1991" w:name="Tc_ZzJKwsb5J06i0M3Q_HZRYQ_45_2"/>
      <w:bookmarkStart w:id="1992" w:name="Tc_l6mlLmBum0i-n7wAEYDoJA_44_5"/>
      <w:bookmarkStart w:id="1993" w:name="Tc_1Yhmq4j6A0K916dNN_cjGg_44_2"/>
      <w:bookmarkStart w:id="1994" w:name="Tc_2gOxacoM5ESxZyNt6gt8CA_43_0"/>
      <w:bookmarkStart w:id="1995" w:name="Tc_4WTinQwKTU6thx2035dgcQ_41_0"/>
      <w:bookmarkStart w:id="1996" w:name="Tc_uXQzNv9h1kK9vtOzt8lCkQ_40_0"/>
      <w:bookmarkStart w:id="1997" w:name="Tc_TjEbWS0RcEu8JI-YPQsDNg_39_0"/>
      <w:bookmarkStart w:id="1998" w:name="Tc_53Ee0EqiPEe92AW6pKD3gg_38_0"/>
      <w:bookmarkStart w:id="1999" w:name="Tc_CKI5jGaY5ESnR6IHlAY8lw_37_0"/>
      <w:bookmarkStart w:id="2000" w:name="Tc_MR4FV-5HfEO2XES_HFlofQ_36_0"/>
      <w:bookmarkStart w:id="2001" w:name="Tc_ZuNB-7hsfkWSS5YAJrir8A_35_0"/>
      <w:bookmarkStart w:id="2002" w:name="Tc_7YLXIVkzkUCBYsEvn5nTyQ_34_0"/>
      <w:bookmarkStart w:id="2003" w:name="Tc_8uEyLSuTsEe7AZ8gqaRS5g_33_0"/>
      <w:bookmarkStart w:id="2004" w:name="Tc_YHbIgaE7F0S6r3xJVSYlQg_32_0"/>
      <w:bookmarkStart w:id="2005" w:name="Tc_qO9dSs4ZBkG0uHsAn7C9wQ_31_0"/>
      <w:bookmarkStart w:id="2006" w:name="Tc_45SlxueiWkORHjx1kfx25g_30_0"/>
      <w:bookmarkStart w:id="2007" w:name="Tc_jyzYPRcqM0C02JONCXQAHA_29_0"/>
      <w:bookmarkStart w:id="2008" w:name="Tc_XDoE2T8Y6EeJFUk5ysxG-g_28_0"/>
      <w:bookmarkStart w:id="2009" w:name="Tc_XGn77c7GvUmRlN_ttYwzuA_27_9"/>
      <w:bookmarkStart w:id="2010" w:name="Tc_SyJcrsgOt0Wvz2f1RJNmyQ_27_6"/>
      <w:bookmarkStart w:id="2011" w:name="Tc_ltQvItwCdEeME7HsrrzqMQ_27_3"/>
      <w:bookmarkStart w:id="2012" w:name="Tc_HtMhhfD5RkmLCaZsRrHN1g_27_0"/>
      <w:bookmarkStart w:id="2013" w:name="Tc_WgiaNwptz0irvygWQa7rmw_26_0"/>
      <w:bookmarkStart w:id="2014" w:name="Tc_DsMx-Jdn-kuIwau7_QISIw_25_0"/>
      <w:bookmarkStart w:id="2015" w:name="Tc_u2hWF7iCH0e3mCB-E_Ugqg_24_3"/>
      <w:bookmarkStart w:id="2016" w:name="Tc_IEv3QFWj2Ua_sgUctYQqtg_24_0"/>
      <w:bookmarkStart w:id="2017" w:name="Tc_c0ZueS6oSk25aO9jlhhK_Q_23_0"/>
      <w:bookmarkStart w:id="2018" w:name="Tc_iswpZv3B_0eG4CDMZnEiNw_22_0"/>
      <w:bookmarkStart w:id="2019" w:name="Tc_dsbXreVN3Ey02RyPyz_NLg_20_0"/>
      <w:bookmarkStart w:id="2020" w:name="Tc_KYXNGKKh3EG2vHBATGKjMA_19_0"/>
      <w:bookmarkStart w:id="2021" w:name="Tc_8bTYc7f0ik-izjpLb84o1Q_18_0"/>
      <w:bookmarkStart w:id="2022" w:name="Tc_iXQ37bhLRUqeIb_MH8t-tA_17_0"/>
      <w:bookmarkStart w:id="2023" w:name="Tc_C6hVhGzNMEK7DOl2ac3TBQ_16_3"/>
      <w:bookmarkStart w:id="2024" w:name="Tc_ICvViHZNLEOrkwrnpiljtA_16_0"/>
      <w:bookmarkStart w:id="2025" w:name="Tc_JV4xGUnsp029w9257ZSlUg_15_0"/>
      <w:bookmarkStart w:id="2026" w:name="Tc_fgHOMtM73kCB6EKr9FFe5Q_14_0"/>
      <w:bookmarkStart w:id="2027" w:name="Tc_6bnRsXyZ4Uy1u_9XKy27AA_13_0"/>
      <w:bookmarkStart w:id="2028" w:name="Tc_6f-ZXQhLr06WPNa-bhNbCg_12_0"/>
      <w:bookmarkStart w:id="2029" w:name="Tc_WD65YkVaF0ukDh_RgorRpg_11_0"/>
      <w:bookmarkStart w:id="2030" w:name="Tc_o3XA2p-OIUam2UoSbgLVDA_10_0"/>
      <w:bookmarkStart w:id="2031" w:name="Tc_6XAxzUgMO0KuiPD4bBopNg_9_0"/>
      <w:bookmarkStart w:id="2032" w:name="Tc_K6NWTvUKUUiHzLisk_0gtg_8_6"/>
      <w:bookmarkStart w:id="2033" w:name="Tc_h43UA8O2SEaOc3Ls4lRLFA_8_0"/>
      <w:bookmarkStart w:id="2034" w:name="Tc_3SMQHuRsi0G7gBN6fMHKcw_7_8"/>
      <w:bookmarkStart w:id="2035" w:name="Tc_7pbvcu98PES6s6_dbSOkKw_7_5"/>
      <w:bookmarkStart w:id="2036" w:name="Tc_fHJB3MnKQ0CEa1vZHdrgZQ_7_2"/>
      <w:bookmarkStart w:id="2037" w:name="Tc_5Ua9SP2TBUOZrmlgCrPTyg_7_0"/>
      <w:bookmarkStart w:id="2038" w:name="Tc_brSTaf8I90SNXdQ8wPo-3A_6_0"/>
      <w:bookmarkStart w:id="2039" w:name="Tc_M5QWpp2XfEujPJvPKQiS0Q_5_0"/>
      <w:bookmarkStart w:id="2040" w:name="Tc_C40P4UbnsEuIjcoIY32cVg_4_8"/>
      <w:bookmarkStart w:id="2041" w:name="Tc_K_WGEPc9KEGnuCmMcQPaLg_4_5"/>
      <w:bookmarkStart w:id="2042" w:name="Tc_Q6cQqvBOaEug_tyoESfX3A_4_2"/>
      <w:bookmarkStart w:id="2043" w:name="Tc_9Zo1e8x84kamcrRe9IZw4Q_3_5"/>
      <w:bookmarkStart w:id="2044" w:name="Tc_TCUMOFeQKUO0o0H9XgU6fg_3_2"/>
      <w:bookmarkStart w:id="2045" w:name="Tc_UbeUXvH_H0a7U82y7mGqOg_1_0"/>
      <w:bookmarkStart w:id="2046" w:name="_469bee9e_26b3_471b_adec_ab39c62e7082"/>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r>
        <w:rPr/>
        <w:t>​</w:t>
      </w:r>
    </w:p>
    <w:tbl>
      <w:tblPr>
        <w:tblW w:w="10205" w:type="dxa"/>
        <w:jc w:val="left"/>
        <w:tblInd w:w="0" w:type="dxa"/>
        <w:tblLayout w:type="fixed"/>
        <w:tblCellMar>
          <w:top w:w="0" w:type="dxa"/>
          <w:left w:w="0" w:type="dxa"/>
          <w:bottom w:w="0" w:type="dxa"/>
          <w:right w:w="0" w:type="dxa"/>
        </w:tblCellMar>
      </w:tblPr>
      <w:tblGrid>
        <w:gridCol w:w="6061"/>
        <w:gridCol w:w="346"/>
        <w:gridCol w:w="226"/>
        <w:gridCol w:w="840"/>
        <w:gridCol w:w="346"/>
        <w:gridCol w:w="211"/>
        <w:gridCol w:w="781"/>
        <w:gridCol w:w="346"/>
        <w:gridCol w:w="211"/>
        <w:gridCol w:w="837"/>
      </w:tblGrid>
      <w:tr>
        <w:trPr/>
        <w:tc>
          <w:tcPr>
            <w:tcW w:w="6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848735" cy="175260"/>
                      <wp:effectExtent l="0" t="0" r="0" b="0"/>
                      <wp:wrapNone/>
                      <wp:docPr id="328" name="Frame328"/>
                      <a:graphic xmlns:a="http://schemas.openxmlformats.org/drawingml/2006/main">
                        <a:graphicData uri="http://schemas.microsoft.com/office/word/2010/wordprocessingShape">
                          <wps:wsp>
                            <wps:cNvSpPr txBox="1"/>
                            <wps:spPr>
                              <a:xfrm>
                                <a:off x="0" y="0"/>
                                <a:ext cx="3848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43510" cy="175260"/>
                      <wp:effectExtent l="0" t="0" r="0" b="0"/>
                      <wp:wrapNone/>
                      <wp:docPr id="330" name="Frame33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33400" cy="175260"/>
                      <wp:effectExtent l="0" t="0" r="0" b="0"/>
                      <wp:wrapNone/>
                      <wp:docPr id="331" name="Frame331"/>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95935" cy="175260"/>
                      <wp:effectExtent l="0" t="0" r="0" b="0"/>
                      <wp:wrapNone/>
                      <wp:docPr id="334" name="Frame3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6"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31495" cy="175260"/>
                      <wp:effectExtent l="0" t="0" r="0" b="0"/>
                      <wp:wrapNone/>
                      <wp:docPr id="337" name="Frame337"/>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2025</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center"/>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048" w:type="dxa"/>
            <w:gridSpan w:val="2"/>
            <w:tcBorders/>
            <w:vAlign w:val="center"/>
          </w:tcPr>
          <w:p>
            <w:pPr>
              <w:pStyle w:val="TableContents"/>
              <w:bidi w:val="0"/>
              <w:spacing w:before="0" w:after="0"/>
              <w:ind w:left="0" w:right="0" w:hanging="0"/>
              <w:jc w:val="center"/>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0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center"/>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Business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9,752</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Consumer</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42,657</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Mobility</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52,409</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Business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95,008</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Consumer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131,126</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226,134</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66,359</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4,003</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Communication Services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186,633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348,905</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8,427</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8,427</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360,594</w:t>
            </w:r>
          </w:p>
        </w:tc>
      </w:tr>
      <w:tr>
        <w:trPr/>
        <w:tc>
          <w:tcPr>
            <w:tcW w:w="60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communication services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155,389</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3,684</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100,082</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reorganization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5,382</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66,665</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2,452</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disposition of assets, transfers and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3,434</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337,572</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Adjusted Income (loss) from operations by segment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23,022</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Adjusted Income (loss) from operations by segment to Loss before income taxes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unallocated Corporate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20,122</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(24,760)</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(3,158)</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(27,514)</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(24,614)</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segment disclosures: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048" w:type="dxa"/>
            <w:gridSpan w:val="2"/>
            <w:tcBorders/>
            <w:vAlign w:val="center"/>
          </w:tcPr>
          <w:p>
            <w:pPr>
              <w:pStyle w:val="TableContents"/>
              <w:bidi w:val="0"/>
              <w:spacing w:before="0" w:after="0"/>
              <w:ind w:left="0" w:right="0" w:hanging="0"/>
              <w:jc w:val="center"/>
              <w:rPr/>
            </w:pPr>
            <w:r>
              <w:rPr/>
              <w:t>​</w:t>
            </w:r>
          </w:p>
        </w:tc>
      </w:tr>
      <w:tr>
        <w:trPr/>
        <w:tc>
          <w:tcPr>
            <w:tcW w:w="60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shd w:fill="CCEEFF" w:val="clear"/>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shd w:fill="CCEEFF" w:val="clear"/>
            <w:vAlign w:val="center"/>
          </w:tcPr>
          <w:p>
            <w:pPr>
              <w:pStyle w:val="TableContents"/>
              <w:bidi w:val="0"/>
              <w:spacing w:before="0" w:after="0"/>
              <w:ind w:left="0" w:right="0" w:hanging="0"/>
              <w:jc w:val="left"/>
              <w:rPr/>
            </w:pPr>
            <w:r>
              <w:rPr/>
              <w:t>​</w:t>
            </w:r>
          </w:p>
        </w:tc>
        <w:tc>
          <w:tcPr>
            <w:tcW w:w="1048"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4,693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2047" w:name="Tc_-by6zjYh_0GDE80u6ipiNQ_6_0"/>
      <w:bookmarkStart w:id="2048" w:name="Tc_uCyQhgnetEiIPkG_1EmjaQ_5_11"/>
      <w:bookmarkStart w:id="2049" w:name="Tc_SUM43wbqP0Co7Y49JHDAJg_5_8"/>
      <w:bookmarkStart w:id="2050" w:name="Tc_o0UVf_705Uyz1Jvcz5Mhvg_5_5"/>
      <w:bookmarkStart w:id="2051" w:name="Tc_aucc32O-3Euj-V-0n_IMPw_5_2"/>
      <w:bookmarkStart w:id="2052" w:name="Tc_9Va8gxJr7UOxoI7-n-PTPA_5_0"/>
      <w:bookmarkStart w:id="2053" w:name="Tc_ZH9_OwUru0KtruMFHOVaew_4_12"/>
      <w:bookmarkStart w:id="2054" w:name="Tc_04PP5_84U0eCueHL9XkbDw_4_9"/>
      <w:bookmarkStart w:id="2055" w:name="Tc_ujFjTIE6hka50AiyafInxw_4_6"/>
      <w:bookmarkStart w:id="2056" w:name="Tc_edlH2XYF4UStHwpdGbmMZw_4_3"/>
      <w:bookmarkStart w:id="2057" w:name="Tc_Rlt6hkHSgEqr5aT3bq3Fqw_4_0"/>
      <w:bookmarkStart w:id="2058" w:name="Tc_qlAQ0Je0hkCa65lQKtsCTw_3_9"/>
      <w:bookmarkStart w:id="2059" w:name="Tc_nBkd415VMkuFlE4av38sug_3_6"/>
      <w:bookmarkStart w:id="2060" w:name="Tc_RWU7fV_uQUOcffluiG-MjQ_3_3"/>
      <w:bookmarkStart w:id="2061" w:name="Tc_RNTvknodmEKmiiofyluJBg_1_2"/>
      <w:bookmarkStart w:id="2062" w:name="_66c13b47_0cf1_4e08_a5bd_62c35ae3d3b5"/>
      <w:bookmarkStart w:id="2063" w:name="Tc_ben_st0te0qrla10xvJA5A_18_0"/>
      <w:bookmarkStart w:id="2064" w:name="Tc_yQjVYKonoEiZvbxi7gtZNA_17_0"/>
      <w:bookmarkStart w:id="2065" w:name="Tc_41KgZHJz_EqXaRP9b-cQ-w_16_0"/>
      <w:bookmarkStart w:id="2066" w:name="Tc_33Xa_NcoE0qBPy2CVaubYg_15_9"/>
      <w:bookmarkStart w:id="2067" w:name="Tc_GvLad-N3SE2hDW3OBl3L_A_15_6"/>
      <w:bookmarkStart w:id="2068" w:name="Tc_wDrNvifnq06es3tHmt8OIQ_15_0"/>
      <w:bookmarkStart w:id="2069" w:name="Tc_NnzU6Zm1ZUufH_juR6ki1A_14_0"/>
      <w:bookmarkStart w:id="2070" w:name="Tc_AnOJE7xipU6QDIncvWxyxQ_13_0"/>
      <w:bookmarkStart w:id="2071" w:name="Tc_ySmjjb2LAE6NmwqOgBFCww_12_11"/>
      <w:bookmarkStart w:id="2072" w:name="Tc_A7Ale1usd02eHdNcOubVJQ_12_8"/>
      <w:bookmarkStart w:id="2073" w:name="Tc_WrBsKu6GzUaj-KETlOoS3Q_12_5"/>
      <w:bookmarkStart w:id="2074" w:name="Tc_EM6Th3ZZGECsGIoa-p67dA_12_2"/>
      <w:bookmarkStart w:id="2075" w:name="Tc_PQ1cH9U9C02B1VejvF9siA_12_0"/>
      <w:bookmarkStart w:id="2076" w:name="Tc_fHaCGBGO-E-NL5aO4hiYrQ_11_0"/>
      <w:bookmarkStart w:id="2077" w:name="Tc_v0KaTFxm6k6rFhecYWUGQw_10_0"/>
      <w:bookmarkStart w:id="2078" w:name="Tc_JyBkwJSc2EKo2aI111rN7Q_9_0"/>
      <w:bookmarkStart w:id="2079" w:name="Tc_1FCBWlh0TkupW9npVX1_Vw_8_0"/>
      <w:bookmarkStart w:id="2080" w:name="Tc_UG1Pt8bCWE25NPJ29lzbwQ_7_9"/>
      <w:bookmarkStart w:id="2081" w:name="Tc_PQVgvMia3EORGXqhwvckWw_7_6"/>
      <w:bookmarkStart w:id="2082" w:name="Tc_doZe3GBuS0-xocJavKgeZg_7_0"/>
      <w:bookmarkStart w:id="2083" w:name="Tc_8TtCL_f2sEO-IgBNZDb_HQ_6_0"/>
      <w:bookmarkStart w:id="2084" w:name="Tc_6bgKDwPI90G4OBCtxaJxfg_5_0"/>
      <w:bookmarkStart w:id="2085" w:name="Tc_-VpM3UZ9z0mAS9T-vsHA4w_4_11"/>
      <w:bookmarkStart w:id="2086" w:name="Tc_HvFlCXAmnk-Bn49Qh8iuBg_4_8"/>
      <w:bookmarkStart w:id="2087" w:name="Tc_Q5MLSQt_wkCzCM8KABQBSw_4_5"/>
      <w:bookmarkStart w:id="2088" w:name="Tc_hg2POSl_A0yPVWGmz0wOrg_4_2"/>
      <w:bookmarkStart w:id="2089" w:name="Tc_BOxTMR8GQkqOApgAR2IY2Q_4_0"/>
      <w:bookmarkStart w:id="2090" w:name="Tc_EzOz_765c06hf6sNFo7ZKw_3_0"/>
      <w:bookmarkStart w:id="2091" w:name="Tc_YJdgo_1FhUKriLJX0HgSsQ_2_11"/>
      <w:bookmarkStart w:id="2092" w:name="Tc_DYRQIVyZpk2qOGNYWQqP3g_2_8"/>
      <w:bookmarkStart w:id="2093" w:name="Tc_KwOfWqOAD0aXuTQMGz7ypA_2_5"/>
      <w:bookmarkStart w:id="2094" w:name="Tc_85XTFClx7EWkkJVLYY_3bA_2_2"/>
      <w:bookmarkStart w:id="2095" w:name="Tc_YD3H5Aji3EqUbnDUlj_h1w_1_8"/>
      <w:bookmarkStart w:id="2096" w:name="Tc_9hkkmQi43ki_XjsePcSZNw_1_5"/>
      <w:bookmarkStart w:id="2097" w:name="Tc_i4NUR_ZikUOELKPzlhI5MQ_1_2"/>
      <w:bookmarkStart w:id="2098" w:name="_953fac3d_4422_4d5e_bc2d_1fe537373f00"/>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r>
        <w:rPr>
          <w:rFonts w:ascii="Times New Roman;Times;serif" w:hAnsi="Times New Roman;Times;serif"/>
          <w:sz w:val="20"/>
        </w:rPr>
        <w:t>Selected balance sheet data for each of the Company’s segments as of June 30, 2026 and December 31, 2025 consists of the following (in thousands):</w:t>
      </w:r>
    </w:p>
    <w:p>
      <w:pPr>
        <w:pStyle w:val="TextBody"/>
        <w:bidi w:val="0"/>
        <w:spacing w:before="280" w:after="0"/>
        <w:ind w:left="0" w:right="0" w:firstLine="720"/>
        <w:jc w:val="left"/>
        <w:rPr/>
      </w:pPr>
      <w:r>
        <w:rPr/>
        <w:t>​</w:t>
      </w:r>
    </w:p>
    <w:tbl>
      <w:tblPr>
        <w:tblW w:w="9610" w:type="dxa"/>
        <w:jc w:val="left"/>
        <w:tblInd w:w="0" w:type="dxa"/>
        <w:tblLayout w:type="fixed"/>
        <w:tblCellMar>
          <w:top w:w="0" w:type="dxa"/>
          <w:left w:w="0" w:type="dxa"/>
          <w:bottom w:w="0" w:type="dxa"/>
          <w:right w:w="0" w:type="dxa"/>
        </w:tblCellMar>
      </w:tblPr>
      <w:tblGrid>
        <w:gridCol w:w="3556"/>
        <w:gridCol w:w="346"/>
        <w:gridCol w:w="226"/>
        <w:gridCol w:w="840"/>
        <w:gridCol w:w="346"/>
        <w:gridCol w:w="211"/>
        <w:gridCol w:w="976"/>
        <w:gridCol w:w="346"/>
        <w:gridCol w:w="261"/>
        <w:gridCol w:w="969"/>
        <w:gridCol w:w="346"/>
        <w:gridCol w:w="211"/>
        <w:gridCol w:w="97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258060" cy="175260"/>
                      <wp:effectExtent l="0" t="0" r="0" b="0"/>
                      <wp:wrapNone/>
                      <wp:docPr id="338" name="Frame338"/>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9"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43510" cy="175260"/>
                      <wp:effectExtent l="0" t="0" r="0" b="0"/>
                      <wp:wrapNone/>
                      <wp:docPr id="340" name="Frame34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33400" cy="175260"/>
                      <wp:effectExtent l="0" t="0" r="0" b="0"/>
                      <wp:wrapNone/>
                      <wp:docPr id="341" name="Frame341"/>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42"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3"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19760" cy="175260"/>
                      <wp:effectExtent l="0" t="0" r="0" b="0"/>
                      <wp:wrapNone/>
                      <wp:docPr id="344" name="Frame34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65735" cy="175260"/>
                      <wp:effectExtent l="0" t="0" r="0" b="0"/>
                      <wp:wrapNone/>
                      <wp:docPr id="346" name="Frame346"/>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15315" cy="175260"/>
                      <wp:effectExtent l="0" t="0" r="0" b="0"/>
                      <wp:wrapNone/>
                      <wp:docPr id="347" name="Frame347"/>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985" cy="175260"/>
                      <wp:effectExtent l="0" t="0" r="0" b="0"/>
                      <wp:wrapNone/>
                      <wp:docPr id="349"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19760" cy="175260"/>
                      <wp:effectExtent l="0" t="0" r="0" b="0"/>
                      <wp:wrapNone/>
                      <wp:docPr id="350" name="Frame35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  ​ ​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100,371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222,062 </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9,467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331,900</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191,366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323,747 </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27,174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542,287</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442,009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503,870 </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1,334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947,213</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4,835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4,835</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711,981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1,076,105 </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91,932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1,880,018</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104,747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139,361 </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88,714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332,822</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including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333,698</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513,313</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35,915</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117,154</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141,592</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327,876</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451,303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533,443</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991,767</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4,835</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701,579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881,968</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1,673,254</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120,637</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263,099</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including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329,034</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565,167</w:t>
            </w:r>
          </w:p>
        </w:tc>
      </w:tr>
    </w:tbl>
    <w:p>
      <w:pPr>
        <w:pStyle w:val="TextBody"/>
        <w:bidi w:val="0"/>
        <w:spacing w:before="28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2026 and 2025, the Company spent $65.3 million and $87.9 million, respectively, on capital expenditures relating to its telecommunications networks and business support systems, of which $27.0 million and $45.9 million, respectively, are reimbursable under various government programs. The following notes the Company’s capital expenditures, by operating segment, for these periods (in thousands).</w:t>
      </w:r>
    </w:p>
    <w:p>
      <w:pPr>
        <w:pStyle w:val="TextBody"/>
        <w:bidi w:val="0"/>
        <w:spacing w:before="0" w:after="0"/>
        <w:ind w:left="0" w:right="0" w:firstLine="720"/>
        <w:jc w:val="left"/>
        <w:rPr/>
      </w:pPr>
      <w:r>
        <w:rPr/>
        <w:t>​</w:t>
      </w:r>
    </w:p>
    <w:tbl>
      <w:tblPr>
        <w:tblW w:w="8005" w:type="dxa"/>
        <w:jc w:val="left"/>
        <w:tblInd w:w="0" w:type="dxa"/>
        <w:tblLayout w:type="fixed"/>
        <w:tblCellMar>
          <w:top w:w="0" w:type="dxa"/>
          <w:left w:w="0" w:type="dxa"/>
          <w:bottom w:w="0" w:type="dxa"/>
          <w:right w:w="0" w:type="dxa"/>
        </w:tblCellMar>
      </w:tblPr>
      <w:tblGrid>
        <w:gridCol w:w="2086"/>
        <w:gridCol w:w="109"/>
        <w:gridCol w:w="346"/>
        <w:gridCol w:w="1066"/>
        <w:gridCol w:w="109"/>
        <w:gridCol w:w="346"/>
        <w:gridCol w:w="706"/>
        <w:gridCol w:w="109"/>
        <w:gridCol w:w="346"/>
        <w:gridCol w:w="1231"/>
        <w:gridCol w:w="109"/>
        <w:gridCol w:w="346"/>
        <w:gridCol w:w="109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24610" cy="175260"/>
                      <wp:effectExtent l="0" t="0" r="0" b="0"/>
                      <wp:wrapNone/>
                      <wp:docPr id="351" name="Frame351"/>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9215" cy="175260"/>
                      <wp:effectExtent l="0" t="0" r="0" b="0"/>
                      <wp:wrapNone/>
                      <wp:docPr id="352" name="Frame3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3"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76910" cy="175260"/>
                      <wp:effectExtent l="0" t="0" r="0" b="0"/>
                      <wp:wrapNone/>
                      <wp:docPr id="354" name="Frame354"/>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9215" cy="175260"/>
                      <wp:effectExtent l="0" t="0" r="0" b="0"/>
                      <wp:wrapNone/>
                      <wp:docPr id="355" name="Frame3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6"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48310" cy="175260"/>
                      <wp:effectExtent l="0" t="0" r="0" b="0"/>
                      <wp:wrapNone/>
                      <wp:docPr id="357" name="Frame35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9215" cy="175260"/>
                      <wp:effectExtent l="0" t="0" r="0" b="0"/>
                      <wp:wrapNone/>
                      <wp:docPr id="358" name="Frame3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9" name="Frame3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781685" cy="175260"/>
                      <wp:effectExtent l="0" t="0" r="0" b="0"/>
                      <wp:wrapNone/>
                      <wp:docPr id="360" name="Frame360"/>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9215" cy="175260"/>
                      <wp:effectExtent l="0" t="0" r="0" b="0"/>
                      <wp:wrapNone/>
                      <wp:docPr id="361" name="Frame3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19710" cy="175260"/>
                      <wp:effectExtent l="0" t="0" r="0" b="0"/>
                      <wp:wrapNone/>
                      <wp:docPr id="362" name="Frame3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95960" cy="175260"/>
                      <wp:effectExtent l="0" t="0" r="0" b="0"/>
                      <wp:wrapNone/>
                      <wp:docPr id="363" name="Frame36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1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Capital</w:t>
            </w:r>
            <w:r>
              <w:rPr>
                <w:rFonts w:ascii="Times New Roman;Times;serif" w:hAnsi="Times New Roman;Times;serif"/>
                <w:sz w:val="16"/>
              </w:rPr>
              <w:t> </w:t>
            </w:r>
            <w:r>
              <w:rPr>
                <w:rFonts w:ascii="Times New Roman;Times;serif" w:hAnsi="Times New Roman;Times;serif"/>
                <w:b/>
                <w:sz w:val="16"/>
              </w:rPr>
              <w:t>Expenditures</w: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6" w:type="dxa"/>
            <w:tcBorders/>
            <w:vAlign w:val="center"/>
          </w:tcPr>
          <w:p>
            <w:pPr>
              <w:pStyle w:val="TableContents"/>
              <w:bidi w:val="0"/>
              <w:spacing w:before="0" w:after="0"/>
              <w:ind w:left="0" w:right="0" w:hanging="0"/>
              <w:jc w:val="center"/>
              <w:rPr/>
            </w:pPr>
            <w:r>
              <w:rPr/>
              <w:t>​</w: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Six months ended June 30, </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Telecom </w:t>
            </w:r>
          </w:p>
        </w:tc>
        <w:tc>
          <w:tcPr>
            <w:tcW w:w="109" w:type="dxa"/>
            <w:tcBorders/>
            <w:vAlign w:val="center"/>
          </w:tcPr>
          <w:p>
            <w:pPr>
              <w:pStyle w:val="TableContents"/>
              <w:bidi w:val="0"/>
              <w:spacing w:before="0" w:after="0"/>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14,404</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50,861</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65,266</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20,270</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67,650</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87,922</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and other items refer to corporate overhead costs and consolidating adjustments and have been presented for reconciliation purposes to consolidated amounts.</w:t>
            </w:r>
          </w:p>
        </w:tc>
      </w:tr>
    </w:tbl>
    <w:p>
      <w:pPr>
        <w:pStyle w:val="TextBody"/>
        <w:bidi w:val="0"/>
        <w:spacing w:before="0" w:after="0"/>
        <w:ind w:left="1080" w:right="0" w:hanging="0"/>
        <w:jc w:val="left"/>
        <w:rPr/>
      </w:pPr>
      <w:r>
        <w:rPr/>
        <w:t>​</w:t>
      </w:r>
    </w:p>
    <w:p>
      <w:pPr>
        <w:pStyle w:val="TextBody"/>
        <w:bidi w:val="0"/>
        <w:spacing w:before="0" w:after="0"/>
        <w:ind w:left="0" w:right="0" w:hanging="0"/>
        <w:jc w:val="left"/>
        <w:rPr/>
      </w:pPr>
      <w:r>
        <w:rPr/>
        <w:t>​</w:t>
      </w:r>
    </w:p>
    <w:p>
      <w:pPr>
        <w:pStyle w:val="TextBody"/>
        <w:bidi w:val="0"/>
        <w:spacing w:before="280" w:after="0"/>
        <w:ind w:left="0" w:right="0" w:hanging="0"/>
        <w:jc w:val="left"/>
        <w:rPr>
          <w:rFonts w:ascii="Times New Roman;Times;serif" w:hAnsi="Times New Roman;Times;serif"/>
          <w:b/>
          <w:sz w:val="20"/>
        </w:rPr>
      </w:pPr>
      <w:bookmarkStart w:id="2099" w:name="_4cad524d_4a92_441b_ba9d_36b05b5c996c"/>
      <w:bookmarkEnd w:id="2099"/>
      <w:r>
        <w:rPr>
          <w:rFonts w:ascii="Times New Roman;Times;serif" w:hAnsi="Times New Roman;Times;serif"/>
          <w:b/>
          <w:sz w:val="20"/>
        </w:rPr>
        <w:t xml:space="preserve">14. COMMITMENTS AND CONTINGENCIES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Regulatory and Litigation Matters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and its subsidiaries are subject to certain regulatory and legal proceedings and other claims arising in the ordinary course of business, some of which involve claims for damages and taxes that are substantial in amount. Historically, the Company’s subsidiary, OneGY, has been subject to other long-standing litigation proceedings and disputes in Guyana that have not yet been resolved. It has been OneGY’s practice to make payments of undisputed spectrum and license fees as amounts are invoiced by the Telecommunications Authority (“TA”) and to accrue for a reasonable determination of any amounts that are disputed or not invoiced by the TA. The Company believes that, except for the items discussed below, for which the Company is currently unable to predict the final outcome, the disposition of matters currently pending, individually or in the aggregate, will not have a material adverse effect on the Company’s financial position or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Since 2006, the National Frequency Management Unit (now the TA, or the “NFMU”) and OneGY have been engaged in discussions regarding the amount of and methodology for calculation of spectrum fees payable by OneGY in Guyana. Since that time, OneGY has made payments of undisputed spectrum, license and other fees when invoiced by the NFMU, and to its successor, the TA. OneGY continues to dispute in good faith the methodology used for calculation and has requested further clarification on the subject of a revised spectrum fee methodology from the TA.</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OneGY has filed several lawsuits in the High Court of Guyana (the “High Court”) asserting that, despite its denials, Digicel is engaged in international bypass in violation of OneGY’s exclusive license rights, the interconnection agreement between the parties, and the laws of Guyana. Digicel filed counterclaims alleging that OneGY has violated the terms of the interconnection agreement and Guyana laws. These suits, filed in 2010 and 2012, are currently pending in the Court of Appeals in Guyana; however, as of the date of this Report, the Company cannot accurately predict when the consolidated suit will reach a court of final determination.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OneGY is also involved in several legal claims regarding its tax filings with the Guyana Revenue Authority (the “GRA”) dating back to 1991 regarding the deductibility of intercompany advisory fees as well as other tax assessments. OneGY has maintained that it has no unpaid corporation tax due to the GRA and that any liability OneGY might be found to have with respect to the disputed tax assessments would be offset in part by the amounts claimed with respect to rights ATN has pursuant to its agreement with the government of Guyana. OneGY’s position has been upheld by various High Court rulings made in its favor, and while all matters have been appealed by the GRA, as of the date of this Report, only one remained pending for determination by the High Court.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Regulatory Authority of Bermuda (the “RA”) is the primary regulator of the Company’s operations in Bermuda.  On August 28, 2025, the RA completed a market review and determined that the Company has significant market power in certain broadband and mobile services.  In connection therewith, the RA assessed, and the Company has initiated an appeal of, a series of ex-ante remedies that include wholesale obligations, price caps, and reporting obligations in addition to the ex post competition rules that generally apply. In October 2025, the Company was able to obtain a stay of implementation of these ex-ante remedies pending the Bermuda Supreme Court’s review of its appeal of the RA’s market review determination. The ex-ante remedies are burdensome and, if implemented, will require financial, operational, legal and regulatory resources to be allocated to ensure compliance.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With respect to all of the foregoing unresolved matters, the Company believes that some adverse outcome is probable and has accordingly accrued $17.4 million as of June 30, 2026 for these and other potential liabilities arising in various claims, legal actions and regulatory proceedings arising in the ordinary course of business. The Company also faces contingencies that are reasonably possible to occur that cannot currently be estimated. It is the Company’s policy to expense costs associated with loss contingencies, including any related legal fees, as they are incurred.</w:t>
      </w:r>
    </w:p>
    <w:p>
      <w:pPr>
        <w:pStyle w:val="TextBody"/>
        <w:bidi w:val="0"/>
        <w:spacing w:before="280" w:after="240"/>
        <w:ind w:left="0" w:right="0" w:hanging="0"/>
        <w:jc w:val="left"/>
        <w:rPr>
          <w:rFonts w:ascii="Times New Roman;Times;serif" w:hAnsi="Times New Roman;Times;serif"/>
          <w:sz w:val="20"/>
        </w:rPr>
      </w:pPr>
      <w:bookmarkStart w:id="2100" w:name="Item2MANAGEMENTSDISCUSSIONANDANALYSISOFF"/>
      <w:bookmarkStart w:id="2101" w:name="_1ff914c2_1247_4632_b280_2b0b2c7256b1"/>
      <w:bookmarkEnd w:id="2100"/>
      <w:bookmarkEnd w:id="2101"/>
      <w:r>
        <w:rPr>
          <w:rFonts w:ascii="Times New Roman;Times;serif" w:hAnsi="Times New Roman;Times;serif"/>
          <w:b/>
          <w:sz w:val="20"/>
        </w:rPr>
        <w:t>Item 2. MANAGEMENT’S DISCUSSION AND ANALYSIS OF FINANCIAL CONDITION AND RESULTS OF OPERATIONS</w:t>
      </w:r>
      <w:r>
        <w:rPr>
          <w:rFonts w:ascii="Times New Roman;Times;serif" w:hAnsi="Times New Roman;Times;serif"/>
          <w:sz w:val="20"/>
        </w:rPr>
        <w:t xml:space="preserv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Management’s Discussion and Analysis of Financial Condition and Results of Operations (this “MD&amp;A”) is intended to help the reader understand the Company, our operations and our present business environment. This MD&amp;A is provided as a supplement to — and should be read in conjunction with — our MD&amp;A for fiscal year 2025, which can be found in Part II, Item 7 of our Annual Report on Form 10-K for the year ended December 31, 2025.</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the following discussion and analysis of financial condition and results of operations are based upon our Consolidated Financial Statements and should be read in conjunction with these statements and notes thereto.</w:t>
      </w:r>
    </w:p>
    <w:p>
      <w:pPr>
        <w:pStyle w:val="TextBody"/>
        <w:shd w:fill="FFFFFF" w:val="clear"/>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pBdr/>
        <w:shd w:fill="FFFFFF" w:val="clear"/>
        <w:bidi w:val="0"/>
        <w:spacing w:before="100" w:after="0"/>
        <w:ind w:left="43" w:right="101" w:firstLine="720"/>
        <w:jc w:val="left"/>
        <w:rPr>
          <w:rFonts w:ascii="Times New Roman;Times;serif" w:hAnsi="Times New Roman;Times;serif"/>
          <w:sz w:val="20"/>
        </w:rPr>
      </w:pPr>
      <w:r>
        <w:rPr>
          <w:rFonts w:ascii="Times New Roman;Times;serif" w:hAnsi="Times New Roman;Times;serif"/>
          <w:sz w:val="20"/>
        </w:rPr>
        <w:t>We are a leading provider of digital infrastructure and communications services with a strategic focus on rural and remote markets in the US, and internationally, including Bermuda and the Caribbean region.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43" w:right="101" w:firstLine="720"/>
        <w:jc w:val="left"/>
        <w:rPr>
          <w:rFonts w:ascii="Times New Roman;Times;serif" w:hAnsi="Times New Roman;Times;serif"/>
          <w:sz w:val="20"/>
        </w:rPr>
      </w:pPr>
      <w:r>
        <w:rPr>
          <w:rFonts w:ascii="Times New Roman;Times;serif" w:hAnsi="Times New Roman;Times;serif"/>
          <w:sz w:val="20"/>
        </w:rPr>
        <w:t>We have developed significant operational capabilities and resources that enhance the performance of our local market operations. Our operating subsidiaries benefit from this shared expertise, which allows them to deliver improved service quality and achieve greater economies of scale than would typically be possible in the smaller markets we serve. We provide centralized management, technical, financial, regulatory, and marketing support to these operating subsidiaries and typically receive a management fee based on a percentage of their revenues. The intercompany fees are eliminated in our consolidated financial results.</w:t>
      </w:r>
    </w:p>
    <w:p>
      <w:pPr>
        <w:pStyle w:val="TextBody"/>
        <w:pBdr/>
        <w:shd w:fill="FFFFFF" w:val="clear"/>
        <w:bidi w:val="0"/>
        <w:spacing w:before="0" w:after="0"/>
        <w:ind w:left="43" w:right="101" w:firstLine="720"/>
        <w:jc w:val="left"/>
        <w:rPr>
          <w:rFonts w:ascii="Times New Roman;Times;serif" w:hAnsi="Times New Roman;Times;serif"/>
          <w:sz w:val="20"/>
        </w:rPr>
      </w:pPr>
      <w:r>
        <w:rPr>
          <w:rFonts w:ascii="Times New Roman;Times;serif" w:hAnsi="Times New Roman;Times;serif"/>
          <w:sz w:val="20"/>
        </w:rPr>
        <w:t>We use the cash generated from our operations to repay debt and increase liquidity, reinvest our network and service operations, fund capital expenditures, return value to stockholders through dividends or share repurchases, and to pursue strategic transactions. We continuously evaluate both domestic and international opportunities that align with our long-term goal of generating sustained excess operating cash flows.</w:t>
      </w:r>
    </w:p>
    <w:p>
      <w:pPr>
        <w:pStyle w:val="TextBody"/>
        <w:shd w:fill="FFFFFF" w:val="clear"/>
        <w:bidi w:val="0"/>
        <w:spacing w:before="0" w:after="240"/>
        <w:ind w:left="43" w:right="101" w:firstLine="720"/>
        <w:jc w:val="left"/>
        <w:rPr>
          <w:rFonts w:ascii="Times New Roman;Times;serif" w:hAnsi="Times New Roman;Times;serif"/>
          <w:sz w:val="20"/>
        </w:rPr>
      </w:pPr>
      <w:r>
        <w:rPr>
          <w:rFonts w:ascii="Times New Roman;Times;serif" w:hAnsi="Times New Roman;Times;serif"/>
          <w:sz w:val="20"/>
        </w:rPr>
        <w:t>For additional information regarding our reportable segments and geographic distribution of revenues and assets, please refer to Notes 1 and 13 of the Consolidated Financial Statements included in this Report.</w:t>
      </w:r>
    </w:p>
    <w:p>
      <w:pPr>
        <w:pStyle w:val="TextBody"/>
        <w:shd w:fill="FFFFFF" w:val="clear"/>
        <w:bidi w:val="0"/>
        <w:spacing w:before="0" w:after="240"/>
        <w:ind w:left="40" w:right="99" w:firstLine="680"/>
        <w:jc w:val="left"/>
        <w:rPr>
          <w:rFonts w:ascii="Times New Roman;Times;serif" w:hAnsi="Times New Roman;Times;serif"/>
          <w:sz w:val="20"/>
        </w:rPr>
      </w:pPr>
      <w:r>
        <w:rPr>
          <w:rFonts w:ascii="Times New Roman;Times;serif" w:hAnsi="Times New Roman;Times;serif"/>
          <w:sz w:val="20"/>
        </w:rPr>
        <w:t>As of June 30, 2026, we offered the following services to our customers: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Fixed Services</w:t>
            </w:r>
            <w:r>
              <w:rPr>
                <w:rFonts w:ascii="Times New Roman;Times;serif" w:hAnsi="Times New Roman;Times;serif"/>
                <w:b w:val="false"/>
                <w:i w:val="false"/>
                <w:caps w:val="false"/>
                <w:smallCaps w:val="false"/>
                <w:sz w:val="20"/>
              </w:rPr>
              <w:t>. We provide fixed data and voice telecommunications services to business and consumer customers, including high-speed broadband and enterprise data solutions. In select markets, fixed services also include video offerings and revenue derived from support under certain government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Carrier Services</w:t>
            </w:r>
            <w:r>
              <w:rPr>
                <w:rFonts w:ascii="Times New Roman;Times;serif" w:hAnsi="Times New Roman;Times;serif"/>
                <w:b w:val="false"/>
                <w:i w:val="false"/>
                <w:caps w:val="false"/>
                <w:smallCaps w:val="false"/>
                <w:sz w:val="20"/>
              </w:rPr>
              <w:t>. We offer infrastructure services to other telecommunications providers, including the leasing of critical network infrastructure such as transport facilities, wholesale roaming, site maintenance and international long-distance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Mobility Services</w:t>
            </w:r>
            <w:r>
              <w:rPr>
                <w:rFonts w:ascii="Times New Roman;Times;serif" w:hAnsi="Times New Roman;Times;serif"/>
                <w:b w:val="false"/>
                <w:i w:val="false"/>
                <w:caps w:val="false"/>
                <w:smallCaps w:val="false"/>
                <w:sz w:val="20"/>
              </w:rPr>
              <w:t>. We offer mobile communications services over our wireless networks, including voice, messaging and data services along with related equipment, such as handsets, to both business and consumer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Managed Services</w:t>
            </w:r>
            <w:r>
              <w:rPr>
                <w:rFonts w:ascii="Times New Roman;Times;serif" w:hAnsi="Times New Roman;Times;serif"/>
                <w:b w:val="false"/>
                <w:i w:val="false"/>
                <w:caps w:val="false"/>
                <w:smallCaps w:val="false"/>
                <w:sz w:val="20"/>
              </w:rPr>
              <w:t>. We deliver information technology solutions, including network management, application support and infrastructure services to complement our fixed telecommunications services in our existing markets for the purpose of supporting both enterprise and residential users.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Through June 30, 2026, we identified two operating segments to manage and review our operations, as well as to support investor presentations of our results. These operating segments are as follows:</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International Telecom</w:t>
            </w:r>
            <w:r>
              <w:rPr>
                <w:rFonts w:ascii="Times New Roman;Times;serif" w:hAnsi="Times New Roman;Times;serif"/>
                <w:b w:val="false"/>
                <w:i/>
                <w:sz w:val="20"/>
              </w:rPr>
              <w:t>.</w:t>
            </w:r>
            <w:r>
              <w:rPr>
                <w:caps w:val="false"/>
                <w:smallCaps w:val="false"/>
              </w:rPr>
              <w:t xml:space="preserve">  </w:t>
            </w:r>
            <w:r>
              <w:rPr>
                <w:rFonts w:ascii="Times New Roman;Times;serif" w:hAnsi="Times New Roman;Times;serif"/>
                <w:b w:val="false"/>
                <w:i w:val="false"/>
                <w:caps w:val="false"/>
                <w:smallCaps w:val="false"/>
                <w:sz w:val="20"/>
              </w:rPr>
              <w:t>In our international markets, we offer fixed, carrier, mobility and managed services to customers in Bermuda, the Cayman Islands, Guyana and the US Virgin Islands.</w:t>
            </w:r>
          </w:p>
        </w:tc>
        <w:tc>
          <w:tcPr>
            <w:tcW w:w="154" w:type="dxa"/>
            <w:tcBorders/>
            <w:vAlign w:val="center"/>
          </w:tcPr>
          <w:p>
            <w:pPr>
              <w:pStyle w:val="TableContents"/>
              <w:bidi w:val="0"/>
              <w:spacing w:before="0" w:after="283"/>
              <w:jc w:val="left"/>
              <w:rPr>
                <w:sz w:val="4"/>
                <w:szCs w:val="4"/>
              </w:rPr>
            </w:pPr>
            <w:r>
              <w:rPr>
                <w:sz w:val="4"/>
                <w:szCs w:val="4"/>
              </w:rPr>
            </w:r>
          </w:p>
        </w:tc>
      </w:tr>
    </w:tbl>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US Telecom</w:t>
            </w:r>
            <w:r>
              <w:rPr>
                <w:rFonts w:ascii="Times New Roman;Times;serif" w:hAnsi="Times New Roman;Times;serif"/>
                <w:b w:val="false"/>
                <w:i/>
                <w:sz w:val="20"/>
              </w:rPr>
              <w:t>.</w:t>
            </w:r>
            <w:r>
              <w:rPr/>
              <w:t xml:space="preserve">  </w:t>
            </w:r>
            <w:r>
              <w:rPr>
                <w:rFonts w:ascii="Times New Roman;Times;serif" w:hAnsi="Times New Roman;Times;serif"/>
                <w:b w:val="false"/>
                <w:i w:val="false"/>
                <w:caps w:val="false"/>
                <w:smallCaps w:val="false"/>
                <w:sz w:val="20"/>
              </w:rPr>
              <w:t>In the US, we offer fixed, carrier, and managed services to customers in Alaska and the western US.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chart summarizes the operating activities of our principal subsidiaries, the segments in which we reported our revenue and the markets we served as of and for the three months ended June 30, 2026:</w:t>
      </w:r>
    </w:p>
    <w:p>
      <w:pPr>
        <w:pStyle w:val="TextBody"/>
        <w:bidi w:val="0"/>
        <w:spacing w:before="0" w:after="0"/>
        <w:ind w:left="0" w:right="59" w:hanging="0"/>
        <w:jc w:val="left"/>
        <w:rPr/>
      </w:pPr>
      <w:r>
        <w:rPr/>
        <w:t>​</w:t>
      </w:r>
    </w:p>
    <w:tbl>
      <w:tblPr>
        <w:tblW w:w="10205" w:type="dxa"/>
        <w:jc w:val="left"/>
        <w:tblInd w:w="0" w:type="dxa"/>
        <w:tblLayout w:type="fixed"/>
        <w:tblCellMar>
          <w:top w:w="0" w:type="dxa"/>
          <w:left w:w="0" w:type="dxa"/>
          <w:bottom w:w="0" w:type="dxa"/>
          <w:right w:w="0" w:type="dxa"/>
        </w:tblCellMar>
      </w:tblPr>
      <w:tblGrid>
        <w:gridCol w:w="1142"/>
        <w:gridCol w:w="1965"/>
        <w:gridCol w:w="2222"/>
        <w:gridCol w:w="706"/>
        <w:gridCol w:w="4170"/>
      </w:tblGrid>
      <w:tr>
        <w:trPr/>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725170" cy="175260"/>
                      <wp:effectExtent l="0" t="0" r="0" b="0"/>
                      <wp:wrapNone/>
                      <wp:docPr id="364" name="Frame364"/>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247775" cy="175260"/>
                      <wp:effectExtent l="0" t="0" r="0" b="0"/>
                      <wp:wrapNone/>
                      <wp:docPr id="365" name="Frame365"/>
                      <a:graphic xmlns:a="http://schemas.openxmlformats.org/drawingml/2006/main">
                        <a:graphicData uri="http://schemas.microsoft.com/office/word/2010/wordprocessingShape">
                          <wps:wsp>
                            <wps:cNvSpPr txBox="1"/>
                            <wps:spPr>
                              <a:xfrm>
                                <a:off x="0" y="0"/>
                                <a:ext cx="1247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410970" cy="175260"/>
                      <wp:effectExtent l="0" t="0" r="0" b="0"/>
                      <wp:wrapNone/>
                      <wp:docPr id="366" name="Frame366"/>
                      <a:graphic xmlns:a="http://schemas.openxmlformats.org/drawingml/2006/main">
                        <a:graphicData uri="http://schemas.microsoft.com/office/word/2010/wordprocessingShape">
                          <wps:wsp>
                            <wps:cNvSpPr txBox="1"/>
                            <wps:spPr>
                              <a:xfrm>
                                <a:off x="0" y="0"/>
                                <a:ext cx="141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48310" cy="175260"/>
                      <wp:effectExtent l="0" t="0" r="0" b="0"/>
                      <wp:wrapNone/>
                      <wp:docPr id="367" name="Frame36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647950" cy="175260"/>
                      <wp:effectExtent l="0" t="0" r="0" b="0"/>
                      <wp:wrapNone/>
                      <wp:docPr id="368" name="Frame368"/>
                      <a:graphic xmlns:a="http://schemas.openxmlformats.org/drawingml/2006/main">
                        <a:graphicData uri="http://schemas.microsoft.com/office/word/2010/wordprocessingShape">
                          <wps:wsp>
                            <wps:cNvSpPr txBox="1"/>
                            <wps:spPr>
                              <a:xfrm>
                                <a:off x="0" y="0"/>
                                <a:ext cx="2647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418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3"/>
              </w:rPr>
            </w:pPr>
            <w:r>
              <w:rPr>
                <w:rFonts w:ascii="Times New Roman;Times;serif" w:hAnsi="Times New Roman;Times;serif"/>
                <w:b/>
                <w:sz w:val="23"/>
              </w:rPr>
              <w:t>International Telecom</w:t>
            </w:r>
          </w:p>
        </w:tc>
        <w:tc>
          <w:tcPr>
            <w:tcW w:w="4876"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3"/>
              </w:rPr>
            </w:pPr>
            <w:r>
              <w:rPr>
                <w:rFonts w:ascii="Times New Roman;Times;serif" w:hAnsi="Times New Roman;Times;serif"/>
                <w:b/>
                <w:sz w:val="23"/>
              </w:rPr>
              <w:t>US Telecom</w:t>
            </w:r>
          </w:p>
        </w:tc>
      </w:tr>
      <w:tr>
        <w:trPr/>
        <w:tc>
          <w:tcPr>
            <w:tcW w:w="1142"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Services</w:t>
            </w:r>
          </w:p>
        </w:tc>
        <w:tc>
          <w:tcPr>
            <w:tcW w:w="1965"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2222"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Tradenames (1)</w:t>
            </w:r>
          </w:p>
        </w:tc>
        <w:tc>
          <w:tcPr>
            <w:tcW w:w="70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417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Tradenames</w:t>
            </w:r>
          </w:p>
        </w:tc>
      </w:tr>
      <w:tr>
        <w:trPr/>
        <w:tc>
          <w:tcPr>
            <w:tcW w:w="1142"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Mobility Services</w:t>
            </w:r>
          </w:p>
        </w:tc>
        <w:tc>
          <w:tcPr>
            <w:tcW w:w="1965"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Guyana, US Virgin Islands</w:t>
            </w:r>
          </w:p>
        </w:tc>
        <w:tc>
          <w:tcPr>
            <w:tcW w:w="2222"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Brava</w:t>
            </w:r>
          </w:p>
        </w:tc>
        <w:tc>
          <w:tcPr>
            <w:tcW w:w="706"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4170"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r>
      <w:tr>
        <w:trPr/>
        <w:tc>
          <w:tcPr>
            <w:tcW w:w="1142"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Fixed Services</w:t>
            </w:r>
          </w:p>
        </w:tc>
        <w:tc>
          <w:tcPr>
            <w:tcW w:w="1965"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Cayman Islands, Guyana, US Virgin Islands</w:t>
            </w:r>
          </w:p>
        </w:tc>
        <w:tc>
          <w:tcPr>
            <w:tcW w:w="2222"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Logic, Brava</w:t>
            </w:r>
          </w:p>
        </w:tc>
        <w:tc>
          <w:tcPr>
            <w:tcW w:w="70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w:t>
            </w:r>
          </w:p>
        </w:tc>
        <w:tc>
          <w:tcPr>
            <w:tcW w:w="417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Commnet, Choice NTUA Wireless, Sacred Wind Communications, Ethos Broadband, Deploycom</w:t>
            </w:r>
          </w:p>
        </w:tc>
      </w:tr>
      <w:tr>
        <w:trPr/>
        <w:tc>
          <w:tcPr>
            <w:tcW w:w="1142"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Carrier Services</w:t>
            </w:r>
          </w:p>
        </w:tc>
        <w:tc>
          <w:tcPr>
            <w:tcW w:w="1965"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Guyana, US Virgin Islands, Cayman Islands</w:t>
            </w:r>
          </w:p>
        </w:tc>
        <w:tc>
          <w:tcPr>
            <w:tcW w:w="2222"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Essextel, Logic, Brava</w:t>
            </w:r>
          </w:p>
        </w:tc>
        <w:tc>
          <w:tcPr>
            <w:tcW w:w="706"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w:t>
            </w:r>
          </w:p>
        </w:tc>
        <w:tc>
          <w:tcPr>
            <w:tcW w:w="4170"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Commnet, Sacred Wind Communications</w:t>
            </w:r>
          </w:p>
        </w:tc>
      </w:tr>
      <w:tr>
        <w:trPr/>
        <w:tc>
          <w:tcPr>
            <w:tcW w:w="1142"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Managed Services</w:t>
            </w:r>
          </w:p>
        </w:tc>
        <w:tc>
          <w:tcPr>
            <w:tcW w:w="1965"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Bermuda, Cayman Islands, US Virgin Islands, Guyana</w:t>
            </w:r>
          </w:p>
        </w:tc>
        <w:tc>
          <w:tcPr>
            <w:tcW w:w="2222"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Communications, Logic, Brava</w:t>
            </w:r>
          </w:p>
        </w:tc>
        <w:tc>
          <w:tcPr>
            <w:tcW w:w="70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w:t>
            </w:r>
          </w:p>
        </w:tc>
        <w:tc>
          <w:tcPr>
            <w:tcW w:w="417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Communications, Commnet</w:t>
            </w:r>
          </w:p>
        </w:tc>
      </w:tr>
    </w:tbl>
    <w:tbl>
      <w:tblPr>
        <w:tblW w:w="10205" w:type="dxa"/>
        <w:jc w:val="left"/>
        <w:tblInd w:w="0" w:type="dxa"/>
        <w:tblLayout w:type="fixed"/>
        <w:tblCellMar>
          <w:top w:w="28" w:type="dxa"/>
          <w:left w:w="28" w:type="dxa"/>
          <w:bottom w:w="28" w:type="dxa"/>
          <w:right w:w="28" w:type="dxa"/>
        </w:tblCellMar>
      </w:tblPr>
      <w:tblGrid>
        <w:gridCol w:w="124"/>
        <w:gridCol w:w="289"/>
        <w:gridCol w:w="9792"/>
      </w:tblGrid>
      <w:tr>
        <w:trPr/>
        <w:tc>
          <w:tcPr>
            <w:tcW w:w="124" w:type="dxa"/>
            <w:tcBorders/>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we continued to unify branding across our networks, and we now sell Fixed and Mobility Services under the “One Communications” brand in Bermuda, Guyana and the US Virgin Islands. We refer to our business in Guyana as “OneGY” and we refer to our business in the US Virgin Islands as “OneVI” throughout this Report.</w:t>
            </w:r>
          </w:p>
        </w:tc>
      </w:tr>
    </w:tbl>
    <w:p>
      <w:pPr>
        <w:pStyle w:val="TextBody"/>
        <w:bidi w:val="0"/>
        <w:spacing w:before="12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 xml:space="preserve">Tower Portfolio Transaction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previously disclosed, on February 11, 2026, through certain Commnet subsidiaries, we entered into a Purchase and Sale Agreement (the “Transaction Agreement”) with EIP Holdings IV, LLC, an affiliate of Everest Infrastructure Partners, Inc. (“Everest”), to sell approximately 214 tower portfolio sites (representing the substantial majority of our Commnet tower portfolio and operations, the “Tower Portfolio”) to Everest (the “Tower Portfolio Transaction”) for up to $297 million in cash consideration, subject to certain adjustments and prorations (the “Aggregate Consideration”).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June 2, 2026 (the “Initial Closing Date”), we completed the initial closing of the Tower Portfolio Transaction (the “Initial Closing”), and we currently anticipate that we will complete the Tower Portfolio Transaction in one or more Subsequent Closings (as defined below) over the next eleven months. The Transaction Agreement sets forth certain conditions that must be satisfied prior to the conveyance of tower sites at a closing. In connection with the Initial Closing, we and Everest entered into an amendment to the Transaction Agreement to waive certain conditions to the Initial Closing and restate (i) the schedule of tower sites that were conveyed to Everest on the Initial Closing Date (the “Assigned Sites”), (ii) the list of tower sites that will be managed by Everest but still subject to certain managed site conditions prior to conveyance (the “Managed Sites”), and (iii) the list of tower sites that are still subject to certain managed site conditions and consideration has not been paid to date (the “Deferred Sites”). Everest will manage the Managed Sites until the conditions to their conveyance are satisfied, and such Managed Sites are transferred to Everest at one or more subsequent closings (each, a “Subsequent Closing”). At any Subsequent Closing at which one or more Deferred Sites are transferred, Everest will pay a portion of the Aggregate Consideration that is attributable to each Deferred Site. At the Initial Closing, we and Everest entered into, among other ancillary agreements, (i) the management agreement for the Managed Sites, (ii) master lease agreements, pursuant to which the Sale Site Subsidiary (as defined in the Transaction Agreement) will lease to the applicable Commnet Party the requisite ground, tower, or other space of the Assigned Sites (the “Leaseback”) for our continued use, and (iii) a preferred backhaul agreement whereby Commnet and/or one or more of our affiliates will become the preferred backhaul provider for Everest with respect to the Assigned Sites.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At the Initial Closing, Everest paid us $267.7 million in aggregate cash consideration (the “Initial Closing Cash Consideration”), of which $153.4 million is attributable to the Assigned Sites and $114.3 million is attributable to the Managed Sites. Of the Initial Closing Cash Consideration, $255.7 million was recorded as sale consideration and $12.0 million of such amount was deferred in advanced payments and deposits on our balance sheet as it is subject to our completion of certain conditions related to the Managed Sites. We can receive up to an additional $29.6 million of the Aggregate Consideration at Subsequent Closings for the Deferred Sites when and if closing conditions are satisfied or otherwise waived.</w:t>
      </w:r>
    </w:p>
    <w:p>
      <w:pPr>
        <w:pStyle w:val="TextBody"/>
        <w:bidi w:val="0"/>
        <w:spacing w:before="280" w:after="240"/>
        <w:ind w:left="0" w:right="0" w:hanging="0"/>
        <w:jc w:val="left"/>
        <w:rPr>
          <w:rFonts w:ascii="Times New Roman;Times;serif" w:hAnsi="Times New Roman;Times;serif"/>
          <w:b/>
          <w:i/>
          <w:sz w:val="20"/>
        </w:rPr>
      </w:pPr>
      <w:r>
        <w:rPr>
          <w:rFonts w:ascii="Times New Roman;Times;serif" w:hAnsi="Times New Roman;Times;serif"/>
          <w:b/>
          <w:i/>
          <w:sz w:val="20"/>
        </w:rPr>
        <w:t>Universal Service Fund and Other Domestic Funding Programs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general, all telecommunications providers are obligated to contribute to the Universal Service Fund (“USF”), which is used to promote the availability of qualifying telecommunications and broadband service to low-income households, households located in rural and high-cost areas, and to schools, libraries, and rural health care providers. We contribute to the USF and also receive various forms of USF support. We are subject to audit by the Universal Service Administrative Company with respect to our federal contributions and our receipts of universal service funding. To our knowledge, as of the date of this Report, we were in compliance with, in all material respects, applicable federal and state USF assessment and support requirements.</w:t>
      </w:r>
    </w:p>
    <w:p>
      <w:pPr>
        <w:pStyle w:val="TextBody"/>
        <w:shd w:fill="FFFFFF" w:val="clear"/>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 xml:space="preserve">USF High-Cost Support. </w:t>
      </w:r>
      <w:r>
        <w:rPr>
          <w:rFonts w:ascii="Times New Roman;Times;serif" w:hAnsi="Times New Roman;Times;serif"/>
          <w:sz w:val="20"/>
        </w:rPr>
        <w:t>The Federal Communications Commission’s (“FCC”) high-cost USF (or alternatives to former high-cost USF) mechanisms promote the deployment and operation of voice and broadband networks in areas where high costs would otherwise undermine the availability of service to consumers, including in rural, insular, and remote areas. High-cost support mechanisms generally include explicit conditions to deploy broadband to new locations and provide service meeting specified standards. We receive several forms of high-cost support, including but not limited to,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federal USF support under the Alaska Connect Fund (“ACF”). Beginning January 1, 2025, we began receiving $25.6 million per year and expect to continue receiving such annual funding until December 31, 2028. Beginning in 2029 and continuing through 2034, the amount of ACF support we receive will be determined by the FCC staff taking into consideration broadband deployment funded through the Broadband Equity Access and Deployment Program;</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Enhanced Alternative Connect America Model (“E-ACAM”) funding available to our operations in the western US, we are estimated to receive approximately $9 million annually through 2029 before gradually increasing to $13 million annually in 2038. This funding is subject to a requirement to deploy voice and broadband service at speeds of 100/20 Mbps to all required locations by the end of calendar year 2028;</w:t>
            </w:r>
          </w:p>
        </w:tc>
      </w:tr>
    </w:tbl>
    <w:tbl>
      <w:tblPr>
        <w:tblW w:w="9921" w:type="dxa"/>
        <w:jc w:val="left"/>
        <w:tblInd w:w="0" w:type="dxa"/>
        <w:shd w:fill="FFFFFF" w:val="clear"/>
        <w:tblLayout w:type="fixed"/>
        <w:tblCellMar>
          <w:top w:w="28" w:type="dxa"/>
          <w:left w:w="28" w:type="dxa"/>
          <w:bottom w:w="28" w:type="dxa"/>
          <w:right w:w="28" w:type="dxa"/>
        </w:tblCellMar>
      </w:tblPr>
      <w:tblGrid>
        <w:gridCol w:w="124"/>
        <w:gridCol w:w="256"/>
        <w:gridCol w:w="954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receive approximately $8 million per year in CAF II support in the rural southwest US until July 2028;</w:t>
            </w:r>
          </w:p>
        </w:tc>
      </w:tr>
    </w:tbl>
    <w:tbl>
      <w:tblPr>
        <w:tblW w:w="9321" w:type="dxa"/>
        <w:jc w:val="left"/>
        <w:tblInd w:w="0" w:type="dxa"/>
        <w:shd w:fill="FFFFFF" w:val="clear"/>
        <w:tblLayout w:type="fixed"/>
        <w:tblCellMar>
          <w:top w:w="28" w:type="dxa"/>
          <w:left w:w="28" w:type="dxa"/>
          <w:bottom w:w="28" w:type="dxa"/>
          <w:right w:w="28" w:type="dxa"/>
        </w:tblCellMar>
      </w:tblPr>
      <w:tblGrid>
        <w:gridCol w:w="124"/>
        <w:gridCol w:w="256"/>
        <w:gridCol w:w="894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received approximately $5.5 million annually in the US Virgin Islands through December 31, 2025; and </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state USF support in Alaska of approximately $2.5 million annually.</w:t>
            </w:r>
          </w:p>
        </w:tc>
      </w:tr>
    </w:tbl>
    <w:p>
      <w:pPr>
        <w:pStyle w:val="TextBody"/>
        <w:shd w:fill="FFFFFF" w:val="clea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we were in compliance in all material respects with requirements associated with such funding. If we fail to meet these obligations or require substantial additional capital expenditures to meet the obligations in a timely manner, our revenue, results of operations and liquidity may be materially adversely impacted. </w:t>
      </w:r>
    </w:p>
    <w:p>
      <w:pPr>
        <w:pStyle w:val="TextBody"/>
        <w:bidi w:val="0"/>
        <w:spacing w:before="280" w:after="240"/>
        <w:ind w:left="0" w:right="0" w:hanging="0"/>
        <w:jc w:val="left"/>
        <w:rPr>
          <w:rFonts w:ascii="Times New Roman;Times;serif" w:hAnsi="Times New Roman;Times;serif"/>
          <w:b/>
          <w:i/>
          <w:sz w:val="20"/>
        </w:rPr>
      </w:pPr>
      <w:r>
        <w:rPr>
          <w:rFonts w:ascii="Times New Roman;Times;serif" w:hAnsi="Times New Roman;Times;serif"/>
          <w:b/>
          <w:i/>
          <w:sz w:val="20"/>
        </w:rPr>
        <w:t>Construction Grants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also been awarded construction grants to build network connectivity for eligible communities. The funding of these grants, used to reimburse us for our construction costs, is generally distributed after we incur reimbursable costs. Once these projects are constructed, we are obligated to provide service to the participants.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expect to meet all requirements associated with these grants. As of June 30, 2026, we were awarded $100.9 million of construction grants that are pending completion.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2026, we disbursed capital expenditures of $9.5 million under these programs and received reimbursement of $8.1 million. These cash flows are classified as investing activities in our statement of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we partner with tribal governments to obtain grants under various government grant programs including, but not limited to, the Tribal Broadband Connectivity Program (“TBCP”) and the Rural Development Broadband ReConnect Program (“ReConnect”). These programs are administered by US government agencies to deploy broadband connectivity in certain underserved areas. We were identified as a sub recipient of grants under these programs totaling $239 million as of June 30, 2026. Through June 30, 2026, we received $41.8 million of funding under these programs and spent $45.0 million on construction obligations. These amounts are recorded as operating cash flows in the Company’s statement of cash flows.</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 xml:space="preserve">Replace and Remove Program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July 2022, we were approved to participate in the FCC’s Secure and Trusted Communications Network Reimbursement Program (the “Replace and Remove Program”), designed to reimburse providers of advanced communications services for reasonable costs incurred in the required removal, replacement, and disposal of communications equipment and services in their networks that has been deemed to pose a national security risk. Pursuant to the Replace and Remove Program, our eligible subsidiaries were initially allocated up to approximately $207 million to replace, remove and securely destroy such communications equipment and services in our networks in the western US and in the US Virgin Islands; however, in December 2024, this program was fully funded for an increased allocation to the Company of an aggregate amount of approximately $517 million. The Replace and Remove Program requires each of our participating subsidiaries to complete the project no later than a specified deadline, which was recently extended through early November 2026.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we had incurred total expenditures of $240.0 million related to this project, of which $15.4 million were incurred in 2026. Of these total expenditures, $198.4 million was classified as capital.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June 30, 2026, $12.5 million of capital expenditures was accrued and unpaid under the Replace and Remove Program. During the six months ended June 30, 2026, we received $15.9 million of reimbursement under the program, of which $1.6 million was classified as operating cash inflows and $14.3 million was classified as investing cash inflows in our statement of cash flows. During the six months ended June 30, 2026, we determined that reimbursement was not probable for $9.0 million of capital expenditures incurred under the Replace and Remove Program. As a result, we transferred $9.0 million to fixed assets. Except for this $9.0 million, the Company expects to be reimbursed, within the next twelve months, for all amounts spent.</w:t>
      </w:r>
    </w:p>
    <w:p>
      <w:pPr>
        <w:pStyle w:val="TextBody"/>
        <w:bidi w:val="0"/>
        <w:spacing w:before="28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Selected Segment Financial Information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Through June 30, 2026, the Company had the following two reportable and operating segments: (i) International Telecom and (ii) US Telecom.</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Operating income is the segment measure of profit or loss reported to the chief operating decision maker for purposes of assessing the segments' performance and making capital allocation decisions. We believe operating income is a useful measure of our operating results as it provides relevant and useful information to investors and other users of our financial data in evaluating the effectiveness of our operations and underlying business trends in a manner that is consistent with management’s evaluation of business performance. Our chief operating decision maker is our Chief Executive Officer.</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represents selected segment information for the three months ended June 30, 2026 and 2025 (in thousands):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875"/>
        <w:gridCol w:w="346"/>
        <w:gridCol w:w="253"/>
        <w:gridCol w:w="813"/>
        <w:gridCol w:w="346"/>
        <w:gridCol w:w="211"/>
        <w:gridCol w:w="879"/>
        <w:gridCol w:w="346"/>
        <w:gridCol w:w="211"/>
        <w:gridCol w:w="925"/>
      </w:tblGrid>
      <w:tr>
        <w:trPr/>
        <w:tc>
          <w:tcPr>
            <w:tcW w:w="5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3730625" cy="175260"/>
                      <wp:effectExtent l="0" t="0" r="0" b="0"/>
                      <wp:wrapNone/>
                      <wp:docPr id="369" name="Frame369"/>
                      <a:graphic xmlns:a="http://schemas.openxmlformats.org/drawingml/2006/main">
                        <a:graphicData uri="http://schemas.microsoft.com/office/word/2010/wordprocessingShape">
                          <wps:wsp>
                            <wps:cNvSpPr txBox="1"/>
                            <wps:spPr>
                              <a:xfrm>
                                <a:off x="0" y="0"/>
                                <a:ext cx="3730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70" name="Frame3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60655" cy="175260"/>
                      <wp:effectExtent l="0" t="0" r="0" b="0"/>
                      <wp:wrapNone/>
                      <wp:docPr id="371" name="Frame371"/>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516255" cy="175260"/>
                      <wp:effectExtent l="0" t="0" r="0" b="0"/>
                      <wp:wrapNone/>
                      <wp:docPr id="372" name="Frame372"/>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3"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3985" cy="175260"/>
                      <wp:effectExtent l="0" t="0" r="0" b="0"/>
                      <wp:wrapNone/>
                      <wp:docPr id="374"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58165" cy="175260"/>
                      <wp:effectExtent l="0" t="0" r="0" b="0"/>
                      <wp:wrapNone/>
                      <wp:docPr id="375" name="Frame375"/>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77"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587375" cy="175260"/>
                      <wp:effectExtent l="0" t="0" r="0" b="0"/>
                      <wp:wrapNone/>
                      <wp:docPr id="378" name="Frame378"/>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2026</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90"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center"/>
              <w:rPr/>
            </w:pPr>
            <w:r>
              <w:rPr/>
              <w:t>​</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10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136" w:type="dxa"/>
            <w:gridSpan w:val="2"/>
            <w:tcBorders/>
            <w:vAlign w:val="center"/>
          </w:tcPr>
          <w:p>
            <w:pPr>
              <w:pStyle w:val="TableContents"/>
              <w:bidi w:val="0"/>
              <w:spacing w:before="0" w:after="0"/>
              <w:ind w:left="0" w:right="0" w:hanging="0"/>
              <w:jc w:val="center"/>
              <w:rPr/>
            </w:pPr>
            <w:r>
              <w:rPr/>
              <w:t>​</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1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left"/>
              <w:rPr/>
            </w:pPr>
            <w:r>
              <w:rPr/>
              <w:t>​</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left"/>
              <w:rPr/>
            </w:pPr>
            <w:r>
              <w:rPr/>
              <w:t>​</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Business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5,161</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Consumer</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21,977</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Mobility</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27,138</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Business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49,106</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Consumer</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63,777</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112,883</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36,342</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3,778</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Communication Services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180,141</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Construction </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left"/>
              <w:rPr/>
            </w:pPr>
            <w:r>
              <w:rPr/>
              <w:t>​</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184,504</w:t>
            </w:r>
          </w:p>
        </w:tc>
      </w:tr>
      <w:tr>
        <w:trPr/>
        <w:tc>
          <w:tcPr>
            <w:tcW w:w="58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pPr>
            <w:r>
              <w:rPr/>
              <w:t>​</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 by segment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communication services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78,450</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50,490</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8,117</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reorganization expenses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29,834</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 transfers and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(230,949)</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 by segment</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(61,605)</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Adjusted Income (loss) from operations by segment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224,191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246,109</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Adjusted Income (loss) from operations by segment to Income before income taxes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unallocated Corporate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6,377</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(10,869)</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(11,115)</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228,617</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segment disclosures: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pPr>
            <w:r>
              <w:rPr/>
              <w:t>​</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10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136" w:type="dxa"/>
            <w:gridSpan w:val="2"/>
            <w:tcBorders/>
            <w:vAlign w:val="center"/>
          </w:tcPr>
          <w:p>
            <w:pPr>
              <w:pStyle w:val="TableContents"/>
              <w:bidi w:val="0"/>
              <w:spacing w:before="0" w:after="0"/>
              <w:ind w:left="0" w:right="0" w:hanging="0"/>
              <w:jc w:val="center"/>
              <w:rPr/>
            </w:pPr>
            <w:r>
              <w:rPr/>
              <w:t>​</w:t>
            </w:r>
          </w:p>
        </w:tc>
      </w:tr>
      <w:tr>
        <w:trPr/>
        <w:tc>
          <w:tcPr>
            <w:tcW w:w="58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shd w:fill="CCEEFF" w:val="clear"/>
            <w:vAlign w:val="center"/>
          </w:tcPr>
          <w:p>
            <w:pPr>
              <w:pStyle w:val="TableContents"/>
              <w:bidi w:val="0"/>
              <w:spacing w:before="0" w:after="0"/>
              <w:ind w:left="0" w:right="0" w:hanging="0"/>
              <w:jc w:val="left"/>
              <w:rPr/>
            </w:pPr>
            <w:r>
              <w:rPr/>
              <w:t>​</w:t>
            </w:r>
          </w:p>
        </w:tc>
        <w:tc>
          <w:tcPr>
            <w:tcW w:w="109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shd w:fill="CCEEFF" w:val="clear"/>
            <w:vAlign w:val="center"/>
          </w:tcPr>
          <w:p>
            <w:pPr>
              <w:pStyle w:val="TableContents"/>
              <w:bidi w:val="0"/>
              <w:spacing w:before="0" w:after="0"/>
              <w:ind w:left="0" w:right="0" w:hanging="0"/>
              <w:jc w:val="left"/>
              <w:rPr/>
            </w:pPr>
            <w:r>
              <w:rPr/>
              <w:t>​</w:t>
            </w:r>
          </w:p>
        </w:tc>
        <w:tc>
          <w:tcPr>
            <w:tcW w:w="1136"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(19,237)</w:t>
            </w:r>
          </w:p>
        </w:tc>
      </w:tr>
      <w:tr>
        <w:trPr/>
        <w:tc>
          <w:tcPr>
            <w:tcW w:w="58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55"/>
        <w:gridCol w:w="346"/>
        <w:gridCol w:w="253"/>
        <w:gridCol w:w="813"/>
        <w:gridCol w:w="346"/>
        <w:gridCol w:w="211"/>
        <w:gridCol w:w="686"/>
        <w:gridCol w:w="346"/>
        <w:gridCol w:w="211"/>
        <w:gridCol w:w="838"/>
      </w:tblGrid>
      <w:tr>
        <w:trPr/>
        <w:tc>
          <w:tcPr>
            <w:tcW w:w="6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908425" cy="175260"/>
                      <wp:effectExtent l="0" t="0" r="0" b="0"/>
                      <wp:wrapNone/>
                      <wp:docPr id="379" name="Frame379"/>
                      <a:graphic xmlns:a="http://schemas.openxmlformats.org/drawingml/2006/main">
                        <a:graphicData uri="http://schemas.microsoft.com/office/word/2010/wordprocessingShape">
                          <wps:wsp>
                            <wps:cNvSpPr txBox="1"/>
                            <wps:spPr>
                              <a:xfrm>
                                <a:off x="0" y="0"/>
                                <a:ext cx="390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60655" cy="175260"/>
                      <wp:effectExtent l="0" t="0" r="0" b="0"/>
                      <wp:wrapNone/>
                      <wp:docPr id="381" name="Frame381"/>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16255" cy="175260"/>
                      <wp:effectExtent l="0" t="0" r="0" b="0"/>
                      <wp:wrapNone/>
                      <wp:docPr id="382" name="Frame382"/>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4"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35610" cy="175260"/>
                      <wp:effectExtent l="0" t="0" r="0" b="0"/>
                      <wp:wrapNone/>
                      <wp:docPr id="385" name="Frame385"/>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3985" cy="175260"/>
                      <wp:effectExtent l="0" t="0" r="0" b="0"/>
                      <wp:wrapNone/>
                      <wp:docPr id="387"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32130" cy="175260"/>
                      <wp:effectExtent l="0" t="0" r="0" b="0"/>
                      <wp:wrapNone/>
                      <wp:docPr id="388" name="Frame388"/>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2025</w:t>
            </w:r>
          </w:p>
        </w:tc>
      </w:tr>
      <w:tr>
        <w:trPr/>
        <w:tc>
          <w:tcPr>
            <w:tcW w:w="61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97" w:type="dxa"/>
            <w:gridSpan w:val="2"/>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center"/>
              <w:rPr/>
            </w:pPr>
            <w:r>
              <w:rPr/>
              <w:t>​</w:t>
            </w:r>
          </w:p>
        </w:tc>
      </w:tr>
      <w:tr>
        <w:trPr/>
        <w:tc>
          <w:tcPr>
            <w:tcW w:w="61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049" w:type="dxa"/>
            <w:gridSpan w:val="2"/>
            <w:tcBorders/>
            <w:vAlign w:val="center"/>
          </w:tcPr>
          <w:p>
            <w:pPr>
              <w:pStyle w:val="TableContents"/>
              <w:bidi w:val="0"/>
              <w:spacing w:before="0" w:after="0"/>
              <w:ind w:left="0" w:right="0" w:hanging="0"/>
              <w:jc w:val="center"/>
              <w:rPr/>
            </w:pPr>
            <w:r>
              <w:rPr/>
              <w:t>​</w:t>
            </w:r>
          </w:p>
        </w:tc>
      </w:tr>
      <w:tr>
        <w:trPr/>
        <w:tc>
          <w:tcPr>
            <w:tcW w:w="61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0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left"/>
              <w:rPr/>
            </w:pPr>
            <w:r>
              <w:rPr/>
              <w:t>​</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left"/>
              <w:rPr/>
            </w:pPr>
            <w:r>
              <w:rPr/>
              <w:t>​</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Business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4,865</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Consumer</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21,466</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Mobility</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26,331</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Business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47,270</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Consumer</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65,838</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113,108</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33,229</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Communication Services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174,874</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left"/>
              <w:rPr/>
            </w:pPr>
            <w:r>
              <w:rPr/>
              <w:t>​</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181,300</w:t>
            </w:r>
          </w:p>
        </w:tc>
      </w:tr>
      <w:tr>
        <w:trPr/>
        <w:tc>
          <w:tcPr>
            <w:tcW w:w="61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 by segment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communication services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77,165</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50,416</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reorganization expenses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3,742</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33,004</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disposition of assets, transfers and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 by segment</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170,612</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Adjusted Income (loss) from operations by segment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10,688</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Adjusted Income (loss) from operations by segment to Loss before income taxes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unallocated Corporate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10,455</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(12,810)</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r>
      <w:tr>
        <w:trPr/>
        <w:tc>
          <w:tcPr>
            <w:tcW w:w="6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(13,269)</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(13,036)</w:t>
            </w:r>
          </w:p>
        </w:tc>
      </w:tr>
      <w:tr>
        <w:trPr/>
        <w:tc>
          <w:tcPr>
            <w:tcW w:w="61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segment disclosures: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61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049" w:type="dxa"/>
            <w:gridSpan w:val="2"/>
            <w:tcBorders/>
            <w:vAlign w:val="center"/>
          </w:tcPr>
          <w:p>
            <w:pPr>
              <w:pStyle w:val="TableContents"/>
              <w:bidi w:val="0"/>
              <w:spacing w:before="0" w:after="0"/>
              <w:ind w:left="0" w:right="0" w:hanging="0"/>
              <w:jc w:val="center"/>
              <w:rPr/>
            </w:pPr>
            <w:r>
              <w:rPr/>
              <w:t>​</w:t>
            </w:r>
          </w:p>
        </w:tc>
      </w:tr>
      <w:tr>
        <w:trPr/>
        <w:tc>
          <w:tcPr>
            <w:tcW w:w="61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shd w:fill="CCEEFF" w:val="clear"/>
            <w:vAlign w:val="center"/>
          </w:tcPr>
          <w:p>
            <w:pPr>
              <w:pStyle w:val="TableContents"/>
              <w:bidi w:val="0"/>
              <w:spacing w:before="0" w:after="0"/>
              <w:ind w:left="0" w:right="0" w:hanging="0"/>
              <w:jc w:val="left"/>
              <w:rPr/>
            </w:pPr>
            <w:r>
              <w:rPr/>
              <w:t>​</w:t>
            </w:r>
          </w:p>
        </w:tc>
        <w:tc>
          <w:tcPr>
            <w:tcW w:w="897"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shd w:fill="CCEEFF" w:val="clear"/>
            <w:vAlign w:val="center"/>
          </w:tcPr>
          <w:p>
            <w:pPr>
              <w:pStyle w:val="TableContents"/>
              <w:bidi w:val="0"/>
              <w:spacing w:before="0" w:after="0"/>
              <w:ind w:left="0" w:right="0" w:hanging="0"/>
              <w:jc w:val="left"/>
              <w:rPr/>
            </w:pPr>
            <w:r>
              <w:rPr/>
              <w:t>​</w:t>
            </w:r>
          </w:p>
        </w:tc>
        <w:tc>
          <w:tcPr>
            <w:tcW w:w="1049"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1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center"/>
              <w:rPr/>
            </w:pPr>
            <w:r>
              <w:rPr/>
              <w:t>​</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2102" w:name="resultsofoperationsfortheyearsendedDecem"/>
      <w:bookmarkEnd w:id="2102"/>
      <w:r>
        <w:rPr>
          <w:rFonts w:ascii="Times New Roman;Times;serif" w:hAnsi="Times New Roman;Times;serif"/>
          <w:sz w:val="20"/>
        </w:rPr>
        <w:t>A comparison of our segment results for the three months ended June 30, 2026 and 2025 is as follows: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International Telecom.</w:t>
      </w:r>
      <w:r>
        <w:rPr>
          <w:rFonts w:ascii="Times New Roman;Times;serif" w:hAnsi="Times New Roman;Times;serif"/>
          <w:sz w:val="20"/>
        </w:rPr>
        <w:t xml:space="preserve"> Revenues within our International Telecom segment increased $1.3 million, or 1.4%, to $96.2 million from $94.9 million for the three months ended June 30, 2026 and 2025, respectively, primarily due to a $1.6 million increase in revenues from ancillary services and a $0.8 million increase in Mobility Services revenues as a result of an increase in subscribers, rates we charge our subscribers and equipment revenue within certain markets in this segment.  These increases were partially offset by a $1.2 million reduction in Fixed Services revenue due to a decline in the FCC’s High-Cost Support Program in the US Virgin Islands which was terminated on December 31,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Operating expenses within our International Telecom segment decreased by $4.4 million, or 5.6%, to $74.3 million from $78.7 million for the three months ended June 30, 2026 and 2025, respectively.  The net decrease was primarily the result of certain cost savings initiatives, including reorganizations and reductions in force, that were implemented in the current and previous periods as well as a decrease in depreciation and amortization expenses as a result of a reduction in capital expenditures in recent periods.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result, our International Telecom segment’s operating income increased $5.7 million, or 35.2%, to $21.9 million from $16.2 million for the three months ended June 30, 2026 and 2025,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US Telecom</w:t>
      </w:r>
      <w:r>
        <w:rPr>
          <w:rFonts w:ascii="Times New Roman;Times;serif" w:hAnsi="Times New Roman;Times;serif"/>
          <w:sz w:val="20"/>
        </w:rPr>
        <w:t>. Revenue within our US Telecom segment increased by $1.9 million, or 2.2%, to $88.3 million from $86.4 million for the three months ended June 30, 2026 and 2025, respectively, primarily as a result of a $3.0 million increase in Carrier Services revenue due to the transition of legacy roaming arrangements to carrier service management contracts and a $1.0 million increase in Fixed Services revenue as a result of increased revenue from certain government support programs in Alaska. Partially offsetting this increase was a decline in construction revenue of $2.2 million as a result of a decrease in the number of sites completed in 2026 as compared to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Operating expenses within our US Telecom segment decreased $227.8 million to $(135.9) million from $91.9 million for the three months ended June 30, 2026 and 2025, respectively. This decrease was primarily related to the $229.9 million gain recorded in connection with the Tower Portfolio Transaction, a reduction in the cost of construction revenue and the impact of certain cost savings initiatives, including the reorganizations and reductions in force, that were implemented in the current and previous periods. These decreases were partially offset by increases in this segment’s leasing costs, as a result of the impact of the Tower Portfolio Transactions, as well as an increase in transport costs.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result of the above, our US Telecom segment’s operating income (loss) increased to income of $224.2 million from a loss of $5.5 million for the three months ended June 30, 2026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represents a year over year discussion and analysis of our results of operations for the three months ended June 30, 2026 and 2025 (in thousands):</w:t>
      </w:r>
    </w:p>
    <w:tbl>
      <w:tblPr>
        <w:tblW w:w="10205" w:type="dxa"/>
        <w:jc w:val="left"/>
        <w:tblInd w:w="0" w:type="dxa"/>
        <w:tblLayout w:type="fixed"/>
        <w:tblCellMar>
          <w:top w:w="0" w:type="dxa"/>
          <w:left w:w="0" w:type="dxa"/>
          <w:bottom w:w="0" w:type="dxa"/>
          <w:right w:w="0" w:type="dxa"/>
        </w:tblCellMar>
      </w:tblPr>
      <w:tblGrid>
        <w:gridCol w:w="4341"/>
        <w:gridCol w:w="346"/>
        <w:gridCol w:w="211"/>
        <w:gridCol w:w="861"/>
        <w:gridCol w:w="346"/>
        <w:gridCol w:w="211"/>
        <w:gridCol w:w="786"/>
        <w:gridCol w:w="346"/>
        <w:gridCol w:w="211"/>
        <w:gridCol w:w="861"/>
        <w:gridCol w:w="346"/>
        <w:gridCol w:w="931"/>
        <w:gridCol w:w="408"/>
      </w:tblGrid>
      <w:tr>
        <w:trPr/>
        <w:tc>
          <w:tcPr>
            <w:tcW w:w="4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756535" cy="175260"/>
                      <wp:effectExtent l="0" t="0" r="0" b="0"/>
                      <wp:wrapNone/>
                      <wp:docPr id="389" name="Frame389"/>
                      <a:graphic xmlns:a="http://schemas.openxmlformats.org/drawingml/2006/main">
                        <a:graphicData uri="http://schemas.microsoft.com/office/word/2010/wordprocessingShape">
                          <wps:wsp>
                            <wps:cNvSpPr txBox="1"/>
                            <wps:spPr>
                              <a:xfrm>
                                <a:off x="0" y="0"/>
                                <a:ext cx="275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90"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91" name="Frame3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546735" cy="175260"/>
                      <wp:effectExtent l="0" t="0" r="0" b="0"/>
                      <wp:wrapNone/>
                      <wp:docPr id="392" name="Frame392"/>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9710" cy="175260"/>
                      <wp:effectExtent l="0" t="0" r="0" b="0"/>
                      <wp:wrapNone/>
                      <wp:docPr id="393" name="Frame3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4" name="Frame3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499110" cy="175260"/>
                      <wp:effectExtent l="0" t="0" r="0" b="0"/>
                      <wp:wrapNone/>
                      <wp:docPr id="395" name="Frame395"/>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96"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7" name="Frame3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546735" cy="175260"/>
                      <wp:effectExtent l="0" t="0" r="0" b="0"/>
                      <wp:wrapNone/>
                      <wp:docPr id="398" name="Frame398"/>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710" cy="175260"/>
                      <wp:effectExtent l="0" t="0" r="0" b="0"/>
                      <wp:wrapNone/>
                      <wp:docPr id="399"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591185" cy="175260"/>
                      <wp:effectExtent l="0" t="0" r="0" b="0"/>
                      <wp:wrapNone/>
                      <wp:docPr id="400" name="Frame40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59080" cy="175260"/>
                      <wp:effectExtent l="0" t="0" r="0" b="0"/>
                      <wp:wrapNone/>
                      <wp:docPr id="401" name="Frame401"/>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408" w:type="dxa"/>
            <w:tcBorders/>
            <w:vAlign w:val="center"/>
          </w:tcPr>
          <w:p>
            <w:pPr>
              <w:pStyle w:val="TableContents"/>
              <w:bidi w:val="0"/>
              <w:spacing w:before="0" w:after="0"/>
              <w:ind w:left="0" w:right="0" w:hanging="0"/>
              <w:jc w:val="left"/>
              <w:rPr/>
            </w:pPr>
            <w:r>
              <w:rPr/>
              <w:t>​</w:t>
            </w:r>
          </w:p>
        </w:tc>
      </w:tr>
      <w:tr>
        <w:trPr/>
        <w:tc>
          <w:tcPr>
            <w:tcW w:w="4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0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408" w:type="dxa"/>
            <w:tcBorders/>
            <w:vAlign w:val="center"/>
          </w:tcPr>
          <w:p>
            <w:pPr>
              <w:pStyle w:val="TableContents"/>
              <w:bidi w:val="0"/>
              <w:spacing w:before="0" w:after="0"/>
              <w:ind w:left="0" w:right="0" w:hanging="0"/>
              <w:jc w:val="left"/>
              <w:rPr/>
            </w:pPr>
            <w:r>
              <w:rPr/>
              <w:t> </w:t>
            </w:r>
          </w:p>
        </w:tc>
      </w:tr>
      <w:tr>
        <w:trPr/>
        <w:tc>
          <w:tcPr>
            <w:tcW w:w="4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0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408" w:type="dxa"/>
            <w:tcBorders/>
            <w:vAlign w:val="center"/>
          </w:tcPr>
          <w:p>
            <w:pPr>
              <w:pStyle w:val="TableContents"/>
              <w:bidi w:val="0"/>
              <w:spacing w:before="0" w:after="0"/>
              <w:ind w:left="0" w:right="0" w:hanging="0"/>
              <w:jc w:val="left"/>
              <w:rPr/>
            </w:pPr>
            <w:r>
              <w:rPr/>
              <w:t> </w:t>
            </w:r>
          </w:p>
        </w:tc>
      </w:tr>
      <w:tr>
        <w:trPr/>
        <w:tc>
          <w:tcPr>
            <w:tcW w:w="4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408" w:type="dxa"/>
            <w:tcBorders/>
            <w:vAlign w:val="center"/>
          </w:tcPr>
          <w:p>
            <w:pPr>
              <w:pStyle w:val="TableContents"/>
              <w:bidi w:val="0"/>
              <w:spacing w:before="0" w:after="0"/>
              <w:ind w:left="0" w:right="0" w:hanging="0"/>
              <w:jc w:val="left"/>
              <w:rPr/>
            </w:pPr>
            <w:r>
              <w:rPr/>
              <w:t> </w:t>
            </w:r>
          </w:p>
        </w:tc>
      </w:tr>
      <w:tr>
        <w:trPr/>
        <w:tc>
          <w:tcPr>
            <w:tcW w:w="43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931" w:type="dxa"/>
            <w:tcBorders/>
            <w:shd w:fill="CCEEFF" w:val="clear"/>
            <w:vAlign w:val="center"/>
          </w:tcPr>
          <w:p>
            <w:pPr>
              <w:pStyle w:val="TableContents"/>
              <w:bidi w:val="0"/>
              <w:spacing w:before="0" w:after="0"/>
              <w:ind w:left="0" w:right="0" w:hanging="0"/>
              <w:jc w:val="left"/>
              <w:rPr/>
            </w:pPr>
            <w:r>
              <w:rPr/>
              <w:t>  ​ ​ ​</w:t>
            </w:r>
          </w:p>
        </w:tc>
        <w:tc>
          <w:tcPr>
            <w:tcW w:w="408" w:type="dxa"/>
            <w:tcBorders/>
            <w:shd w:fill="CCEEFF" w:val="clear"/>
            <w:vAlign w:val="center"/>
          </w:tcPr>
          <w:p>
            <w:pPr>
              <w:pStyle w:val="TableContents"/>
              <w:bidi w:val="0"/>
              <w:spacing w:before="0" w:after="0"/>
              <w:ind w:left="0" w:right="0" w:hanging="0"/>
              <w:jc w:val="left"/>
              <w:rPr/>
            </w:pPr>
            <w:r>
              <w:rPr/>
              <w:t>​</w:t>
            </w:r>
          </w:p>
        </w:tc>
      </w:tr>
      <w:tr>
        <w:trPr/>
        <w:tc>
          <w:tcPr>
            <w:tcW w:w="4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5,267</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408" w:type="dxa"/>
            <w:tcBorders/>
            <w:shd w:fill="CCEEFF" w:val="clear"/>
            <w:vAlign w:val="center"/>
          </w:tcPr>
          <w:p>
            <w:pPr>
              <w:pStyle w:val="TableContents"/>
              <w:bidi w:val="0"/>
              <w:spacing w:before="0" w:after="0"/>
              <w:ind w:left="0" w:right="0" w:hanging="0"/>
              <w:jc w:val="left"/>
              <w:rPr/>
            </w:pPr>
            <w:r>
              <w:rPr/>
              <w:t>​</w:t>
            </w:r>
          </w:p>
        </w:tc>
      </w:tr>
      <w:tr>
        <w:trPr/>
        <w:tc>
          <w:tcPr>
            <w:tcW w:w="4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408" w:type="dxa"/>
            <w:tcBorders/>
            <w:vAlign w:val="center"/>
          </w:tcPr>
          <w:p>
            <w:pPr>
              <w:pStyle w:val="TableContents"/>
              <w:bidi w:val="0"/>
              <w:spacing w:before="0" w:after="0"/>
              <w:ind w:left="0" w:right="0" w:hanging="0"/>
              <w:jc w:val="left"/>
              <w:rPr/>
            </w:pPr>
            <w:r>
              <w:rPr/>
              <w:t>​</w:t>
            </w:r>
          </w:p>
        </w:tc>
      </w:tr>
      <w:tr>
        <w:trPr/>
        <w:tc>
          <w:tcPr>
            <w:tcW w:w="4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3,204</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08" w:type="dxa"/>
            <w:tcBorders/>
            <w:shd w:fill="CCEEFF" w:val="clear"/>
            <w:vAlign w:val="center"/>
          </w:tcPr>
          <w:p>
            <w:pPr>
              <w:pStyle w:val="TableContents"/>
              <w:bidi w:val="0"/>
              <w:spacing w:before="0" w:after="0"/>
              <w:ind w:left="0" w:right="0" w:hanging="0"/>
              <w:jc w:val="left"/>
              <w:rPr/>
            </w:pPr>
            <w:r>
              <w:rPr/>
              <w:t>​</w:t>
            </w:r>
          </w:p>
        </w:tc>
      </w:tr>
      <w:tr>
        <w:trPr/>
        <w:tc>
          <w:tcPr>
            <w:tcW w:w="4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OPERATING EXPENSES</w:t>
            </w:r>
            <w:r>
              <w:rPr>
                <w:rFonts w:ascii="Times New Roman;Times;serif" w:hAnsi="Times New Roman;Times;serif"/>
                <w:sz w:val="20"/>
              </w:rPr>
              <w:t xml:space="preserve"> (</w:t>
            </w:r>
            <w:r>
              <w:rPr>
                <w:rFonts w:ascii="Times New Roman;Times;serif" w:hAnsi="Times New Roman;Times;serif"/>
                <w:i/>
                <w:sz w:val="20"/>
              </w:rPr>
              <w:t>excluding depreciation and amortization unless otherwise indicated</w:t>
            </w: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408" w:type="dxa"/>
            <w:tcBorders/>
            <w:vAlign w:val="center"/>
          </w:tcPr>
          <w:p>
            <w:pPr>
              <w:pStyle w:val="TableContents"/>
              <w:bidi w:val="0"/>
              <w:spacing w:before="0" w:after="0"/>
              <w:ind w:left="0" w:right="0" w:hanging="0"/>
              <w:jc w:val="left"/>
              <w:rPr/>
            </w:pPr>
            <w:r>
              <w:rPr/>
              <w:t>​</w:t>
            </w:r>
          </w:p>
        </w:tc>
      </w:tr>
      <w:tr>
        <w:trPr/>
        <w:tc>
          <w:tcPr>
            <w:tcW w:w="4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communications services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08" w:type="dxa"/>
            <w:tcBorders/>
            <w:shd w:fill="CCEEFF" w:val="clear"/>
            <w:vAlign w:val="center"/>
          </w:tcPr>
          <w:p>
            <w:pPr>
              <w:pStyle w:val="TableContents"/>
              <w:bidi w:val="0"/>
              <w:spacing w:before="0" w:after="0"/>
              <w:ind w:left="0" w:right="0" w:hanging="0"/>
              <w:jc w:val="left"/>
              <w:rPr/>
            </w:pPr>
            <w:r>
              <w:rPr/>
              <w:t>​</w:t>
            </w:r>
          </w:p>
        </w:tc>
      </w:tr>
      <w:tr>
        <w:trPr/>
        <w:tc>
          <w:tcPr>
            <w:tcW w:w="4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408" w:type="dxa"/>
            <w:tcBorders/>
            <w:vAlign w:val="center"/>
          </w:tcPr>
          <w:p>
            <w:pPr>
              <w:pStyle w:val="TableContents"/>
              <w:bidi w:val="0"/>
              <w:spacing w:before="0" w:after="0"/>
              <w:ind w:left="0" w:right="0" w:hanging="0"/>
              <w:jc w:val="left"/>
              <w:rPr/>
            </w:pPr>
            <w:r>
              <w:rPr/>
              <w:t>​</w:t>
            </w:r>
          </w:p>
        </w:tc>
      </w:tr>
      <w:tr>
        <w:trPr/>
        <w:tc>
          <w:tcPr>
            <w:tcW w:w="4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08" w:type="dxa"/>
            <w:tcBorders/>
            <w:shd w:fill="CCEEFF" w:val="clear"/>
            <w:vAlign w:val="center"/>
          </w:tcPr>
          <w:p>
            <w:pPr>
              <w:pStyle w:val="TableContents"/>
              <w:bidi w:val="0"/>
              <w:spacing w:before="0" w:after="0"/>
              <w:ind w:left="0" w:right="0" w:hanging="0"/>
              <w:jc w:val="left"/>
              <w:rPr/>
            </w:pPr>
            <w:r>
              <w:rPr/>
              <w:t>​</w:t>
            </w:r>
          </w:p>
        </w:tc>
      </w:tr>
      <w:tr>
        <w:trPr/>
        <w:tc>
          <w:tcPr>
            <w:tcW w:w="4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408" w:type="dxa"/>
            <w:tcBorders/>
            <w:vAlign w:val="center"/>
          </w:tcPr>
          <w:p>
            <w:pPr>
              <w:pStyle w:val="TableContents"/>
              <w:bidi w:val="0"/>
              <w:spacing w:before="0" w:after="0"/>
              <w:ind w:left="0" w:right="0" w:hanging="0"/>
              <w:jc w:val="left"/>
              <w:rPr/>
            </w:pPr>
            <w:r>
              <w:rPr/>
              <w:t>​</w:t>
            </w:r>
          </w:p>
        </w:tc>
      </w:tr>
      <w:tr>
        <w:trPr/>
        <w:tc>
          <w:tcPr>
            <w:tcW w:w="4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Transaction-related charges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3,174.1</w:t>
            </w:r>
          </w:p>
        </w:tc>
        <w:tc>
          <w:tcPr>
            <w:tcW w:w="408" w:type="dxa"/>
            <w:tcBorders/>
            <w:shd w:fill="CCEEFF" w:val="clear"/>
            <w:vAlign w:val="center"/>
          </w:tcPr>
          <w:p>
            <w:pPr>
              <w:pStyle w:val="TableContents"/>
              <w:bidi w:val="0"/>
              <w:spacing w:before="0" w:after="0"/>
              <w:ind w:left="0" w:right="0" w:hanging="0"/>
              <w:jc w:val="left"/>
              <w:rPr/>
            </w:pPr>
            <w:r>
              <w:rPr/>
              <w:t>​</w:t>
            </w:r>
          </w:p>
        </w:tc>
      </w:tr>
      <w:tr>
        <w:trPr/>
        <w:tc>
          <w:tcPr>
            <w:tcW w:w="4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charges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(2,324)</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408" w:type="dxa"/>
            <w:tcBorders/>
            <w:vAlign w:val="center"/>
          </w:tcPr>
          <w:p>
            <w:pPr>
              <w:pStyle w:val="TableContents"/>
              <w:bidi w:val="0"/>
              <w:spacing w:before="0" w:after="0"/>
              <w:ind w:left="0" w:right="0" w:hanging="0"/>
              <w:jc w:val="left"/>
              <w:rPr/>
            </w:pPr>
            <w:r>
              <w:rPr/>
              <w:t>​</w:t>
            </w:r>
          </w:p>
        </w:tc>
      </w:tr>
      <w:tr>
        <w:trPr/>
        <w:tc>
          <w:tcPr>
            <w:tcW w:w="4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408" w:type="dxa"/>
            <w:tcBorders/>
            <w:shd w:fill="CCEEFF" w:val="clear"/>
            <w:vAlign w:val="center"/>
          </w:tcPr>
          <w:p>
            <w:pPr>
              <w:pStyle w:val="TableContents"/>
              <w:bidi w:val="0"/>
              <w:spacing w:before="0" w:after="0"/>
              <w:ind w:left="0" w:right="0" w:hanging="0"/>
              <w:jc w:val="left"/>
              <w:rPr/>
            </w:pPr>
            <w:r>
              <w:rPr/>
              <w:t>​</w:t>
            </w:r>
          </w:p>
        </w:tc>
      </w:tr>
      <w:tr>
        <w:trPr/>
        <w:tc>
          <w:tcPr>
            <w:tcW w:w="4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c>
          <w:tcPr>
            <w:tcW w:w="408" w:type="dxa"/>
            <w:tcBorders/>
            <w:vAlign w:val="center"/>
          </w:tcPr>
          <w:p>
            <w:pPr>
              <w:pStyle w:val="TableContents"/>
              <w:bidi w:val="0"/>
              <w:spacing w:before="0" w:after="0"/>
              <w:ind w:left="0" w:right="0" w:hanging="0"/>
              <w:jc w:val="left"/>
              <w:rPr/>
            </w:pPr>
            <w:r>
              <w:rPr/>
              <w:t>​</w:t>
            </w:r>
          </w:p>
        </w:tc>
      </w:tr>
      <w:tr>
        <w:trPr/>
        <w:tc>
          <w:tcPr>
            <w:tcW w:w="4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 transfers and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(233,625)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(8,701.1)</w:t>
            </w:r>
          </w:p>
        </w:tc>
        <w:tc>
          <w:tcPr>
            <w:tcW w:w="408" w:type="dxa"/>
            <w:tcBorders/>
            <w:shd w:fill="CCEEFF" w:val="clear"/>
            <w:vAlign w:val="center"/>
          </w:tcPr>
          <w:p>
            <w:pPr>
              <w:pStyle w:val="TableContents"/>
              <w:bidi w:val="0"/>
              <w:spacing w:before="0" w:after="0"/>
              <w:ind w:left="0" w:right="0" w:hanging="0"/>
              <w:jc w:val="left"/>
              <w:rPr/>
            </w:pPr>
            <w:r>
              <w:rPr/>
              <w:t>​</w:t>
            </w:r>
          </w:p>
        </w:tc>
      </w:tr>
      <w:tr>
        <w:trPr/>
        <w:tc>
          <w:tcPr>
            <w:tcW w:w="4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operating expenses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(236,295)</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w:t>
            </w:r>
          </w:p>
        </w:tc>
        <w:tc>
          <w:tcPr>
            <w:tcW w:w="408" w:type="dxa"/>
            <w:tcBorders/>
            <w:vAlign w:val="center"/>
          </w:tcPr>
          <w:p>
            <w:pPr>
              <w:pStyle w:val="TableContents"/>
              <w:bidi w:val="0"/>
              <w:spacing w:before="0" w:after="0"/>
              <w:ind w:left="0" w:right="0" w:hanging="0"/>
              <w:jc w:val="left"/>
              <w:rPr/>
            </w:pPr>
            <w:r>
              <w:rPr/>
              <w:t>​</w:t>
            </w:r>
          </w:p>
        </w:tc>
      </w:tr>
      <w:tr>
        <w:trPr/>
        <w:tc>
          <w:tcPr>
            <w:tcW w:w="4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from operations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239,732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239,499</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102,789.3</w:t>
            </w:r>
          </w:p>
        </w:tc>
        <w:tc>
          <w:tcPr>
            <w:tcW w:w="408" w:type="dxa"/>
            <w:tcBorders/>
            <w:shd w:fill="CCEEFF" w:val="clear"/>
            <w:vAlign w:val="center"/>
          </w:tcPr>
          <w:p>
            <w:pPr>
              <w:pStyle w:val="TableContents"/>
              <w:bidi w:val="0"/>
              <w:spacing w:before="0" w:after="0"/>
              <w:ind w:left="0" w:right="0" w:hanging="0"/>
              <w:jc w:val="left"/>
              <w:rPr/>
            </w:pPr>
            <w:r>
              <w:rPr/>
              <w:t>​</w:t>
            </w:r>
          </w:p>
        </w:tc>
      </w:tr>
      <w:tr>
        <w:trPr/>
        <w:tc>
          <w:tcPr>
            <w:tcW w:w="43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408" w:type="dxa"/>
            <w:tcBorders/>
            <w:vAlign w:val="center"/>
          </w:tcPr>
          <w:p>
            <w:pPr>
              <w:pStyle w:val="TableContents"/>
              <w:bidi w:val="0"/>
              <w:spacing w:before="0" w:after="0"/>
              <w:ind w:left="0" w:right="0" w:hanging="0"/>
              <w:jc w:val="left"/>
              <w:rPr/>
            </w:pPr>
            <w:r>
              <w:rPr/>
              <w:t>​</w:t>
            </w:r>
          </w:p>
        </w:tc>
      </w:tr>
      <w:tr>
        <w:trPr/>
        <w:tc>
          <w:tcPr>
            <w:tcW w:w="4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279.5</w:t>
            </w:r>
          </w:p>
        </w:tc>
        <w:tc>
          <w:tcPr>
            <w:tcW w:w="408" w:type="dxa"/>
            <w:tcBorders/>
            <w:shd w:fill="CCEEFF" w:val="clear"/>
            <w:vAlign w:val="center"/>
          </w:tcPr>
          <w:p>
            <w:pPr>
              <w:pStyle w:val="TableContents"/>
              <w:bidi w:val="0"/>
              <w:spacing w:before="0" w:after="0"/>
              <w:ind w:left="0" w:right="0" w:hanging="0"/>
              <w:jc w:val="left"/>
              <w:rPr/>
            </w:pPr>
            <w:r>
              <w:rPr/>
              <w:t>​</w:t>
            </w:r>
          </w:p>
        </w:tc>
      </w:tr>
      <w:tr>
        <w:trPr/>
        <w:tc>
          <w:tcPr>
            <w:tcW w:w="4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1,941</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408" w:type="dxa"/>
            <w:tcBorders/>
            <w:vAlign w:val="center"/>
          </w:tcPr>
          <w:p>
            <w:pPr>
              <w:pStyle w:val="TableContents"/>
              <w:bidi w:val="0"/>
              <w:spacing w:before="0" w:after="0"/>
              <w:ind w:left="0" w:right="0" w:hanging="0"/>
              <w:jc w:val="left"/>
              <w:rPr/>
            </w:pPr>
            <w:r>
              <w:rPr/>
              <w:t>​</w:t>
            </w:r>
          </w:p>
        </w:tc>
      </w:tr>
      <w:tr>
        <w:trPr/>
        <w:tc>
          <w:tcPr>
            <w:tcW w:w="4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408" w:type="dxa"/>
            <w:tcBorders/>
            <w:shd w:fill="CCEEFF" w:val="clear"/>
            <w:vAlign w:val="center"/>
          </w:tcPr>
          <w:p>
            <w:pPr>
              <w:pStyle w:val="TableContents"/>
              <w:bidi w:val="0"/>
              <w:spacing w:before="0" w:after="0"/>
              <w:ind w:left="0" w:right="0" w:hanging="0"/>
              <w:jc w:val="left"/>
              <w:rPr/>
            </w:pPr>
            <w:r>
              <w:rPr/>
              <w:t>​</w:t>
            </w:r>
          </w:p>
        </w:tc>
      </w:tr>
      <w:tr>
        <w:trPr/>
        <w:tc>
          <w:tcPr>
            <w:tcW w:w="4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2,154</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408" w:type="dxa"/>
            <w:tcBorders/>
            <w:vAlign w:val="center"/>
          </w:tcPr>
          <w:p>
            <w:pPr>
              <w:pStyle w:val="TableContents"/>
              <w:bidi w:val="0"/>
              <w:spacing w:before="0" w:after="0"/>
              <w:ind w:left="0" w:right="0" w:hanging="0"/>
              <w:jc w:val="left"/>
              <w:rPr/>
            </w:pPr>
            <w:r>
              <w:rPr/>
              <w:t>​</w:t>
            </w:r>
          </w:p>
        </w:tc>
      </w:tr>
      <w:tr>
        <w:trPr/>
        <w:tc>
          <w:tcPr>
            <w:tcW w:w="43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228,617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241,653</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(1,853.7)</w:t>
            </w:r>
          </w:p>
        </w:tc>
        <w:tc>
          <w:tcPr>
            <w:tcW w:w="408" w:type="dxa"/>
            <w:tcBorders/>
            <w:shd w:fill="CCEEFF" w:val="clear"/>
            <w:vAlign w:val="center"/>
          </w:tcPr>
          <w:p>
            <w:pPr>
              <w:pStyle w:val="TableContents"/>
              <w:bidi w:val="0"/>
              <w:spacing w:before="0" w:after="0"/>
              <w:ind w:left="0" w:right="0" w:hanging="0"/>
              <w:jc w:val="left"/>
              <w:rPr/>
            </w:pPr>
            <w:r>
              <w:rPr/>
              <w:t>​</w:t>
            </w:r>
          </w:p>
        </w:tc>
      </w:tr>
      <w:tr>
        <w:trPr/>
        <w:tc>
          <w:tcPr>
            <w:tcW w:w="4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expense (benefit)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45,868</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(1,214.7)</w:t>
            </w:r>
          </w:p>
        </w:tc>
        <w:tc>
          <w:tcPr>
            <w:tcW w:w="408" w:type="dxa"/>
            <w:tcBorders/>
            <w:vAlign w:val="center"/>
          </w:tcPr>
          <w:p>
            <w:pPr>
              <w:pStyle w:val="TableContents"/>
              <w:bidi w:val="0"/>
              <w:spacing w:before="0" w:after="0"/>
              <w:ind w:left="0" w:right="0" w:hanging="0"/>
              <w:jc w:val="left"/>
              <w:rPr/>
            </w:pPr>
            <w:r>
              <w:rPr/>
              <w:t>​</w:t>
            </w:r>
          </w:p>
        </w:tc>
      </w:tr>
      <w:tr>
        <w:trPr/>
        <w:tc>
          <w:tcPr>
            <w:tcW w:w="43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195,785</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(2,114.3)</w:t>
            </w:r>
          </w:p>
        </w:tc>
        <w:tc>
          <w:tcPr>
            <w:tcW w:w="408" w:type="dxa"/>
            <w:tcBorders/>
            <w:shd w:fill="CCEEFF" w:val="clear"/>
            <w:vAlign w:val="center"/>
          </w:tcPr>
          <w:p>
            <w:pPr>
              <w:pStyle w:val="TableContents"/>
              <w:bidi w:val="0"/>
              <w:spacing w:before="0" w:after="0"/>
              <w:ind w:left="0" w:right="0" w:hanging="0"/>
              <w:jc w:val="left"/>
              <w:rPr/>
            </w:pPr>
            <w:r>
              <w:rPr/>
              <w:t>​</w:t>
            </w:r>
          </w:p>
        </w:tc>
      </w:tr>
      <w:tr>
        <w:trPr/>
        <w:tc>
          <w:tcPr>
            <w:tcW w:w="4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 net of tax:</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(21,471)</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(961.1)</w:t>
            </w:r>
          </w:p>
        </w:tc>
        <w:tc>
          <w:tcPr>
            <w:tcW w:w="408" w:type="dxa"/>
            <w:tcBorders/>
            <w:vAlign w:val="center"/>
          </w:tcPr>
          <w:p>
            <w:pPr>
              <w:pStyle w:val="TableContents"/>
              <w:bidi w:val="0"/>
              <w:spacing w:before="0" w:after="0"/>
              <w:ind w:left="0" w:right="0" w:hanging="0"/>
              <w:jc w:val="left"/>
              <w:rPr/>
            </w:pPr>
            <w:r>
              <w:rPr/>
              <w:t>​</w:t>
            </w:r>
          </w:p>
        </w:tc>
      </w:tr>
      <w:tr>
        <w:trPr/>
        <w:tc>
          <w:tcPr>
            <w:tcW w:w="43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ATTRIBUTABLE TO ATN INTERNATIONAL, INC.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174,314</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(2,481.0)</w:t>
            </w:r>
          </w:p>
        </w:tc>
        <w:tc>
          <w:tcPr>
            <w:tcW w:w="4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w:t>
      </w:r>
    </w:p>
    <w:p>
      <w:pPr>
        <w:pStyle w:val="TextBody"/>
        <w:bidi w:val="0"/>
        <w:spacing w:before="100" w:after="1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Communications Services Revenue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Mobility Services Revenue</w:t>
      </w:r>
      <w:r>
        <w:rPr>
          <w:rFonts w:ascii="Times New Roman;Times;serif" w:hAnsi="Times New Roman;Times;serif"/>
          <w:sz w:val="20"/>
        </w:rPr>
        <w:t xml:space="preserve">. </w:t>
      </w:r>
      <w:r>
        <w:rPr>
          <w:rFonts w:ascii="Times New Roman;Times;serif" w:hAnsi="Times New Roman;Times;serif"/>
          <w:sz w:val="20"/>
          <w:shd w:fill="FFFFFF" w:val="clear"/>
        </w:rPr>
        <w:t>Our Mobility Services revenue consists of revenue generated within our International Telecom segment by providing business and retail mobile voice and data services over our wireless networks, as well as through the sale and repair services of related equipment, such as handsets and other accessories, to our subscribers.</w:t>
      </w:r>
      <w:r>
        <w:rPr>
          <w:rFonts w:ascii="Times New Roman;Times;serif" w:hAnsi="Times New Roman;Times;serif"/>
          <w:sz w:val="20"/>
        </w:rPr>
        <w:t xml:space="preserv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Mobility Services revenue increased by $0.8 million, or 3.0%, to $27.1 million for the three months ended June 30, 2026 from $26.3 million for the three months ended June 30, 2025 as result of an increase in subscribers, rates we charge our subscribers and equipment revenue within certain markets in this segment.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Mobility Services revenue within our International Telecom may continue to increase as a result of our continued network upgrades, marketing efforts and conversion of our current subscriber base to higher margin prepaid and postpaid plans. Such increases may, however, be negatively impacted by increased competition and regulatory changes.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Fixed Services Revenue. </w:t>
      </w:r>
      <w:r>
        <w:rPr>
          <w:rFonts w:ascii="Times New Roman;Times;serif" w:hAnsi="Times New Roman;Times;serif"/>
          <w:sz w:val="20"/>
        </w:rPr>
        <w:t>Fixed Services revenue is primarily generated by broadband, voice, and video service revenues provided to retail and business customers over our wireline networks. Fixed Services revenue within our US Telecom segment also includes awards from the CAF II program, the E-ACAM program, and the Alaska USF. Within our International Telecom segment, Fixed Services revenue included funding, through December 31, 2025, under the FCC’s High-Cost Program in the US Virgin Islands.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Fixed Services revenue decreased by $0.2 million, or 0.2%, to $112.9 million from $113.1 million for the three months ended June 30, 2026 and 2025, respectively. This net decrease primarily pertained to a decrease in Fixed Services revenue from consumer customers and consisted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sz w:val="20"/>
              </w:rPr>
              <w:t>International Telecom</w:t>
            </w:r>
            <w:r>
              <w:rPr>
                <w:rFonts w:ascii="Times New Roman;Times;serif" w:hAnsi="Times New Roman;Times;serif"/>
                <w:b w:val="false"/>
                <w:i w:val="false"/>
                <w:caps w:val="false"/>
                <w:smallCaps w:val="false"/>
                <w:sz w:val="20"/>
              </w:rPr>
              <w:t>. Within our International Telecom segment, Fixed Services revenue decreased by $1.2 million, or 1.9%, to $60.5 million from $61.7 million for the three months ended June 30, 2026 and 2025, respectively. This decrease was primarily a result of the FCC’s High-Cost Support Program in the US Virgin Islands being terminated on December 31, 2025.</w:t>
              <w:br/>
            </w:r>
            <w:r>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Fixed Services revenue within our US Telecom segment increased by $1.0 million, or 1.9%, to $52.4 million from $51.4 million for the three months ended June 30, 2026 and 2025, respectively. This increase was primarily the result of increased revenue from certain government support programs in Alaska.</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Fixed Service Revenue in our International Telecom segment may continue to decrease as a result of a decrease in demand for our legacy services due to subscribers using alternative methods to receive video and audio content. However, such decrease may be offset by the popularity of video and audio streaming, the demand for cloud services and smart home, business and city solutions to increase the demand for broadband and other data services from consumers, businesses and governments.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Within our US Telecom segment, we expect Fixed Services revenue to increase moderately as a result of an increase in government grants and our deployment of fiber and fiber-fed broadband access to both consumers and businesses.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Carrier Services Revenue. </w:t>
      </w:r>
      <w:r>
        <w:rPr>
          <w:rFonts w:ascii="Times New Roman;Times;serif" w:hAnsi="Times New Roman;Times;serif"/>
          <w:sz w:val="20"/>
        </w:rPr>
        <w:t xml:space="preserve">Carrier Services revenue is generated by both our International Telecom and US Telecom segments. Within our International Telecom segment, Carrier Services revenue includes international long-distance services, roaming revenues generated by other carriers’ customers roaming into our retail markets, transport services and access services provided to other telecommunications carriers. Within our US Telecom segment, Carrier Services revenue includes services provided under the Network Build and Maintenance Agreement with AT&amp;T Mobility, LLC (“AT&amp;T”) that we subsequently amended in May 2026 (the “FirstNet Agreement”) and Carrier Managed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 Master Agreement that we subsequently amended in May 2026 (the “Verizon CMS Agreement”) with Cellco Partnership d/b/a Verizon Wireless (“Verizon”), wholesale roaming revenues, the provision of network switching services, tower lease revenue and other services provided to other carriers</w:t>
      </w:r>
      <w:r>
        <w:rPr>
          <w:rFonts w:ascii="Times New Roman;Times;serif" w:hAnsi="Times New Roman;Times;serif"/>
          <w:sz w:val="20"/>
          <w:shd w:fill="FFFFFF" w:val="clea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Carrier Services revenue increased by $3.1 million, or 9.3%, to $36.3 million from $33.2 million for the three months ended June 30, 2026 and 2025, respectively. The increase within our segments consisted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International Telecom. </w:t>
            </w:r>
            <w:r>
              <w:rPr>
                <w:rFonts w:ascii="Times New Roman;Times;serif" w:hAnsi="Times New Roman;Times;serif"/>
                <w:b w:val="false"/>
                <w:i w:val="false"/>
                <w:caps w:val="false"/>
                <w:smallCaps w:val="false"/>
                <w:sz w:val="20"/>
              </w:rPr>
              <w:t>Within our International Telecom segment, Carrier Services revenue increased by $0.1 million, or 2.9%, to $3.5 million from $3.4 million for the three months ended June 30, 2026 and 2025, respectively, primarily as a result of an increase in roaming revenues in some of our international markets.</w:t>
            </w:r>
            <w:r>
              <w:rPr/>
              <w:t xml:space="preserve"> </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Carrier Services revenue within our US Telecom segment increased by $3.0 million, or 10.1%, to $32.8 million from $29.8 million, for the three months ended June 30, 2026 and 2025, respectively. This increase was primarily the result of the transition of legacy roaming arrangements to carrier service management contracts.</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Within our International Telecom segment, Carrier Services revenue may continue to increase if international travel in our market grows.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Within our US Telecom segment, Carrier Services revenue is expected to decline as a result of a full quarter’s impact of the Tower Portfolio Transaction.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Other Communications Services Revenue. </w:t>
      </w:r>
      <w:r>
        <w:rPr>
          <w:rFonts w:ascii="Times New Roman;Times;serif" w:hAnsi="Times New Roman;Times;serif"/>
          <w:sz w:val="20"/>
        </w:rPr>
        <w:t>Other Communications Services revenue includes project-related revenue generated within both our International and US Telecom segments and ancillary services that the operations within our International Telecom segment provide to its retail subscribers. Other Communications Services revenue increased $1.6 million, or 72.7%, to $3.8 million from $2.2 million for the three months ended June 30, 2026 and 2025, respectively, as a result of an increase in revenue from ancillary services in our International Telecom segment.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Other Communication Services revenue may increase in future periods as the demand for ancillary services increase.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i/>
          <w:sz w:val="20"/>
        </w:rPr>
        <w:t xml:space="preserve">Construction Revenue. </w:t>
      </w:r>
      <w:r>
        <w:rPr>
          <w:rFonts w:ascii="Times New Roman;Times;serif" w:hAnsi="Times New Roman;Times;serif"/>
          <w:sz w:val="20"/>
        </w:rPr>
        <w:t xml:space="preserve">Construction revenue represents revenue generated within our US Telecom segment for the construction of network cell sites related to the FirstNet Agreement. During the three months ended June 30, 2026 and 2025, Construction Revenue decreased to $0.8 million from $2.2 million, respectively, as a result of a decrease in the number of sites completed during 2026 as compared to 2025.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June 30, 2026, we had substantially completed the build of AT&amp;T’s network under the FirstNet Agreement and do not expect to record any significant construction revenue in future periods.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Other Revenue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Managed Services Revenue. </w:t>
      </w:r>
      <w:r>
        <w:rPr>
          <w:rFonts w:ascii="Times New Roman;Times;serif" w:hAnsi="Times New Roman;Times;serif"/>
          <w:sz w:val="20"/>
        </w:rPr>
        <w:t xml:space="preserve">Managed Services revenue is generated within both our International and US Telecom segments and includes network, application, infrastructure, and hosting services.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Managed Services revenue decreased by $0.6 million, or 14.3%, to $3.6 million from $4.2 million for the three months ended June 30, 2026 and 2025, respectively. The net decrease within our segments consisted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International Telecom.</w:t>
            </w:r>
            <w:r>
              <w:rPr>
                <w:caps w:val="false"/>
                <w:smallCaps w:val="false"/>
              </w:rPr>
              <w:t xml:space="preserve"> </w:t>
            </w:r>
            <w:r>
              <w:rPr>
                <w:rFonts w:ascii="Times New Roman;Times;serif" w:hAnsi="Times New Roman;Times;serif"/>
                <w:b w:val="false"/>
                <w:i w:val="false"/>
                <w:caps w:val="false"/>
                <w:smallCaps w:val="false"/>
                <w:sz w:val="20"/>
              </w:rPr>
              <w:t>Managed Services revenue in our International Telecom segment increased $0.1 million, or 7.7%, to $1.4 million from $1.3 million for the three months ended June 30, 2026 and 2025, respectively.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Within our US Telecom segment, Managed Services revenue decreased $0.7 million, or 24.1%, to $2.2 million from $2.9 million for the three months ended June 30, 2026 and 2025, respectively.</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Managed Services revenue may increase in both our US and International Telecom segments as a result of our efforts to sell certain Managed Services solutions to primarily business customers in all of our markets.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Cost of communication services and other. </w:t>
      </w:r>
      <w:r>
        <w:rPr>
          <w:rFonts w:ascii="Times New Roman;Times;serif" w:hAnsi="Times New Roman;Times;serif"/>
          <w:sz w:val="20"/>
          <w:shd w:fill="FFFFFF" w:val="clear"/>
        </w:rPr>
        <w:t>Cost of communication services and other are charges that we incur for voice and data transport circuits, internet capacity, video programming costs, access fees we pay to terminate our calls, telecommunication spectrum fees and direct costs associated within our managed services businesses. These costs also include expenses associated with developing, operating, upgrading and supporting our telecommunications networks, including the salaries and benefits paid to employees directly involved in the development and operation of those businesses, as well as credit loss allowances and the cost of handsets and customer resale equipment incurred by our retail businesses.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Cost of communication services and other increased by $1.3 million, or 1.7%, to $78.5 million from $77.2 million for the three months ended June 30, 2026 and 2025, respectively. The net increase in cost of communication services and other, within our segments, consisted of the following</w:t>
      </w:r>
      <w:r>
        <w:rPr>
          <w:rFonts w:ascii="Times New Roman;Times;serif" w:hAnsi="Times New Roman;Times;serif"/>
          <w:sz w:val="20"/>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International Telecom.</w:t>
            </w:r>
            <w:r>
              <w:rPr>
                <w:caps w:val="false"/>
                <w:smallCaps w:val="false"/>
              </w:rPr>
              <w:t xml:space="preserve"> </w:t>
            </w:r>
            <w:r>
              <w:rPr>
                <w:rFonts w:ascii="Times New Roman;Times;serif" w:hAnsi="Times New Roman;Times;serif"/>
                <w:b w:val="false"/>
                <w:i w:val="false"/>
                <w:caps w:val="false"/>
                <w:smallCaps w:val="false"/>
                <w:sz w:val="20"/>
              </w:rPr>
              <w:t>Within our International Telecom segment, cost of communication services and other decreased by $0.8 million, or 2.4%, to $33.0 million from $33.8 million, for the three months ended June 30, 2026 and 2025, respectively. This decrease was the result of the impact of cost savings initiatives, including reorganizations and reductions in force, that were implemented in the current and previous periods.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Cost of communication services and other within our US Telecom segment increased by $2.1 million, or 4.8%, to $45.5 million from $43.4 million for the three months ended June 30, 2026 and 2025, respectively. Such increase was the result of increased transport costs and the impact of the Tower Portfolio Transaction, which resulted in increased tower site expenses, partially offset by the impact of certain cost savings initiatives, including reorganizations and reductions in force, that were implemented in the current and previous periods.</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Cost of communication services in our International Telecom segment may decrease as a result of the ongoing cost reduction initiatives that commenced in previous periods, but such decrease may be partially offset by future inflationary pressure.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expect that the cost of communication services, within our US Telecom segment, will increase as a result of a full quarter’s impact of the Tower Portfolio Transaction and may also increase as a result of future inflationary pressure. However, the impact of our cost reduction initiatives, that commenced in previous periods, may partially offset those increases.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Cost of construction revenue.</w:t>
      </w:r>
      <w:r>
        <w:rPr>
          <w:rFonts w:ascii="Times New Roman;Times;serif" w:hAnsi="Times New Roman;Times;serif"/>
          <w:sz w:val="20"/>
        </w:rPr>
        <w:t xml:space="preserve"> Cost of construction revenue includes the expenses incurred in connection with the construction of and the delivery to AT&amp;T of cell sites in accordance with our FirstNet Agreement. During the three months ended June 30, 2026 and 2025, cost of construction revenue decreased to $1.0 million from $2.2 million, respectively, as a result of a decrease in the number of sites completed during 2026 as compared to 2025.</w:t>
      </w:r>
    </w:p>
    <w:p>
      <w:pPr>
        <w:pStyle w:val="TextBody"/>
        <w:pBd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June 30, 2026, we had substantially completed the build of AT&amp;T’s network under the FirstNet Agreement and do not expect to record any significant cost of construction revenue in future periods.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 xml:space="preserve">Selling, general and administrative expenses. </w:t>
      </w:r>
      <w:r>
        <w:rPr>
          <w:rFonts w:ascii="Times New Roman;Times;serif" w:hAnsi="Times New Roman;Times;serif"/>
          <w:sz w:val="20"/>
        </w:rPr>
        <w:t>Selling, general and administrative expenses include salaries and benefits we pay to sales personnel, customer service expenses and the costs associated with the development and implementation of our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Selling, general and administrative expenses decreased by $0.9 million, or 1.6%, to $55.3 million from $56.2 million for the three months ended June 30, 2026 and 2025, respectively. The net decrease in selling, general and administrative expenses, within our segments, consisted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sz w:val="20"/>
              </w:rPr>
              <w:t>International Telecom</w:t>
            </w:r>
            <w:r>
              <w:rPr>
                <w:rFonts w:ascii="Times New Roman;Times;serif" w:hAnsi="Times New Roman;Times;serif"/>
                <w:b w:val="false"/>
                <w:i w:val="false"/>
                <w:caps w:val="false"/>
                <w:smallCaps w:val="false"/>
                <w:sz w:val="20"/>
              </w:rPr>
              <w:t>. Within our International Telecom segment, our selling, general and administrative expenses decreased by $0.2 million, or 0.7%, to $27.7 million from $27.9 million for the three months ended June 30, 2026 and 2025, respectively, as a result of the impact of certain cost containment initiatives, including the reorganizations and reductions in force, that were implemented in the current and previous periods that was partially offset by an increase in marketing and personnel costs in certain markets.</w:t>
              <w:br/>
            </w:r>
            <w:r>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xml:space="preserve">. Selling, general and administrative expenses increased within our US Telecom segment by $0.2 million, or 0.9%, to $22.8 million from $22.6 million, for the three months ended June 30, 2026 and 2025, respectively, as a result of an increase in professional fees partially offset by the impact of certain cost containment initiatives, including the reorganizations and reductions in force that were implemented in the current and previous periods. </w:t>
              <w:br/>
            </w:r>
            <w:r>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Corporate Overhead. </w:t>
            </w:r>
            <w:r>
              <w:rPr>
                <w:rFonts w:ascii="Times New Roman;Times;serif" w:hAnsi="Times New Roman;Times;serif"/>
                <w:b w:val="false"/>
                <w:i w:val="false"/>
                <w:caps w:val="false"/>
                <w:smallCaps w:val="false"/>
                <w:sz w:val="20"/>
              </w:rPr>
              <w:t>Selling, general and administrative expenses within our corporate overhead decreased by $0.9 million, or 15.8%, to $4.8 million from $5.7 million, for the three months ended June 30, 2026 and 2025, respectively, as a result of a decrease in certain professional fees.</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Selling, general and administrative expenses in all our segments may decrease as a result of the ongoing cost reduction initiatives that commenced in previous periods, but such decrease may be partially offset by future inflationary pressure.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Stock-based compensation. </w:t>
      </w:r>
      <w:r>
        <w:rPr>
          <w:rFonts w:ascii="Times New Roman;Times;serif" w:hAnsi="Times New Roman;Times;serif"/>
          <w:sz w:val="20"/>
        </w:rPr>
        <w:t>Stock-based compensation represents a non-cash expense related to the amortization of grants of equity awards to employees and directors.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Stock-based compensation decreased by $1.3 million to $1.4 million from $2.7 million for the three months ended June 30, 2026 and 2025, respectively, as a result of the impact of certain reductions in force during the three months ended June 30, 2026.</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Transaction-related charges.</w:t>
      </w:r>
      <w:r>
        <w:rPr>
          <w:rFonts w:ascii="Times New Roman;Times;serif" w:hAnsi="Times New Roman;Times;serif"/>
          <w:sz w:val="20"/>
        </w:rPr>
        <w:t>  Transaction-related charges include the external costs, such as legal, tax, accounting and consulting fees directly associated with acquisition and disposition-related activities and certain financing activities that are expensed as incurred. Transaction-related charges do not include employee salary and travel-related expenses incurred in connection with acquisitions or dispositions or any integration-related costs.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incurred $6.3 million and $0.2 million of transaction-related charges during the three months ended June 30, 2026 and 2025, respectively. The increase was primarily the result of costs incurred in connection with the Tower Portfolio Transaction during the three months ended June 30, 2026.</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Restructuring and reorganization expenses. </w:t>
      </w:r>
      <w:r>
        <w:rPr>
          <w:rFonts w:ascii="Times New Roman;Times;serif" w:hAnsi="Times New Roman;Times;serif"/>
          <w:sz w:val="20"/>
        </w:rPr>
        <w:t>In our efforts to advance our cost management actions to drive higher operating efficiencies and margins, we incurred certain restructuring and reorganization expenses, primarily reductions in force, totaling $0.3 million, $0.6 million and $1.7 million within our International Telecom segment, US Telecom segment and Corporate and Other segment, respectively, during the three months ended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incurred restructuring and reorganization expenses of $1.4 million, $2.4 million and $1.2 million within our International Telecom segment, US Telecom segment and Corporate and Other segment, respectively, during the three months ended June 30, 2025.</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Increase and decreases in restructuring and reorganization expenses within each segment were a result of the timing and magnitude of our reductions in force.</w:t>
      </w:r>
    </w:p>
    <w:p>
      <w:pPr>
        <w:pStyle w:val="TextBody"/>
        <w:bidi w:val="0"/>
        <w:spacing w:before="280" w:after="0"/>
        <w:ind w:left="0" w:right="0" w:firstLine="720"/>
        <w:jc w:val="left"/>
        <w:rPr/>
      </w:pPr>
      <w:r>
        <w:rPr/>
        <w:t> </w:t>
      </w:r>
      <w:r>
        <w:rPr>
          <w:rFonts w:ascii="Times New Roman;Times;serif" w:hAnsi="Times New Roman;Times;serif"/>
          <w:b/>
          <w:sz w:val="20"/>
        </w:rPr>
        <w:t>Depreciation and amortization expenses.</w:t>
      </w:r>
      <w:r>
        <w:rPr>
          <w:rFonts w:ascii="Times New Roman;Times;serif" w:hAnsi="Times New Roman;Times;serif"/>
          <w:sz w:val="20"/>
        </w:rPr>
        <w:t xml:space="preserve"> Depreciation and amortization expenses represent the depreciation and amortization charges we record on our property and equipment.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Depreciation and amortization expenses decreased by $3.7 million, or 10.9%, to $30.2 million from $33.9 million for the three months ended June 30, 2026 and 2025, respectively. The decrease in depreciation and amortization expenses, within our segments, consisted primarily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International Telecom</w:t>
            </w:r>
            <w:r>
              <w:rPr>
                <w:rFonts w:ascii="Times New Roman;Times;serif" w:hAnsi="Times New Roman;Times;serif"/>
                <w:b w:val="false"/>
                <w:i w:val="false"/>
                <w:caps w:val="false"/>
                <w:smallCaps w:val="false"/>
                <w:sz w:val="20"/>
              </w:rPr>
              <w:t>. Depreciation and amortization expenses decreased within our International Telecom segment by $1.2 million, or 7.9%, to $14.0 million from $15.2 million, for the three months ended June 30, 2026 and 2025, respectively. The decrease was the result of this segment’s reduction in capital expenditures and certain assets becoming fully depreciated in recent periods.</w:t>
            </w:r>
          </w:p>
        </w:tc>
      </w:tr>
    </w:tbl>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Depreciation and amortization expenses decreased within our US Telecom segment by $2.0 million, or 11.2%, to $15.8 million from $17.8 million, for the three months ended June 30, 2026 and 2025, respectively. The decrease was the result of this segment’s reduction in capital expenditures, certain assets becoming fully depreciated in recent periods, and the conclusion of the recording of depreciation expense related to assets that were sold in connection with the Tower Portfolio Transaction.</w:t>
              <w:br/>
            </w:r>
            <w:r>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Corporate Overhead</w:t>
            </w:r>
            <w:r>
              <w:rPr>
                <w:rFonts w:ascii="Times New Roman;Times;serif" w:hAnsi="Times New Roman;Times;serif"/>
                <w:b w:val="false"/>
                <w:i w:val="false"/>
                <w:caps w:val="false"/>
                <w:smallCaps w:val="false"/>
                <w:sz w:val="20"/>
              </w:rPr>
              <w:t>. Depreciation and amortization expenses decreased within our corporate overhead to $0.3 million from $0.9 million, for the three months ended June 30, 2026 and 2025, respectively, primarily as a result of additional assets becoming fully depreciated in recent periods.</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expect depreciation and amortization expenses to continue to decrease as a result of an expected decline in capital expenditures, the result of some of our previously acquired assets becoming fully depreciated and a full quarter’s impact of the Tower Portfolio Transaction.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Amortization of intangibles from acquisitions.</w:t>
      </w:r>
      <w:r>
        <w:rPr>
          <w:rFonts w:ascii="Times New Roman;Times;serif" w:hAnsi="Times New Roman;Times;serif"/>
          <w:sz w:val="20"/>
        </w:rPr>
        <w:t xml:space="preserve"> Amortization of intangibles from acquisitions include the amortization of customer relationships and trade names related to our completed acquisitions.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Amortization of intangibles from acquisitions decreased by $0.7 million to $0.5 million from $1.2 million for the three months ended June 30, 2026 and 2025, respectively, as a result of certain assets being fully amortized in previous period.</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that amortization of intangibles from acquisitions will continue to decrease in future periods as such assets continue to amortize.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(Gain) loss on disposition of assets, transfers and contingent consideration</w:t>
      </w:r>
      <w:r>
        <w:rPr>
          <w:rFonts w:ascii="Times New Roman;Times;serif" w:hAnsi="Times New Roman;Times;serif"/>
          <w:sz w:val="20"/>
        </w:rPr>
        <w:t>. During the three months ended June 30, 2026, we recorded a net gain on the disposition of assets and transfers of $230.9 million. Of this net gain, $229.9 million was recognized within our US Telecom segment and was primarily related to the gain on the Tower Portfolio Transaction, while the remaining $1.0 million gain was recorded in the International Telecom segment as a result of the sale of certain real estate.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2025, we recorded a net loss on the disposition of assets of $2.7 million. Of this net loss, $0.1 million and $2.6 million were recognized within our International and US Telecom segments,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Interest income.</w:t>
      </w:r>
      <w:r>
        <w:rPr>
          <w:rFonts w:ascii="Times New Roman;Times;serif" w:hAnsi="Times New Roman;Times;serif"/>
          <w:sz w:val="20"/>
        </w:rPr>
        <w:t xml:space="preserve"> Interest income represents interest earned on our cash, cash equivalents, restricted cash and short-term investment balances. Interest income was $0.5 million and $0.1 million for the three months ended June 30, 2026 and 2025, respectively. Such increase was the result of an increase in our cash and cash equivalents due to the proceeds received from the Tower Portfolio Transaction. In addition, such proceeds are being invested in higher yielding cash and cash equivalent investments.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Interest expense.</w:t>
      </w:r>
      <w:r>
        <w:rPr>
          <w:rFonts w:ascii="Times New Roman;Times;serif" w:hAnsi="Times New Roman;Times;serif"/>
          <w:sz w:val="20"/>
        </w:rPr>
        <w:t>   We incur interest expense on the 2023 CoBank Credit Facility, the 2024 Alaska Credit Facilities, the FirstNet Receivables Credit Facility, the IDB Credit Facilities, the Sacred Wind Term Debt and the OneVI Debt (each as defined below). In addition, interest expense includes commitment fees, letter of credit fees and the amortization of debt issuance costs.</w:t>
      </w:r>
    </w:p>
    <w:p>
      <w:pPr>
        <w:pStyle w:val="TextBody"/>
        <w:bidi w:val="0"/>
        <w:spacing w:before="28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Interest expense decreased to $10.9 million from $12.8 million for the three months ended June 30, 2026 and 2025, respectively. We used a portion of the proceeds from the Tower Portfolio Transaction to reduce our outstanding debt balances, which in turn reduced our interest expense during the three months ended June 30, 2026. In addition, a decline in interest rates, which were impacted by certain interest rate swap agreements, also reduced such expense during the three months ended June 30, 2026.</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Interest expense in future periods may decline further as a result of a full period’s impact of the reduction in our debt balances</w:t>
      </w:r>
      <w:r>
        <w:rPr>
          <w:rFonts w:ascii="Times New Roman;Times;serif" w:hAnsi="Times New Roman;Times;serif"/>
          <w:sz w:val="20"/>
          <w:shd w:fill="FFFFFF" w:val="clea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Other expense.</w:t>
      </w:r>
      <w:r>
        <w:rPr>
          <w:rFonts w:ascii="Times New Roman;Times;serif" w:hAnsi="Times New Roman;Times;serif"/>
          <w:sz w:val="20"/>
        </w:rPr>
        <w:t xml:space="preserve"> For the three months ended June 30, 2026 and 2025, other expense was $0.7 million and $0.6 million, respectively of expense primarily related to losses on foreign currency transactions.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Income taxes.</w:t>
      </w:r>
      <w:r>
        <w:rPr>
          <w:rFonts w:ascii="Times New Roman;Times;serif" w:hAnsi="Times New Roman;Times;serif"/>
          <w:sz w:val="20"/>
        </w:rPr>
        <w:t xml:space="preserve"> Our effective tax rates for the three months ended June 30, 2026 and 2025 were 18.4% and 29.0%, respectively.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recorded an income tax expense of $42.1 million in relation to a pretax income of $228.6 million for the three months ended June 30, 2026. The effective tax rate for the three months ended June 30, 2026 was primarily impacted by the following items: (i) the mix of income generated among the jurisdictions in which we operate, (ii) the exclusion of losses in Alaska and the US Virgin Islands due to valuation allowance positions placed on certain deferred tax assets that are not expected to be realized based on the weight of positive and negative evidence, and (iii) discrete items including a $4.9 million net benefit from the reversal of an unrecognized tax position due to a statute of limitations expiration, net of interest on prior years uncertain tax positions, and a $0.8 million expense associated with a return to provision adjustment related to tax returns filed in Guyana.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recorded an income tax benefit of $3.8 million in relation to a pretax loss of $13.0 million for the three months ended June 30, 2025. The effective tax rate for the three months ended June 30, 2025 was primarily impacted by the following items: (i) the mix of income generated among the jurisdictions in which we operate, (ii) net expense related to valuation allowances placed on certain deferred tax assets that are not expected to be realized based on the weight of positive and negative evidence, and (iii) discrete items including a $4.9 million benefit from the reversal of an unrecognized tax position due to a statute of limitations expiration, a $0.6 million expense for interest on prior years uncertain tax positions, and a $1.0 million benefit from the release of a capital loss carryover valuation allowance based on the Company’s conclusion that it was more likely than not that this deferred tax asset would be realized in the future.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 of tax law and regulations. Additionally, the recognition and measurement of certain tax benefits include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estimates and judgments by management. Accordingly, we could record additional provisions or benefits for US federal, state, and foreign tax matters in future periods as new information becomes available.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Net (income) loss attributable to noncontrolling interests, net of tax.</w:t>
      </w:r>
      <w:r>
        <w:rPr>
          <w:rFonts w:ascii="Times New Roman;Times;serif" w:hAnsi="Times New Roman;Times;serif"/>
          <w:sz w:val="20"/>
        </w:rPr>
        <w:t>  Net (income) loss attributable to noncontrolling interests, net of tax reflected an allocation of $19.2 million of income and $2.2 million of losses generated by our less than wholly owned subsidiaries for the three months ended June 30, 2026 and 2025, respectively. Changes in net (income) loss attributable to noncontrolling interests, net of tax, within our segments, consisted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International Telecom</w:t>
            </w:r>
            <w:r>
              <w:rPr>
                <w:rFonts w:ascii="Times New Roman;Times;serif" w:hAnsi="Times New Roman;Times;serif"/>
                <w:b w:val="false"/>
                <w:i w:val="false"/>
                <w:caps w:val="false"/>
                <w:smallCaps w:val="false"/>
                <w:sz w:val="20"/>
              </w:rPr>
              <w:t>. Within our International Telecom segment, net (income) loss attributable to noncontrolling interests, net of tax increased by $0.8 million, or 34.8%, to an allocation of $3.1 million of income from an allocation of $2.3 million of income for the three months ended June 30, 2026 and 2025, respectively. The increase was the result of increased profitability at certain less than wholly owned subsidiaries.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Within our US Telecom segment, net (income) loss attributable to noncontrolling interests, net of tax increased by $20.6 million to an allocation of income of $16.1 million from an allocation of losses of $4.5 million for the three months ended June 30, 2026 and 2025. The increase was primarily the result of the gain recognized on the Tower Portfolio Transaction.</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Net income (loss) attributable to ATN International, Inc. stockholders.  </w:t>
      </w:r>
      <w:r>
        <w:rPr>
          <w:rFonts w:ascii="Times New Roman;Times;serif" w:hAnsi="Times New Roman;Times;serif"/>
          <w:sz w:val="20"/>
        </w:rPr>
        <w:t xml:space="preserve">Net income (loss) attributable to ATN International, Inc. stockholders was income of $167.3 million for the three months ended June 30, 2026 as compared to a loss of $7.0 million for the three months ended June 30, 2025.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a per diluted share basis, net income was $10.71 per diluted share for the three months ended June 30, 2026 as compared to a loss of $0.56 per diluted share for the three months ended June 30, 2025. Such per share amounts were negatively impacted by accrued preferred dividends of $1.6 million and $1.5 million for the three months ended June 30, 2026 and 2025, respectively.</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represents selected segment information for the six months ended June 30, 2026 and 2025 (in thousands):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5875"/>
        <w:gridCol w:w="346"/>
        <w:gridCol w:w="226"/>
        <w:gridCol w:w="840"/>
        <w:gridCol w:w="346"/>
        <w:gridCol w:w="211"/>
        <w:gridCol w:w="879"/>
        <w:gridCol w:w="346"/>
        <w:gridCol w:w="211"/>
        <w:gridCol w:w="925"/>
      </w:tblGrid>
      <w:tr>
        <w:trPr/>
        <w:tc>
          <w:tcPr>
            <w:tcW w:w="5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3730625" cy="175260"/>
                      <wp:effectExtent l="0" t="0" r="0" b="0"/>
                      <wp:wrapNone/>
                      <wp:docPr id="402" name="Frame402"/>
                      <a:graphic xmlns:a="http://schemas.openxmlformats.org/drawingml/2006/main">
                        <a:graphicData uri="http://schemas.microsoft.com/office/word/2010/wordprocessingShape">
                          <wps:wsp>
                            <wps:cNvSpPr txBox="1"/>
                            <wps:spPr>
                              <a:xfrm>
                                <a:off x="0" y="0"/>
                                <a:ext cx="3730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3"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43510" cy="175260"/>
                      <wp:effectExtent l="0" t="0" r="0" b="0"/>
                      <wp:wrapNone/>
                      <wp:docPr id="404" name="Frame40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533400" cy="175260"/>
                      <wp:effectExtent l="0" t="0" r="0" b="0"/>
                      <wp:wrapNone/>
                      <wp:docPr id="405" name="Frame405"/>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406"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33985" cy="175260"/>
                      <wp:effectExtent l="0" t="0" r="0" b="0"/>
                      <wp:wrapNone/>
                      <wp:docPr id="407" name="Frame4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558165" cy="175260"/>
                      <wp:effectExtent l="0" t="0" r="0" b="0"/>
                      <wp:wrapNone/>
                      <wp:docPr id="408" name="Frame408"/>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9"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3985" cy="175260"/>
                      <wp:effectExtent l="0" t="0" r="0" b="0"/>
                      <wp:wrapNone/>
                      <wp:docPr id="410" name="Frame4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587375" cy="175260"/>
                      <wp:effectExtent l="0" t="0" r="0" b="0"/>
                      <wp:wrapNone/>
                      <wp:docPr id="411" name="Frame411"/>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2026</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90"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center"/>
              <w:rPr/>
            </w:pPr>
            <w:r>
              <w:rPr/>
              <w:t>​</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10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136" w:type="dxa"/>
            <w:gridSpan w:val="2"/>
            <w:tcBorders/>
            <w:vAlign w:val="center"/>
          </w:tcPr>
          <w:p>
            <w:pPr>
              <w:pStyle w:val="TableContents"/>
              <w:bidi w:val="0"/>
              <w:spacing w:before="0" w:after="0"/>
              <w:ind w:left="0" w:right="0" w:hanging="0"/>
              <w:jc w:val="center"/>
              <w:rPr/>
            </w:pPr>
            <w:r>
              <w:rPr/>
              <w:t>​</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1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center"/>
              <w:rPr/>
            </w:pPr>
            <w:r>
              <w:rPr/>
              <w:t>​</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left"/>
              <w:rPr/>
            </w:pPr>
            <w:r>
              <w:rPr/>
              <w:t>​</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Business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10,337</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Consumer</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43,160</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Mobility</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53,497</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Business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97,779</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Consumer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127,771</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225,550</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72,429</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7,123</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Communication Services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358,599</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pPr>
            <w:r>
              <w:rPr/>
              <w:t>​</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7,344</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7,344</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174,468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366,722</w:t>
            </w:r>
          </w:p>
        </w:tc>
      </w:tr>
      <w:tr>
        <w:trPr/>
        <w:tc>
          <w:tcPr>
            <w:tcW w:w="58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pPr>
            <w:r>
              <w:rPr/>
              <w:t>​</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communication services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155,876</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101,504</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8,134</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reorganization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60,266</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 transfers and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(229,494)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(230,167)</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99,654</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Adjusted Income (loss) from operations by segment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225,929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267,068</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Adjusted Income (loss) from operations by segment to Income before income taxes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unallocated Corporate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15,648</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(21,345)</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(3,979)</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(24,691)</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226,729</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pPr>
            <w:r>
              <w:rPr/>
              <w:t>​</w:t>
            </w:r>
          </w:p>
        </w:tc>
      </w:tr>
      <w:tr>
        <w:trPr/>
        <w:tc>
          <w:tcPr>
            <w:tcW w:w="587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segment disclosures: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pPr>
            <w:r>
              <w:rPr/>
              <w:t>​</w:t>
            </w:r>
          </w:p>
        </w:tc>
      </w:tr>
      <w:tr>
        <w:trPr/>
        <w:tc>
          <w:tcPr>
            <w:tcW w:w="58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10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136" w:type="dxa"/>
            <w:gridSpan w:val="2"/>
            <w:tcBorders/>
            <w:vAlign w:val="center"/>
          </w:tcPr>
          <w:p>
            <w:pPr>
              <w:pStyle w:val="TableContents"/>
              <w:bidi w:val="0"/>
              <w:spacing w:before="0" w:after="0"/>
              <w:ind w:left="0" w:right="0" w:hanging="0"/>
              <w:jc w:val="center"/>
              <w:rPr/>
            </w:pPr>
            <w:r>
              <w:rPr/>
              <w:t>​</w:t>
            </w:r>
          </w:p>
        </w:tc>
      </w:tr>
      <w:tr>
        <w:trPr/>
        <w:tc>
          <w:tcPr>
            <w:tcW w:w="58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shd w:fill="CCEEFF" w:val="clear"/>
            <w:vAlign w:val="center"/>
          </w:tcPr>
          <w:p>
            <w:pPr>
              <w:pStyle w:val="TableContents"/>
              <w:bidi w:val="0"/>
              <w:spacing w:before="0" w:after="0"/>
              <w:ind w:left="0" w:right="0" w:hanging="0"/>
              <w:jc w:val="left"/>
              <w:rPr/>
            </w:pPr>
            <w:r>
              <w:rPr/>
              <w:t>​</w:t>
            </w:r>
          </w:p>
        </w:tc>
        <w:tc>
          <w:tcPr>
            <w:tcW w:w="109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shd w:fill="CCEEFF" w:val="clear"/>
            <w:vAlign w:val="center"/>
          </w:tcPr>
          <w:p>
            <w:pPr>
              <w:pStyle w:val="TableContents"/>
              <w:bidi w:val="0"/>
              <w:spacing w:before="0" w:after="0"/>
              <w:ind w:left="0" w:right="0" w:hanging="0"/>
              <w:jc w:val="left"/>
              <w:rPr/>
            </w:pPr>
            <w:r>
              <w:rPr/>
              <w:t>​</w:t>
            </w:r>
          </w:p>
        </w:tc>
        <w:tc>
          <w:tcPr>
            <w:tcW w:w="1136"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(18,560)</w:t>
            </w:r>
          </w:p>
        </w:tc>
      </w:tr>
    </w:tbl>
    <w:p>
      <w:pPr>
        <w:pStyle w:val="TextBody"/>
        <w:bidi w:val="0"/>
        <w:spacing w:before="28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6061"/>
        <w:gridCol w:w="346"/>
        <w:gridCol w:w="226"/>
        <w:gridCol w:w="840"/>
        <w:gridCol w:w="346"/>
        <w:gridCol w:w="211"/>
        <w:gridCol w:w="781"/>
        <w:gridCol w:w="346"/>
        <w:gridCol w:w="211"/>
        <w:gridCol w:w="837"/>
      </w:tblGrid>
      <w:tr>
        <w:trPr/>
        <w:tc>
          <w:tcPr>
            <w:tcW w:w="6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3848735" cy="175260"/>
                      <wp:effectExtent l="0" t="0" r="0" b="0"/>
                      <wp:wrapNone/>
                      <wp:docPr id="412" name="Frame412"/>
                      <a:graphic xmlns:a="http://schemas.openxmlformats.org/drawingml/2006/main">
                        <a:graphicData uri="http://schemas.microsoft.com/office/word/2010/wordprocessingShape">
                          <wps:wsp>
                            <wps:cNvSpPr txBox="1"/>
                            <wps:spPr>
                              <a:xfrm>
                                <a:off x="0" y="0"/>
                                <a:ext cx="3848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9710" cy="175260"/>
                      <wp:effectExtent l="0" t="0" r="0" b="0"/>
                      <wp:wrapNone/>
                      <wp:docPr id="413"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43510" cy="175260"/>
                      <wp:effectExtent l="0" t="0" r="0" b="0"/>
                      <wp:wrapNone/>
                      <wp:docPr id="414" name="Frame41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33400" cy="175260"/>
                      <wp:effectExtent l="0" t="0" r="0" b="0"/>
                      <wp:wrapNone/>
                      <wp:docPr id="415" name="Frame415"/>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19710" cy="175260"/>
                      <wp:effectExtent l="0" t="0" r="0" b="0"/>
                      <wp:wrapNone/>
                      <wp:docPr id="416" name="Frame4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33985" cy="175260"/>
                      <wp:effectExtent l="0" t="0" r="0" b="0"/>
                      <wp:wrapNone/>
                      <wp:docPr id="417" name="Frame4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495935" cy="175260"/>
                      <wp:effectExtent l="0" t="0" r="0" b="0"/>
                      <wp:wrapNone/>
                      <wp:docPr id="418" name="Frame4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9710" cy="175260"/>
                      <wp:effectExtent l="0" t="0" r="0" b="0"/>
                      <wp:wrapNone/>
                      <wp:docPr id="419" name="Frame4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33985" cy="175260"/>
                      <wp:effectExtent l="0" t="0" r="0" b="0"/>
                      <wp:wrapNone/>
                      <wp:docPr id="420" name="Frame4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31495" cy="175260"/>
                      <wp:effectExtent l="0" t="0" r="0" b="0"/>
                      <wp:wrapNone/>
                      <wp:docPr id="421" name="Frame421"/>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2025</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center"/>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048" w:type="dxa"/>
            <w:gridSpan w:val="2"/>
            <w:tcBorders/>
            <w:vAlign w:val="center"/>
          </w:tcPr>
          <w:p>
            <w:pPr>
              <w:pStyle w:val="TableContents"/>
              <w:bidi w:val="0"/>
              <w:spacing w:before="0" w:after="0"/>
              <w:ind w:left="0" w:right="0" w:hanging="0"/>
              <w:jc w:val="center"/>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vAlign w:val="center"/>
          </w:tcPr>
          <w:p>
            <w:pPr>
              <w:pStyle w:val="TableContents"/>
              <w:bidi w:val="0"/>
              <w:spacing w:before="0" w:after="0"/>
              <w:ind w:left="0" w:right="0" w:hanging="0"/>
              <w:jc w:val="left"/>
              <w:rPr/>
            </w:pPr>
            <w:r>
              <w:rPr/>
              <w:t>​</w:t>
            </w:r>
          </w:p>
        </w:tc>
        <w:tc>
          <w:tcPr>
            <w:tcW w:w="10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center"/>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Business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9,752</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Mobility - Consumer</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42,657</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Mobility</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52,409</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Business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95,008</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 Consumer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131,126</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Fixed</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226,134</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Carrier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66,359</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4,003</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Communication Services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186,633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348,905</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Managed Services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8,427</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8,427</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360,594</w:t>
            </w:r>
          </w:p>
        </w:tc>
      </w:tr>
      <w:tr>
        <w:trPr/>
        <w:tc>
          <w:tcPr>
            <w:tcW w:w="60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communication services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155,389</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3,684</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100,082</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reorganization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5,382</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66,665</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2,452</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disposition of assets, transfers and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3,434</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337,572</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Adjusted Income (loss) from operations by segment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23,022</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Adjusted Income (loss) from operations by segment to Loss before income taxes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unallocated Corporate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20,122</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(24,760)</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(3,158)</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(27,514)</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(24,614)</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segment disclosures: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048" w:type="dxa"/>
            <w:gridSpan w:val="2"/>
            <w:tcBorders/>
            <w:vAlign w:val="center"/>
          </w:tcPr>
          <w:p>
            <w:pPr>
              <w:pStyle w:val="TableContents"/>
              <w:bidi w:val="0"/>
              <w:spacing w:before="0" w:after="0"/>
              <w:ind w:left="0" w:right="0" w:hanging="0"/>
              <w:jc w:val="center"/>
              <w:rPr/>
            </w:pPr>
            <w:r>
              <w:rPr/>
              <w:t>​</w:t>
            </w:r>
          </w:p>
        </w:tc>
      </w:tr>
      <w:tr>
        <w:trPr/>
        <w:tc>
          <w:tcPr>
            <w:tcW w:w="60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shd w:fill="CCEEFF" w:val="clear"/>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346" w:type="dxa"/>
            <w:tcBorders/>
            <w:shd w:fill="CCEEFF" w:val="clear"/>
            <w:vAlign w:val="center"/>
          </w:tcPr>
          <w:p>
            <w:pPr>
              <w:pStyle w:val="TableContents"/>
              <w:bidi w:val="0"/>
              <w:spacing w:before="0" w:after="0"/>
              <w:ind w:left="0" w:right="0" w:hanging="0"/>
              <w:jc w:val="left"/>
              <w:rPr/>
            </w:pPr>
            <w:r>
              <w:rPr/>
              <w:t>​</w:t>
            </w:r>
          </w:p>
        </w:tc>
        <w:tc>
          <w:tcPr>
            <w:tcW w:w="1048"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4,693</w:t>
            </w:r>
          </w:p>
        </w:tc>
      </w:tr>
    </w:tbl>
    <w:p>
      <w:pPr>
        <w:pStyle w:val="TextBody"/>
        <w:bidi w:val="0"/>
        <w:spacing w:before="28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240"/>
        <w:ind w:left="0" w:right="0" w:firstLine="720"/>
        <w:jc w:val="left"/>
        <w:rPr>
          <w:rFonts w:ascii="Times New Roman;Times;serif" w:hAnsi="Times New Roman;Times;serif"/>
          <w:sz w:val="20"/>
        </w:rPr>
      </w:pPr>
      <w:r>
        <w:rPr>
          <w:rFonts w:ascii="Times New Roman;Times;serif" w:hAnsi="Times New Roman;Times;serif"/>
          <w:sz w:val="20"/>
        </w:rPr>
        <w:t>A comparison of our segment results for the six months ended June 30, 2026 and 2025 is as follows: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International Telecom.</w:t>
      </w:r>
      <w:r>
        <w:rPr>
          <w:rFonts w:ascii="Times New Roman;Times;serif" w:hAnsi="Times New Roman;Times;serif"/>
          <w:sz w:val="20"/>
        </w:rPr>
        <w:t xml:space="preserve"> Revenues within our International Telecom segment increased $2.9 million, or 1.5%, to $192.3 million from $189.4 million for the six months ended June 30, 2026 and 2025, respectively, primarily due to a $3.3 million increase in revenues from ancillary services and a $1.1 million increase in Mobility Services revenues as a result of an increase in subscribers, rates we charge our subscribers and equipment revenue within certain markets in this segment.  These increases were partially offset by a $2.0 million reduction in Fixed Services revenue due to a decline in the FCC’s High-Cost Support Program in the US Virgin Islands, which was terminated on December 31,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Operating expenses within our International Telecom segment decreased by $7.3 million, or 4.6%, to $151.1 million from $158.4 million for the six months ended June 30, 2026 and 2025, respectively.  The net decrease was primarily the result of certain cost savings initiatives, including reorganizations and reductions in force, that were implemented in the current and previous periods as well as a decrease in depreciation and amortization expenses as a result of a reduction in capital expenditures in recent periods.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result, our International Telecom segment’s operating income increased $10.1 million, or 32.6%, to $41.1 million from $31.0 million for the six months ended June 30, 2026 and 2025,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US Telecom</w:t>
      </w:r>
      <w:r>
        <w:rPr>
          <w:rFonts w:ascii="Times New Roman;Times;serif" w:hAnsi="Times New Roman;Times;serif"/>
          <w:sz w:val="20"/>
        </w:rPr>
        <w:t>.  Revenue within our US Telecom segment increased by $3.3 million, or 1.9%, to $174.5 million from $171.2 million for the six months ended June 30, 2026 and 2025, respectively, primarily as a result of a $5.7 million increase in Carrier Services revenue due to the transition of legacy roaming arrangements to carrier service management contracts and a $1.4 million increase in Fixed Services revenue as a result of increased revenue from certain government support programs in Alaska. Partially offsetting this increase was a decline in construction revenue of $2.4 million as a result of a decrease in the number of sites completed in 2026 as compared to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Operating expenses within our US Telecom segment decreased $230.7 million to $(51.5) million from $179.2 million for the six months ended June 30, 2026 and 2025, respectively. This decrease was primarily related to the $229.9 million gain recorded in connection with the Tower Portfolio Transaction, a reduction in the cost of construction revenue and the impact of certain cost savings initiatives, including the reorganizations and reductions in force, that were implemented in the current and previous periods. These decreases were partially offset by increases in this segment’s leasing costs, as a result of the impact of the Tower Portfolio Transactions, as well as an increase in transport costs.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 result of the above, our US Telecom segment’s operating income (loss) increased to income of $225.9 million from a loss of $7.9 million for the six months ended June 30, 2026 and 2025,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represents a year over year discussion and analysis of our results of operations for the six months ended June 30, 2026 and 2025 (in thousands):</w:t>
      </w:r>
    </w:p>
    <w:tbl>
      <w:tblPr>
        <w:tblW w:w="10205" w:type="dxa"/>
        <w:jc w:val="left"/>
        <w:tblInd w:w="0" w:type="dxa"/>
        <w:tblLayout w:type="fixed"/>
        <w:tblCellMar>
          <w:top w:w="0" w:type="dxa"/>
          <w:left w:w="0" w:type="dxa"/>
          <w:bottom w:w="0" w:type="dxa"/>
          <w:right w:w="0" w:type="dxa"/>
        </w:tblCellMar>
      </w:tblPr>
      <w:tblGrid>
        <w:gridCol w:w="4437"/>
        <w:gridCol w:w="346"/>
        <w:gridCol w:w="211"/>
        <w:gridCol w:w="862"/>
        <w:gridCol w:w="346"/>
        <w:gridCol w:w="211"/>
        <w:gridCol w:w="786"/>
        <w:gridCol w:w="346"/>
        <w:gridCol w:w="211"/>
        <w:gridCol w:w="862"/>
        <w:gridCol w:w="346"/>
        <w:gridCol w:w="832"/>
        <w:gridCol w:w="409"/>
      </w:tblGrid>
      <w:tr>
        <w:trPr/>
        <w:tc>
          <w:tcPr>
            <w:tcW w:w="4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817495" cy="175260"/>
                      <wp:effectExtent l="0" t="0" r="0" b="0"/>
                      <wp:wrapNone/>
                      <wp:docPr id="422" name="Frame422"/>
                      <a:graphic xmlns:a="http://schemas.openxmlformats.org/drawingml/2006/main">
                        <a:graphicData uri="http://schemas.microsoft.com/office/word/2010/wordprocessingShape">
                          <wps:wsp>
                            <wps:cNvSpPr txBox="1"/>
                            <wps:spPr>
                              <a:xfrm>
                                <a:off x="0" y="0"/>
                                <a:ext cx="281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3" name="Frame4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33985" cy="175260"/>
                      <wp:effectExtent l="0" t="0" r="0" b="0"/>
                      <wp:wrapNone/>
                      <wp:docPr id="424" name="Frame4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547370" cy="175260"/>
                      <wp:effectExtent l="0" t="0" r="0" b="0"/>
                      <wp:wrapNone/>
                      <wp:docPr id="425" name="Frame425"/>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26" name="Frame4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33985" cy="175260"/>
                      <wp:effectExtent l="0" t="0" r="0" b="0"/>
                      <wp:wrapNone/>
                      <wp:docPr id="427" name="Frame4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99110" cy="175260"/>
                      <wp:effectExtent l="0" t="0" r="0" b="0"/>
                      <wp:wrapNone/>
                      <wp:docPr id="428" name="Frame428"/>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9"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3985" cy="175260"/>
                      <wp:effectExtent l="0" t="0" r="0" b="0"/>
                      <wp:wrapNone/>
                      <wp:docPr id="430" name="Frame4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547370" cy="175260"/>
                      <wp:effectExtent l="0" t="0" r="0" b="0"/>
                      <wp:wrapNone/>
                      <wp:docPr id="431" name="Frame431"/>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32" name="Frame4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528320" cy="175260"/>
                      <wp:effectExtent l="0" t="0" r="0" b="0"/>
                      <wp:wrapNone/>
                      <wp:docPr id="433" name="Frame433"/>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59715" cy="175260"/>
                      <wp:effectExtent l="0" t="0" r="0" b="0"/>
                      <wp:wrapNone/>
                      <wp:docPr id="434" name="Frame434"/>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107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w:t>
            </w:r>
          </w:p>
        </w:tc>
        <w:tc>
          <w:tcPr>
            <w:tcW w:w="346"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409" w:type="dxa"/>
            <w:tcBorders/>
            <w:vAlign w:val="center"/>
          </w:tcPr>
          <w:p>
            <w:pPr>
              <w:pStyle w:val="TableContents"/>
              <w:bidi w:val="0"/>
              <w:spacing w:before="0" w:after="0"/>
              <w:ind w:left="0" w:right="0" w:hanging="0"/>
              <w:jc w:val="left"/>
              <w:rPr/>
            </w:pPr>
            <w:r>
              <w:rPr/>
              <w:t> </w:t>
            </w:r>
          </w:p>
        </w:tc>
      </w:tr>
      <w:tr>
        <w:trPr/>
        <w:tc>
          <w:tcPr>
            <w:tcW w:w="44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07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409" w:type="dxa"/>
            <w:tcBorders/>
            <w:vAlign w:val="center"/>
          </w:tcPr>
          <w:p>
            <w:pPr>
              <w:pStyle w:val="TableContents"/>
              <w:bidi w:val="0"/>
              <w:spacing w:before="0" w:after="0"/>
              <w:ind w:left="0" w:right="0" w:hanging="0"/>
              <w:jc w:val="left"/>
              <w:rPr/>
            </w:pPr>
            <w:r>
              <w:rPr/>
              <w:t> </w:t>
            </w:r>
          </w:p>
        </w:tc>
      </w:tr>
      <w:tr>
        <w:trPr/>
        <w:tc>
          <w:tcPr>
            <w:tcW w:w="44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409" w:type="dxa"/>
            <w:tcBorders/>
            <w:vAlign w:val="center"/>
          </w:tcPr>
          <w:p>
            <w:pPr>
              <w:pStyle w:val="TableContents"/>
              <w:bidi w:val="0"/>
              <w:spacing w:before="0" w:after="0"/>
              <w:ind w:left="0" w:right="0" w:hanging="0"/>
              <w:jc w:val="left"/>
              <w:rPr/>
            </w:pPr>
            <w:r>
              <w:rPr/>
              <w:t> </w:t>
            </w:r>
          </w:p>
        </w:tc>
      </w:tr>
      <w:tr>
        <w:trPr/>
        <w:tc>
          <w:tcPr>
            <w:tcW w:w="44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w:t>
            </w:r>
          </w:p>
        </w:tc>
        <w:tc>
          <w:tcPr>
            <w:tcW w:w="86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6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center"/>
              <w:rPr/>
            </w:pPr>
            <w:r>
              <w:rPr/>
              <w:t>​</w:t>
            </w:r>
          </w:p>
        </w:tc>
        <w:tc>
          <w:tcPr>
            <w:tcW w:w="409" w:type="dxa"/>
            <w:tcBorders/>
            <w:vAlign w:val="center"/>
          </w:tcPr>
          <w:p>
            <w:pPr>
              <w:pStyle w:val="TableContents"/>
              <w:bidi w:val="0"/>
              <w:spacing w:before="0" w:after="0"/>
              <w:ind w:left="0" w:right="0" w:hanging="0"/>
              <w:jc w:val="left"/>
              <w:rPr/>
            </w:pPr>
            <w:r>
              <w:rPr/>
              <w:t>​</w:t>
            </w:r>
          </w:p>
        </w:tc>
      </w:tr>
      <w:tr>
        <w:trPr/>
        <w:tc>
          <w:tcPr>
            <w:tcW w:w="443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832" w:type="dxa"/>
            <w:tcBorders/>
            <w:shd w:fill="CCEEFF" w:val="clear"/>
            <w:vAlign w:val="center"/>
          </w:tcPr>
          <w:p>
            <w:pPr>
              <w:pStyle w:val="TableContents"/>
              <w:bidi w:val="0"/>
              <w:spacing w:before="0" w:after="0"/>
              <w:ind w:left="0" w:right="0" w:hanging="0"/>
              <w:jc w:val="left"/>
              <w:rPr/>
            </w:pPr>
            <w:r>
              <w:rPr/>
              <w:t>  ​ ​ ​</w:t>
            </w:r>
          </w:p>
        </w:tc>
        <w:tc>
          <w:tcPr>
            <w:tcW w:w="409" w:type="dxa"/>
            <w:tcBorders/>
            <w:shd w:fill="CCEEFF" w:val="clear"/>
            <w:vAlign w:val="center"/>
          </w:tcPr>
          <w:p>
            <w:pPr>
              <w:pStyle w:val="TableContents"/>
              <w:bidi w:val="0"/>
              <w:spacing w:before="0" w:after="0"/>
              <w:ind w:left="0" w:right="0" w:hanging="0"/>
              <w:jc w:val="left"/>
              <w:rPr/>
            </w:pPr>
            <w:r>
              <w:rPr/>
              <w:t>​</w:t>
            </w:r>
          </w:p>
        </w:tc>
      </w:tr>
      <w:tr>
        <w:trPr/>
        <w:tc>
          <w:tcPr>
            <w:tcW w:w="44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 services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358,599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348,905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9,694</w:t>
            </w:r>
          </w:p>
        </w:tc>
        <w:tc>
          <w:tcPr>
            <w:tcW w:w="346" w:type="dxa"/>
            <w:tcBorders/>
            <w:vAlign w:val="center"/>
          </w:tcPr>
          <w:p>
            <w:pPr>
              <w:pStyle w:val="TableContents"/>
              <w:bidi w:val="0"/>
              <w:spacing w:before="0" w:after="0"/>
              <w:ind w:left="0" w:right="0" w:hanging="0"/>
              <w:jc w:val="left"/>
              <w:rPr/>
            </w:pPr>
            <w:r>
              <w:rPr/>
              <w:t> </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w:t>
            </w:r>
          </w:p>
        </w:tc>
        <w:tc>
          <w:tcPr>
            <w:tcW w:w="346" w:type="dxa"/>
            <w:tcBorders/>
            <w:shd w:fill="CCEEFF" w:val="clear"/>
            <w:vAlign w:val="center"/>
          </w:tcPr>
          <w:p>
            <w:pPr>
              <w:pStyle w:val="TableContents"/>
              <w:bidi w:val="0"/>
              <w:spacing w:before="0" w:after="0"/>
              <w:ind w:left="0" w:right="0" w:hanging="0"/>
              <w:jc w:val="left"/>
              <w:rPr/>
            </w:pPr>
            <w:r>
              <w:rPr/>
              <w:t> </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409" w:type="dxa"/>
            <w:tcBorders/>
            <w:shd w:fill="CCEEFF" w:val="clear"/>
            <w:vAlign w:val="center"/>
          </w:tcPr>
          <w:p>
            <w:pPr>
              <w:pStyle w:val="TableContents"/>
              <w:bidi w:val="0"/>
              <w:spacing w:before="0" w:after="0"/>
              <w:ind w:left="0" w:right="0" w:hanging="0"/>
              <w:jc w:val="left"/>
              <w:rPr/>
            </w:pPr>
            <w:r>
              <w:rPr/>
              <w:t>​</w:t>
            </w:r>
          </w:p>
        </w:tc>
      </w:tr>
      <w:tr>
        <w:trPr/>
        <w:tc>
          <w:tcPr>
            <w:tcW w:w="44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c>
          <w:tcPr>
            <w:tcW w:w="346" w:type="dxa"/>
            <w:tcBorders/>
            <w:vAlign w:val="center"/>
          </w:tcPr>
          <w:p>
            <w:pPr>
              <w:pStyle w:val="TableContents"/>
              <w:bidi w:val="0"/>
              <w:spacing w:before="0" w:after="0"/>
              <w:ind w:left="0" w:right="0" w:hanging="0"/>
              <w:jc w:val="left"/>
              <w:rPr/>
            </w:pPr>
            <w:r>
              <w:rPr/>
              <w:t> </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409" w:type="dxa"/>
            <w:tcBorders/>
            <w:vAlign w:val="center"/>
          </w:tcPr>
          <w:p>
            <w:pPr>
              <w:pStyle w:val="TableContents"/>
              <w:bidi w:val="0"/>
              <w:spacing w:before="0" w:after="0"/>
              <w:ind w:left="0" w:right="0" w:hanging="0"/>
              <w:jc w:val="left"/>
              <w:rPr/>
            </w:pPr>
            <w:r>
              <w:rPr/>
              <w:t>​</w:t>
            </w:r>
          </w:p>
        </w:tc>
      </w:tr>
      <w:tr>
        <w:trPr/>
        <w:tc>
          <w:tcPr>
            <w:tcW w:w="4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366,722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360,594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6,128</w:t>
            </w:r>
          </w:p>
        </w:tc>
        <w:tc>
          <w:tcPr>
            <w:tcW w:w="346" w:type="dxa"/>
            <w:tcBorders/>
            <w:shd w:fill="CCEEFF" w:val="cle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09" w:type="dxa"/>
            <w:tcBorders/>
            <w:shd w:fill="CCEEFF" w:val="clear"/>
            <w:vAlign w:val="center"/>
          </w:tcPr>
          <w:p>
            <w:pPr>
              <w:pStyle w:val="TableContents"/>
              <w:bidi w:val="0"/>
              <w:spacing w:before="0" w:after="0"/>
              <w:ind w:left="0" w:right="0" w:hanging="0"/>
              <w:jc w:val="left"/>
              <w:rPr/>
            </w:pPr>
            <w:r>
              <w:rPr/>
              <w:t>​</w:t>
            </w:r>
          </w:p>
        </w:tc>
      </w:tr>
      <w:tr>
        <w:trPr/>
        <w:tc>
          <w:tcPr>
            <w:tcW w:w="44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OPERATING EXPENSES</w:t>
            </w:r>
            <w:r>
              <w:rPr>
                <w:rFonts w:ascii="Times New Roman;Times;serif" w:hAnsi="Times New Roman;Times;serif"/>
                <w:sz w:val="20"/>
              </w:rPr>
              <w:t xml:space="preserve"> (</w:t>
            </w:r>
            <w:r>
              <w:rPr>
                <w:rFonts w:ascii="Times New Roman;Times;serif" w:hAnsi="Times New Roman;Times;serif"/>
                <w:i/>
                <w:sz w:val="20"/>
              </w:rPr>
              <w:t>excluding depreciation and amortization unless otherwise indicated</w:t>
            </w: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r>
      <w:tr>
        <w:trPr/>
        <w:tc>
          <w:tcPr>
            <w:tcW w:w="4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communication services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155,389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346" w:type="dxa"/>
            <w:tcBorders/>
            <w:shd w:fill="CCEEFF" w:val="clear"/>
            <w:vAlign w:val="center"/>
          </w:tcPr>
          <w:p>
            <w:pPr>
              <w:pStyle w:val="TableContents"/>
              <w:bidi w:val="0"/>
              <w:spacing w:before="0" w:after="0"/>
              <w:ind w:left="0" w:right="0" w:hanging="0"/>
              <w:jc w:val="left"/>
              <w:rPr/>
            </w:pPr>
            <w:r>
              <w:rPr/>
              <w:t> </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409" w:type="dxa"/>
            <w:tcBorders/>
            <w:shd w:fill="CCEEFF" w:val="clear"/>
            <w:vAlign w:val="center"/>
          </w:tcPr>
          <w:p>
            <w:pPr>
              <w:pStyle w:val="TableContents"/>
              <w:bidi w:val="0"/>
              <w:spacing w:before="0" w:after="0"/>
              <w:ind w:left="0" w:right="0" w:hanging="0"/>
              <w:jc w:val="left"/>
              <w:rPr/>
            </w:pPr>
            <w:r>
              <w:rPr/>
              <w:t>​</w:t>
            </w:r>
          </w:p>
        </w:tc>
      </w:tr>
      <w:tr>
        <w:trPr/>
        <w:tc>
          <w:tcPr>
            <w:tcW w:w="44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construction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w:t>
            </w:r>
          </w:p>
        </w:tc>
        <w:tc>
          <w:tcPr>
            <w:tcW w:w="346"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w:t>
            </w:r>
          </w:p>
        </w:tc>
        <w:tc>
          <w:tcPr>
            <w:tcW w:w="409" w:type="dxa"/>
            <w:tcBorders/>
            <w:vAlign w:val="center"/>
          </w:tcPr>
          <w:p>
            <w:pPr>
              <w:pStyle w:val="TableContents"/>
              <w:bidi w:val="0"/>
              <w:spacing w:before="0" w:after="0"/>
              <w:ind w:left="0" w:right="0" w:hanging="0"/>
              <w:jc w:val="left"/>
              <w:rPr/>
            </w:pPr>
            <w:r>
              <w:rPr/>
              <w:t>​</w:t>
            </w:r>
          </w:p>
        </w:tc>
      </w:tr>
      <w:tr>
        <w:trPr/>
        <w:tc>
          <w:tcPr>
            <w:tcW w:w="4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0"/>
              <w:ind w:left="0" w:right="0" w:hanging="0"/>
              <w:jc w:val="left"/>
              <w:rPr/>
            </w:pPr>
            <w:r>
              <w:rPr/>
              <w:t> </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09" w:type="dxa"/>
            <w:tcBorders/>
            <w:shd w:fill="CCEEFF" w:val="clear"/>
            <w:vAlign w:val="center"/>
          </w:tcPr>
          <w:p>
            <w:pPr>
              <w:pStyle w:val="TableContents"/>
              <w:bidi w:val="0"/>
              <w:spacing w:before="0" w:after="0"/>
              <w:ind w:left="0" w:right="0" w:hanging="0"/>
              <w:jc w:val="left"/>
              <w:rPr/>
            </w:pPr>
            <w:r>
              <w:rPr/>
              <w:t>​</w:t>
            </w:r>
          </w:p>
        </w:tc>
      </w:tr>
      <w:tr>
        <w:trPr/>
        <w:tc>
          <w:tcPr>
            <w:tcW w:w="44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w:t>
            </w:r>
          </w:p>
        </w:tc>
        <w:tc>
          <w:tcPr>
            <w:tcW w:w="346"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409" w:type="dxa"/>
            <w:tcBorders/>
            <w:vAlign w:val="center"/>
          </w:tcPr>
          <w:p>
            <w:pPr>
              <w:pStyle w:val="TableContents"/>
              <w:bidi w:val="0"/>
              <w:spacing w:before="0" w:after="0"/>
              <w:ind w:left="0" w:right="0" w:hanging="0"/>
              <w:jc w:val="left"/>
              <w:rPr/>
            </w:pPr>
            <w:r>
              <w:rPr/>
              <w:t>​</w:t>
            </w:r>
          </w:p>
        </w:tc>
      </w:tr>
      <w:tr>
        <w:trPr/>
        <w:tc>
          <w:tcPr>
            <w:tcW w:w="4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Transaction-related charges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5,524</w:t>
            </w:r>
          </w:p>
        </w:tc>
        <w:tc>
          <w:tcPr>
            <w:tcW w:w="346" w:type="dxa"/>
            <w:tcBorders/>
            <w:shd w:fill="CCEEFF" w:val="clear"/>
            <w:vAlign w:val="center"/>
          </w:tcPr>
          <w:p>
            <w:pPr>
              <w:pStyle w:val="TableContents"/>
              <w:bidi w:val="0"/>
              <w:spacing w:before="0" w:after="0"/>
              <w:ind w:left="0" w:right="0" w:hanging="0"/>
              <w:jc w:val="left"/>
              <w:rPr/>
            </w:pPr>
            <w:r>
              <w:rPr/>
              <w:t> </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339.3</w:t>
            </w:r>
          </w:p>
        </w:tc>
        <w:tc>
          <w:tcPr>
            <w:tcW w:w="409" w:type="dxa"/>
            <w:tcBorders/>
            <w:shd w:fill="CCEEFF" w:val="clear"/>
            <w:vAlign w:val="center"/>
          </w:tcPr>
          <w:p>
            <w:pPr>
              <w:pStyle w:val="TableContents"/>
              <w:bidi w:val="0"/>
              <w:spacing w:before="0" w:after="0"/>
              <w:ind w:left="0" w:right="0" w:hanging="0"/>
              <w:jc w:val="left"/>
              <w:rPr/>
            </w:pPr>
            <w:r>
              <w:rPr/>
              <w:t>​</w:t>
            </w:r>
          </w:p>
        </w:tc>
      </w:tr>
      <w:tr>
        <w:trPr/>
        <w:tc>
          <w:tcPr>
            <w:tcW w:w="44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reorganization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(2,428)</w:t>
            </w:r>
          </w:p>
        </w:tc>
        <w:tc>
          <w:tcPr>
            <w:tcW w:w="346"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409" w:type="dxa"/>
            <w:tcBorders/>
            <w:vAlign w:val="center"/>
          </w:tcPr>
          <w:p>
            <w:pPr>
              <w:pStyle w:val="TableContents"/>
              <w:bidi w:val="0"/>
              <w:spacing w:before="0" w:after="0"/>
              <w:ind w:left="0" w:right="0" w:hanging="0"/>
              <w:jc w:val="left"/>
              <w:rPr/>
            </w:pPr>
            <w:r>
              <w:rPr/>
              <w:t>​</w:t>
            </w:r>
          </w:p>
        </w:tc>
      </w:tr>
      <w:tr>
        <w:trPr/>
        <w:tc>
          <w:tcPr>
            <w:tcW w:w="4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Depreciation and amortization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(7,074)</w:t>
            </w:r>
          </w:p>
        </w:tc>
        <w:tc>
          <w:tcPr>
            <w:tcW w:w="346" w:type="dxa"/>
            <w:tcBorders/>
            <w:shd w:fill="CCEEFF" w:val="clear"/>
            <w:vAlign w:val="center"/>
          </w:tcPr>
          <w:p>
            <w:pPr>
              <w:pStyle w:val="TableContents"/>
              <w:bidi w:val="0"/>
              <w:spacing w:before="0" w:after="0"/>
              <w:ind w:left="0" w:right="0" w:hanging="0"/>
              <w:jc w:val="left"/>
              <w:rPr/>
            </w:pPr>
            <w:r>
              <w:rPr/>
              <w:t> </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409" w:type="dxa"/>
            <w:tcBorders/>
            <w:shd w:fill="CCEEFF" w:val="clear"/>
            <w:vAlign w:val="center"/>
          </w:tcPr>
          <w:p>
            <w:pPr>
              <w:pStyle w:val="TableContents"/>
              <w:bidi w:val="0"/>
              <w:spacing w:before="0" w:after="0"/>
              <w:ind w:left="0" w:right="0" w:hanging="0"/>
              <w:jc w:val="left"/>
              <w:rPr/>
            </w:pPr>
            <w:r>
              <w:rPr/>
              <w:t>​</w:t>
            </w:r>
          </w:p>
        </w:tc>
      </w:tr>
      <w:tr>
        <w:trPr/>
        <w:tc>
          <w:tcPr>
            <w:tcW w:w="44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from acquisitions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w:t>
            </w:r>
          </w:p>
        </w:tc>
        <w:tc>
          <w:tcPr>
            <w:tcW w:w="346" w:type="dxa"/>
            <w:tcBorders/>
            <w:vAlign w:val="center"/>
          </w:tcPr>
          <w:p>
            <w:pPr>
              <w:pStyle w:val="TableContents"/>
              <w:bidi w:val="0"/>
              <w:spacing w:before="0" w:after="0"/>
              <w:ind w:left="0" w:right="0" w:hanging="0"/>
              <w:jc w:val="left"/>
              <w:rPr/>
            </w:pPr>
            <w:r>
              <w:rPr/>
              <w:t> </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c>
          <w:tcPr>
            <w:tcW w:w="409" w:type="dxa"/>
            <w:tcBorders/>
            <w:vAlign w:val="center"/>
          </w:tcPr>
          <w:p>
            <w:pPr>
              <w:pStyle w:val="TableContents"/>
              <w:bidi w:val="0"/>
              <w:spacing w:before="0" w:after="0"/>
              <w:ind w:left="0" w:right="0" w:hanging="0"/>
              <w:jc w:val="left"/>
              <w:rPr/>
            </w:pPr>
            <w:r>
              <w:rPr/>
              <w:t>​</w:t>
            </w:r>
          </w:p>
        </w:tc>
      </w:tr>
      <w:tr>
        <w:trPr/>
        <w:tc>
          <w:tcPr>
            <w:tcW w:w="4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 transfers and contingent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(233,592)</w:t>
            </w:r>
          </w:p>
        </w:tc>
        <w:tc>
          <w:tcPr>
            <w:tcW w:w="346" w:type="dxa"/>
            <w:tcBorders/>
            <w:shd w:fill="CCEEFF" w:val="cle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(6,802.3)</w:t>
            </w:r>
          </w:p>
        </w:tc>
        <w:tc>
          <w:tcPr>
            <w:tcW w:w="409" w:type="dxa"/>
            <w:tcBorders/>
            <w:shd w:fill="CCEEFF" w:val="clear"/>
            <w:vAlign w:val="center"/>
          </w:tcPr>
          <w:p>
            <w:pPr>
              <w:pStyle w:val="TableContents"/>
              <w:bidi w:val="0"/>
              <w:spacing w:before="0" w:after="0"/>
              <w:ind w:left="0" w:right="0" w:hanging="0"/>
              <w:jc w:val="left"/>
              <w:rPr/>
            </w:pPr>
            <w:r>
              <w:rPr/>
              <w:t>​</w:t>
            </w:r>
          </w:p>
        </w:tc>
      </w:tr>
      <w:tr>
        <w:trPr/>
        <w:tc>
          <w:tcPr>
            <w:tcW w:w="44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357,694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(242,392)</w:t>
            </w:r>
          </w:p>
        </w:tc>
        <w:tc>
          <w:tcPr>
            <w:tcW w:w="346" w:type="dxa"/>
            <w:tcBorders/>
            <w:vAlign w:val="center"/>
          </w:tcPr>
          <w:p>
            <w:pPr>
              <w:pStyle w:val="TableContents"/>
              <w:bidi w:val="0"/>
              <w:spacing w:before="0" w:after="0"/>
              <w:ind w:left="0" w:right="0" w:hanging="0"/>
              <w:jc w:val="left"/>
              <w:rPr/>
            </w:pPr>
            <w:r>
              <w:rPr/>
              <w:t> </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409" w:type="dxa"/>
            <w:tcBorders/>
            <w:vAlign w:val="center"/>
          </w:tcPr>
          <w:p>
            <w:pPr>
              <w:pStyle w:val="TableContents"/>
              <w:bidi w:val="0"/>
              <w:spacing w:before="0" w:after="0"/>
              <w:ind w:left="0" w:right="0" w:hanging="0"/>
              <w:jc w:val="left"/>
              <w:rPr/>
            </w:pPr>
            <w:r>
              <w:rPr/>
              <w:t>​</w:t>
            </w:r>
          </w:p>
        </w:tc>
      </w:tr>
      <w:tr>
        <w:trPr/>
        <w:tc>
          <w:tcPr>
            <w:tcW w:w="4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248,520</w:t>
            </w:r>
          </w:p>
        </w:tc>
        <w:tc>
          <w:tcPr>
            <w:tcW w:w="346" w:type="dxa"/>
            <w:tcBorders/>
            <w:shd w:fill="CCEEFF" w:val="cle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8,569.7</w:t>
            </w:r>
          </w:p>
        </w:tc>
        <w:tc>
          <w:tcPr>
            <w:tcW w:w="409" w:type="dxa"/>
            <w:tcBorders/>
            <w:shd w:fill="CCEEFF" w:val="clear"/>
            <w:vAlign w:val="center"/>
          </w:tcPr>
          <w:p>
            <w:pPr>
              <w:pStyle w:val="TableContents"/>
              <w:bidi w:val="0"/>
              <w:spacing w:before="0" w:after="0"/>
              <w:ind w:left="0" w:right="0" w:hanging="0"/>
              <w:jc w:val="left"/>
              <w:rPr/>
            </w:pPr>
            <w:r>
              <w:rPr/>
              <w:t>​</w:t>
            </w:r>
          </w:p>
        </w:tc>
      </w:tr>
      <w:tr>
        <w:trPr/>
        <w:tc>
          <w:tcPr>
            <w:tcW w:w="443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r>
      <w:tr>
        <w:trPr/>
        <w:tc>
          <w:tcPr>
            <w:tcW w:w="4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shd w:fill="CCEEFF" w:val="clear"/>
            <w:vAlign w:val="center"/>
          </w:tcPr>
          <w:p>
            <w:pPr>
              <w:pStyle w:val="TableContents"/>
              <w:bidi w:val="0"/>
              <w:spacing w:before="0" w:after="0"/>
              <w:ind w:left="0" w:right="0" w:hanging="0"/>
              <w:jc w:val="left"/>
              <w:rPr/>
            </w:pPr>
            <w:r>
              <w:rPr/>
              <w:t> </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c>
          <w:tcPr>
            <w:tcW w:w="409" w:type="dxa"/>
            <w:tcBorders/>
            <w:shd w:fill="CCEEFF" w:val="clear"/>
            <w:vAlign w:val="center"/>
          </w:tcPr>
          <w:p>
            <w:pPr>
              <w:pStyle w:val="TableContents"/>
              <w:bidi w:val="0"/>
              <w:spacing w:before="0" w:after="0"/>
              <w:ind w:left="0" w:right="0" w:hanging="0"/>
              <w:jc w:val="left"/>
              <w:rPr/>
            </w:pPr>
            <w:r>
              <w:rPr/>
              <w:t>​</w:t>
            </w:r>
          </w:p>
        </w:tc>
      </w:tr>
      <w:tr>
        <w:trPr/>
        <w:tc>
          <w:tcPr>
            <w:tcW w:w="44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3,415</w:t>
            </w:r>
          </w:p>
        </w:tc>
        <w:tc>
          <w:tcPr>
            <w:tcW w:w="346" w:type="dxa"/>
            <w:tcBorders/>
            <w:vAlign w:val="center"/>
          </w:tcPr>
          <w:p>
            <w:pPr>
              <w:pStyle w:val="TableContents"/>
              <w:bidi w:val="0"/>
              <w:spacing w:before="0" w:after="0"/>
              <w:ind w:left="0" w:right="0" w:hanging="0"/>
              <w:jc w:val="left"/>
              <w:rPr/>
            </w:pPr>
            <w:r>
              <w:rPr/>
              <w:t> </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409" w:type="dxa"/>
            <w:tcBorders/>
            <w:vAlign w:val="center"/>
          </w:tcPr>
          <w:p>
            <w:pPr>
              <w:pStyle w:val="TableContents"/>
              <w:bidi w:val="0"/>
              <w:spacing w:before="0" w:after="0"/>
              <w:ind w:left="0" w:right="0" w:hanging="0"/>
              <w:jc w:val="left"/>
              <w:rPr/>
            </w:pPr>
            <w:r>
              <w:rPr/>
              <w:t>​</w:t>
            </w:r>
          </w:p>
        </w:tc>
      </w:tr>
      <w:tr>
        <w:trPr/>
        <w:tc>
          <w:tcPr>
            <w:tcW w:w="4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c>
          <w:tcPr>
            <w:tcW w:w="346" w:type="dxa"/>
            <w:tcBorders/>
            <w:shd w:fill="CCEEFF" w:val="cle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409" w:type="dxa"/>
            <w:tcBorders/>
            <w:shd w:fill="CCEEFF" w:val="clear"/>
            <w:vAlign w:val="center"/>
          </w:tcPr>
          <w:p>
            <w:pPr>
              <w:pStyle w:val="TableContents"/>
              <w:bidi w:val="0"/>
              <w:spacing w:before="0" w:after="0"/>
              <w:ind w:left="0" w:right="0" w:hanging="0"/>
              <w:jc w:val="left"/>
              <w:rPr/>
            </w:pPr>
            <w:r>
              <w:rPr/>
              <w:t>​</w:t>
            </w:r>
          </w:p>
        </w:tc>
      </w:tr>
      <w:tr>
        <w:trPr/>
        <w:tc>
          <w:tcPr>
            <w:tcW w:w="44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2,823</w:t>
            </w:r>
          </w:p>
        </w:tc>
        <w:tc>
          <w:tcPr>
            <w:tcW w:w="346" w:type="dxa"/>
            <w:tcBorders/>
            <w:vAlign w:val="center"/>
          </w:tcPr>
          <w:p>
            <w:pPr>
              <w:pStyle w:val="TableContents"/>
              <w:bidi w:val="0"/>
              <w:spacing w:before="0" w:after="0"/>
              <w:ind w:left="0" w:right="0" w:hanging="0"/>
              <w:jc w:val="left"/>
              <w:rPr/>
            </w:pPr>
            <w:r>
              <w:rPr/>
              <w:t> </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409" w:type="dxa"/>
            <w:tcBorders/>
            <w:vAlign w:val="center"/>
          </w:tcPr>
          <w:p>
            <w:pPr>
              <w:pStyle w:val="TableContents"/>
              <w:bidi w:val="0"/>
              <w:spacing w:before="0" w:after="0"/>
              <w:ind w:left="0" w:right="0" w:hanging="0"/>
              <w:jc w:val="left"/>
              <w:rPr/>
            </w:pPr>
            <w:r>
              <w:rPr/>
              <w:t>​</w:t>
            </w:r>
          </w:p>
        </w:tc>
      </w:tr>
      <w:tr>
        <w:trPr/>
        <w:tc>
          <w:tcPr>
            <w:tcW w:w="443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251,343</w:t>
            </w:r>
          </w:p>
        </w:tc>
        <w:tc>
          <w:tcPr>
            <w:tcW w:w="346" w:type="dxa"/>
            <w:tcBorders/>
            <w:shd w:fill="CCEEFF" w:val="clear"/>
            <w:vAlign w:val="center"/>
          </w:tcPr>
          <w:p>
            <w:pPr>
              <w:pStyle w:val="TableContents"/>
              <w:bidi w:val="0"/>
              <w:spacing w:before="0" w:after="0"/>
              <w:ind w:left="0" w:right="0" w:hanging="0"/>
              <w:jc w:val="left"/>
              <w:rPr/>
            </w:pPr>
            <w:r>
              <w:rPr/>
              <w:t> </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(1,021.1)</w:t>
            </w:r>
          </w:p>
        </w:tc>
        <w:tc>
          <w:tcPr>
            <w:tcW w:w="409" w:type="dxa"/>
            <w:tcBorders/>
            <w:shd w:fill="CCEEFF" w:val="clear"/>
            <w:vAlign w:val="center"/>
          </w:tcPr>
          <w:p>
            <w:pPr>
              <w:pStyle w:val="TableContents"/>
              <w:bidi w:val="0"/>
              <w:spacing w:before="0" w:after="0"/>
              <w:ind w:left="0" w:right="0" w:hanging="0"/>
              <w:jc w:val="left"/>
              <w:rPr/>
            </w:pPr>
            <w:r>
              <w:rPr/>
              <w:t>​</w:t>
            </w:r>
          </w:p>
        </w:tc>
      </w:tr>
      <w:tr>
        <w:trPr/>
        <w:tc>
          <w:tcPr>
            <w:tcW w:w="44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47,645</w:t>
            </w:r>
          </w:p>
        </w:tc>
        <w:tc>
          <w:tcPr>
            <w:tcW w:w="346" w:type="dxa"/>
            <w:tcBorders/>
            <w:vAlign w:val="center"/>
          </w:tcPr>
          <w:p>
            <w:pPr>
              <w:pStyle w:val="TableContents"/>
              <w:bidi w:val="0"/>
              <w:spacing w:before="0" w:after="0"/>
              <w:ind w:left="0" w:right="0" w:hanging="0"/>
              <w:jc w:val="left"/>
              <w:rPr/>
            </w:pPr>
            <w:r>
              <w:rPr/>
              <w:t> </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(1,201.0)</w:t>
            </w:r>
          </w:p>
        </w:tc>
        <w:tc>
          <w:tcPr>
            <w:tcW w:w="409" w:type="dxa"/>
            <w:tcBorders/>
            <w:vAlign w:val="center"/>
          </w:tcPr>
          <w:p>
            <w:pPr>
              <w:pStyle w:val="TableContents"/>
              <w:bidi w:val="0"/>
              <w:spacing w:before="0" w:after="0"/>
              <w:ind w:left="0" w:right="0" w:hanging="0"/>
              <w:jc w:val="left"/>
              <w:rPr/>
            </w:pPr>
            <w:r>
              <w:rPr/>
              <w:t>​</w:t>
            </w:r>
          </w:p>
        </w:tc>
      </w:tr>
      <w:tr>
        <w:trPr/>
        <w:tc>
          <w:tcPr>
            <w:tcW w:w="443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203,698</w:t>
            </w:r>
          </w:p>
        </w:tc>
        <w:tc>
          <w:tcPr>
            <w:tcW w:w="346" w:type="dxa"/>
            <w:tcBorders/>
            <w:shd w:fill="CCEEFF" w:val="clear"/>
            <w:vAlign w:val="center"/>
          </w:tcPr>
          <w:p>
            <w:pPr>
              <w:pStyle w:val="TableContents"/>
              <w:bidi w:val="0"/>
              <w:spacing w:before="0" w:after="0"/>
              <w:ind w:left="0" w:right="0" w:hanging="0"/>
              <w:jc w:val="left"/>
              <w:rPr/>
            </w:pPr>
            <w:r>
              <w:rPr/>
              <w:t> </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(986.6)</w:t>
            </w:r>
          </w:p>
        </w:tc>
        <w:tc>
          <w:tcPr>
            <w:tcW w:w="409" w:type="dxa"/>
            <w:tcBorders/>
            <w:shd w:fill="CCEEFF" w:val="clear"/>
            <w:vAlign w:val="center"/>
          </w:tcPr>
          <w:p>
            <w:pPr>
              <w:pStyle w:val="TableContents"/>
              <w:bidi w:val="0"/>
              <w:spacing w:before="0" w:after="0"/>
              <w:ind w:left="0" w:right="0" w:hanging="0"/>
              <w:jc w:val="left"/>
              <w:rPr/>
            </w:pPr>
            <w:r>
              <w:rPr/>
              <w:t>​</w:t>
            </w:r>
          </w:p>
        </w:tc>
      </w:tr>
      <w:tr>
        <w:trPr/>
        <w:tc>
          <w:tcPr>
            <w:tcW w:w="44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 net of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(23,253)</w:t>
            </w:r>
          </w:p>
        </w:tc>
        <w:tc>
          <w:tcPr>
            <w:tcW w:w="346" w:type="dxa"/>
            <w:tcBorders/>
            <w:vAlign w:val="center"/>
          </w:tcPr>
          <w:p>
            <w:pPr>
              <w:pStyle w:val="TableContents"/>
              <w:bidi w:val="0"/>
              <w:spacing w:before="0" w:after="0"/>
              <w:ind w:left="0" w:right="0" w:hanging="0"/>
              <w:jc w:val="left"/>
              <w:rPr/>
            </w:pPr>
            <w:r>
              <w:rPr/>
              <w:t> </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(495.5)</w:t>
            </w:r>
          </w:p>
        </w:tc>
        <w:tc>
          <w:tcPr>
            <w:tcW w:w="409" w:type="dxa"/>
            <w:tcBorders/>
            <w:vAlign w:val="center"/>
          </w:tcPr>
          <w:p>
            <w:pPr>
              <w:pStyle w:val="TableContents"/>
              <w:bidi w:val="0"/>
              <w:spacing w:before="0" w:after="0"/>
              <w:ind w:left="0" w:right="0" w:hanging="0"/>
              <w:jc w:val="left"/>
              <w:rPr/>
            </w:pPr>
            <w:r>
              <w:rPr/>
              <w:t>​</w:t>
            </w:r>
          </w:p>
        </w:tc>
      </w:tr>
      <w:tr>
        <w:trPr/>
        <w:tc>
          <w:tcPr>
            <w:tcW w:w="443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ATTRIBUTABLE TO ATN INTERNATIONAL, INC.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164,491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180,445</w:t>
            </w:r>
          </w:p>
        </w:tc>
        <w:tc>
          <w:tcPr>
            <w:tcW w:w="346" w:type="dxa"/>
            <w:tcBorders/>
            <w:shd w:fill="CCEEFF" w:val="clear"/>
            <w:vAlign w:val="center"/>
          </w:tcPr>
          <w:p>
            <w:pPr>
              <w:pStyle w:val="TableContents"/>
              <w:bidi w:val="0"/>
              <w:spacing w:before="0" w:after="0"/>
              <w:ind w:left="0" w:right="0" w:hanging="0"/>
              <w:jc w:val="left"/>
              <w:rPr/>
            </w:pPr>
            <w:r>
              <w:rPr/>
              <w:t> </w:t>
            </w:r>
          </w:p>
        </w:tc>
        <w:tc>
          <w:tcPr>
            <w:tcW w:w="8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(1,131.0)</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Communications Services Revenue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Mobility Revenue. </w:t>
      </w:r>
      <w:r>
        <w:rPr>
          <w:rFonts w:ascii="Times New Roman;Times;serif" w:hAnsi="Times New Roman;Times;serif"/>
          <w:sz w:val="20"/>
        </w:rPr>
        <w:t xml:space="preserve">Mobility Services revenue increased by $1.1 million, or 2.1%, to $53.5 million for the six months ended June 30, 2026 from $52.4 million for the six months ended June 30, 2025 as result of an increase in subscribers, rates we charge our subscribers and equipment revenue within certain markets in this segment.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Fixed Revenue. </w:t>
      </w:r>
      <w:r>
        <w:rPr>
          <w:rFonts w:ascii="Times New Roman;Times;serif" w:hAnsi="Times New Roman;Times;serif"/>
          <w:sz w:val="20"/>
        </w:rPr>
        <w:t>Fixed Services revenue decreased by $0.5 million, or 0.2%, to $225.6 million from $226.1 million for the six months ended June 30, 2026 and 2025, respectively. This net decrease primarily pertained to a decrease in Fixed Services revenue from consumer customers and consisted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International Telecom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sz w:val="20"/>
              </w:rPr>
              <w:t>International Telecom</w:t>
            </w:r>
            <w:r>
              <w:rPr>
                <w:rFonts w:ascii="Times New Roman;Times;serif" w:hAnsi="Times New Roman;Times;serif"/>
                <w:b w:val="false"/>
                <w:i w:val="false"/>
                <w:caps w:val="false"/>
                <w:smallCaps w:val="false"/>
                <w:sz w:val="20"/>
              </w:rPr>
              <w:t xml:space="preserve">. Within our International Telecom segment, Fixed Services revenue decreased by $2.0 million, or 1.6%, to $121.1 million from $123.1 million for the six months ended June 30, 2026 and 2025, respectively. This decrease was primarily a result of the FCC’s High-Cost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119" w:type="dxa"/>
        <w:jc w:val="left"/>
        <w:tblInd w:w="0" w:type="dxa"/>
        <w:tblLayout w:type="fixed"/>
        <w:tblCellMar>
          <w:top w:w="28" w:type="dxa"/>
          <w:left w:w="28" w:type="dxa"/>
          <w:bottom w:w="28" w:type="dxa"/>
          <w:right w:w="28" w:type="dxa"/>
        </w:tblCellMar>
      </w:tblPr>
      <w:tblGrid>
        <w:gridCol w:w="124"/>
        <w:gridCol w:w="109"/>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6"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 xml:space="preserve">Support Program in the US Virgin Islands being terminated on December 31, 2025. </w:t>
              <w:br/>
            </w:r>
            <w:r>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Fixed Services revenue within our US Telecom segment increased by $1.4 million, or 1.4%, to $104.4 million from $103.0 million for the six months ended June 30, 2026 and 2025, respectively. This increase was primarily the result of increased revenue from certain government support programs in Alaska.</w:t>
            </w:r>
          </w:p>
        </w:tc>
      </w:tr>
    </w:tbl>
    <w:p>
      <w:pPr>
        <w:pStyle w:val="TextBody"/>
        <w:bidi w:val="0"/>
        <w:spacing w:before="0" w:after="140"/>
        <w:ind w:left="0" w:right="0" w:firstLine="720"/>
        <w:jc w:val="left"/>
        <w:rPr>
          <w:rFonts w:ascii="Times New Roman;Times;serif" w:hAnsi="Times New Roman;Times;serif"/>
          <w:sz w:val="20"/>
        </w:rPr>
      </w:pPr>
      <w:r>
        <w:rPr>
          <w:rFonts w:ascii="Times New Roman;Times;serif" w:hAnsi="Times New Roman;Times;serif"/>
          <w:b/>
          <w:sz w:val="20"/>
        </w:rPr>
        <w:t xml:space="preserve">Carrier Services Revenue. </w:t>
      </w:r>
      <w:r>
        <w:rPr>
          <w:rFonts w:ascii="Times New Roman;Times;serif" w:hAnsi="Times New Roman;Times;serif"/>
          <w:sz w:val="20"/>
        </w:rPr>
        <w:t>Carrier Services revenue increased by $6.0 million, or 9.0%, to $72.4 million from $66.4 million for the six months ended June 30, 2026 and 2025, respectively. The increase within our segments consisted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International Telecom. </w:t>
            </w:r>
            <w:r>
              <w:rPr>
                <w:rFonts w:ascii="Times New Roman;Times;serif" w:hAnsi="Times New Roman;Times;serif"/>
                <w:b w:val="false"/>
                <w:i w:val="false"/>
                <w:caps w:val="false"/>
                <w:smallCaps w:val="false"/>
                <w:sz w:val="20"/>
              </w:rPr>
              <w:t>Within our International Telecom segment, Carrier Services revenue increased by $0.4 million, or 5.5%, to $7.7 million from $7.3 million for the six months ended June 30, 2026 and 2025, respectively, primarily as a result of an increase in roaming revenues in some of our international markets.</w:t>
            </w:r>
            <w:r>
              <w:rPr/>
              <w:t xml:space="preserve"> </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xml:space="preserve">. Carrier Services revenue within our US Telecom segment increased by $5.7 million, or 9.7%, to $64.7 million from $59.0 million, for the six months ended June 30, 2026 and 2025, respectively. This increase was primarily the result of the transition of legacy roaming arrangements to carrier service management contracts. </w:t>
            </w:r>
          </w:p>
        </w:tc>
      </w:tr>
    </w:tbl>
    <w:p>
      <w:pPr>
        <w:pStyle w:val="TextBody"/>
        <w:bidi w:val="0"/>
        <w:spacing w:before="0" w:after="140"/>
        <w:ind w:left="0" w:right="0" w:firstLine="720"/>
        <w:jc w:val="left"/>
        <w:rPr>
          <w:rFonts w:ascii="Times New Roman;Times;serif" w:hAnsi="Times New Roman;Times;serif"/>
          <w:sz w:val="20"/>
        </w:rPr>
      </w:pPr>
      <w:r>
        <w:rPr>
          <w:rFonts w:ascii="Times New Roman;Times;serif" w:hAnsi="Times New Roman;Times;serif"/>
          <w:b/>
          <w:sz w:val="20"/>
        </w:rPr>
        <w:t xml:space="preserve">Other Communications Services Revenue. </w:t>
      </w:r>
      <w:r>
        <w:rPr>
          <w:rFonts w:ascii="Times New Roman;Times;serif" w:hAnsi="Times New Roman;Times;serif"/>
          <w:sz w:val="20"/>
        </w:rPr>
        <w:t>Other Communications Services revenue increased $3.1 million, or 77.5%, to $7.1 million from $4.0 million for the six months ended June 30, 2026 and 2025, respectively, as a result of an increase in revenue from ancillary services in our International Telecom segment.</w:t>
      </w:r>
    </w:p>
    <w:p>
      <w:pPr>
        <w:pStyle w:val="TextBody"/>
        <w:bidi w:val="0"/>
        <w:spacing w:before="0" w:after="140"/>
        <w:ind w:left="0" w:right="0" w:firstLine="720"/>
        <w:jc w:val="left"/>
        <w:rPr>
          <w:rFonts w:ascii="Times New Roman;Times;serif" w:hAnsi="Times New Roman;Times;serif"/>
          <w:sz w:val="20"/>
        </w:rPr>
      </w:pPr>
      <w:r>
        <w:rPr>
          <w:rFonts w:ascii="Times New Roman;Times;serif" w:hAnsi="Times New Roman;Times;serif"/>
          <w:b/>
          <w:i/>
          <w:sz w:val="20"/>
        </w:rPr>
        <w:t xml:space="preserve">Construction Revenue. </w:t>
      </w:r>
      <w:r>
        <w:rPr>
          <w:rFonts w:ascii="Times New Roman;Times;serif" w:hAnsi="Times New Roman;Times;serif"/>
          <w:sz w:val="20"/>
        </w:rPr>
        <w:t>During the six months ended June 30, 2026 and 2025, Construction Revenue decreased to $0.8 million from $3.3 million, respectively, as a result of a decrease in the number of sites completed during 2026 as compared to 2025.</w:t>
      </w:r>
    </w:p>
    <w:p>
      <w:pPr>
        <w:pStyle w:val="TextBody"/>
        <w:bidi w:val="0"/>
        <w:spacing w:before="0" w:after="140"/>
        <w:ind w:left="0" w:right="0" w:hanging="0"/>
        <w:jc w:val="left"/>
        <w:rPr>
          <w:rFonts w:ascii="Times New Roman;Times;serif" w:hAnsi="Times New Roman;Times;serif"/>
          <w:b/>
          <w:i/>
          <w:sz w:val="20"/>
        </w:rPr>
      </w:pPr>
      <w:r>
        <w:rPr>
          <w:rFonts w:ascii="Times New Roman;Times;serif" w:hAnsi="Times New Roman;Times;serif"/>
          <w:b/>
          <w:i/>
          <w:sz w:val="20"/>
        </w:rPr>
        <w:t>Other Revenue</w:t>
      </w:r>
    </w:p>
    <w:p>
      <w:pPr>
        <w:pStyle w:val="TextBody"/>
        <w:bidi w:val="0"/>
        <w:spacing w:before="0" w:after="140"/>
        <w:ind w:left="0" w:right="0" w:firstLine="720"/>
        <w:jc w:val="left"/>
        <w:rPr>
          <w:rFonts w:ascii="Times New Roman;Times;serif" w:hAnsi="Times New Roman;Times;serif"/>
          <w:sz w:val="20"/>
        </w:rPr>
      </w:pPr>
      <w:r>
        <w:rPr>
          <w:rFonts w:ascii="Times New Roman;Times;serif" w:hAnsi="Times New Roman;Times;serif"/>
          <w:b/>
          <w:sz w:val="20"/>
        </w:rPr>
        <w:t xml:space="preserve">Managed Services Revenue. </w:t>
      </w:r>
      <w:r>
        <w:rPr>
          <w:rFonts w:ascii="Times New Roman;Times;serif" w:hAnsi="Times New Roman;Times;serif"/>
          <w:sz w:val="20"/>
        </w:rPr>
        <w:t>Managed Services revenue decreased by $1.1 million, or 13.1%, to $7.3 million from $8.4 million for the six months ended June 30, 2026 and 2025, respectively. The net decrease within our segments consisted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International Telecom.</w:t>
            </w:r>
            <w:r>
              <w:rPr>
                <w:caps w:val="false"/>
                <w:smallCaps w:val="false"/>
              </w:rPr>
              <w:t xml:space="preserve"> </w:t>
            </w:r>
            <w:r>
              <w:rPr>
                <w:rFonts w:ascii="Times New Roman;Times;serif" w:hAnsi="Times New Roman;Times;serif"/>
                <w:b w:val="false"/>
                <w:i w:val="false"/>
                <w:caps w:val="false"/>
                <w:smallCaps w:val="false"/>
                <w:sz w:val="20"/>
              </w:rPr>
              <w:t>Managed Services revenue in our International Telecom segment increased $0.3 million, or 10.7%, to $3.1 million from $2.8 million for the six months ended June 30, 2026 and 2025, respectively.</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Within our US Telecom segment, Managed Services revenue decreased $1.4 million, or 24.6%, to $4.3 million from $5.7 million for the six months ended June 30, 2026 and 2025, respectively.</w:t>
            </w:r>
          </w:p>
        </w:tc>
      </w:tr>
    </w:tbl>
    <w:p>
      <w:pPr>
        <w:pStyle w:val="TextBody"/>
        <w:bidi w:val="0"/>
        <w:spacing w:before="0" w:after="1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140"/>
        <w:ind w:left="0" w:right="0" w:firstLine="720"/>
        <w:jc w:val="left"/>
        <w:rPr>
          <w:rFonts w:ascii="Times New Roman;Times;serif" w:hAnsi="Times New Roman;Times;serif"/>
          <w:sz w:val="20"/>
        </w:rPr>
      </w:pPr>
      <w:r>
        <w:rPr>
          <w:rFonts w:ascii="Times New Roman;Times;serif" w:hAnsi="Times New Roman;Times;serif"/>
          <w:b/>
          <w:sz w:val="20"/>
        </w:rPr>
        <w:t xml:space="preserve">Cost of communication services and other. </w:t>
      </w:r>
      <w:r>
        <w:rPr>
          <w:rFonts w:ascii="Times New Roman;Times;serif" w:hAnsi="Times New Roman;Times;serif"/>
          <w:sz w:val="20"/>
          <w:shd w:fill="FFFFFF" w:val="clear"/>
        </w:rPr>
        <w:t xml:space="preserve">Cost of communication services and other increased by $0.5 million, or 0.3%, to $155.9 million from $155.4 million for the </w:t>
      </w:r>
      <w:r>
        <w:rPr>
          <w:rFonts w:ascii="Times New Roman;Times;serif" w:hAnsi="Times New Roman;Times;serif"/>
          <w:sz w:val="20"/>
        </w:rPr>
        <w:t>six</w:t>
      </w:r>
      <w:r>
        <w:rPr>
          <w:rFonts w:ascii="Times New Roman;Times;serif" w:hAnsi="Times New Roman;Times;serif"/>
          <w:sz w:val="20"/>
          <w:shd w:fill="FFFFFF" w:val="clear"/>
        </w:rPr>
        <w:t xml:space="preserve"> months ended June 30, 2026 and 2025, respectively. The net increase in cost of communication services and other, within our segments, consisted of the following</w:t>
      </w:r>
      <w:r>
        <w:rPr>
          <w:rFonts w:ascii="Times New Roman;Times;serif" w:hAnsi="Times New Roman;Times;serif"/>
          <w:sz w:val="20"/>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International Telecom.</w:t>
            </w:r>
            <w:r>
              <w:rPr>
                <w:caps w:val="false"/>
                <w:smallCaps w:val="false"/>
              </w:rPr>
              <w:t xml:space="preserve"> </w:t>
            </w:r>
            <w:r>
              <w:rPr>
                <w:rFonts w:ascii="Times New Roman;Times;serif" w:hAnsi="Times New Roman;Times;serif"/>
                <w:b w:val="false"/>
                <w:i w:val="false"/>
                <w:caps w:val="false"/>
                <w:smallCaps w:val="false"/>
                <w:sz w:val="20"/>
              </w:rPr>
              <w:t>Within our International Telecom segment, cost of communication services and other decreased by $2.1 million, or 3.1%, to $66.6 million from $68.7 million, for the six months ended June 30, 2026 and 2025, respectively. This decrease was the result of the impact of cost savings initiatives, including reorganizations and reductions in force, that were implemented in the current and previous periods.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Cost of communication services and other within our US Telecom segment increased by $2.6 million, or 3.0%, to $89.3 million from $86.7 million for the six months ended June 30, 2026 and 2025, respectively. Such increase was the result of increased transport costs and the impact of the Tower Portfolio Transaction, which resulted in increased tower site expenses, partially offset by the impact of certain cost savings initiatives, including reorganizations and reductions in force, that were implemented in the current and previous periods.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Cost of construction revenue.</w:t>
      </w:r>
      <w:r>
        <w:rPr>
          <w:rFonts w:ascii="Times New Roman;Times;serif" w:hAnsi="Times New Roman;Times;serif"/>
          <w:sz w:val="20"/>
        </w:rPr>
        <w:t xml:space="preserve"> During the six months ended June 30, 2026 and 2025, cost of construction revenue decreased to $1.0 million from $3.7 million, respectively, as a result of a decrease in the number of sites completed during 2026 as compared to 2025.</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 xml:space="preserve">Selling, general and administrative expenses. </w:t>
      </w:r>
      <w:r>
        <w:rPr>
          <w:rFonts w:ascii="Times New Roman;Times;serif" w:hAnsi="Times New Roman;Times;serif"/>
          <w:sz w:val="20"/>
        </w:rPr>
        <w:t>Selling, general and administrative expenses increased by $0.1 million, or 0.1%, to $111.5 million from $111.4 million for the six months ended June 30, 2026 and 2025, respectively. The net increase in selling, general and administrative expenses, within our segments, consisted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sz w:val="20"/>
              </w:rPr>
              <w:t>International Telecom</w:t>
            </w:r>
            <w:r>
              <w:rPr>
                <w:rFonts w:ascii="Times New Roman;Times;serif" w:hAnsi="Times New Roman;Times;serif"/>
                <w:b w:val="false"/>
                <w:i w:val="false"/>
                <w:caps w:val="false"/>
                <w:smallCaps w:val="false"/>
                <w:sz w:val="20"/>
              </w:rPr>
              <w:t>. Within our International Telecom segment, our selling, general and administrative expenses increased by $0.9 million, or 1.6%, to $55.9 million from $55.0 million for the six months ended June 30, 2026 and 2025, respectively, as a result of an increase in marketing and personnel costs in certain markets that was partially offset by the impact of certain cost containment initiatives, including the reorganizations and reductions in force, that were implemented in the current and previous periods.</w:t>
              <w:br/>
            </w:r>
            <w:r>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xml:space="preserve">. Selling, general and administrative expenses increased within our US Telecom segment by $0.5 million, or 1.1%, to $45.6 million from $45.1 million, for the six months ended June 30, 2026 and 2025, respectively, as a result of an increase in professional fees partially offset by the impact of certain cost containment initiatives, including the reorganizations and reductions in force that were implemented in the current and previous periods. </w:t>
              <w:br/>
            </w:r>
            <w:r>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Corporate Overhead. </w:t>
            </w:r>
            <w:r>
              <w:rPr>
                <w:rFonts w:ascii="Times New Roman;Times;serif" w:hAnsi="Times New Roman;Times;serif"/>
                <w:b w:val="false"/>
                <w:i w:val="false"/>
                <w:caps w:val="false"/>
                <w:smallCaps w:val="false"/>
                <w:sz w:val="20"/>
              </w:rPr>
              <w:t>Selling, general and administrative expenses within our corporate overhead decreased by $1.3 million, or 11.5%, to $10.0 million from $11.3 million, for the six months ended June 30, 2026 and 2025, respectively, as a result of a decrease in certain professional fees.</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Stock-based compensation. </w:t>
      </w:r>
      <w:r>
        <w:rPr>
          <w:rFonts w:ascii="Times New Roman;Times;serif" w:hAnsi="Times New Roman;Times;serif"/>
          <w:sz w:val="20"/>
        </w:rPr>
        <w:t>Stock-based compensation decreased to $3.3 million from $4.6 million for the six months ended June 30, 2026 and 2025, respectively, as a result of the impact of certain reductions in force during the six months ended June 30, 2026.</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Transaction-related charges.</w:t>
      </w:r>
      <w:r>
        <w:rPr>
          <w:rFonts w:ascii="Times New Roman;Times;serif" w:hAnsi="Times New Roman;Times;serif"/>
          <w:sz w:val="20"/>
        </w:rPr>
        <w:t>  We incurred $7.2 million and $1.6 million of transaction-related charges during the six months ended June 30, 2026 and 2025, respectively. The increase was the result of the timing of our transaction-related charges and was primarily the result of costs incurred in connection with the Tower Portfolio Transaction during the six months ended June 30, 2026.</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 xml:space="preserve">Restructuring and reorganization expenses. </w:t>
      </w:r>
      <w:r>
        <w:rPr>
          <w:rFonts w:ascii="Times New Roman;Times;serif" w:hAnsi="Times New Roman;Times;serif"/>
          <w:sz w:val="20"/>
        </w:rPr>
        <w:t>In our efforts to advance our cost management actions to drive higher operating efficiencies and margins, we incurred certain restructuring and reorganization expenses, primarily reductions in force, totaling $1.0 million, $0.8 million and $2.5 million within our International Telecom segment, US Telecom segment and Corporate and Other segment, respectively, during the six months ended June 30, 2026.</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incurred restructuring and reorganization expenses of $2.9 million, $2.5 million and $1.4 million within our International Telecom segment, US Telecom segment and Corporate and Other segment, respectively, during the six months ended June 30, 2025.</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Increases and decreases in restructuring and reorganization expenses within each segment were a result of the timing and magnitude of our reductions in force. </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pPr>
      <w:r>
        <w:rPr/>
        <w:t> </w:t>
      </w:r>
      <w:r>
        <w:rPr>
          <w:rFonts w:ascii="Times New Roman;Times;serif" w:hAnsi="Times New Roman;Times;serif"/>
          <w:b/>
          <w:sz w:val="20"/>
        </w:rPr>
        <w:t>Depreciation and amortization expenses.</w:t>
      </w:r>
      <w:r>
        <w:rPr>
          <w:rFonts w:ascii="Times New Roman;Times;serif" w:hAnsi="Times New Roman;Times;serif"/>
          <w:sz w:val="20"/>
        </w:rPr>
        <w:t xml:space="preserve"> Depreciation and amortization expenses decreased by $7.1 million, or 10.4%, to $61.3 million from $68.4 million for the six months ended June 30, 2026 and 2025, respectively. The decrease in depreciation and amortization expenses, within our segments, consisted primarily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International Telecom</w:t>
            </w:r>
            <w:r>
              <w:rPr>
                <w:rFonts w:ascii="Times New Roman;Times;serif" w:hAnsi="Times New Roman;Times;serif"/>
                <w:b w:val="false"/>
                <w:i w:val="false"/>
                <w:caps w:val="false"/>
                <w:smallCaps w:val="false"/>
                <w:sz w:val="20"/>
              </w:rPr>
              <w:t xml:space="preserve">. Depreciation and amortization expenses decreased within our International Telecom segment by $2.9 million, or 9.5%, to $27.6 million from $30.5 million, for the six months ended June 30, 2026 and 2025, respectively. The decrease was the result of this segment’s reduction in capital expenditures and certain assets becoming fully depreciated in recent periods. </w:t>
            </w:r>
          </w:p>
        </w:tc>
      </w:tr>
    </w:tbl>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 xml:space="preserve">. Depreciation and amortization expenses decreased within our US Telecom segment by $3.4 million, or 9.4%, to $32.7 million from $36.1 million, for the six months ended June 30, 2026 and 2025, respectively. The decrease was the result of this segment’s reduction in capital expenditures, certain assets becoming fully depreciated in recent periods, and the conclusion of the recording of depreciation expense related to assets that were sold in connection with the Tower Portfolio Transaction. </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Corporate Overhead</w:t>
            </w:r>
            <w:r>
              <w:rPr>
                <w:rFonts w:ascii="Times New Roman;Times;serif" w:hAnsi="Times New Roman;Times;serif"/>
                <w:b w:val="false"/>
                <w:i w:val="false"/>
                <w:caps w:val="false"/>
                <w:smallCaps w:val="false"/>
                <w:sz w:val="20"/>
              </w:rPr>
              <w:t>. Depreciation and amortization expenses decreased within our corporate overhead to $1.1 million from $1.7 million, for the six months ended June 30, 2026 and 2025, respectively, primarily as a result of additional assets becoming fully depreciated in recent periods.</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Amortization of intangibles from acquisitions.</w:t>
      </w:r>
      <w:r>
        <w:rPr>
          <w:rFonts w:ascii="Times New Roman;Times;serif" w:hAnsi="Times New Roman;Times;serif"/>
          <w:sz w:val="20"/>
        </w:rPr>
        <w:t xml:space="preserve"> Amortization of intangibles from acquisitions decreased by $1.5 million to $1.0 million from $2.5 million for the six months ended June 30, 2026 and 2025, respectively, as a result of certain assets being fully amortized in previous periods.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(Gain) loss on disposition of assets, transfers and contingent consideration</w:t>
      </w:r>
      <w:r>
        <w:rPr>
          <w:rFonts w:ascii="Times New Roman;Times;serif" w:hAnsi="Times New Roman;Times;serif"/>
          <w:sz w:val="20"/>
        </w:rPr>
        <w:t xml:space="preserve">. During the six months ended June 30, 2026, we recorded a net gain on the disposition of assets and transfers of $230.2 million. Of this net gain, $229.5 million was recognized within our US Telecom segment and was primarily related to the $229.9 million gain on the Tower Portfolio Transaction, while the remaining $0.7 million gain was recorded in the International Telecom segment primarily as a result of the sale of certain real estate.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six months ended June 30, 2025, we recorded a net loss on the disposition of assets of $3.4 million. Of this net loss, $0.4 million and $3.0 million were recognized within our International and US Telecom segments, respectively.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Interest income.</w:t>
      </w:r>
      <w:r>
        <w:rPr>
          <w:rFonts w:ascii="Times New Roman;Times;serif" w:hAnsi="Times New Roman;Times;serif"/>
          <w:sz w:val="20"/>
        </w:rPr>
        <w:t xml:space="preserve"> Interest income was $0.6 million and $0.4 million for the six months ended June 30, 2026 and 2025, respectively. Such increase was the result of an increase in our cash and cash equivalents due to the proceeds received from the Tower Portfolio Transaction. In addition, such proceeds are being invested in higher yielding cash and cash equivalent investments.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Interest expense.</w:t>
      </w:r>
      <w:r>
        <w:rPr>
          <w:rFonts w:ascii="Times New Roman;Times;serif" w:hAnsi="Times New Roman;Times;serif"/>
          <w:sz w:val="20"/>
        </w:rPr>
        <w:t xml:space="preserve">   </w:t>
      </w:r>
      <w:r>
        <w:rPr>
          <w:rFonts w:ascii="Times New Roman;Times;serif" w:hAnsi="Times New Roman;Times;serif"/>
          <w:sz w:val="20"/>
          <w:shd w:fill="FFFFFF" w:val="clear"/>
        </w:rPr>
        <w:t xml:space="preserve">Interest expense decreased to $21.3 million from $24.8 million for the </w:t>
      </w:r>
      <w:r>
        <w:rPr>
          <w:rFonts w:ascii="Times New Roman;Times;serif" w:hAnsi="Times New Roman;Times;serif"/>
          <w:sz w:val="20"/>
        </w:rPr>
        <w:t>six</w:t>
      </w:r>
      <w:r>
        <w:rPr>
          <w:rFonts w:ascii="Times New Roman;Times;serif" w:hAnsi="Times New Roman;Times;serif"/>
          <w:sz w:val="20"/>
          <w:shd w:fill="FFFFFF" w:val="clear"/>
        </w:rPr>
        <w:t xml:space="preserve"> months ended June 30, 2026 and 2025, respectively. We used a portion of the proceeds from the Tower Portfolio Transaction to reduce our outstanding debt balances, which in turn reduced our interest expense during the six months ended June 30, 2026. In addition, a decline in interest rates, which were impacted by certain interest rate swap agreements, also reduced such expense during the six months ended June 30, 2026.</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Other expense.</w:t>
      </w:r>
      <w:r>
        <w:rPr>
          <w:rFonts w:ascii="Times New Roman;Times;serif" w:hAnsi="Times New Roman;Times;serif"/>
          <w:sz w:val="20"/>
        </w:rPr>
        <w:t xml:space="preserve"> For the six months ended June 30, 2026, other expense was $4.0 million of expense primarily related to a $2.6 million loss from our noncontrolling investments, $1.1 million in losses on foreign currency transactions and $0.3 million of expenses incurred for certain employee benefit plans.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2025, other expense was $3.2 million of expense primarily related to a non-operating employee-related matter and $1.0 million in losses on foreign currency transactions.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Income taxes.</w:t>
      </w:r>
      <w:r>
        <w:rPr>
          <w:rFonts w:ascii="Times New Roman;Times;serif" w:hAnsi="Times New Roman;Times;serif"/>
          <w:sz w:val="20"/>
        </w:rPr>
        <w:t xml:space="preserve"> Our effective tax rates for the six months ended June 30, 2026 and 2025 were 19.3% and 16.1%, respectively.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recorded an income tax expense of $43.7 million in relation to a pretax income of $226.7 million for the six months ended June 30, 2026. The effective tax rate for the six months ended June 30, 2026 was primarily impacted by the following items: (i) the mix of income generated among the jurisdictions in which we operate, (ii) the exclusion of losses in Alaska and the US Virgin Islands due to valuation allowance positions placed on certain deferred tax assets that are not expected to be realized based on the weight of positive and negative evidence, and (iii) discrete items including a $4.6 million net benefit from the reversal of an unrecognized tax position due to a statute of limitations expiration, net of interest on prior years uncertain tax positions, a $0.9 million expense associated with stock option shortfalls, and a $0.8 million expense associated with a return to provision adjustment related to tax returns filed in Guyana.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recorded an income tax benefit of $4.0 million in relation to a pretax loss of $24.6 million for the six months ended June 30, 2025. The effective tax rate for the six months ended June 30, 2025 was primarily impacted by the following items: (i) the mix of income generated among the jurisdictions in which we operate, (ii) net expense related to valuation allowances placed on certain deferred tax assets that are not expected to be realized based on the weight of positive and negative evidence, and (iii) discrete items including a $4.9 million benefit from the reversal of an unrecognized tax position due to a statute of limitations expiration, a $1.2 million expense for interest on prior years uncertain tax positions, a $0.5 million expense associated with stock option shortfalls, and a $1.0 million benefit from the release of a capital loss carryover valuation allowance based on our conclusion that it was more likely than not that this deferred tax asset would be realized in the future.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 of tax law and regulations. Additionally, the recognition and measurement of certain tax benefits include estimates and judgments by management. Accordingly, we could record additional provisions or benefits for US federal, state, and foreign tax matters in future periods as new information becomes available.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Net (income) loss attributable to noncontrolling interests, net of tax.</w:t>
      </w:r>
      <w:r>
        <w:rPr>
          <w:rFonts w:ascii="Times New Roman;Times;serif" w:hAnsi="Times New Roman;Times;serif"/>
          <w:sz w:val="20"/>
        </w:rPr>
        <w:t>  Net (income) loss attributable to noncontrolling interests, net of tax reflected an allocation of $18.6 million of income and $4.7 million of losses generated by our less than wholly owned subsidiaries for the six months ended June 30, 2026 and 2025, respectively. Changes in net (income) loss attributable to noncontrolling interests, net of tax, within our segments, consisted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International Telecom</w:t>
            </w:r>
            <w:r>
              <w:rPr>
                <w:rFonts w:ascii="Times New Roman;Times;serif" w:hAnsi="Times New Roman;Times;serif"/>
                <w:b w:val="false"/>
                <w:i w:val="false"/>
                <w:caps w:val="false"/>
                <w:smallCaps w:val="false"/>
                <w:sz w:val="20"/>
              </w:rPr>
              <w:t>. Within our International Telecom segment, net (income) loss attributable to noncontrolling interests, net of tax increased by $1.9 million, or 52.6%, to an allocation of $5.8 million of income from an allocation of $3.8 million of income for the six months ended June 30, 2026 and 2025, respectively. The increase was the result of increased profitability at certain less than wholly owned subsidiaries.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US Telecom</w:t>
            </w:r>
            <w:r>
              <w:rPr>
                <w:rFonts w:ascii="Times New Roman;Times;serif" w:hAnsi="Times New Roman;Times;serif"/>
                <w:b w:val="false"/>
                <w:i w:val="false"/>
                <w:caps w:val="false"/>
                <w:smallCaps w:val="false"/>
                <w:sz w:val="20"/>
              </w:rPr>
              <w:t>.</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 xml:space="preserve">Within our US Telecom segment, net (income) loss attributable to noncontrolling interests, net of tax increased by $21.3 million to an allocation of income of $12.8 million from an allocation of losses of $8.5 million for the </w:t>
            </w:r>
            <w:r>
              <w:rPr>
                <w:rFonts w:ascii="Times New Roman;Times;serif" w:hAnsi="Times New Roman;Times;serif"/>
                <w:b w:val="false"/>
                <w:i w:val="false"/>
                <w:caps w:val="false"/>
                <w:smallCaps w:val="false"/>
                <w:sz w:val="20"/>
              </w:rPr>
              <w:t>six</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months ended June 30, 2026 and 2025, respectively. The increase was primarily the result of the gain recognized on the Tower Portfolio Transaction.</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b/>
          <w:sz w:val="20"/>
        </w:rPr>
        <w:t>Net income (loss) attributable to ATN International, Inc. stockholders. </w:t>
      </w:r>
      <w:r>
        <w:rPr>
          <w:rFonts w:ascii="Times New Roman;Times;serif" w:hAnsi="Times New Roman;Times;serif"/>
          <w:sz w:val="20"/>
        </w:rPr>
        <w:t>Net income (loss) attributable to ATN International, Inc. stockholders was income of $164.5 million for the six months ended June 30, 2026 as compared to a loss of $16.0 million for the six months ended June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a per diluted share basis, net income was $10.44 per diluted share for the six months ended June 30, 2026 as compared to a loss of $1.25 per diluted share for the six months ended June 30, 2025. Such per share amounts were negatively impacted by accrued preferred dividends of $3.2 million and $3.0 million for the six months ended June 30, 2026 and 2025, respectively.</w:t>
      </w:r>
    </w:p>
    <w:p>
      <w:pPr>
        <w:pStyle w:val="TextBody"/>
        <w:bidi w:val="0"/>
        <w:spacing w:before="280" w:after="0"/>
        <w:ind w:left="0" w:right="0" w:hanging="0"/>
        <w:jc w:val="left"/>
        <w:rPr>
          <w:rFonts w:ascii="Times New Roman;Times;serif" w:hAnsi="Times New Roman;Times;serif"/>
          <w:b/>
          <w:sz w:val="20"/>
        </w:rPr>
      </w:pPr>
      <w:r>
        <w:rPr>
          <w:rFonts w:ascii="Times New Roman;Times;serif" w:hAnsi="Times New Roman;Times;serif"/>
          <w:b/>
          <w:sz w:val="20"/>
        </w:rPr>
        <w:t>Regulatory and Tax Issues</w:t>
      </w:r>
    </w:p>
    <w:p>
      <w:pPr>
        <w:pStyle w:val="TextBody"/>
        <w:pBdr/>
        <w:shd w:fill="FFFFFF" w:val="clea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are involved in a number of regulatory and tax proceedings. A material and adverse outcome in one or more of these proceedings could have a material adverse impact on our financial condition and future operations. For discussion of ongoing proceedings, see Note 14 to the Consolidated Financial Statements in this Report</w:t>
      </w:r>
      <w:r>
        <w:rPr>
          <w:rFonts w:ascii="Times New Roman;Times;serif" w:hAnsi="Times New Roman;Times;serif"/>
          <w:color w:val="212529"/>
          <w:sz w:val="20"/>
        </w:rPr>
        <w:t>. </w:t>
      </w:r>
    </w:p>
    <w:p>
      <w:pPr>
        <w:pStyle w:val="TextBody"/>
        <w:pBdr/>
        <w:shd w:fill="FFFFFF" w:val="clear"/>
        <w:bidi w:val="0"/>
        <w:spacing w:before="0" w:after="0"/>
        <w:ind w:left="0" w:right="0" w:hanging="0"/>
        <w:jc w:val="left"/>
        <w:rPr>
          <w:rFonts w:ascii="Times New Roman;Times;serif" w:hAnsi="Times New Roman;Times;serif"/>
          <w:b/>
          <w:i/>
          <w:color w:val="212529"/>
          <w:sz w:val="20"/>
        </w:rPr>
      </w:pPr>
      <w:r>
        <w:rPr>
          <w:rFonts w:ascii="Times New Roman;Times;serif" w:hAnsi="Times New Roman;Times;serif"/>
          <w:b/>
          <w:i/>
          <w:color w:val="212529"/>
          <w:sz w:val="20"/>
        </w:rPr>
        <w:t xml:space="preserve">One Big Beautiful Bill Act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July 2025, the One Big Beautiful Bill Act (“OBBBA”) was enacted in the US. The OBBBA includes significant provisions, such as the permanent extension of certain expiring provisions of the Tax Cuts and Jobs Act of 2017, modifications to the international tax framework and the restoration of favorable tax treatment for certain business provisions. The legislation has multiple effective dates, with certain provisions effective in 2025 and others implemented through 2027. The Company reflected the impact of the enacted provisions in its financial statements for the six months ended, June 30, 2026, which were determined to be immaterial. The Company will continue to evaluate the impact of the OBBBA provisions effective in future years on the Company’s financial statements and related disclosures.</w:t>
      </w:r>
    </w:p>
    <w:p>
      <w:pPr>
        <w:pStyle w:val="TextBody"/>
        <w:bidi w:val="0"/>
        <w:spacing w:before="280" w:after="0"/>
        <w:ind w:left="0" w:right="0" w:hanging="0"/>
        <w:jc w:val="left"/>
        <w:rPr>
          <w:rFonts w:ascii="Times New Roman;Times;serif" w:hAnsi="Times New Roman;Times;serif"/>
          <w:b/>
          <w:sz w:val="20"/>
        </w:rPr>
      </w:pPr>
      <w:bookmarkStart w:id="2103" w:name="LiquidityandCapitalResources_57204"/>
      <w:bookmarkEnd w:id="2103"/>
      <w:r>
        <w:rPr>
          <w:rFonts w:ascii="Times New Roman;Times;serif" w:hAnsi="Times New Roman;Times;serif"/>
          <w:b/>
          <w:sz w:val="20"/>
        </w:rPr>
        <w:t>Liquidity and Capital Resources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Historically, we have met our operational liquidity needs and have funded our capital expenditures and acquisitions through a combination of cash-on-hand, internally generated funds, borrowings under our credit facilities, proceeds from dispositions, and seller financings. We believe our current cash, cash equivalents, short term investments and availability under our current credit facilities will be sufficient to meet our cash needs, for at least the next twelve months, for working capital and capital expenditure requirements. </w:t>
      </w:r>
    </w:p>
    <w:p>
      <w:pPr>
        <w:pStyle w:val="TextBody"/>
        <w:bidi w:val="0"/>
        <w:spacing w:before="280" w:after="240"/>
        <w:ind w:left="0" w:right="0" w:firstLine="720"/>
        <w:jc w:val="left"/>
        <w:rPr>
          <w:rFonts w:ascii="Times New Roman;Times;serif" w:hAnsi="Times New Roman;Times;serif"/>
          <w:sz w:val="20"/>
        </w:rPr>
      </w:pPr>
      <w:r>
        <w:rPr>
          <w:rFonts w:ascii="Times New Roman;Times;serif" w:hAnsi="Times New Roman;Times;serif"/>
          <w:i/>
          <w:sz w:val="20"/>
        </w:rPr>
        <w:t>Total liquidity.  </w:t>
      </w:r>
      <w:r>
        <w:rPr>
          <w:rFonts w:ascii="Times New Roman;Times;serif" w:hAnsi="Times New Roman;Times;serif"/>
          <w:sz w:val="20"/>
        </w:rPr>
        <w:t>As of June 30, 2026, we had approximately $331.9 million in cash, cash equivalents, and restricted cash. Of this amount, $80.5 million was held by our foreign subsidiaries and is indefinitely invested outside the US. In addition, we had approximately $513.3 million of debt, net of unamortized deferred financing costs as of June 30, 2026. How and when we deploy our balance sheet capacity, including the availability under our various credit facilities (as further described below), will figure prominently in our longer-term growth prospects and stockholder returns.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Uses of Cash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Acquisitions and investments.  </w:t>
      </w:r>
      <w:r>
        <w:rPr>
          <w:rFonts w:ascii="Times New Roman;Times;serif" w:hAnsi="Times New Roman;Times;serif"/>
          <w:sz w:val="20"/>
        </w:rPr>
        <w:t>We have historically funded our acquisitions with a combination of cash-on-hand, borrowings under our credit facilities as well as equity investor and seller financings.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continue to explore opportunities to expand our telecommunications business or acquire new businesses in the US, the Caribbean and elsewhere. Such acquisitions may require external financing. While there can be no assurance as to whether, when or on what terms we will be able to acquire any such businesses or make such investments, such acquisitions may be completed through the issuance of shares of our capital stock, payment of cash or incurrence of additional debt. From time to time, we may raise capital ahead of any definitive use of proceeds to allow us to move more quickly and opportunistically if an attractive investment materializes.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Working Capital. </w:t>
      </w:r>
      <w:r>
        <w:rPr>
          <w:rFonts w:ascii="Times New Roman;Times;serif" w:hAnsi="Times New Roman;Times;serif"/>
          <w:sz w:val="20"/>
        </w:rPr>
        <w:t>We have funded our working capital needs through a combination of internally generated funds and borrowings under our credit facilities. Pursuant to the FirstNet Agreement, AT&amp;T has the option to repay construction costs, with interest, over an eight-year period. To fund the working capital needs created by AT&amp;T’s option to extend its payment terms, we completed the Receivables Credit Facility, as discussed below, on March 26, 2020.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2026, we spent approximately $38.3 million for capital expenditures and $27.0 million for capital expenditures that are reimbursable under certain government programs. For the six months ended June 30, 2025, we spent approximately $42.0 million for capital expenditures and $45.9 million for capital expenditures that are reimbursable under certain government programs. The following shows our capital expenditures, by operating segment, for these periods (in thousands):</w:t>
      </w:r>
    </w:p>
    <w:p>
      <w:pPr>
        <w:pStyle w:val="TextBody"/>
        <w:bidi w:val="0"/>
        <w:spacing w:before="280" w:after="0"/>
        <w:ind w:left="0" w:right="0" w:hanging="0"/>
        <w:jc w:val="left"/>
        <w:rPr/>
      </w:pPr>
      <w:r>
        <w:rPr/>
        <w:t>​</w:t>
      </w:r>
    </w:p>
    <w:tbl>
      <w:tblPr>
        <w:tblW w:w="8005" w:type="dxa"/>
        <w:jc w:val="left"/>
        <w:tblInd w:w="0" w:type="dxa"/>
        <w:tblLayout w:type="fixed"/>
        <w:tblCellMar>
          <w:top w:w="0" w:type="dxa"/>
          <w:left w:w="0" w:type="dxa"/>
          <w:bottom w:w="0" w:type="dxa"/>
          <w:right w:w="0" w:type="dxa"/>
        </w:tblCellMar>
      </w:tblPr>
      <w:tblGrid>
        <w:gridCol w:w="2086"/>
        <w:gridCol w:w="109"/>
        <w:gridCol w:w="346"/>
        <w:gridCol w:w="1066"/>
        <w:gridCol w:w="109"/>
        <w:gridCol w:w="346"/>
        <w:gridCol w:w="706"/>
        <w:gridCol w:w="109"/>
        <w:gridCol w:w="346"/>
        <w:gridCol w:w="1231"/>
        <w:gridCol w:w="109"/>
        <w:gridCol w:w="346"/>
        <w:gridCol w:w="109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324610" cy="175260"/>
                      <wp:effectExtent l="0" t="0" r="0" b="0"/>
                      <wp:wrapNone/>
                      <wp:docPr id="435" name="Frame435"/>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9215" cy="175260"/>
                      <wp:effectExtent l="0" t="0" r="0" b="0"/>
                      <wp:wrapNone/>
                      <wp:docPr id="436" name="Frame4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9710" cy="175260"/>
                      <wp:effectExtent l="0" t="0" r="0" b="0"/>
                      <wp:wrapNone/>
                      <wp:docPr id="437"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76910" cy="175260"/>
                      <wp:effectExtent l="0" t="0" r="0" b="0"/>
                      <wp:wrapNone/>
                      <wp:docPr id="438" name="Frame438"/>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9215" cy="175260"/>
                      <wp:effectExtent l="0" t="0" r="0" b="0"/>
                      <wp:wrapNone/>
                      <wp:docPr id="439" name="Frame4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40"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448310" cy="175260"/>
                      <wp:effectExtent l="0" t="0" r="0" b="0"/>
                      <wp:wrapNone/>
                      <wp:docPr id="441" name="Frame44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9215" cy="175260"/>
                      <wp:effectExtent l="0" t="0" r="0" b="0"/>
                      <wp:wrapNone/>
                      <wp:docPr id="442" name="Frame4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19710" cy="175260"/>
                      <wp:effectExtent l="0" t="0" r="0" b="0"/>
                      <wp:wrapNone/>
                      <wp:docPr id="443" name="Frame4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781685" cy="175260"/>
                      <wp:effectExtent l="0" t="0" r="0" b="0"/>
                      <wp:wrapNone/>
                      <wp:docPr id="444" name="Frame444"/>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9215" cy="175260"/>
                      <wp:effectExtent l="0" t="0" r="0" b="0"/>
                      <wp:wrapNone/>
                      <wp:docPr id="445" name="Frame4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19710" cy="175260"/>
                      <wp:effectExtent l="0" t="0" r="0" b="0"/>
                      <wp:wrapNone/>
                      <wp:docPr id="446" name="Frame4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95960" cy="175260"/>
                      <wp:effectExtent l="0" t="0" r="0" b="0"/>
                      <wp:wrapNone/>
                      <wp:docPr id="447" name="Frame44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1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Capital</w:t>
            </w:r>
            <w:r>
              <w:rPr>
                <w:rFonts w:ascii="Times New Roman;Times;serif" w:hAnsi="Times New Roman;Times;serif"/>
                <w:sz w:val="16"/>
              </w:rPr>
              <w:t> </w:t>
            </w:r>
            <w:r>
              <w:rPr>
                <w:rFonts w:ascii="Times New Roman;Times;serif" w:hAnsi="Times New Roman;Times;serif"/>
                <w:b/>
                <w:sz w:val="16"/>
              </w:rPr>
              <w:t>Expenditures</w: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6" w:type="dxa"/>
            <w:tcBorders/>
            <w:vAlign w:val="center"/>
          </w:tcPr>
          <w:p>
            <w:pPr>
              <w:pStyle w:val="TableContents"/>
              <w:bidi w:val="0"/>
              <w:spacing w:before="0" w:after="0"/>
              <w:ind w:left="0" w:right="0" w:hanging="0"/>
              <w:jc w:val="center"/>
              <w:rPr/>
            </w:pPr>
            <w:r>
              <w:rPr/>
              <w:t>​</w:t>
            </w:r>
          </w:p>
        </w:tc>
      </w:tr>
      <w:tr>
        <w:trPr/>
        <w:tc>
          <w:tcPr>
            <w:tcW w:w="2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r>
      <w:tr>
        <w:trPr/>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Six months ended June 30, </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Telecom </w:t>
            </w:r>
          </w:p>
        </w:tc>
        <w:tc>
          <w:tcPr>
            <w:tcW w:w="109" w:type="dxa"/>
            <w:tcBorders/>
            <w:vAlign w:val="center"/>
          </w:tcPr>
          <w:p>
            <w:pPr>
              <w:pStyle w:val="TableContents"/>
              <w:bidi w:val="0"/>
              <w:spacing w:before="0" w:after="0"/>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(1)</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14,404</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50,861</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65,266</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20,270</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67,650</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87,922</w:t>
            </w:r>
          </w:p>
        </w:tc>
      </w:tr>
    </w:tbl>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and other items refer to corporate overhead costs and consolidating adjustments and have been presented for reconciliation purposes to consolidated amounts.</w:t>
            </w:r>
          </w:p>
        </w:tc>
      </w:tr>
    </w:tbl>
    <w:p>
      <w:pPr>
        <w:pStyle w:val="TextBody"/>
        <w:bidi w:val="0"/>
        <w:spacing w:before="28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are continuing to invest in our telecommunication networks along with our operating and business support systems in many of our markets. For the year ending December 31, 2026, such investments are expected to total approximately $105 million to $115 million of non-reimbursable capital expenditures and will primarily relate to network expansion and upgrades which are expected to further drive subscriber and revenue growth in future periods.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Income taxes. </w:t>
      </w:r>
      <w:r>
        <w:rPr>
          <w:rFonts w:ascii="Times New Roman;Times;serif" w:hAnsi="Times New Roman;Times;serif"/>
          <w:sz w:val="20"/>
        </w:rPr>
        <w:t>We have historically used cash-on-hand to make payments for income taxes. Our policy is to allocate capital where we believe we will get the best returns and to date has been to indefinitely reinvest the undistributed earnings of our foreign subsidiaries. As we continue to reinvest our remaining foreign earnings, no additional provision for income taxes has been made on the accumulated earnings of foreign subsidiaries.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Dividends.  </w:t>
      </w:r>
      <w:r>
        <w:rPr>
          <w:rFonts w:ascii="Times New Roman;Times;serif" w:hAnsi="Times New Roman;Times;serif"/>
          <w:sz w:val="20"/>
        </w:rPr>
        <w:t xml:space="preserve"> For the six months ended June 30, 2026, our Board of Directors declared $8.7 million of dividends to our stockholders, which included a $0.29 per share dividend declared on June 18, 2026 and paid on July 8, 2026. We have declared quarterly dividends since the fourth quarter of 1998.</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Stock Repurchase Plan.</w:t>
      </w:r>
      <w:r>
        <w:rPr>
          <w:rFonts w:ascii="Times New Roman;Times;serif" w:hAnsi="Times New Roman;Times;serif"/>
          <w:sz w:val="20"/>
        </w:rPr>
        <w:t xml:space="preserve"> On August 5, 2026, our Board of Directors announced that it has authorized the repurchase of up to $30 million of our common stock, from time to time, on the open market or in privately negotiated transactions (the "2026 Repurchase Plan"). Our previous repurchase plan, announced in 2023, had $15 million available to repurchase shares of our common stock, however, we did not repurchase any of our common stock under this repurchase plan during either the three or six months ended June 30, 2026 or 2025.</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Sources of Cash</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Cash provided by operations.  </w:t>
      </w:r>
      <w:r>
        <w:rPr>
          <w:rFonts w:ascii="Times New Roman;Times;serif" w:hAnsi="Times New Roman;Times;serif"/>
          <w:sz w:val="20"/>
        </w:rPr>
        <w:t>Cash provided by operating activities was $53.5 million for the six months ended June 30, 2026 as compared to $59.8 million for the six months ended June 30, 2025.  The decrease of $6.3 million was primarily related to changes in our net income and working capital requirements.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Cash provided by (used in) investing activities.</w:t>
      </w:r>
      <w:r>
        <w:rPr>
          <w:rFonts w:ascii="Times New Roman;Times;serif" w:hAnsi="Times New Roman;Times;serif"/>
          <w:sz w:val="20"/>
        </w:rPr>
        <w:t xml:space="preserve"> During the six months ended June 30, 2026, investing activities provided $228.6 million of cash as compared to the six months ended June 30, 2025 when we used $45.6 million of cash for investing activities.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This $274.2 change in cash provided by (used in) investing activities was primarily related to the Tower Portfolio Transaction, which generated $267.7 million in sales proceeds. In addition, we recorded a reduction in capital expenditures and reimbursable amounts disbursed for government capital programs of $3.8 million and $18.9 million, respectively. Proceeds from the sale of other assets also increased by $3.6 million. Offsetting these increases was a reduction in the amount we were reimbursed for government capital programs of $18.9 million.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Cash provided by (used in) financing activities. </w:t>
      </w:r>
      <w:r>
        <w:rPr>
          <w:rFonts w:ascii="Times New Roman;Times;serif" w:hAnsi="Times New Roman;Times;serif"/>
          <w:sz w:val="20"/>
        </w:rPr>
        <w:t>During the six months ended June 30, 2026, we used $67.4 million of cash for financing activities as compared to the six months ended June 30, 2025 when our financing activities provided $9.9 million of cash.</w:t>
      </w:r>
    </w:p>
    <w:p>
      <w:pPr>
        <w:pStyle w:val="TextBody"/>
        <w:pBd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This $77.3 million change in cash provided by (used in) financing activities was primarily related to the repayment of $76.8 million of our debt, funded by the proceeds from the Tower Portfolio Transaction. In addition, we increased the cash used to pay dividends to our stockholders by $1.1 million and to repurchase our common stock from employees to satisfy certain tax withholding obligations of $1.1 million. </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2023 CoBank Credit Facility</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July 13, 2023, we, along with certain of our subsidiaries as guarantors, entered into a Credit Agreement (as may be amended from time to time, the “2023 CoBank Credit Agreement”) with CoBank, ACB (“CoBank”) and a syndicate of other lenders (the “2023 CoBank Credit Facility”). On July 10, 2024, we amended the 2023 CoBank Credit Agreement to add certain subsidiaries as guarantors and to provide further flexibility in order to accept certain grant and government program obligations.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2023 CoBank Credit Facility provides for a five-year $170 million revolving credit facility (the “2023 CoBank Revolving Loan”) and a six-year $130 million term loan facility (the “2023 CoBank Term Loan”). We may use (i) up to $25 million under the 2023 CoBank Revolving Loan for letters of credit, and (ii) up to $20 million under a swingline sub-facility.</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2023 CoBank Term Loan has scheduled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pStyle w:val="TextBody"/>
        <w:shd w:fill="FFFFFF" w:val="clear"/>
        <w:bidi w:val="0"/>
        <w:spacing w:before="0" w:after="0"/>
        <w:ind w:left="0" w:right="0" w:firstLine="720"/>
        <w:jc w:val="left"/>
        <w:rPr/>
      </w:pPr>
      <w:r>
        <w:rPr/>
        <w:t>​</w:t>
      </w:r>
    </w:p>
    <w:tbl>
      <w:tblPr>
        <w:tblW w:w="8807" w:type="dxa"/>
        <w:jc w:val="left"/>
        <w:tblInd w:w="0" w:type="dxa"/>
        <w:tblLayout w:type="fixed"/>
        <w:tblCellMar>
          <w:top w:w="0" w:type="dxa"/>
          <w:left w:w="0" w:type="dxa"/>
          <w:bottom w:w="0" w:type="dxa"/>
          <w:right w:w="0" w:type="dxa"/>
        </w:tblCellMar>
      </w:tblPr>
      <w:tblGrid>
        <w:gridCol w:w="4501"/>
        <w:gridCol w:w="4306"/>
      </w:tblGrid>
      <w:tr>
        <w:trPr/>
        <w:tc>
          <w:tcPr>
            <w:tcW w:w="4501"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pPr>
            <w:r>
              <w:rPr/>
              <w:t>​</w:t>
            </w:r>
          </w:p>
        </w:tc>
      </w:tr>
      <w:tr>
        <w:trPr/>
        <w:tc>
          <w:tcPr>
            <w:tcW w:w="4501"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 CoBank Term Loan Quarterly Payment Dates</w:t>
            </w:r>
          </w:p>
        </w:tc>
        <w:tc>
          <w:tcPr>
            <w:tcW w:w="4306"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 CoBank Term Loan Quarterly Repayments</w:t>
            </w:r>
          </w:p>
        </w:tc>
      </w:tr>
      <w:tr>
        <w:trPr/>
        <w:tc>
          <w:tcPr>
            <w:tcW w:w="450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2023 – June 30, 2025</w:t>
            </w:r>
          </w:p>
        </w:tc>
        <w:tc>
          <w:tcPr>
            <w:tcW w:w="430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$812,500 (2.5% per annum)</w:t>
            </w:r>
          </w:p>
        </w:tc>
      </w:tr>
      <w:tr>
        <w:trPr/>
        <w:tc>
          <w:tcPr>
            <w:tcW w:w="450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2025 – June 30, 2026 </w:t>
            </w:r>
          </w:p>
        </w:tc>
        <w:tc>
          <w:tcPr>
            <w:tcW w:w="430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$1,625,000 (5% per annum)</w:t>
            </w:r>
          </w:p>
        </w:tc>
      </w:tr>
      <w:tr>
        <w:trPr/>
        <w:tc>
          <w:tcPr>
            <w:tcW w:w="450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2026 – June 30, 2029  </w:t>
            </w:r>
          </w:p>
        </w:tc>
        <w:tc>
          <w:tcPr>
            <w:tcW w:w="430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$2,437,500 (7.5% per annum)</w:t>
            </w:r>
          </w:p>
        </w:tc>
      </w:tr>
    </w:tbl>
    <w:p>
      <w:pPr>
        <w:pStyle w:val="TextBody"/>
        <w:pBdr/>
        <w:shd w:fill="FFFFFF" w:val="clea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Amounts borrowed under the 2023 CoBank Credit Facility bear interest at a rate equal to, at our option, either (i) the secured overnight financing rate (“SOFR”) as administered by the Federal Reserve Bank of New York plus an applicable margin ranging between 2.00% to 3.75% for the 2023 CoBank Term Loan and 1.75% to 3.50% for 2023 CoBank Revolving Loan or (ii) a base rate plus an applicable margin ranging from 1.00% to 2.75% for the 2023 CoBank Term Loan and 0.75% to 2.50% for the 2023 CoBank Revolving Loan. Swingline loans bear interest at the base rate plus the applicable margin for base rate loans. The applicable margin is determined based on the Total Net Leverage Ratio (as defined in the 2023 CoBank Credit Agreement). We also pay a fee ranging from 0.25% to 0.50% on the average daily unused portion of the 2023 CoBank Credit Facility over each calendar quarter.</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2023 CoBank Credit Agreement contains a financial covenant (as further defined in the 2023 CoBank Credit Agreement) that imposes a maximum Total Net Leverage Ratio of 3.25 to 1.0, measured quarterly,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capitalized $4.5 million of fees associated with the 2023 CoBank Credit Facility, which are being amortized over the life of the debt and $2.1 million were unamortized as of June 30, 2026.</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connection with the Tower Portfolio Transaction, on February 11, 2026, we entered into a Consent Agreement (the “Consent”) with CoBank, as Administrative Agent, and the Lenders and Voting Participants (constituting Required Lenders (as defined in the 2023 CoBank Credit Agreement)) party thereto, in connection with the 2023 CoBank Credit Agreement. Pursuant to the terms of the Consent, CoBank and the other Lenders and Voting Participants (constituting Required Lenders) party thereto consented to: (i) the consummation of the Tower Portfolio Transaction; (ii) the distributions of the Net Cash Proceeds (as defined in the 2023 CoBank Credit Agreement) from the Tower Portfolio Transaction to the Company and the minority shareholders of the Commnet Parties; (iii) the Net Cash Proceeds received from the Tower Portfolio Transaction being applied to the repayment of the outstanding 2023 CoBank Revolving Loan rather than the 2023 CoBank Term Loan; and (iv) to the extent that there are Net Cash Proceeds remaining after repaying the outstanding 2023 CoBank Revolving Loan, such Net Cash Proceeds being used by the Company and its subsidiaries for working capital and general corporate purposes. The Consent further provides for the release of the Liens (as defined in the 2023 CoBank Credit Agreement) on the assets being sold in connection with the Tower Portfolio Transaction.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June 30, 2026, we had $117.8 million outstanding under the 2023 CoBank Term Loan and no outstanding borrowings under the 2023 CoBank Revolving Loan, as a result of the repayment of the outstanding 2023 CoBank Revolving Loan balance from Net Cash Proceeds from the Tower Portfolio Transaction. As of that date, we had $170.0 million of remaining availability under the 2023 CoBank Revolving Loan. We were in compliance with all financial covenants as of June 30, 2026.</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October 2023, we entered into a two-year, forward starting one-month floating to fixed SOFR interest rate swap agreement. The swap was effective November 13, 2023 in a non-amortizing notional amount of $50.0 million, had a fixed SOFR rate of 4.896% and matured on November 13, 2025.</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Letter of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November 14, 2022, we entered into a General Agreement of Indemnity to issue performance Standby Letters of Credit on behalf of us and our subsidiaries. As of June 30, 2026, $39.0 million of Standby Letters of Credit had been issued under this agreement.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2024 Alaska Credit Facility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August 29, 2024, Alaska Communications entered into a Credit Agreement (the “2024 Alaska Credit Agreement”) with Bank of America, N.A., as administrative agent, and a syndicate of lenders (the “2024 Alaska Credit Facility”), to provide debt financing in the form of a $300 million, five-year secured term loan facility (the “2024 Alaska Term Facility”) and a $90 million revolving facility (the “2024 Alaska Revolving Facility”). The maturity date for the 2024 Alaska Credit Facility is August 29, 2029.</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2024 Alaska Term Facility proceeds were used (a) to refinance Alaska Communications’ outstanding indebtedness under the 2022 Alaska Credit Facility (as defined below) in the amount of approximately $279 million plus accrued and unpaid interest, (b) to pay fees and expenses associated with the completion of this transaction, and (c) for general corporate purposes. As of June 30, 2026, $300.0 million was outstanding under the 2024 Alaska Term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Proceeds from the 2024 Alaska Revolving Facility are used, subject to certain limitations, (a) to issue letters of credit to replace or backstop existing letters of credit of Alaska Communications and its direct and indirect subsidiaries, and (b) for working capital purposes, capital expenditures and other general corporate purposes. As of June 30, 2026, $20.0 million was outstanding under the 2024 Alaska Revolving Facility and $0.6 million of letters of credit were issued. As a result, $69.4 million was available under the 2024 Alaska Revolving Facility as of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2024 Alaska Credit Facility also provides for incremental term loans (“Incremental Term Loans”) up to an aggregate principal amount of the greater of $91 million and Alaska Communications’ trailing consolidated twelve-month EBITDA (as defined in the 2024 Alaska Credit Agreement), subject to Alaska Communications meeting certain conditions.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connection with the 2024 Alaska Credit Facility, we incurred $6.9 million of fees and rolled over $2.1 million of fees for the 2022 Alaska Credit Facility to be amortized over the life of the debt. As of June 30, 2026, we had $5.7 million of unamortized fees, which are being amortized over the life of the debt, associated with the 2024 Alaska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Amounts outstanding under the 2024 Alaska Credit Facility bear an interest rate equal to, at our option, either (i) the SOFR plus an applicable margin ranging between 3.00% to 4.50% or (ii) a base rate plus an applicable margin ranging from 2.00% to 3.50%. Swingline loans bear interest at the base rate plus the applicable margin for base rate loans. We also pay a fee ranging from 0.25% to 0.40% on the average daily unused portion of the 2024 Alaska Credit Facility over each calendar quarter.</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Principal payments on the 2024 Alaska Term Facility are due quarterly commencing in the fourth quarter of 2026 in quarterly amounts as follows: from the fourth quarter of 2026 through the third quarter of 2027, $1,875,000; and from the fourth quarter of 2027 through the second quarter of 2029, $3,750,000. The remaining unpaid balance is due on the final maturity date. Alaska Communications may prepay all revolving loans under the 2024 Alaska Revolving Facility at any time without premium or penalty, subject to certain notice requirements and balance restrictions.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Alaska Communications is required to maintain financial ratios, including (a) a maximum Consolidated Net Total Leverage Ratio (as defined in the 2024 Alaska Credit Agreement) of 4.75:1.00, stepping down to 4.50:1.00 beginning with the third quarter of 2027, and stepping down to 4.25:1.00 beginning with the third quarter of 2028; and (b) a minimum Consolidated Fixed Charge Coverage Ratio of not less than 1.25:1.00. The 2024 Alaska Credit Agreement contains customary covenants restricting the incurrence or assumption of debt, granting or assuming liens, declaring dividends and making other restricted payments, making investments, dispositions, engaging in transactions with affiliates, changes to the nature of business, modifying organizational documents and material agreements, entering into sale and leaseback transactions, amending or making prepayments on certain subordinated debt, and entering into mergers and acquisitions. The 2024 Alaska Credit Agreement contains usual and customary affirmative and negative covenants of the parties for credit facilities of this type or as otherwise deemed appropriate by the administrative agent, subject to customary exceptions and materiality standards. As of June 30, 2026, Alaska Communications was in compliance with all financial covenants.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2024 Alaska Credit Facility is secured by substantially all of the personal property and certain material real property owned by Alaska Communications Systems Holdings, the parent company of Alaska Communications (“Holdings”), Alaska Communications, and its wholly owned subsidiaries, excluding, among other things, certain federal and state licenses where a pledge is prohibited by applicable law or is permitted only with the consent of a governmental authority that has not been obtained.</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Company is not a guarantor under the 2024 Alaska Credit Agreement, and the lenders have no recourse against the Company in the event of an occurrence of an Event of Default (as defined in the 2024 Alaska Credit Agreement).</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Alaska Interest Rate Swap Agreements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November 2023, Alaska Communications entered into two forward starting one-month floating to fixed SOFR interest rate swap agreements. The total non-amortizing notional amount of the agreements is $200 million, with fixed SOFR rates of 4.8695% and 4.8980%. These swap agreements matured on June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On September 26, 2025, Alaska Communications entered into four forward starting one-month floating to fixed SOFR interest rate swap agreements. The total non-amortizing notional amount of the four agreements was $200 million, with fixed SOFR rates ranging from 3.43% to 3.45% and have a maturity date of September 30, 2027. The swap agreements had a fair value of $1.3 million and $(0.5) million as of June 30, 2026 and December 31, 2025, respectively.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FirstNet Receivables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March 26, 2020, Commnet Finance, a wholly owned subsidiary of Commnet Wireless, entered into a receivables credit facility with Commnet Wireless and CoBank (the “Receivables Credit Facility”).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Receivables Credit Facility provided for a senior secured delayed draw term loan in an aggregate principal amount of up to $75.0 million with the proceeds used to acquire certain receivables from Commnet Wireless. The receivables financed and sold under the secured Receivables Credit Facility relate to the obligations of AT&amp;T under the FirstNet Agreement.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December 27, 2024, CoBank amended the Receivables Credit Facility and extended the delayed draw period to December 31, 2025. There were no further extensions of the draw period.</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Interest on the loans accrue at a fixed annual interest rate ranging from 3.21% to 7.13%.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Receivables Credit Facility contains customary events of termination, representations and warranties, affirmative and negative covenants and events of default customary for facilities of this type.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Commnet Wireless had $35.4 million outstanding, of which $9.0 million was classified as being current and $26.4 million as long-term on our balance sheet under the Receivables Credit Facility. Commnet Wireless capitalized $0.8 million in fees associated with the Receivables Credit Facility which are being amortized over the life of the debt and $0.2 million were unamortized as of June 30, 2026.  </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IDB Credit Facilities</w:t>
      </w:r>
    </w:p>
    <w:p>
      <w:pPr>
        <w:pStyle w:val="TextBody"/>
        <w:pBdr/>
        <w:shd w:fill="FFFFFF" w:val="clear"/>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 May 8, 2025, OneGY entered into a Credit Agreement (the “2025 IDB Credit Agreement”) with Inter-American Investment Corporation (“IDB Invest”) to provide (the “2025 IDB Credit Facilities”) a Revolving Credit Commitment of $10.0 million (the “2025 IDB Revolving Facility”) and Term Loan Commitment of up to $30.0 million (the “2025 IDB Term Loan”). The debt is secured by certain assets of OneGY and is not guaranteed by the Company.</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Beginning in the second quarter of 2027, amounts drawn on the 2025 IDB Term Loan must be repaid in quarterly principal payments in the amounts set forth below, with the outstanding principal balance maturing on the tenth anniversary of the effective date. The 2025 IDB Revolving Loan may be repaid at any time on, or prior to, its maturity of 360 days after the first disbursement date. </w:t>
      </w:r>
    </w:p>
    <w:p>
      <w:pPr>
        <w:pStyle w:val="TextBody"/>
        <w:shd w:fill="FFFFFF" w:val="clear"/>
        <w:bidi w:val="0"/>
        <w:spacing w:before="0" w:after="0"/>
        <w:ind w:left="0" w:right="0" w:firstLine="720"/>
        <w:jc w:val="left"/>
        <w:rPr/>
      </w:pPr>
      <w:r>
        <w:rPr/>
        <w:t>​</w:t>
      </w:r>
    </w:p>
    <w:tbl>
      <w:tblPr>
        <w:tblW w:w="8117" w:type="dxa"/>
        <w:jc w:val="left"/>
        <w:tblInd w:w="0" w:type="dxa"/>
        <w:tblLayout w:type="fixed"/>
        <w:tblCellMar>
          <w:top w:w="0" w:type="dxa"/>
          <w:left w:w="0" w:type="dxa"/>
          <w:bottom w:w="0" w:type="dxa"/>
          <w:right w:w="0" w:type="dxa"/>
        </w:tblCellMar>
      </w:tblPr>
      <w:tblGrid>
        <w:gridCol w:w="4156"/>
        <w:gridCol w:w="3961"/>
      </w:tblGrid>
      <w:tr>
        <w:trPr/>
        <w:tc>
          <w:tcPr>
            <w:tcW w:w="415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4156"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 IDB Term Loan Quarterly Payment Dates</w:t>
            </w:r>
          </w:p>
        </w:tc>
        <w:tc>
          <w:tcPr>
            <w:tcW w:w="3961" w:type="dxa"/>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 IDB Term Loan Quarterly Repayments</w:t>
            </w:r>
          </w:p>
        </w:tc>
      </w:tr>
      <w:tr>
        <w:trPr/>
        <w:tc>
          <w:tcPr>
            <w:tcW w:w="415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22, 2027 – December 22, 2030</w:t>
            </w:r>
          </w:p>
        </w:tc>
        <w:tc>
          <w:tcPr>
            <w:tcW w:w="396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 bi-annually</w:t>
            </w:r>
          </w:p>
        </w:tc>
      </w:tr>
      <w:tr>
        <w:trPr/>
        <w:tc>
          <w:tcPr>
            <w:tcW w:w="4156"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22, 2031 – December 22, 2034 </w:t>
            </w:r>
          </w:p>
        </w:tc>
        <w:tc>
          <w:tcPr>
            <w:tcW w:w="3961" w:type="dxa"/>
            <w:tcBorders>
              <w:left w:val="single" w:sz="2" w:space="0" w:color="000000"/>
              <w:bottom w:val="single" w:sz="1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 bi-annually</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Amounts borrowed under the 2025 IDB Credit Facilities bear interest at a rate equal to SOFR plus an applicable margin of 2.4% for the 2025 IDB Revolving Facility and 3.0% for the 2025 IDB Term Loan. In the case of the 2025 IDB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 there is a prepayment fee equal to 1% until the first anniversary from the effective date, 0.5% until the second anniversary from the effective date, and 0.0% thereafter.</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2025 IDB Credit Agreement contains financial covenants that impose on OneGY: 1) a maximum Net Financial Debt to EBITDA Ratio; 2) a maximum Debt to Equity ratio; and 3) a minimum EBITDA to Net Financial Expense Ratio (each as defined in the 2025 IDB Credit Agreement), as well as customary representations, warranties and covenants. The 2025 IDB Credit Agreement provides for events of default customary for credit facilities of this type, including but not limited to non-payment, defaults on other debt, misrepresentation, breach of covenants, representations and warranties, insolvency and bankruptcy.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OneGY capitalized $1.1 million of fees associated with the 2025 IDB Credit Facilities, which are being amortized over the life of the debt and $1.0 million were unamortized as of June 30, 2026.</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June 30, 2026, there were no outstanding borrowings under the 2025 IDB Revolving Facility and there was $5.0 million under the 2025 IDB Term loan as of that date. As of June 30, 2026, OneGY was in compliance with all financial covenants.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Sacred Wind Term Debt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Our subsidiary, Sacred Wind, has a term debt facility (the “Sacred Wind Term Debt”) with the US, acting through the Administrator of the Rural Utilities Service (“RUS”), which provides financial assistance in the form of loans under the Rural Electrification Act of 1936 to furnish or improve telecommunications and/or broadband services in rural areas, is secured by substantially all of the assets of Sacred Wind and is an underlying mortgage to the US. These mortgage notes are to be repaid in equal monthly installments covering principal and interest beginning after date of issue and expiring by 2035.</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Sacred Wind Term Debt contains certain restrictions on the declaration or payment of dividends, redemption of capital stock or investment in affiliated companies without the consent of the RUS noteholders. The agreements also contain a financial covenant that Sacred Wind was not in compliance with as of December 31, 2024. Sacred Wind submitted a corrective action plan to comply with the financial covenant by December 31, 2028. The corrective action plan was accepted by the RUS and, as of June 30, 2026, we were in compliance with that corrective action plan.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June 30, 2026, $19.6 million was outstanding under the Sacred Wind Term Debt. Of that amount, $3.6 million was current and $16.0 million was long term.</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mortgage notes carry fixed interest rates ranging from 0.88% to 5.0%.</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USVI Debt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and certain of our subsidiaries, entered into a loan agreement (the “OneVI Debt Agreement”) for a $60.0 million loan (the “OneVI Debt”) with National Cooperative Services Corporation (“NCSC”) on July 1, 2016. The OneVI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“OneVI Net Leverage Ratio”). On May 5, 2022, the Net Leverage Ratio was amended to 7.0 to 1.0 through the original maturity date. This covenant is tested on an annual basis at the end of each fiscal year and we were in compliance with the OneVI Net Leverage Ratio as of December 31, 2025. Interest was paid quarterly at a fixed rate of 4.0% per annum through June 30, 2026. The debt is secured by certain assets of the OneVI subsidiaries and is guaranteed by us.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On November 5, 2025, the Company and certain of its subsidiaries (the “OneVI Borrowers”) amended the OneVI Debt Agreement (the “OneVI Debt Amendment”) to extend the maturity date of the OneVI Debt from July 1,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to July 1, 2035 (the “Extended Maturity Date”). The OneVI Debt Amendment further provided that the OneVI Debt would continue to accrue interest at the then current fixed 4.0% rate through June 30, 2026 and, beginning on July 1, 2026, NCSC offered, at the Borrowers’ option, a forward fixed rate or variable rate of interest for the remainder of the term of the OneVI Debt through the Extended Maturity Date. The OneVI Borrowers elected the variable rate, which is NCSC’s standard variable rate of interest for long-term loans and subject to change monthly, and the OneVI Borrowers have the option to convert all or a portion of principal outstanding as of the date specified in the Conversion Notice (as defined in the OneVI Debt Agreement), to NCSC’s standard fixed interest rates for long-term loans at any time thereafter without a fee.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Additionally, the OneVI Debt Amendment provided that the OneVI Debt would continue to require interest-only payments at the then current rate through June 30, 2026; beginning on July 1, 2026, the OneVI Debt became subject to a quarterly repayment schedule.</w:t>
      </w:r>
    </w:p>
    <w:p>
      <w:pPr>
        <w:pStyle w:val="TextBody"/>
        <w:bidi w:val="0"/>
        <w:spacing w:before="280" w:after="0"/>
        <w:ind w:left="0" w:right="0" w:firstLine="720"/>
        <w:jc w:val="left"/>
        <w:rPr/>
      </w:pPr>
      <w:r>
        <w:rPr/>
        <w:t>​</w:t>
      </w:r>
    </w:p>
    <w:tbl>
      <w:tblPr>
        <w:tblW w:w="3992" w:type="dxa"/>
        <w:jc w:val="left"/>
        <w:tblInd w:w="0" w:type="dxa"/>
        <w:tblLayout w:type="fixed"/>
        <w:tblCellMar>
          <w:top w:w="0" w:type="dxa"/>
          <w:left w:w="0" w:type="dxa"/>
          <w:bottom w:w="0" w:type="dxa"/>
          <w:right w:w="0" w:type="dxa"/>
        </w:tblCellMar>
      </w:tblPr>
      <w:tblGrid>
        <w:gridCol w:w="1381"/>
        <w:gridCol w:w="2611"/>
      </w:tblGrid>
      <w:tr>
        <w:trPr/>
        <w:tc>
          <w:tcPr>
            <w:tcW w:w="1381" w:type="dxa"/>
            <w:tcBorders/>
            <w:vAlign w:val="center"/>
          </w:tcPr>
          <w:p>
            <w:pPr>
              <w:pStyle w:val="TableContents"/>
              <w:bidi w:val="0"/>
              <w:spacing w:before="0" w:after="0"/>
              <w:ind w:left="0" w:right="0" w:hanging="0"/>
              <w:jc w:val="left"/>
              <w:rPr/>
            </w:pPr>
            <w:r>
              <w:rPr/>
              <w:t>​</w:t>
            </w:r>
          </w:p>
        </w:tc>
        <w:tc>
          <w:tcPr>
            <w:tcW w:w="2611" w:type="dxa"/>
            <w:tcBorders/>
            <w:vAlign w:val="center"/>
          </w:tcPr>
          <w:p>
            <w:pPr>
              <w:pStyle w:val="TableContents"/>
              <w:bidi w:val="0"/>
              <w:spacing w:before="0" w:after="0"/>
              <w:ind w:left="0" w:right="0" w:hanging="0"/>
              <w:jc w:val="left"/>
              <w:rPr/>
            </w:pPr>
            <w:r>
              <w:rPr/>
              <w:t>​</w:t>
            </w:r>
          </w:p>
        </w:tc>
      </w:tr>
      <w:tr>
        <w:trPr/>
        <w:tc>
          <w:tcPr>
            <w:tcW w:w="1381"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Payment Dates</w:t>
            </w:r>
          </w:p>
        </w:tc>
        <w:tc>
          <w:tcPr>
            <w:tcW w:w="2611"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Annual Principal Repayment</w:t>
            </w:r>
          </w:p>
        </w:tc>
      </w:tr>
      <w:tr>
        <w:trPr/>
        <w:tc>
          <w:tcPr>
            <w:tcW w:w="13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1-3</w:t>
            </w:r>
          </w:p>
        </w:tc>
        <w:tc>
          <w:tcPr>
            <w:tcW w:w="261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3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4-6</w:t>
            </w:r>
          </w:p>
        </w:tc>
        <w:tc>
          <w:tcPr>
            <w:tcW w:w="261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13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7-8</w:t>
            </w:r>
          </w:p>
        </w:tc>
        <w:tc>
          <w:tcPr>
            <w:tcW w:w="261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38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9</w:t>
            </w:r>
          </w:p>
        </w:tc>
        <w:tc>
          <w:tcPr>
            <w:tcW w:w="2611" w:type="dxa"/>
            <w:tcBorders>
              <w:left w:val="single" w:sz="2" w:space="0" w:color="000000"/>
              <w:bottom w:val="single" w:sz="12" w:space="0" w:color="000000"/>
              <w:right w:val="single" w:sz="2" w:space="0" w:color="000000"/>
            </w:tcBorders>
            <w:tcMar>
              <w:left w:w="28" w:type="dxa"/>
              <w:bottom w:w="28" w:type="dxa"/>
              <w:right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OneVI Debt Amendment includes financial covenants by the OneVI Borrowers that impose a maximum ratio of indebtedness to annual operating cash flow of 5.00 as of December 31, 2026, 4.75 as of December 31, 2027, and 4.50 times as of December 31, 2028 and each year thereafter. Additionally, the OneVI Borrowers are to maintain a minimum fixed charge cover ratio of 1.25 to begin December 31, 2026, tested annually thereafter through the Extended Maturity Date.</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As of June 30, 2026, $60.0 million of the OneVI Debt was outstanding. Of that amount, $4.5 million was current and $55.5 million was long term.</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Debt Maturity</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table below summarizes the annual maturities of our debt instruments (amounts in thousands):</w:t>
      </w:r>
    </w:p>
    <w:tbl>
      <w:tblPr>
        <w:tblW w:w="9258" w:type="dxa"/>
        <w:jc w:val="left"/>
        <w:tblInd w:w="0" w:type="dxa"/>
        <w:tblLayout w:type="fixed"/>
        <w:tblCellMar>
          <w:top w:w="0" w:type="dxa"/>
          <w:left w:w="0" w:type="dxa"/>
          <w:bottom w:w="0" w:type="dxa"/>
          <w:right w:w="0" w:type="dxa"/>
        </w:tblCellMar>
      </w:tblPr>
      <w:tblGrid>
        <w:gridCol w:w="3436"/>
        <w:gridCol w:w="211"/>
        <w:gridCol w:w="781"/>
        <w:gridCol w:w="109"/>
        <w:gridCol w:w="253"/>
        <w:gridCol w:w="813"/>
        <w:gridCol w:w="109"/>
        <w:gridCol w:w="261"/>
        <w:gridCol w:w="969"/>
        <w:gridCol w:w="109"/>
        <w:gridCol w:w="211"/>
        <w:gridCol w:w="781"/>
        <w:gridCol w:w="258"/>
        <w:gridCol w:w="957"/>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181860" cy="175260"/>
                      <wp:effectExtent l="0" t="0" r="0" b="0"/>
                      <wp:wrapNone/>
                      <wp:docPr id="448" name="Frame448"/>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33985" cy="175260"/>
                      <wp:effectExtent l="0" t="0" r="0" b="0"/>
                      <wp:wrapNone/>
                      <wp:docPr id="449" name="Frame4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495935" cy="175260"/>
                      <wp:effectExtent l="0" t="0" r="0" b="0"/>
                      <wp:wrapNone/>
                      <wp:docPr id="450" name="Frame4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9215" cy="175260"/>
                      <wp:effectExtent l="0" t="0" r="0" b="0"/>
                      <wp:wrapNone/>
                      <wp:docPr id="451" name="Frame4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60655" cy="175260"/>
                      <wp:effectExtent l="0" t="0" r="0" b="0"/>
                      <wp:wrapNone/>
                      <wp:docPr id="452" name="Frame452"/>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516255" cy="175260"/>
                      <wp:effectExtent l="0" t="0" r="0" b="0"/>
                      <wp:wrapNone/>
                      <wp:docPr id="453" name="Frame453"/>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9215" cy="175260"/>
                      <wp:effectExtent l="0" t="0" r="0" b="0"/>
                      <wp:wrapNone/>
                      <wp:docPr id="454" name="Frame4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65735" cy="175260"/>
                      <wp:effectExtent l="0" t="0" r="0" b="0"/>
                      <wp:wrapNone/>
                      <wp:docPr id="455" name="Frame455"/>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15315" cy="175260"/>
                      <wp:effectExtent l="0" t="0" r="0" b="0"/>
                      <wp:wrapNone/>
                      <wp:docPr id="456" name="Frame456"/>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9215" cy="175260"/>
                      <wp:effectExtent l="0" t="0" r="0" b="0"/>
                      <wp:wrapNone/>
                      <wp:docPr id="457" name="Frame4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3985" cy="175260"/>
                      <wp:effectExtent l="0" t="0" r="0" b="0"/>
                      <wp:wrapNone/>
                      <wp:docPr id="458" name="Frame4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495935" cy="175260"/>
                      <wp:effectExtent l="0" t="0" r="0" b="0"/>
                      <wp:wrapNone/>
                      <wp:docPr id="459" name="Frame4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63830" cy="175260"/>
                      <wp:effectExtent l="0" t="0" r="0" b="0"/>
                      <wp:wrapNone/>
                      <wp:docPr id="460" name="Frame460"/>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07695" cy="175260"/>
                      <wp:effectExtent l="0" t="0" r="0" b="0"/>
                      <wp:wrapNone/>
                      <wp:docPr id="461" name="Frame461"/>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Customer</w:t>
            </w:r>
          </w:p>
        </w:tc>
      </w:tr>
      <w:tr>
        <w:trPr/>
        <w:tc>
          <w:tcPr>
            <w:tcW w:w="343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International</w:t>
            </w:r>
          </w:p>
        </w:tc>
        <w:tc>
          <w:tcPr>
            <w:tcW w:w="109" w:type="dxa"/>
            <w:tcBorders/>
            <w:vAlign w:val="center"/>
          </w:tcPr>
          <w:p>
            <w:pPr>
              <w:pStyle w:val="TableContents"/>
              <w:bidi w:val="0"/>
              <w:spacing w:before="0" w:after="0"/>
              <w:ind w:left="0" w:right="0" w:hanging="0"/>
              <w:jc w:val="center"/>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Corporate and </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Receivable</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Amounts Maturing During</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Telecom</w:t>
            </w:r>
          </w:p>
        </w:tc>
        <w:tc>
          <w:tcPr>
            <w:tcW w:w="109" w:type="dxa"/>
            <w:tcBorders/>
            <w:vAlign w:val="center"/>
          </w:tcPr>
          <w:p>
            <w:pPr>
              <w:pStyle w:val="TableContents"/>
              <w:bidi w:val="0"/>
              <w:spacing w:before="0" w:after="0"/>
              <w:ind w:left="0" w:right="0" w:hanging="0"/>
              <w:jc w:val="center"/>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Debt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Credit Facility</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2026 through December 31, 2026</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3,710</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10,835</w:t>
            </w:r>
          </w:p>
        </w:tc>
        <w:tc>
          <w:tcPr>
            <w:tcW w:w="258"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4,335</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 2027</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13,098</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27,848</w:t>
            </w:r>
          </w:p>
        </w:tc>
        <w:tc>
          <w:tcPr>
            <w:tcW w:w="258"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9,208</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 2028</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18,858</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33,608</w:t>
            </w:r>
          </w:p>
        </w:tc>
        <w:tc>
          <w:tcPr>
            <w:tcW w:w="258"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9,657</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 2029</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297,749</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5,750</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93,438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396,937</w:t>
            </w:r>
          </w:p>
        </w:tc>
        <w:tc>
          <w:tcPr>
            <w:tcW w:w="258"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6,274</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 2030</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3,172</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9,672</w:t>
            </w:r>
          </w:p>
        </w:tc>
        <w:tc>
          <w:tcPr>
            <w:tcW w:w="258"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2,985</w:t>
            </w:r>
          </w:p>
        </w:tc>
        <w:tc>
          <w:tcPr>
            <w:tcW w:w="109"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40,500</w:t>
            </w:r>
          </w:p>
        </w:tc>
        <w:tc>
          <w:tcPr>
            <w:tcW w:w="109"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43,485</w:t>
            </w:r>
          </w:p>
        </w:tc>
        <w:tc>
          <w:tcPr>
            <w:tcW w:w="258"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2,958</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339,572</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522,385</w:t>
            </w:r>
          </w:p>
        </w:tc>
        <w:tc>
          <w:tcPr>
            <w:tcW w:w="258"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35,421</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Discounts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(5,874)</w:t>
            </w:r>
          </w:p>
        </w:tc>
        <w:tc>
          <w:tcPr>
            <w:tcW w:w="109"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w:t>
            </w:r>
          </w:p>
        </w:tc>
        <w:tc>
          <w:tcPr>
            <w:tcW w:w="109"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(9,072)</w:t>
            </w:r>
          </w:p>
        </w:tc>
        <w:tc>
          <w:tcPr>
            <w:tcW w:w="258"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Book Value as of June 30, 2026</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333,698</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63,909</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513,313</w:t>
            </w:r>
          </w:p>
        </w:tc>
        <w:tc>
          <w:tcPr>
            <w:tcW w:w="258"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35,227</w:t>
            </w:r>
          </w:p>
        </w:tc>
      </w:tr>
    </w:tbl>
    <w:p>
      <w:pPr>
        <w:pStyle w:val="TextBody"/>
        <w:pBdr/>
        <w:bidi w:val="0"/>
        <w:spacing w:before="0" w:after="0"/>
        <w:ind w:left="0" w:right="0" w:hanging="720"/>
        <w:jc w:val="left"/>
        <w:rPr/>
      </w:pPr>
      <w:r>
        <w:rPr/>
        <w:t>​</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 xml:space="preserve">Factors Affecting Sources of Liquidity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Internally generated funds. </w:t>
      </w:r>
      <w:r>
        <w:rPr>
          <w:rFonts w:ascii="Times New Roman;Times;serif" w:hAnsi="Times New Roman;Times;serif"/>
          <w:sz w:val="20"/>
        </w:rPr>
        <w:t>The key factors affecting our internally generated funds are demand for our services, competition, regulatory developments, economic conditions in the markets where we operate our businesses and industry trends within the telecommunications industry.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Restrictions under 2023 CoBank Credit Facility.  </w:t>
      </w:r>
      <w:r>
        <w:rPr>
          <w:rFonts w:ascii="Times New Roman;Times;serif" w:hAnsi="Times New Roman;Times;serif"/>
          <w:sz w:val="20"/>
        </w:rPr>
        <w:t>Our 2023 CoBank Credit Facility contains customary representations, warranties and covenants, including covenants limiting additional indebtedness, liens, guaranties, mergers and consolidations, substantial asset sales, investments and loans, sale and leasebacks, transactions with affiliates and fundamental changes.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In addition, the 2023 CoBank Credit Facility contains a financial covenant that imposes a maximum ratio of indebtedness to EBITDA. As of June 30, 2026, we were in compliance with all of the financial covenants of the 2023 CoBank Credit Facility.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Capital markets.  </w:t>
      </w:r>
      <w:r>
        <w:rPr>
          <w:rFonts w:ascii="Times New Roman;Times;serif" w:hAnsi="Times New Roman;Times;serif"/>
          <w:sz w:val="20"/>
        </w:rPr>
        <w:t>Our ability to raise funds in the capital markets depends on, among other things, general economic conditions, the conditions of the telecommunications industry, our financial performance, the state of the capital markets and our compliance with SEC requirements for the offering of securities. In August 2025, we filed a new “universal” shelf registration statement with the SEC, to register potential future offerings of up to $300 million of our securities.</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 xml:space="preserve">Foreign Currency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We translate the assets and liabilities of our foreign subsidiaries from their 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 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within our income statement. During the three months ended June 30, 2026 and 2025, we recorded $0.7 million and $0.6 million, respectively, in losses on foreign currency transactions. For the six months ended June 30, 2026 and 2025, we recorded $1.1 million and $1.0 million, respectively, in losses on foreign currency transactions. We will continue to assess the impact of our exposure to the Guyana Dollar.</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Inflation</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Several of our markets have experienced increases in operating costs, some of which we believe are attributable to inflation. If inflation continues or worsens, it could negatively impact us by increasing our operating expenses. Inflation may lead to cost increases in multiple areas across our business, for example, rises in the prices of raw materials and manufactured goods, increased energy rates, as well as increased wage pressures and other expenses related to our employees. In particular, where we have agreed to undertake infrastructure build-outs on a fixed budget for our carrier customers or by accepting government grants, inflation may result in build costs that exceed our original budget given the long delays experienced in procuring equipment and materials due to global supply chain delays. To the extent that we are unable to pass on these costs through increased prices, revised budget estimates, or offset them in other ways, they may impact our financial condition and cash flows</w:t>
      </w:r>
      <w:r>
        <w:rPr>
          <w:rFonts w:ascii="Times New Roman;Times;serif" w:hAnsi="Times New Roman;Times;serif"/>
          <w:sz w:val="20"/>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Tariffs</w:t>
      </w:r>
    </w:p>
    <w:p>
      <w:pPr>
        <w:pStyle w:val="TextBody"/>
        <w:bidi w:val="0"/>
        <w:spacing w:before="280" w:after="160"/>
        <w:ind w:left="0" w:right="0" w:firstLine="720"/>
        <w:jc w:val="left"/>
        <w:rPr>
          <w:rFonts w:ascii="Times New Roman;Times;serif" w:hAnsi="Times New Roman;Times;serif"/>
          <w:sz w:val="20"/>
        </w:rPr>
      </w:pPr>
      <w:r>
        <w:rPr>
          <w:rFonts w:ascii="Times New Roman;Times;serif" w:hAnsi="Times New Roman;Times;serif"/>
          <w:sz w:val="20"/>
        </w:rPr>
        <w:t>The US government has imposed tariffs on goods imported from various countries to the US, which have been modified, expanded, and in some cases eliminated since that time. Our business is not currently subject to these tariffs. Countries subject to such tariffs or other trade restrictions and other changes in trade policy by the US may, in the future, impose reciprocal or retaliatory tariffs and other trade measures that may impact our business. We are actively monitoring the tariff developments and analyzing the potential impacts on our businesses, cost structures, supply chain and broader economic environment. We are also working closely with our strategic suppliers to manage their potential impact.</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The previously implemented tariffs did not have a material impact on our financial condition or results of operations during the three or six months ended June 30, 2026. However, due to the uncertainty with respect to such tariffs and their evolving nature, we cannot predict the impact, if any, they may have on our business or results in the future.</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Availability Under Credit Facilities</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In addition to future internally generated funds, we had the following available to us under our credit facilities, as defined below, as of June 30, 2026 and may be able to raise funds in the capital markets by making an offering under our universal shelf registration.</w:t>
      </w:r>
    </w:p>
    <w:tbl>
      <w:tblPr>
        <w:tblW w:w="5122" w:type="dxa"/>
        <w:jc w:val="left"/>
        <w:tblInd w:w="0" w:type="dxa"/>
        <w:tblLayout w:type="fixed"/>
        <w:tblCellMar>
          <w:top w:w="0" w:type="dxa"/>
          <w:left w:w="0" w:type="dxa"/>
          <w:bottom w:w="0" w:type="dxa"/>
          <w:right w:w="0" w:type="dxa"/>
        </w:tblCellMar>
      </w:tblPr>
      <w:tblGrid>
        <w:gridCol w:w="2731"/>
        <w:gridCol w:w="109"/>
        <w:gridCol w:w="211"/>
        <w:gridCol w:w="207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734185" cy="175260"/>
                      <wp:effectExtent l="0" t="0" r="0" b="0"/>
                      <wp:wrapNone/>
                      <wp:docPr id="462" name="Frame462"/>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9215" cy="175260"/>
                      <wp:effectExtent l="0" t="0" r="0" b="0"/>
                      <wp:wrapNone/>
                      <wp:docPr id="463" name="Frame4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3985" cy="175260"/>
                      <wp:effectExtent l="0" t="0" r="0" b="0"/>
                      <wp:wrapNone/>
                      <wp:docPr id="464" name="Frame4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315085" cy="175260"/>
                      <wp:effectExtent l="0" t="0" r="0" b="0"/>
                      <wp:wrapNone/>
                      <wp:docPr id="465" name="Frame465"/>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Available as of </w:t>
            </w:r>
          </w:p>
        </w:tc>
      </w:tr>
      <w:tr>
        <w:trPr/>
        <w:tc>
          <w:tcPr>
            <w:tcW w:w="27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Facility</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 (in millions)</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 CoBank 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 Alaska Revolving Facility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 IDB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2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 IDB Revolving Facility</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available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274.4</w:t>
            </w:r>
          </w:p>
        </w:tc>
      </w:tr>
    </w:tbl>
    <w:p>
      <w:pPr>
        <w:pStyle w:val="TextBody"/>
        <w:bidi w:val="0"/>
        <w:spacing w:before="0" w:after="160"/>
        <w:ind w:left="0" w:right="0" w:firstLine="720"/>
        <w:jc w:val="left"/>
        <w:rPr/>
      </w:pPr>
      <w:r>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b/>
          <w:sz w:val="20"/>
        </w:rPr>
        <w:t>Critical Accounting Estimates</w:t>
      </w:r>
      <w:r>
        <w:rPr>
          <w:rFonts w:ascii="Times New Roman;Times;serif" w:hAnsi="Times New Roman;Times;serif"/>
          <w:sz w:val="20"/>
        </w:rPr>
        <w:t xml:space="preserv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changes to critical accounting estimates from those disclosed in “Part II. Item 7. Management’s Discussion and Analysis of Financial Condition and Results of Operations—Critical Accounting Estimates” of our Annual Report on Form 10-K for the year ended December 31, 2025.</w:t>
      </w:r>
    </w:p>
    <w:p>
      <w:pPr>
        <w:pStyle w:val="TextBody"/>
        <w:bidi w:val="0"/>
        <w:spacing w:before="280" w:after="0"/>
        <w:ind w:left="0" w:right="0" w:hanging="0"/>
        <w:jc w:val="left"/>
        <w:rPr>
          <w:rFonts w:ascii="Times New Roman;Times;serif" w:hAnsi="Times New Roman;Times;serif"/>
          <w:b/>
          <w:sz w:val="20"/>
        </w:rPr>
      </w:pPr>
      <w:bookmarkStart w:id="2104" w:name="RecentAccountingPronouncements_558054"/>
      <w:bookmarkEnd w:id="2104"/>
      <w:r>
        <w:rPr>
          <w:rFonts w:ascii="Times New Roman;Times;serif" w:hAnsi="Times New Roman;Times;serif"/>
          <w:b/>
          <w:sz w:val="20"/>
        </w:rPr>
        <w:t>Recent Accounting Pronouncements</w:t>
      </w:r>
    </w:p>
    <w:p>
      <w:pPr>
        <w:pStyle w:val="TextBody"/>
        <w:bidi w:val="0"/>
        <w:spacing w:before="280" w:after="240"/>
        <w:ind w:left="0" w:right="0" w:firstLine="720"/>
        <w:jc w:val="left"/>
        <w:rPr>
          <w:rFonts w:ascii="Times New Roman;Times;serif" w:hAnsi="Times New Roman;Times;serif"/>
          <w:sz w:val="20"/>
        </w:rPr>
      </w:pPr>
      <w:r>
        <w:rPr>
          <w:rFonts w:ascii="Times New Roman;Times;serif" w:hAnsi="Times New Roman;Times;serif"/>
          <w:sz w:val="20"/>
        </w:rPr>
        <w:t>See Note 2 to the Consolidated Financial Statements included in this Report.</w:t>
      </w:r>
    </w:p>
    <w:p>
      <w:pPr>
        <w:pStyle w:val="TextBody"/>
        <w:bidi w:val="0"/>
        <w:spacing w:before="280" w:after="0"/>
        <w:ind w:left="0" w:right="0" w:hanging="0"/>
        <w:jc w:val="left"/>
        <w:rPr>
          <w:rFonts w:ascii="Times New Roman;Times;serif" w:hAnsi="Times New Roman;Times;serif"/>
          <w:b/>
          <w:sz w:val="20"/>
        </w:rPr>
      </w:pPr>
      <w:bookmarkStart w:id="2105" w:name="ITEM3QUANTITATIVEANDQUALITATIVEDISCLOSUR"/>
      <w:bookmarkStart w:id="2106" w:name="_dd11ad47_0ed2_4fa3_8f4d_c416195dca0a"/>
      <w:bookmarkEnd w:id="2105"/>
      <w:bookmarkEnd w:id="2106"/>
      <w:r>
        <w:rPr>
          <w:rFonts w:ascii="Times New Roman;Times;serif" w:hAnsi="Times New Roman;Times;serif"/>
          <w:b/>
          <w:sz w:val="20"/>
        </w:rPr>
        <w:t>Item 3.  QUANTITATIVE AND QUALITATIVE DISCLOSURES ABOUT MARKET RISK</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Translation and Remeasurement.  </w:t>
      </w:r>
      <w:r>
        <w:rPr>
          <w:rFonts w:ascii="Times New Roman;Times;serif" w:hAnsi="Times New Roman;Times;serif"/>
          <w:sz w:val="20"/>
        </w:rPr>
        <w:t xml:space="preserve">We translate the assets and liabilities of our foreign subsidiaries from their respective functional currencies, primarily the Guyana Dollar, to US Dollars at the appropriate rates as of the balance sheet date. Changes in the carrying value of these assets and liabilities attributable to fluctuations in rates are recognized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foreign currency translation adjustment, a component of accumulated other comprehensive income on our balance sheet. Income statement accounts are translated using the monthly average exchange rates during the year.</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our income statement. </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Employee Benefit Plans.  </w:t>
      </w:r>
      <w:r>
        <w:rPr>
          <w:rFonts w:ascii="Times New Roman;Times;serif" w:hAnsi="Times New Roman;Times;serif"/>
          <w:sz w:val="20"/>
        </w:rPr>
        <w:t>We sponsor pension and other postretirement benefit plans for employees of certain subsidiaries.  Net periodic pension expense is recognized in our income statement. We recognize a pension or other postretirement plan’s funded status as either an asset or liability in our consolidated balance sheet.  Actuarial gains and losses are reported as a component of other comprehensive income and amortized through other income in subsequent periods.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Interest Rate Sensitivity.</w:t>
      </w:r>
      <w:r>
        <w:rPr>
          <w:rFonts w:ascii="Times New Roman;Times;serif" w:hAnsi="Times New Roman;Times;serif"/>
          <w:sz w:val="20"/>
        </w:rPr>
        <w:t xml:space="preserve"> As of June 30, 2026, we had $302.8 million of variable rate debt outstanding, which is subject to fluctuations in interest rates.  Our interest expense may be affected by changes in interest rates.  We believe that a 100-basis-point change in the interest rates on our variable rate debt would result in a $3.0 million change in our annual interest expense.  We may have additional exposure to fluctuations in interest rates if we again borrow amounts under our revolver loans within our credit facilities. </w:t>
      </w:r>
    </w:p>
    <w:p>
      <w:pPr>
        <w:pStyle w:val="TextBody"/>
        <w:bidi w:val="0"/>
        <w:spacing w:before="280" w:after="0"/>
        <w:ind w:left="0" w:right="0" w:hanging="0"/>
        <w:jc w:val="left"/>
        <w:rPr>
          <w:rFonts w:ascii="Times New Roman;Times;serif" w:hAnsi="Times New Roman;Times;serif"/>
          <w:b/>
          <w:sz w:val="20"/>
        </w:rPr>
      </w:pPr>
      <w:bookmarkStart w:id="2107" w:name="Item4CONTROLSANDPROCEDURES_280017"/>
      <w:bookmarkStart w:id="2108" w:name="_369611b1_c98e_48a9_b26b_3189234b9610"/>
      <w:bookmarkEnd w:id="2107"/>
      <w:bookmarkEnd w:id="2108"/>
      <w:r>
        <w:rPr>
          <w:rFonts w:ascii="Times New Roman;Times;serif" w:hAnsi="Times New Roman;Times;serif"/>
          <w:b/>
          <w:sz w:val="20"/>
        </w:rPr>
        <w:t>Item 4. CONTROLS AND PROCEDURES</w:t>
      </w:r>
    </w:p>
    <w:p>
      <w:pPr>
        <w:pStyle w:val="TextBody"/>
        <w:bidi w:val="0"/>
        <w:spacing w:before="280" w:after="0"/>
        <w:ind w:left="0" w:right="0" w:hanging="0"/>
        <w:jc w:val="left"/>
        <w:rPr>
          <w:rFonts w:ascii="Times New Roman;Times;serif" w:hAnsi="Times New Roman;Times;serif"/>
          <w:b/>
          <w:sz w:val="20"/>
        </w:rPr>
      </w:pPr>
      <w:bookmarkStart w:id="2109" w:name="EvaluationofDisclosureControlsandProcedu"/>
      <w:bookmarkEnd w:id="2109"/>
      <w:r>
        <w:rPr>
          <w:rFonts w:ascii="Times New Roman;Times;serif" w:hAnsi="Times New Roman;Times;serif"/>
          <w:b/>
          <w:sz w:val="20"/>
        </w:rPr>
        <w:t>Evaluation of Disclosure Controls and Procedures</w:t>
      </w:r>
    </w:p>
    <w:p>
      <w:pPr>
        <w:pStyle w:val="TextBody"/>
        <w:bidi w:val="0"/>
        <w:spacing w:before="280" w:after="20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June 30, 2026. Disclosure controls and procedures, as defined in Rules 13a-15(e) and 15d-15(e) under the Securities Exchange Act of 1934, as amended (the “Exchange Act”), mean controls and other procedures of an issuer that are designed to ensure that information required to be disclosed by the issuer in the reports that it files or submits under the Exchange Act is recorded, processed, summarized and reported within the time periods specified by the Securities and Exchange Commission’s (“SEC”)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pBdr/>
        <w:bidi w:val="0"/>
        <w:spacing w:before="280" w:after="0"/>
        <w:ind w:left="0" w:right="0" w:hanging="0"/>
        <w:jc w:val="left"/>
        <w:rPr>
          <w:rFonts w:ascii="Times New Roman;Times;serif" w:hAnsi="Times New Roman;Times;serif"/>
          <w:b/>
          <w:sz w:val="20"/>
        </w:rPr>
      </w:pPr>
      <w:bookmarkStart w:id="2110" w:name="ChangesinInternalControlOverFinancialRep"/>
      <w:bookmarkEnd w:id="2110"/>
      <w:r>
        <w:rPr>
          <w:rFonts w:ascii="Times New Roman;Times;serif" w:hAnsi="Times New Roman;Times;serif"/>
          <w:b/>
          <w:sz w:val="20"/>
        </w:rPr>
        <w:t>Changes in Internal Control Over Financial Reporting.</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that occurred during the three months ended June 30, 2026 that have materially affected, or are reasonably likely to materially affect, our internal control over financial reporting.</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111" w:name="PARTIIOTHERINFORMATION_512070"/>
      <w:bookmarkStart w:id="2112" w:name="_fc9dd3e2_87d5_4379_aa8f_1a052344f2a8"/>
      <w:bookmarkEnd w:id="2111"/>
      <w:bookmarkEnd w:id="2112"/>
      <w:r>
        <w:rPr>
          <w:rFonts w:ascii="Times New Roman;Times;serif" w:hAnsi="Times New Roman;Times;serif"/>
          <w:b/>
          <w:sz w:val="20"/>
        </w:rPr>
        <w:t>PART II—OTHER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2113" w:name="Item1LegalProceedings_236154"/>
      <w:bookmarkEnd w:id="2113"/>
      <w:r>
        <w:rPr>
          <w:rFonts w:ascii="Times New Roman;Times;serif" w:hAnsi="Times New Roman;Times;serif"/>
          <w:b/>
          <w:sz w:val="20"/>
        </w:rPr>
        <w:t>Item 1. Legal Proceedings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Note 14 to the Unaudited Condensed Consolidated Financial Statements included in this Report.</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sz w:val="20"/>
        </w:rPr>
      </w:pPr>
      <w:bookmarkStart w:id="2114" w:name="Item1ARiskFactors_889481"/>
      <w:bookmarkStart w:id="2115" w:name="_540b1c87_3e03_46d6_b7ea_72ffdd50c4ea"/>
      <w:bookmarkEnd w:id="2114"/>
      <w:bookmarkEnd w:id="2115"/>
      <w:r>
        <w:rPr>
          <w:rFonts w:ascii="Times New Roman;Times;serif" w:hAnsi="Times New Roman;Times;serif"/>
          <w:b/>
          <w:sz w:val="20"/>
        </w:rPr>
        <w:t>Item 1A. Risk Factors</w:t>
      </w:r>
      <w:r>
        <w:rPr>
          <w:rFonts w:ascii="Times New Roman;Times;serif" w:hAnsi="Times New Roman;Times;serif"/>
          <w:sz w:val="20"/>
        </w:rPr>
        <w:t xml:space="preserve">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to the other information set forth in this Report, you should carefully consider the factors discussed under Part I, Item 1A “Risk Factors” of our 2025 Annual Report on Form 10-K. The risks described herein and in our 2025 Annual Report on Form 10-K are not the only risks facing our Company. Additional risks and uncertainties not currently known to us or that we currently deem to be immaterial also may materially adversely affect our business, financial condition and/or operating results. </w:t>
      </w:r>
    </w:p>
    <w:p>
      <w:pPr>
        <w:pStyle w:val="TextBody"/>
        <w:bidi w:val="0"/>
        <w:spacing w:before="280" w:after="0"/>
        <w:ind w:left="0" w:right="0" w:hanging="0"/>
        <w:jc w:val="left"/>
        <w:rPr>
          <w:rFonts w:ascii="Times New Roman;Times;serif" w:hAnsi="Times New Roman;Times;serif"/>
          <w:b/>
          <w:sz w:val="20"/>
        </w:rPr>
      </w:pPr>
      <w:bookmarkStart w:id="2116" w:name="Item2UnregisteredSalesEquity"/>
      <w:bookmarkStart w:id="2117" w:name="_95e4edf9_e6a3_49d7_991c_60c1244d566d"/>
      <w:bookmarkEnd w:id="2116"/>
      <w:bookmarkEnd w:id="2117"/>
      <w:r>
        <w:rPr>
          <w:rFonts w:ascii="Times New Roman;Times;serif" w:hAnsi="Times New Roman;Times;serif"/>
          <w:b/>
          <w:sz w:val="20"/>
        </w:rPr>
        <w:t>Item 2.  Unregistered Sales of Equity Securities and Use of Proceeds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Purchases of Equity Securities by the Issuer. </w:t>
      </w:r>
      <w:r>
        <w:rPr>
          <w:rFonts w:ascii="Times New Roman;Times;serif" w:hAnsi="Times New Roman;Times;serif"/>
          <w:sz w:val="20"/>
        </w:rPr>
        <w:t>We had an authorized share repurchase program, pursuant to which we were authorized to repurchase up to $25 million in shares of our common stock (the “Repurchase Program”) and of which $15 million remained available for repurchases as of June 30, 2026.</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5, 2026, we announced that, on July 31, 2026, our Board of Directors approved a share repurchase authorization increase of $15 million, authorizing the repurchase of up to $30 million in shares of our common stock in the aggregate under the Repurchase Program. Repurchases under the Repurchase Program may be made through a variety of methods, which could include open market purchases, which may or may not be pursuant to pre-set trading plans meeting the requirements of Rule 10b5-1 and Rule 10b-18 under the Exchange Act, in privately negotiated transactions, accelerated share repurchases, block trades, tender offers, or any combination of such methods. The timing and amount of shares repurchased will depend on the stock price, business and market conditions, corporate and regulatory requirements, alternative investment opportunities, acquisition opportunities, and other factors. We are not obligated to repurchase any specific amount of shares of common stock, and the repurchase authorization does not have an expiration date and may be amended or terminated by the Board of Directors at any time without prior notice.</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reflects the repurchases by us of our common stock during the quarter ended June 30, 2026:</w:t>
      </w:r>
    </w:p>
    <w:p>
      <w:pPr>
        <w:pStyle w:val="TextBody"/>
        <w:bidi w:val="0"/>
        <w:spacing w:before="0" w:after="0"/>
        <w:ind w:left="0" w:right="0" w:hanging="0"/>
        <w:jc w:val="left"/>
        <w:rPr/>
      </w:pPr>
      <w:r>
        <w:rPr/>
        <w:t>​</w:t>
      </w:r>
    </w:p>
    <w:tbl>
      <w:tblPr>
        <w:tblW w:w="8935" w:type="dxa"/>
        <w:jc w:val="left"/>
        <w:tblInd w:w="0" w:type="dxa"/>
        <w:tblLayout w:type="fixed"/>
        <w:tblCellMar>
          <w:top w:w="0" w:type="dxa"/>
          <w:left w:w="0" w:type="dxa"/>
          <w:bottom w:w="0" w:type="dxa"/>
          <w:right w:w="0" w:type="dxa"/>
        </w:tblCellMar>
      </w:tblPr>
      <w:tblGrid>
        <w:gridCol w:w="2671"/>
        <w:gridCol w:w="346"/>
        <w:gridCol w:w="1126"/>
        <w:gridCol w:w="346"/>
        <w:gridCol w:w="211"/>
        <w:gridCol w:w="571"/>
        <w:gridCol w:w="346"/>
        <w:gridCol w:w="1456"/>
        <w:gridCol w:w="346"/>
        <w:gridCol w:w="236"/>
        <w:gridCol w:w="1280"/>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696085" cy="175260"/>
                      <wp:effectExtent l="0" t="0" r="0" b="0"/>
                      <wp:wrapNone/>
                      <wp:docPr id="466" name="Frame466"/>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19710" cy="175260"/>
                      <wp:effectExtent l="0" t="0" r="0" b="0"/>
                      <wp:wrapNone/>
                      <wp:docPr id="467" name="Frame4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715010" cy="175260"/>
                      <wp:effectExtent l="0" t="0" r="0" b="0"/>
                      <wp:wrapNone/>
                      <wp:docPr id="468" name="Frame46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19710" cy="175260"/>
                      <wp:effectExtent l="0" t="0" r="0" b="0"/>
                      <wp:wrapNone/>
                      <wp:docPr id="469" name="Frame4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33985" cy="175260"/>
                      <wp:effectExtent l="0" t="0" r="0" b="0"/>
                      <wp:wrapNone/>
                      <wp:docPr id="470" name="Frame4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362585" cy="175260"/>
                      <wp:effectExtent l="0" t="0" r="0" b="0"/>
                      <wp:wrapNone/>
                      <wp:docPr id="471" name="Frame4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19710" cy="175260"/>
                      <wp:effectExtent l="0" t="0" r="0" b="0"/>
                      <wp:wrapNone/>
                      <wp:docPr id="472" name="Frame4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924560" cy="175260"/>
                      <wp:effectExtent l="0" t="0" r="0" b="0"/>
                      <wp:wrapNone/>
                      <wp:docPr id="473" name="Frame473"/>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19710" cy="175260"/>
                      <wp:effectExtent l="0" t="0" r="0" b="0"/>
                      <wp:wrapNone/>
                      <wp:docPr id="474" name="Frame4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49860" cy="175260"/>
                      <wp:effectExtent l="0" t="0" r="0" b="0"/>
                      <wp:wrapNone/>
                      <wp:docPr id="475" name="Frame475"/>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812800" cy="175260"/>
                      <wp:effectExtent l="0" t="0" r="0" b="0"/>
                      <wp:wrapNone/>
                      <wp:docPr id="476" name="Frame476"/>
                      <a:graphic xmlns:a="http://schemas.openxmlformats.org/drawingml/2006/main">
                        <a:graphicData uri="http://schemas.microsoft.com/office/word/2010/wordprocessingShape">
                          <wps:wsp>
                            <wps:cNvSpPr txBox="1"/>
                            <wps:spPr>
                              <a:xfrm>
                                <a:off x="0" y="0"/>
                                <a:ext cx="812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4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w: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w: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(or</w: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w:t>
            </w:r>
          </w:p>
        </w:tc>
        <w:tc>
          <w:tcPr>
            <w:tcW w:w="346" w:type="dxa"/>
            <w:tcBorders/>
            <w:vAlign w:val="center"/>
          </w:tcPr>
          <w:p>
            <w:pPr>
              <w:pStyle w:val="TableContents"/>
              <w:bidi w:val="0"/>
              <w:spacing w:before="0" w:after="0"/>
              <w:ind w:left="0" w:right="0" w:hanging="0"/>
              <w:jc w:val="center"/>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Approximate</w: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w:t>
            </w:r>
          </w:p>
        </w:tc>
        <w:tc>
          <w:tcPr>
            <w:tcW w:w="34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0"/>
              <w:ind w:left="0" w:right="0" w:hanging="0"/>
              <w:jc w:val="center"/>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 Value) of</w: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46" w:type="dxa"/>
            <w:tcBorders/>
            <w:vAlign w:val="center"/>
          </w:tcPr>
          <w:p>
            <w:pPr>
              <w:pStyle w:val="TableContents"/>
              <w:bidi w:val="0"/>
              <w:spacing w:before="0" w:after="0"/>
              <w:ind w:left="0" w:right="0" w:hanging="0"/>
              <w:jc w:val="center"/>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that May</w: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Part of Publicly</w:t>
            </w:r>
          </w:p>
        </w:tc>
        <w:tc>
          <w:tcPr>
            <w:tcW w:w="346" w:type="dxa"/>
            <w:tcBorders/>
            <w:vAlign w:val="center"/>
          </w:tcPr>
          <w:p>
            <w:pPr>
              <w:pStyle w:val="TableContents"/>
              <w:bidi w:val="0"/>
              <w:spacing w:before="0" w:after="0"/>
              <w:ind w:left="0" w:right="0" w:hanging="0"/>
              <w:jc w:val="center"/>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Yet Be Purchased</w: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w:t>
            </w:r>
          </w:p>
        </w:tc>
        <w:tc>
          <w:tcPr>
            <w:tcW w:w="34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 Plans</w:t>
            </w:r>
          </w:p>
        </w:tc>
        <w:tc>
          <w:tcPr>
            <w:tcW w:w="346" w:type="dxa"/>
            <w:tcBorders/>
            <w:vAlign w:val="center"/>
          </w:tcPr>
          <w:p>
            <w:pPr>
              <w:pStyle w:val="TableContents"/>
              <w:bidi w:val="0"/>
              <w:spacing w:before="0" w:after="0"/>
              <w:ind w:left="0" w:right="0" w:hanging="0"/>
              <w:jc w:val="center"/>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the Plans or</w:t>
            </w:r>
          </w:p>
        </w:tc>
      </w:tr>
      <w:tr>
        <w:trPr/>
        <w:tc>
          <w:tcPr>
            <w:tcW w:w="26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center"/>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Programs</w:t>
            </w:r>
          </w:p>
        </w:tc>
        <w:tc>
          <w:tcPr>
            <w:tcW w:w="346" w:type="dxa"/>
            <w:tcBorders/>
            <w:vAlign w:val="center"/>
          </w:tcPr>
          <w:p>
            <w:pPr>
              <w:pStyle w:val="TableContents"/>
              <w:bidi w:val="0"/>
              <w:spacing w:before="0" w:after="0"/>
              <w:ind w:left="0" w:right="0" w:hanging="0"/>
              <w:jc w:val="center"/>
              <w:rPr/>
            </w:pPr>
            <w:r>
              <w:rPr/>
              <w:t>​</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2026 — April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15,000,000</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2026 — May 31, 2026</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15,000,000</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2026 —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26.66</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1280"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15,000,000</w:t>
            </w:r>
          </w:p>
        </w:tc>
      </w:tr>
    </w:tbl>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purchased on June 16, 2026, from members of our Board of Directors who tendered these shares to us to satisfy their tax withholding obligations incurred in connection with the vesting of restricted stock awards at such date. These shares were not purchased under the 2023 Repurchase Plan discussed above. The price paid per share was the closing price per share of our common stock on the Nasdaq Stock Market on the date such shares were purchased.</w:t>
            </w:r>
          </w:p>
        </w:tc>
      </w:tr>
    </w:tbl>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2118" w:name="Item5OtherInformation_382732"/>
      <w:bookmarkStart w:id="2119" w:name="_ff650fc3_5026_4fb1_8d82_7fa3c03e8497"/>
      <w:bookmarkEnd w:id="2118"/>
      <w:bookmarkEnd w:id="2119"/>
      <w:r>
        <w:rPr>
          <w:rFonts w:ascii="Times New Roman;Times;serif" w:hAnsi="Times New Roman;Times;serif"/>
          <w:b/>
          <w:sz w:val="20"/>
        </w:rPr>
        <w:t>Item 5.  Other Information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Rule 10b5-1 Trading Arrangements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quarter ended June 30, 2026, none of the Company’s directors or officers informed the Company of the adoption or termination of a “Rule 10b5-1 trading arrangement” or “non-Rule 10b5-1 trading arrangement” (each as defined in Item 408(a) of Regulation S-K).</w:t>
      </w:r>
    </w:p>
    <w:p>
      <w:pPr>
        <w:pStyle w:val="TextBody"/>
        <w:bidi w:val="0"/>
        <w:spacing w:before="0" w:after="0"/>
        <w:ind w:left="0" w:right="0" w:firstLine="720"/>
        <w:jc w:val="both"/>
        <w:rPr/>
      </w:pPr>
      <w:r>
        <w:rPr/>
        <w:t>​</w:t>
      </w:r>
    </w:p>
    <w:p>
      <w:pPr>
        <w:pStyle w:val="TextBody"/>
        <w:bidi w:val="0"/>
        <w:spacing w:before="0" w:after="40"/>
        <w:ind w:left="0" w:right="0" w:hanging="0"/>
        <w:jc w:val="left"/>
        <w:rPr>
          <w:rFonts w:ascii="Times New Roman;Times;serif" w:hAnsi="Times New Roman;Times;serif"/>
          <w:b/>
          <w:sz w:val="20"/>
        </w:rPr>
      </w:pPr>
      <w:bookmarkStart w:id="2120" w:name="Item6Exhibits_449899"/>
      <w:bookmarkStart w:id="2121" w:name="_2758c24b_6945_4ec1_b27f_28bf3d134ba9"/>
      <w:bookmarkEnd w:id="2120"/>
      <w:bookmarkEnd w:id="2121"/>
      <w:r>
        <w:rPr>
          <w:rFonts w:ascii="Times New Roman;Times;serif" w:hAnsi="Times New Roman;Times;serif"/>
          <w:b/>
          <w:sz w:val="20"/>
        </w:rPr>
        <w:t>Item 6. Exhibits:</w:t>
      </w:r>
    </w:p>
    <w:p>
      <w:pPr>
        <w:pStyle w:val="TextBody"/>
        <w:bidi w:val="0"/>
        <w:spacing w:before="0" w:after="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6"/>
        <w:gridCol w:w="109"/>
        <w:gridCol w:w="9325"/>
        <w:gridCol w:w="155"/>
      </w:tblGrid>
      <w:tr>
        <w:trPr/>
        <w:tc>
          <w:tcPr>
            <w:tcW w:w="6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9215" cy="175260"/>
                      <wp:effectExtent l="0" t="0" r="0" b="0"/>
                      <wp:wrapNone/>
                      <wp:docPr id="477" name="Frame4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80"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9480"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9325"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Offer of Employment Letter, by and between ATN International, Inc. and Naji N. Khoury, dated as of April 1, 2026, incorporated by reference to Exhibit 10.1 to the Company’s Current Report on Form 8-K (File No. 001-12593) filed on April 7, 2026.</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left"/>
              <w:rPr/>
            </w:pPr>
            <w:r>
              <w:rPr/>
              <w:t>​</w:t>
            </w:r>
          </w:p>
        </w:tc>
        <w:tc>
          <w:tcPr>
            <w:tcW w:w="9325"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Restrictive Covenants Agreement, by and between ATN International, Inc. and Naji N. Khoury, dated as of April 1, 2026, incorporated by reference to Exhibit 10.2 to the Company’s Current Report on Form 8-K (File No. 001-12593) filed on April 7, 2026.</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left"/>
              <w:rPr/>
            </w:pPr>
            <w:r>
              <w:rPr/>
              <w:t>​</w:t>
            </w:r>
          </w:p>
        </w:tc>
        <w:tc>
          <w:tcPr>
            <w:tcW w:w="9325"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Consulting Services Agreement, by and between ATN International, Inc. and Brad W. Martin, dated as of April 6, 2026, incorporated by reference to Exhibit 10.3 to the Company’s Current Report on Form 8-K (File No. 001-12593) filed on April 7, 2026.</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325"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Sixth Amendment to Network Build and Maintenance Agreement dated as of May 5, 2026 by and between Commnet Wireless, LLC and AT&amp;T Mobility LLC, incorporated by reference to Exhibit 10.4 to the Company’s Quarterly Report on Form 10-Q (File No. 001-12593) filed on May 11, 2026.</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0"/>
              <w:ind w:left="0" w:right="0" w:hanging="0"/>
              <w:jc w:val="left"/>
              <w:rPr/>
            </w:pPr>
            <w:r>
              <w:rPr/>
              <w:t>​</w:t>
            </w:r>
          </w:p>
        </w:tc>
        <w:tc>
          <w:tcPr>
            <w:tcW w:w="9325"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Letter Agreement, dated as of May 6, 2026, between Cellco Partnership dba Verizon Wireless and Commnet Wireless, LLC, incorporated by reference to Exhibit 10.5 to the Company’s Quarterly Report on Form 10-Q (File No. 001-12593) filed on May 11, 2026.</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0"/>
              <w:ind w:left="0" w:right="0" w:hanging="0"/>
              <w:jc w:val="left"/>
              <w:rPr/>
            </w:pPr>
            <w:r>
              <w:rPr/>
              <w:t>​</w:t>
            </w:r>
          </w:p>
        </w:tc>
        <w:tc>
          <w:tcPr>
            <w:tcW w:w="9325"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Amendment to Purchase and Sale Agreement, dated June 2, 2026, by and among Commnet Wireless, LLC, Alloy, Inc., Arizona Nevada Tower Company, LLC, Commnet Four Corners, LLC, Commnet of Arizona, LLC, Commnet of Nevada, LLC, Excomm, LLC, Mora Valley Wireless, LLC, and EIP Holdings IV, LLC, incorporated by reference to Exhibit 10.1 to the Company’s Current Report on Form 8-K (File No. 001-12593) filed on June 3, 2026.</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9325" w:type="dxa"/>
            <w:tcBorders/>
            <w:vAlign w:val="center"/>
          </w:tcPr>
          <w:p>
            <w:pPr>
              <w:pStyle w:val="TableContents"/>
              <w:bidi w:val="0"/>
              <w:spacing w:before="0" w:after="0"/>
              <w:ind w:left="0" w:right="0" w:hanging="0"/>
              <w:jc w:val="left"/>
              <w:rPr/>
            </w:pPr>
            <w:hyperlink w:anchor="atni-20260630xex31d1.htm">
              <w:r>
                <w:rPr>
                  <w:rStyle w:val="InternetLink"/>
                  <w:rFonts w:ascii="Times New Roman;Times;serif" w:hAnsi="Times New Roman;Times;serif"/>
                  <w:b w:val="false"/>
                  <w:i w:val="false"/>
                  <w:caps w:val="false"/>
                  <w:smallCaps w:val="false"/>
                  <w:sz w:val="20"/>
                </w:rPr>
                <w:t>Certification of Chief Executive Officer pursuant to Rule 13a-14(a) of the Securities Exchange Act of 1934, as adopted pursuant to Section 302 of the Sarbanes-Oxley Act of 2002.</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9325" w:type="dxa"/>
            <w:tcBorders/>
            <w:vAlign w:val="center"/>
          </w:tcPr>
          <w:p>
            <w:pPr>
              <w:pStyle w:val="TableContents"/>
              <w:bidi w:val="0"/>
              <w:spacing w:before="0" w:after="0"/>
              <w:ind w:left="0" w:right="0" w:hanging="0"/>
              <w:jc w:val="left"/>
              <w:rPr/>
            </w:pPr>
            <w:hyperlink w:anchor="atni-20260630xex31d2.htm">
              <w:r>
                <w:rPr>
                  <w:rStyle w:val="InternetLink"/>
                  <w:rFonts w:ascii="Times New Roman;Times;serif" w:hAnsi="Times New Roman;Times;serif"/>
                  <w:b w:val="false"/>
                  <w:i w:val="false"/>
                  <w:caps w:val="false"/>
                  <w:smallCaps w:val="false"/>
                  <w:sz w:val="20"/>
                </w:rPr>
                <w:t>Certification of Chief Financial Officer pursuant to Rule 13a-14(a) of the Securities Exchange Act of 1934, as adopted pursuant to Section 302 of the Sarbanes-Oxley Act of 2002.</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9325" w:type="dxa"/>
            <w:tcBorders/>
            <w:vAlign w:val="center"/>
          </w:tcPr>
          <w:p>
            <w:pPr>
              <w:pStyle w:val="TableContents"/>
              <w:bidi w:val="0"/>
              <w:spacing w:before="0" w:after="0"/>
              <w:ind w:left="0" w:right="0" w:hanging="0"/>
              <w:jc w:val="left"/>
              <w:rPr/>
            </w:pPr>
            <w:hyperlink w:anchor="atni-202606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9325" w:type="dxa"/>
            <w:tcBorders/>
            <w:vAlign w:val="center"/>
          </w:tcPr>
          <w:p>
            <w:pPr>
              <w:pStyle w:val="TableContents"/>
              <w:bidi w:val="0"/>
              <w:spacing w:before="0" w:after="0"/>
              <w:ind w:left="0" w:right="0" w:hanging="0"/>
              <w:jc w:val="left"/>
              <w:rPr/>
            </w:pPr>
            <w:hyperlink w:anchor="atni-20260630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93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93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93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93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93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93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3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embedded within Exhibit 101).</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The certifications furnished in Exhibit 32.1 and Exhibit 32.2 hereto are deemed to accompany this Report and will not be deemed “filed” for purposes of Section 18 of the Securities Exchange Act of 1934, as amended, except to the extent that the Company specifically incorporates them by reference.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22" w:name="SIGNATURES_327934"/>
      <w:bookmarkStart w:id="2123" w:name="_15373a86_105d_4a67_bcd8_f16e9dbffd1d"/>
      <w:bookmarkEnd w:id="2122"/>
      <w:bookmarkEnd w:id="2123"/>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pPr>
      <w:r>
        <w:rPr/>
        <w:t>​</w:t>
      </w:r>
    </w:p>
    <w:tbl>
      <w:tblPr>
        <w:tblW w:w="4022" w:type="dxa"/>
        <w:jc w:val="left"/>
        <w:tblInd w:w="0" w:type="dxa"/>
        <w:tblLayout w:type="fixed"/>
        <w:tblCellMar>
          <w:top w:w="0" w:type="dxa"/>
          <w:left w:w="0" w:type="dxa"/>
          <w:bottom w:w="0" w:type="dxa"/>
          <w:right w:w="0" w:type="dxa"/>
        </w:tblCellMar>
      </w:tblPr>
      <w:tblGrid>
        <w:gridCol w:w="1951"/>
        <w:gridCol w:w="2071"/>
      </w:tblGrid>
      <w:tr>
        <w:trPr/>
        <w:tc>
          <w:tcPr>
            <w:tcW w:w="195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ATN International, Inc.</w:t>
            </w:r>
          </w:p>
        </w:tc>
      </w:tr>
      <w:tr>
        <w:trPr/>
        <w:tc>
          <w:tcPr>
            <w:tcW w:w="195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2026</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Naji N. Khoury</w:t>
            </w:r>
          </w:p>
        </w:tc>
      </w:tr>
      <w:tr>
        <w:trPr/>
        <w:tc>
          <w:tcPr>
            <w:tcW w:w="1951" w:type="dxa"/>
            <w:tcBorders/>
            <w:vAlign w:val="center"/>
          </w:tcPr>
          <w:p>
            <w:pPr>
              <w:pStyle w:val="TableContents"/>
              <w:bidi w:val="0"/>
              <w:spacing w:before="0" w:after="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Naji N. Khoury</w:t>
            </w:r>
          </w:p>
        </w:tc>
      </w:tr>
      <w:tr>
        <w:trPr/>
        <w:tc>
          <w:tcPr>
            <w:tcW w:w="195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2026</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Carlos R. Doglioli</w:t>
            </w:r>
          </w:p>
        </w:tc>
      </w:tr>
      <w:tr>
        <w:trPr/>
        <w:tc>
          <w:tcPr>
            <w:tcW w:w="1951" w:type="dxa"/>
            <w:tcBorders/>
            <w:vAlign w:val="center"/>
          </w:tcPr>
          <w:p>
            <w:pPr>
              <w:pStyle w:val="TableContents"/>
              <w:bidi w:val="0"/>
              <w:spacing w:before="0" w:after="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Carlos R. Doglioli</w:t>
            </w:r>
          </w:p>
        </w:tc>
      </w:tr>
      <w:tr>
        <w:trPr/>
        <w:tc>
          <w:tcPr>
            <w:tcW w:w="195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0"/>
        <w:ind w:left="0" w:right="0" w:hanging="0"/>
        <w:jc w:val="right"/>
        <w:rPr>
          <w:rFonts w:ascii="Times New Roman;Times;serif" w:hAnsi="Times New Roman;Times;serif"/>
          <w:b/>
          <w:sz w:val="20"/>
        </w:rPr>
      </w:pPr>
      <w:bookmarkStart w:id="2124" w:name="atni-20260630xex31d1.htm"/>
      <w:bookmarkStart w:id="2125" w:name="ksatni20260630xex31d1"/>
      <w:bookmarkEnd w:id="2124"/>
      <w:bookmarkEnd w:id="2125"/>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 13a-14(a) OR RULE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Naji N. Khoury, certify that:</w:t>
      </w:r>
    </w:p>
    <w:p>
      <w:pPr>
        <w:pStyle w:val="TextBody"/>
        <w:bidi w:val="0"/>
        <w:spacing w:before="0" w:after="0"/>
        <w:ind w:left="0" w:right="0" w:hanging="0"/>
        <w:jc w:val="left"/>
        <w:rPr/>
      </w:pPr>
      <w:r>
        <w:rPr/>
        <w:t>​</w:t>
      </w:r>
    </w:p>
    <w:tbl>
      <w:tblPr>
        <w:tblW w:w="6498" w:type="dxa"/>
        <w:jc w:val="left"/>
        <w:tblInd w:w="0" w:type="dxa"/>
        <w:tblLayout w:type="fixed"/>
        <w:tblCellMar>
          <w:top w:w="0" w:type="dxa"/>
          <w:left w:w="0" w:type="dxa"/>
          <w:bottom w:w="0" w:type="dxa"/>
          <w:right w:w="0" w:type="dxa"/>
        </w:tblCellMar>
      </w:tblPr>
      <w:tblGrid>
        <w:gridCol w:w="23"/>
        <w:gridCol w:w="170"/>
        <w:gridCol w:w="63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3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ATN International, Inc.;</w:t>
            </w:r>
          </w:p>
        </w:tc>
      </w:tr>
    </w:tbl>
    <w:p>
      <w:pPr>
        <w:pStyle w:val="TextBody"/>
        <w:pBdr/>
        <w:bidi w:val="0"/>
        <w:spacing w:before="0" w:after="0"/>
        <w:ind w:left="489"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489"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489"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489"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590"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1590"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590"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1590"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before="0" w:after="0"/>
        <w:ind w:left="489"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1590"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1590" w:right="0" w:hanging="490"/>
        <w:jc w:val="left"/>
        <w:rPr/>
      </w:pPr>
      <w:r>
        <w:rPr/>
        <w:t>​</w:t>
      </w:r>
    </w:p>
    <w:p>
      <w:pPr>
        <w:pStyle w:val="TextBody"/>
        <w:bidi w:val="0"/>
        <w:spacing w:before="0" w:after="0"/>
        <w:ind w:left="0" w:right="0" w:hanging="0"/>
        <w:jc w:val="center"/>
        <w:rPr/>
      </w:pPr>
      <w:r>
        <w:rPr/>
        <w:t>​</w:t>
      </w:r>
    </w:p>
    <w:tbl>
      <w:tblPr>
        <w:tblW w:w="4022" w:type="dxa"/>
        <w:jc w:val="left"/>
        <w:tblInd w:w="0" w:type="dxa"/>
        <w:tblLayout w:type="fixed"/>
        <w:tblCellMar>
          <w:top w:w="0" w:type="dxa"/>
          <w:left w:w="0" w:type="dxa"/>
          <w:bottom w:w="0" w:type="dxa"/>
          <w:right w:w="0" w:type="dxa"/>
        </w:tblCellMar>
      </w:tblPr>
      <w:tblGrid>
        <w:gridCol w:w="1951"/>
        <w:gridCol w:w="2071"/>
      </w:tblGrid>
      <w:tr>
        <w:trPr/>
        <w:tc>
          <w:tcPr>
            <w:tcW w:w="195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ATN International, Inc.</w:t>
            </w:r>
          </w:p>
        </w:tc>
      </w:tr>
      <w:tr>
        <w:trPr/>
        <w:tc>
          <w:tcPr>
            <w:tcW w:w="195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2026</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Naji N. Khoury</w:t>
            </w:r>
          </w:p>
        </w:tc>
      </w:tr>
      <w:tr>
        <w:trPr/>
        <w:tc>
          <w:tcPr>
            <w:tcW w:w="1951" w:type="dxa"/>
            <w:tcBorders/>
            <w:vAlign w:val="center"/>
          </w:tcPr>
          <w:p>
            <w:pPr>
              <w:pStyle w:val="TableContents"/>
              <w:bidi w:val="0"/>
              <w:spacing w:before="0" w:after="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Naji N. Khoury</w:t>
            </w:r>
          </w:p>
        </w:tc>
      </w:tr>
      <w:tr>
        <w:trPr/>
        <w:tc>
          <w:tcPr>
            <w:tcW w:w="195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26" w:name="atni-20260630xex31d2.htm"/>
      <w:bookmarkStart w:id="2127" w:name="ksatni20260630xex31d2"/>
      <w:bookmarkEnd w:id="2126"/>
      <w:bookmarkEnd w:id="2127"/>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 13a-14(a) OR RULE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Carlos R. Doglioli, certify that:</w:t>
      </w:r>
    </w:p>
    <w:p>
      <w:pPr>
        <w:pStyle w:val="TextBody"/>
        <w:bidi w:val="0"/>
        <w:spacing w:before="0" w:after="0"/>
        <w:ind w:left="0" w:right="0" w:hanging="0"/>
        <w:jc w:val="left"/>
        <w:rPr/>
      </w:pPr>
      <w:r>
        <w:rPr/>
        <w:t>​</w:t>
      </w:r>
    </w:p>
    <w:tbl>
      <w:tblPr>
        <w:tblW w:w="6498" w:type="dxa"/>
        <w:jc w:val="left"/>
        <w:tblInd w:w="0" w:type="dxa"/>
        <w:tblLayout w:type="fixed"/>
        <w:tblCellMar>
          <w:top w:w="0" w:type="dxa"/>
          <w:left w:w="0" w:type="dxa"/>
          <w:bottom w:w="0" w:type="dxa"/>
          <w:right w:w="0" w:type="dxa"/>
        </w:tblCellMar>
      </w:tblPr>
      <w:tblGrid>
        <w:gridCol w:w="23"/>
        <w:gridCol w:w="170"/>
        <w:gridCol w:w="63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3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ATN International, Inc.;</w:t>
            </w:r>
          </w:p>
        </w:tc>
      </w:tr>
    </w:tbl>
    <w:p>
      <w:pPr>
        <w:pStyle w:val="TextBody"/>
        <w:pBdr/>
        <w:bidi w:val="0"/>
        <w:spacing w:before="0" w:after="0"/>
        <w:ind w:left="489"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489"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489"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489"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590"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1590"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590"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1584"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before="0" w:after="0"/>
        <w:ind w:left="489"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1584"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center"/>
        <w:rPr/>
      </w:pPr>
      <w:r>
        <w:rPr/>
        <w:t>​</w:t>
      </w:r>
    </w:p>
    <w:tbl>
      <w:tblPr>
        <w:tblW w:w="4413" w:type="dxa"/>
        <w:jc w:val="left"/>
        <w:tblInd w:w="0" w:type="dxa"/>
        <w:tblLayout w:type="fixed"/>
        <w:tblCellMar>
          <w:top w:w="0" w:type="dxa"/>
          <w:left w:w="0" w:type="dxa"/>
          <w:bottom w:w="0" w:type="dxa"/>
          <w:right w:w="0" w:type="dxa"/>
        </w:tblCellMar>
      </w:tblPr>
      <w:tblGrid>
        <w:gridCol w:w="1951"/>
        <w:gridCol w:w="406"/>
        <w:gridCol w:w="2056"/>
      </w:tblGrid>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246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ATN International, Inc.</w:t>
            </w:r>
          </w:p>
        </w:tc>
      </w:tr>
      <w:tr>
        <w:trPr/>
        <w:tc>
          <w:tcPr>
            <w:tcW w:w="1951" w:type="dxa"/>
            <w:tcBorders/>
            <w:vAlign w:val="center"/>
          </w:tcPr>
          <w:p>
            <w:pPr>
              <w:pStyle w:val="TableContents"/>
              <w:bidi w:val="0"/>
              <w:spacing w:before="0" w:after="0"/>
              <w:ind w:left="0" w:right="0" w:hanging="0"/>
              <w:jc w:val="left"/>
              <w:rPr/>
            </w:pPr>
            <w:r>
              <w:rPr/>
              <w:t>​</w:t>
            </w:r>
          </w:p>
        </w:tc>
        <w:tc>
          <w:tcPr>
            <w:tcW w:w="246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Carlos R. Doglioli</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Carlos R. Doglioli</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28" w:name="atni-20260630xex32d1.htm"/>
      <w:bookmarkStart w:id="2129" w:name="ksatni20260630xex32d1"/>
      <w:bookmarkEnd w:id="2128"/>
      <w:bookmarkEnd w:id="2129"/>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ATN International, Inc. (the “Company”) for the period ended June 30, 2026 as filed with the Securities and Exchange Commission on the date hereof (the “Report”), I, Naji N. Khoury, Chief Executive Officer of the Company, certify, pursuant to 18 U.S.C. § 1350, as adopted pursuant to § 906 of the Sarbanes-Oxley Act of 2002, that:</w:t>
      </w:r>
    </w:p>
    <w:p>
      <w:pPr>
        <w:pStyle w:val="TextBody"/>
        <w:bidi w:val="0"/>
        <w:spacing w:before="0" w:after="0"/>
        <w:ind w:left="0" w:right="0" w:firstLine="49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pBdr/>
        <w:bidi w:val="0"/>
        <w:spacing w:before="0" w:after="0"/>
        <w:ind w:left="489"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center"/>
        <w:rPr/>
      </w:pPr>
      <w:r>
        <w:rPr/>
        <w:t>​</w:t>
      </w:r>
    </w:p>
    <w:tbl>
      <w:tblPr>
        <w:tblW w:w="4428" w:type="dxa"/>
        <w:jc w:val="left"/>
        <w:tblInd w:w="0" w:type="dxa"/>
        <w:tblLayout w:type="fixed"/>
        <w:tblCellMar>
          <w:top w:w="0" w:type="dxa"/>
          <w:left w:w="0" w:type="dxa"/>
          <w:bottom w:w="0" w:type="dxa"/>
          <w:right w:w="0" w:type="dxa"/>
        </w:tblCellMar>
      </w:tblPr>
      <w:tblGrid>
        <w:gridCol w:w="1951"/>
        <w:gridCol w:w="406"/>
        <w:gridCol w:w="2071"/>
      </w:tblGrid>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24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ATN International, Inc.</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Naji N. Khoury</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Naji N. Khoury</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30" w:name="atni-20260630xex32d2.htm"/>
      <w:bookmarkStart w:id="2131" w:name="ksatni20260630xex32d2"/>
      <w:bookmarkEnd w:id="2130"/>
      <w:bookmarkEnd w:id="2131"/>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ATN International, Inc. (the “Company”) for the period ended June 30, 2026 as filed with the Securities and Exchange Commission on the date hereof (the “Report”), I, Carlos R. Doglioli, Chief Financial Officer of the Company, certify, pursuant to 18 U.S.C. § 1350, as adopted pursuant to § 906 of the Sarbanes-Oxley Act of 2002, that:</w:t>
      </w:r>
    </w:p>
    <w:p>
      <w:pPr>
        <w:pStyle w:val="TextBody"/>
        <w:bidi w:val="0"/>
        <w:spacing w:before="0" w:after="0"/>
        <w:ind w:left="0" w:right="0" w:firstLine="49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pBdr/>
        <w:bidi w:val="0"/>
        <w:spacing w:before="0" w:after="0"/>
        <w:ind w:left="489" w:right="0" w:hanging="49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center"/>
        <w:rPr/>
      </w:pPr>
      <w:r>
        <w:rPr/>
        <w:t>​</w:t>
      </w:r>
    </w:p>
    <w:tbl>
      <w:tblPr>
        <w:tblW w:w="4413" w:type="dxa"/>
        <w:jc w:val="left"/>
        <w:tblInd w:w="0" w:type="dxa"/>
        <w:tblLayout w:type="fixed"/>
        <w:tblCellMar>
          <w:top w:w="0" w:type="dxa"/>
          <w:left w:w="0" w:type="dxa"/>
          <w:bottom w:w="0" w:type="dxa"/>
          <w:right w:w="0" w:type="dxa"/>
        </w:tblCellMar>
      </w:tblPr>
      <w:tblGrid>
        <w:gridCol w:w="1951"/>
        <w:gridCol w:w="406"/>
        <w:gridCol w:w="2056"/>
      </w:tblGrid>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246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ATN International, Inc.</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Carlos R. Doglioli</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Carlos R. Doglioli</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9585/000110465926040454/tm2611258d1_10-1.htm" TargetMode="External"/><Relationship Id="rId3" Type="http://schemas.openxmlformats.org/officeDocument/2006/relationships/hyperlink" Target="https://www.sec.gov/Archives/edgar/data/879585/000110465926040454/tm2611258d1_10-2.htm" TargetMode="External"/><Relationship Id="rId4" Type="http://schemas.openxmlformats.org/officeDocument/2006/relationships/hyperlink" Target="https://www.sec.gov/Archives/edgar/data/879585/000110465926040454/tm2611258d1_10-3.htm" TargetMode="External"/><Relationship Id="rId5" Type="http://schemas.openxmlformats.org/officeDocument/2006/relationships/hyperlink" Target="https://www.sec.gov/Archives/edgar/data/879585/000110465926058667/atni-20260331xex10d4.htm" TargetMode="External"/><Relationship Id="rId6" Type="http://schemas.openxmlformats.org/officeDocument/2006/relationships/hyperlink" Target="https://www.sec.gov/Archives/edgar/data/879585/000110465926058667/atni-20260331xex10d5.htm" TargetMode="External"/><Relationship Id="rId7" Type="http://schemas.openxmlformats.org/officeDocument/2006/relationships/hyperlink" Target="https://www.sec.gov/Archives/edgar/data/879585/000110465926070056/tm2616732d1_ex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37501</Words>
  <Characters>208415</Characters>
  <CharactersWithSpaces>249084</CharactersWithSpaces>
  <Paragraphs>11809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