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November 10, 2025, the registrant had outstanding 15,257,391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September 30, 2025</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900" w:type="dxa"/>
            <w:vAlign w:val="bottom"/>
            <w:gridSpan w:val="6"/>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September 30,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w:t>
            </w:r>
          </w:p>
        </w:tc>
        <w:tc>
          <w:tcPr>
            <w:tcW w:w="3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30, 2025 and 2024</w:t>
            </w:r>
          </w:p>
        </w:tc>
        <w:tc>
          <w:tcPr>
            <w:tcW w:w="626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Nine Months</w:t>
            </w: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2025 and 2024</w:t>
            </w: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w:t>
            </w:r>
          </w:p>
        </w:tc>
        <w:tc>
          <w:tcPr>
            <w:tcW w:w="4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2025 and 2024</w:t>
            </w:r>
          </w:p>
        </w:tc>
        <w:tc>
          <w:tcPr>
            <w:tcW w:w="654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2025</w:t>
            </w:r>
          </w:p>
        </w:tc>
        <w:tc>
          <w:tcPr>
            <w:tcW w:w="4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60" w:type="dxa"/>
            <w:vAlign w:val="bottom"/>
            <w:tcBorders>
              <w:left w:val="single" w:sz="8" w:color="0000EE"/>
            </w:tcBorders>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5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7"/>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40" w:type="dxa"/>
            <w:vAlign w:val="bottom"/>
            <w:tcBorders>
              <w:left w:val="single" w:sz="8" w:color="0000EE"/>
            </w:tcBorders>
            <w:gridSpan w:val="7"/>
            <w:shd w:val="clear" w:color="auto" w:fill="0000EE"/>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20" w:type="dxa"/>
            <w:vAlign w:val="bottom"/>
            <w:gridSpan w:val="1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52"/>
        </w:trPr>
        <w:tc>
          <w:tcPr>
            <w:tcW w:w="82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6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This Quarterly Report on Form 10-Q (or the “Report”) contains forward-looking statements relating to, among other matters, the Company’s future financial performance, business goals and objectives, and results of operations,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the Company’s operations, including operating margins, revenues, capital expenditures, the impact of cost savings initiatives, and the retention of and future growth of the Company’s subscriber base; (2) the Company’s reliance on a limited number of key suppliers and vendors for timely supply of equipment and services relating to the Company’s network infrastructure; (3) the Company’s ability to satisfy the needs and demands of the Company’s major carrier customers; (4) the Company’s ability to realize expansion plans for its fiber markets; (5) the adequacy and expansion capabilities of the Company’s network capacity and customer service system to support the Company’s customer growth; (6) the Company’s ability to efficiently and cost-effectively upgrade the Company’s networks and information technology platforms to address rapid and significant technological changes in the telecommunications industry; (7) the Company’s continued access to capital and credit markets on terms it deems favorable; (8) government subsidy program availability and regulation of the Company’s businesses, which may impact the Company’s telecommunications licenses, the Company’s revenue and the Company’s operating costs; (9) the timeliness and availability of government program funding, permitting and approvals during the ongoing U.S. government shutdown;</w:t>
      </w:r>
    </w:p>
    <w:p>
      <w:pPr>
        <w:spacing w:after="0" w:line="198" w:lineRule="exact"/>
        <w:rPr>
          <w:sz w:val="20"/>
          <w:szCs w:val="20"/>
          <w:color w:val="auto"/>
        </w:rPr>
      </w:pPr>
    </w:p>
    <w:p>
      <w:pPr>
        <w:ind w:left="60" w:right="79" w:hanging="10"/>
        <w:spacing w:after="0" w:line="251"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geopolitical instability and U.S. military presence in the Caribbean; (11) the Company’s ability to successfully transition its US Telecom business away from wholesale mobility to other carrier and consumer-based services; (12) ongoing risk of an economic downturn, political, geopolitical and other risks and opportunities facing the Company’s operations, including those resulting from changes to trade policies or tariff regulations, financial market volatility and disruption, uncertain economic conditions in the U.S. and abroad, inflationary concerns, and other macroeconomic headwinds including increased costs and supply chain disruptions; (13) management transitions, and the loss of, or an inability to recruit skilled personnel in the Company’s various jurisdictions, including key members of management; (14) the Company’s ability to find investment or acquisition or disposition opportunities that fit the strategic goals of the Company; (15) the occurrence of weather events and natural catastrophes and the Company’s ability to secure the appropriate level of insurance coverage for these assets; and the impact of such events on the timing of project implementation and corresponding revenue; and (16) increased competition. These and other additional factors that may cause actual future events and results to differ materially from the events and results indicated in the forward-looking statements above are set forth more fully under Item 1A “Risk Factors” of this Quarterly Report on Form 10-Q, the Company’s Annual Report on Form 10-K for the year ended December 31, 2024, filed with the Securities and Exchange Commission (“SEC”) on March 17, 2025,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216"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gridSpan w:val="2"/>
            <w:shd w:val="clear" w:color="auto" w:fill="CCEEFF"/>
          </w:tcPr>
          <w:p>
            <w:pPr>
              <w:jc w:val="right"/>
              <w:ind w:right="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106,163</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$15.3 million and $15.1 million, respectively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Government grant receivables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327,168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997,478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1,040,193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116,669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1,698,681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00" w:type="dxa"/>
            <w:vAlign w:val="bottom"/>
            <w:gridSpan w:val="2"/>
          </w:tcPr>
          <w:p>
            <w:pPr>
              <w:jc w:val="right"/>
              <w:ind w:right="1"/>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9,851</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42,320</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259,735</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569,755</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1,050,747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1,055,349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14,101</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84,328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4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18,061,239 and 17,879,110 shares</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issued, respectively, 15,257,391 and 15,114,216 shares outstanding, respectively</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2,803,848 and 2,764,894 shares, respectively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11,376</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452,306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111,300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563,606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595,451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1,698,681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Communication services</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177,752</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174,422</w:t>
            </w: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526,657</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533,055</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2,609</w:t>
            </w:r>
          </w:p>
        </w:tc>
        <w:tc>
          <w:tcPr>
            <w:tcW w:w="0" w:type="dxa"/>
            <w:vAlign w:val="bottom"/>
          </w:tcPr>
          <w:p>
            <w:pPr>
              <w:spacing w:after="0"/>
              <w:rPr>
                <w:sz w:val="1"/>
                <w:szCs w:val="1"/>
                <w:color w:val="auto"/>
              </w:rPr>
            </w:pPr>
          </w:p>
        </w:tc>
      </w:tr>
      <w:tr>
        <w:trPr>
          <w:trHeight w:val="148"/>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4,298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12,863</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183,165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178,451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543,760</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548,527</w:t>
            </w:r>
          </w:p>
        </w:tc>
        <w:tc>
          <w:tcPr>
            <w:tcW w:w="0" w:type="dxa"/>
            <w:vAlign w:val="bottom"/>
          </w:tcPr>
          <w:p>
            <w:pPr>
              <w:spacing w:after="0"/>
              <w:rPr>
                <w:sz w:val="1"/>
                <w:szCs w:val="1"/>
                <w:color w:val="auto"/>
              </w:rPr>
            </w:pPr>
          </w:p>
        </w:tc>
      </w:tr>
      <w:tr>
        <w:trPr>
          <w:trHeight w:val="104"/>
        </w:trPr>
        <w:tc>
          <w:tcPr>
            <w:tcW w:w="52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i w:val="1"/>
                <w:iCs w:val="1"/>
                <w:color w:val="auto"/>
              </w:rPr>
              <w:t>(excluding depreciation and amortization unless otherwise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indicated)</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77,850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78,973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233,239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235,499</w:t>
            </w:r>
          </w:p>
        </w:tc>
        <w:tc>
          <w:tcPr>
            <w:tcW w:w="0" w:type="dxa"/>
            <w:vAlign w:val="bottom"/>
          </w:tcPr>
          <w:p>
            <w:pPr>
              <w:spacing w:after="0"/>
              <w:rPr>
                <w:sz w:val="1"/>
                <w:szCs w:val="1"/>
                <w:color w:val="auto"/>
              </w:rPr>
            </w:pPr>
          </w:p>
        </w:tc>
      </w:tr>
      <w:tr>
        <w:trPr>
          <w:trHeight w:val="149"/>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54,293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53,601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165,684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172,580</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3,809</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and reorganization expenses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107,196</w:t>
            </w:r>
          </w:p>
        </w:tc>
        <w:tc>
          <w:tcPr>
            <w:tcW w:w="0" w:type="dxa"/>
            <w:vAlign w:val="bottom"/>
          </w:tcPr>
          <w:p>
            <w:pPr>
              <w:spacing w:after="0"/>
              <w:rPr>
                <w:sz w:val="1"/>
                <w:szCs w:val="1"/>
                <w:color w:val="auto"/>
              </w:rPr>
            </w:pPr>
          </w:p>
        </w:tc>
      </w:tr>
      <w:tr>
        <w:trPr>
          <w:trHeight w:val="148"/>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5,916</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disposition of assets, transfers and contingent consideration</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(14,919)</w:t>
            </w:r>
          </w:p>
        </w:tc>
        <w:tc>
          <w:tcPr>
            <w:tcW w:w="0" w:type="dxa"/>
            <w:vAlign w:val="bottom"/>
          </w:tcPr>
          <w:p>
            <w:pPr>
              <w:spacing w:after="0"/>
              <w:rPr>
                <w:sz w:val="1"/>
                <w:szCs w:val="1"/>
                <w:color w:val="auto"/>
              </w:rPr>
            </w:pPr>
          </w:p>
        </w:tc>
      </w:tr>
      <w:tr>
        <w:trPr>
          <w:trHeight w:val="148"/>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35,269</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173,335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216,809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531,030</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557,994</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9,830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12,730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(9,467)</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(36,552)</w:t>
            </w:r>
          </w:p>
        </w:tc>
        <w:tc>
          <w:tcPr>
            <w:tcW w:w="0" w:type="dxa"/>
            <w:vAlign w:val="bottom"/>
          </w:tcPr>
          <w:p>
            <w:pPr>
              <w:spacing w:after="0"/>
              <w:rPr>
                <w:sz w:val="1"/>
                <w:szCs w:val="1"/>
                <w:color w:val="auto"/>
              </w:rPr>
            </w:pPr>
          </w:p>
        </w:tc>
      </w:tr>
      <w:tr>
        <w:trPr>
          <w:trHeight w:val="149"/>
        </w:trPr>
        <w:tc>
          <w:tcPr>
            <w:tcW w:w="5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(10,949)</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(38,464)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(36,805)</w:t>
            </w:r>
          </w:p>
        </w:tc>
        <w:tc>
          <w:tcPr>
            <w:tcW w:w="0" w:type="dxa"/>
            <w:vAlign w:val="bottom"/>
          </w:tcPr>
          <w:p>
            <w:pPr>
              <w:spacing w:after="0"/>
              <w:rPr>
                <w:sz w:val="1"/>
                <w:szCs w:val="1"/>
                <w:color w:val="auto"/>
              </w:rPr>
            </w:pPr>
          </w:p>
        </w:tc>
      </w:tr>
      <w:tr>
        <w:trPr>
          <w:trHeight w:val="142"/>
        </w:trPr>
        <w:tc>
          <w:tcPr>
            <w:tcW w:w="5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(46,272)</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(9,019)</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2"/>
        </w:trPr>
        <w:tc>
          <w:tcPr>
            <w:tcW w:w="5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3,933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(36,059)</w:t>
            </w:r>
          </w:p>
        </w:tc>
        <w:tc>
          <w:tcPr>
            <w:tcW w:w="0" w:type="dxa"/>
            <w:vAlign w:val="bottom"/>
          </w:tcPr>
          <w:p>
            <w:pPr>
              <w:spacing w:after="0"/>
              <w:rPr>
                <w:sz w:val="1"/>
                <w:szCs w:val="1"/>
                <w:color w:val="auto"/>
              </w:rPr>
            </w:pPr>
          </w:p>
        </w:tc>
      </w:tr>
      <w:tr>
        <w:trPr>
          <w:trHeight w:val="126"/>
        </w:trPr>
        <w:tc>
          <w:tcPr>
            <w:tcW w:w="52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interests, net of tax (benefit) expense of $(0.6)</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million, ($0.9) million, $(1.0) million and $(1.0) million, respectively</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2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32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(32,691)</w:t>
            </w:r>
          </w:p>
        </w:tc>
        <w:tc>
          <w:tcPr>
            <w:tcW w:w="3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2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00"/>
        </w:trPr>
        <w:tc>
          <w:tcPr>
            <w:tcW w:w="52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8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5240" w:type="dxa"/>
            <w:vAlign w:val="bottom"/>
            <w:tcBorders>
              <w:top w:val="single" w:sz="8" w:color="CCEEFF"/>
            </w:tcBorders>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NET INCOME (LOSS) PER WEIGHTED AVERAGE SHARE ATTRIBUTABLE</w:t>
            </w: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 ATN INTERNATIONAL, INC. STOCKHOLDERS: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29"/>
        </w:trPr>
        <w:tc>
          <w:tcPr>
            <w:tcW w:w="524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15,257</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15,268</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15,267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15,114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15,204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15,268</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0.275</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0.79</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$ 3,933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(39,451)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(16,715)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(36,059)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8"/>
        </w:trPr>
        <w:tc>
          <w:tcPr>
            <w:tcW w:w="53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(loss) on derivatives, net of tax expense of $0, $0.5</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$0 and $(0.1) million, respectively</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9"/>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ATN International, Inc.</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$ 4,085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(29,690)</w:t>
            </w: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2025 AND 2024</w:t>
      </w:r>
    </w:p>
    <w:p>
      <w:pPr>
        <w:spacing w:after="0" w:line="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r>
      <w:tr>
        <w:trPr>
          <w:trHeight w:val="116"/>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2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21"/>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40" w:type="dxa"/>
            <w:vAlign w:val="bottom"/>
          </w:tcPr>
          <w:p>
            <w:pPr>
              <w:spacing w:after="0"/>
              <w:rPr>
                <w:sz w:val="10"/>
                <w:szCs w:val="10"/>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2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36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600" w:type="dxa"/>
            <w:vAlign w:val="bottom"/>
            <w:tcBorders>
              <w:right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2025</w:t>
            </w: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(103,183)$</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216,856</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333,231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11,634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458,719</w:t>
            </w:r>
          </w:p>
        </w:tc>
        <w:tc>
          <w:tcPr>
            <w:tcW w:w="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567,772</w:t>
            </w:r>
          </w:p>
        </w:tc>
      </w:tr>
      <w:tr>
        <w:trPr>
          <w:trHeight w:val="128"/>
        </w:trPr>
        <w:tc>
          <w:tcPr>
            <w:tcW w:w="3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1,797</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1,797</w:t>
            </w:r>
          </w:p>
        </w:tc>
        <w:tc>
          <w:tcPr>
            <w:tcW w:w="2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1,966</w:t>
            </w:r>
          </w:p>
        </w:tc>
      </w:tr>
      <w:tr>
        <w:trPr>
          <w:trHeight w:val="148"/>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($0.275 per common share)</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rPr>
              <w:t>(4,193)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(4,193)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(4,193)</w:t>
            </w:r>
          </w:p>
        </w:tc>
      </w:tr>
      <w:tr>
        <w:trPr>
          <w:trHeight w:val="14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noncontrolling interests</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7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49"/>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rPr>
              <w:t>(1,558)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(1,558)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(1,558)</w:t>
            </w:r>
          </w:p>
        </w:tc>
      </w:tr>
      <w:tr>
        <w:trPr>
          <w:trHeight w:val="14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(6,544)</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(6,544)</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2,489</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(4,055)</w:t>
            </w:r>
          </w:p>
        </w:tc>
      </w:tr>
      <w:tr>
        <w:trPr>
          <w:trHeight w:val="148"/>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8"/>
        </w:trPr>
        <w:tc>
          <w:tcPr>
            <w:tcW w:w="3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4,343</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4,343</w:t>
            </w:r>
          </w:p>
        </w:tc>
        <w:tc>
          <w:tcPr>
            <w:tcW w:w="260" w:type="dxa"/>
            <w:vAlign w:val="bottom"/>
          </w:tcPr>
          <w:p>
            <w:pPr>
              <w:spacing w:after="0"/>
              <w:rPr>
                <w:sz w:val="12"/>
                <w:szCs w:val="12"/>
                <w:color w:val="auto"/>
              </w:rPr>
            </w:pPr>
          </w:p>
        </w:tc>
        <w:tc>
          <w:tcPr>
            <w:tcW w:w="7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(410)</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3,933</w:t>
            </w:r>
          </w:p>
        </w:tc>
      </w:tr>
      <w:tr>
        <w:trPr>
          <w:trHeight w:val="148"/>
        </w:trPr>
        <w:tc>
          <w:tcPr>
            <w:tcW w:w="36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rPr>
              <w:t>(258)</w:t>
            </w:r>
          </w:p>
        </w:tc>
        <w:tc>
          <w:tcPr>
            <w:tcW w:w="840" w:type="dxa"/>
            <w:vAlign w:val="bottom"/>
            <w:tcBorders>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(258)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w:t>
            </w:r>
          </w:p>
        </w:tc>
      </w:tr>
      <w:tr>
        <w:trPr>
          <w:trHeight w:val="129"/>
        </w:trPr>
        <w:tc>
          <w:tcPr>
            <w:tcW w:w="36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6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4,343</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(258)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4,085</w:t>
            </w: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(410)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3,675</w:t>
            </w:r>
          </w:p>
        </w:tc>
      </w:tr>
      <w:tr>
        <w:trPr>
          <w:trHeight w:val="115"/>
        </w:trPr>
        <w:tc>
          <w:tcPr>
            <w:tcW w:w="3600" w:type="dxa"/>
            <w:vAlign w:val="bottom"/>
            <w:tcBorders>
              <w:bottom w:val="single" w:sz="8" w:color="CCEEFF"/>
              <w:right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September 30, 2025</w:t>
            </w:r>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(103,183)$</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218,653</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325,279</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11,376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452,306</w:t>
            </w:r>
          </w:p>
        </w:tc>
        <w:tc>
          <w:tcPr>
            <w:tcW w:w="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111,300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563,606</w:t>
            </w: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02"/>
        </w:trPr>
        <w:tc>
          <w:tcPr>
            <w:tcW w:w="36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48"/>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(102,379)$</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209,944</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409,043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526,771</w:t>
            </w:r>
          </w:p>
        </w:tc>
        <w:tc>
          <w:tcPr>
            <w:tcW w:w="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101,994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628,765</w:t>
            </w:r>
          </w:p>
        </w:tc>
      </w:tr>
      <w:tr>
        <w:trPr>
          <w:trHeight w:val="128"/>
        </w:trPr>
        <w:tc>
          <w:tcPr>
            <w:tcW w:w="3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Excise tax paid on shares repurchased</w:t>
            </w: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(115)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w:t>
            </w:r>
          </w:p>
        </w:tc>
      </w:tr>
      <w:tr>
        <w:trPr>
          <w:trHeight w:val="149"/>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1,572</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1,831</w:t>
            </w:r>
          </w:p>
        </w:tc>
      </w:tr>
      <w:tr>
        <w:trPr>
          <w:trHeight w:val="14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($0.24 per common share)</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(3,628)</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(3,628)</w:t>
            </w:r>
          </w:p>
        </w:tc>
        <w:tc>
          <w:tcPr>
            <w:tcW w:w="7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(110)</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(3,738)</w:t>
            </w:r>
          </w:p>
        </w:tc>
      </w:tr>
      <w:tr>
        <w:trPr>
          <w:trHeight w:val="148"/>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rPr>
              <w:t>(1,426)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(1,426)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(1,426)</w:t>
            </w:r>
          </w:p>
        </w:tc>
      </w:tr>
      <w:tr>
        <w:trPr>
          <w:trHeight w:val="14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1,724</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1,724</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7,945</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9,669</w:t>
            </w:r>
          </w:p>
        </w:tc>
      </w:tr>
      <w:tr>
        <w:trPr>
          <w:trHeight w:val="149"/>
        </w:trPr>
        <w:tc>
          <w:tcPr>
            <w:tcW w:w="36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8"/>
        </w:trPr>
        <w:tc>
          <w:tcPr>
            <w:tcW w:w="3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(32,691)</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(32,691)</w:t>
            </w:r>
          </w:p>
        </w:tc>
        <w:tc>
          <w:tcPr>
            <w:tcW w:w="7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(6,760)</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(39,451)</w:t>
            </w:r>
          </w:p>
        </w:tc>
      </w:tr>
      <w:tr>
        <w:trPr>
          <w:trHeight w:val="148"/>
        </w:trPr>
        <w:tc>
          <w:tcPr>
            <w:tcW w:w="36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rPr>
              <w:t>(1,412)</w:t>
            </w:r>
          </w:p>
        </w:tc>
        <w:tc>
          <w:tcPr>
            <w:tcW w:w="840" w:type="dxa"/>
            <w:vAlign w:val="bottom"/>
            <w:tcBorders>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(1,412)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(1,412)</w:t>
            </w:r>
          </w:p>
        </w:tc>
      </w:tr>
      <w:tr>
        <w:trPr>
          <w:trHeight w:val="129"/>
        </w:trPr>
        <w:tc>
          <w:tcPr>
            <w:tcW w:w="36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comprehensive income</w:t>
            </w:r>
          </w:p>
        </w:tc>
        <w:tc>
          <w:tcPr>
            <w:tcW w:w="6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(32,691)</w:t>
            </w:r>
          </w:p>
        </w:tc>
        <w:tc>
          <w:tcPr>
            <w:tcW w:w="7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(1,412)</w:t>
            </w:r>
          </w:p>
        </w:tc>
        <w:tc>
          <w:tcPr>
            <w:tcW w:w="84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0"/>
                <w:szCs w:val="10"/>
                <w:color w:val="auto"/>
              </w:rPr>
              <w:t>(34,103)</w:t>
            </w:r>
          </w:p>
        </w:tc>
        <w:tc>
          <w:tcPr>
            <w:tcW w:w="7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(6,760)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(40,863)</w:t>
            </w:r>
          </w:p>
        </w:tc>
      </w:tr>
      <w:tr>
        <w:trPr>
          <w:trHeight w:val="115"/>
        </w:trPr>
        <w:tc>
          <w:tcPr>
            <w:tcW w:w="3600" w:type="dxa"/>
            <w:vAlign w:val="bottom"/>
            <w:tcBorders>
              <w:bottom w:val="single" w:sz="8" w:color="CCEEFF"/>
              <w:right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September 30, 2024</w:t>
            </w:r>
          </w:p>
        </w:tc>
        <w:tc>
          <w:tcPr>
            <w:tcW w:w="60" w:type="dxa"/>
            <w:vAlign w:val="bottom"/>
            <w:tcBorders>
              <w:bottom w:val="single" w:sz="8" w:color="CCEEFF"/>
              <w:right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(102,379)$</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211,401</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373,022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490,795</w:t>
            </w:r>
          </w:p>
        </w:tc>
        <w:tc>
          <w:tcPr>
            <w:tcW w:w="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103,328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594,123</w:t>
            </w: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460"/>
        </w:trPr>
        <w:tc>
          <w:tcPr>
            <w:tcW w:w="36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16"/>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2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22"/>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2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36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Income/(Loss)</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42"/>
        </w:trPr>
        <w:tc>
          <w:tcPr>
            <w:tcW w:w="3600" w:type="dxa"/>
            <w:vAlign w:val="bottom"/>
            <w:tcBorders>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(102,413)$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212,759</w:t>
            </w:r>
          </w:p>
        </w:tc>
        <w:tc>
          <w:tcPr>
            <w:tcW w:w="18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368,191</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10,777</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489,493</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105,958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595,451</w:t>
            </w:r>
          </w:p>
        </w:tc>
      </w:tr>
      <w:tr>
        <w:trPr>
          <w:trHeight w:val="142"/>
        </w:trPr>
        <w:tc>
          <w:tcPr>
            <w:tcW w:w="360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Issuance of 181,489 shares of 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38,314 shares of common stock</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(770)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w:t>
            </w:r>
          </w:p>
        </w:tc>
      </w:tr>
      <w:tr>
        <w:trPr>
          <w:trHeight w:val="149"/>
        </w:trPr>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5,903</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653</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6,556</w:t>
            </w:r>
          </w:p>
        </w:tc>
      </w:tr>
      <w:tr>
        <w:trPr>
          <w:trHeight w:val="148"/>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($0.79 per common share)</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(13,445)</w:t>
            </w:r>
          </w:p>
        </w:tc>
      </w:tr>
      <w:tr>
        <w:trPr>
          <w:trHeight w:val="148"/>
        </w:trPr>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noncontrolling interests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49"/>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(4,523)</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(4,523)</w:t>
            </w:r>
          </w:p>
        </w:tc>
      </w:tr>
      <w:tr>
        <w:trPr>
          <w:trHeight w:val="148"/>
        </w:trPr>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(14,737)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(14,737)</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11,235</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(3,502)</w:t>
            </w:r>
          </w:p>
        </w:tc>
      </w:tr>
      <w:tr>
        <w:trPr>
          <w:trHeight w:val="148"/>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(11,611)</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(11,611)</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(5,104)</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(16,715)</w:t>
            </w:r>
          </w:p>
        </w:tc>
      </w:tr>
      <w:tr>
        <w:trPr>
          <w:trHeight w:val="148"/>
        </w:trPr>
        <w:tc>
          <w:tcPr>
            <w:tcW w:w="360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Borders>
              <w:bottom w:val="single" w:sz="8" w:color="auto"/>
              <w:right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w:t>
            </w:r>
          </w:p>
        </w:tc>
        <w:tc>
          <w:tcPr>
            <w:tcW w:w="2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w:t>
            </w:r>
          </w:p>
        </w:tc>
      </w:tr>
      <w:tr>
        <w:trPr>
          <w:trHeight w:val="142"/>
        </w:trPr>
        <w:tc>
          <w:tcPr>
            <w:tcW w:w="3600" w:type="dxa"/>
            <w:vAlign w:val="bottom"/>
            <w:tcBorders>
              <w:bottom w:val="single" w:sz="8" w:color="CCEEFF"/>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(11,611)</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599</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(11,012)</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(5,104)</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(16,116)</w:t>
            </w:r>
          </w:p>
        </w:tc>
      </w:tr>
      <w:tr>
        <w:trPr>
          <w:trHeight w:val="142"/>
        </w:trPr>
        <w:tc>
          <w:tcPr>
            <w:tcW w:w="3600" w:type="dxa"/>
            <w:vAlign w:val="bottom"/>
            <w:tcBorders>
              <w:bottom w:val="single" w:sz="8" w:color="CCEEFF"/>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2025</w:t>
            </w:r>
          </w:p>
        </w:tc>
        <w:tc>
          <w:tcPr>
            <w:tcW w:w="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(103,183)$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218,653</w:t>
            </w:r>
          </w:p>
        </w:tc>
        <w:tc>
          <w:tcPr>
            <w:tcW w:w="18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325,279</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11,376</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452,306</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111,300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563,606</w:t>
            </w: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29"/>
        </w:trPr>
        <w:tc>
          <w:tcPr>
            <w:tcW w:w="3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9"/>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(90,447)$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205,797</w:t>
            </w:r>
          </w:p>
        </w:tc>
        <w:tc>
          <w:tcPr>
            <w:tcW w:w="18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417,282</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8,268</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541,073</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637,803</w:t>
            </w:r>
          </w:p>
        </w:tc>
      </w:tr>
      <w:tr>
        <w:trPr>
          <w:trHeight w:val="142"/>
        </w:trPr>
        <w:tc>
          <w:tcPr>
            <w:tcW w:w="360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Repurchase of 483,899 shares of common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(11,932)</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(12,047)</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(12,047)</w:t>
            </w:r>
          </w:p>
        </w:tc>
      </w:tr>
      <w:tr>
        <w:trPr>
          <w:trHeight w:val="149"/>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5,719</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6,521</w:t>
            </w:r>
          </w:p>
        </w:tc>
      </w:tr>
      <w:tr>
        <w:trPr>
          <w:trHeight w:val="148"/>
        </w:trPr>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($0.72 per common share)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(10,973)</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(10,973)</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(2,266)</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(13,239)</w:t>
            </w:r>
          </w:p>
        </w:tc>
      </w:tr>
      <w:tr>
        <w:trPr>
          <w:trHeight w:val="149"/>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 - redeemable preferred units</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(4,154)</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(4,154)</w:t>
            </w:r>
          </w:p>
        </w:tc>
      </w:tr>
      <w:tr>
        <w:trPr>
          <w:trHeight w:val="148"/>
        </w:trPr>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Deemed dividend - redeemable common units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14,121</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14,988</w:t>
            </w:r>
          </w:p>
        </w:tc>
      </w:tr>
      <w:tr>
        <w:trPr>
          <w:trHeight w:val="148"/>
        </w:trPr>
        <w:tc>
          <w:tcPr>
            <w:tcW w:w="3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Comprehensive income:</w:t>
            </w: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(6,059)</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(36,059)</w:t>
            </w:r>
          </w:p>
        </w:tc>
      </w:tr>
      <w:tr>
        <w:trPr>
          <w:trHeight w:val="148"/>
        </w:trPr>
        <w:tc>
          <w:tcPr>
            <w:tcW w:w="360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Borders>
              <w:bottom w:val="single" w:sz="8" w:color="auto"/>
              <w:right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2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r>
      <w:tr>
        <w:trPr>
          <w:trHeight w:val="142"/>
        </w:trPr>
        <w:tc>
          <w:tcPr>
            <w:tcW w:w="3600" w:type="dxa"/>
            <w:vAlign w:val="bottom"/>
            <w:tcBorders>
              <w:bottom w:val="single" w:sz="8" w:color="CCEEFF"/>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comprehensive income</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(29,690)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(6,059)</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(35,749)</w:t>
            </w:r>
          </w:p>
        </w:tc>
      </w:tr>
      <w:tr>
        <w:trPr>
          <w:trHeight w:val="142"/>
        </w:trPr>
        <w:tc>
          <w:tcPr>
            <w:tcW w:w="3600" w:type="dxa"/>
            <w:vAlign w:val="bottom"/>
            <w:tcBorders>
              <w:bottom w:val="single" w:sz="8" w:color="CCEEFF"/>
              <w:right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September 30, 2024</w:t>
            </w:r>
          </w:p>
        </w:tc>
        <w:tc>
          <w:tcPr>
            <w:tcW w:w="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(102,379)$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211,401</w:t>
            </w:r>
          </w:p>
        </w:tc>
        <w:tc>
          <w:tcPr>
            <w:tcW w:w="18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373,022</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8,578</w:t>
            </w:r>
          </w:p>
        </w:tc>
        <w:tc>
          <w:tcPr>
            <w:tcW w:w="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490,795</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103,328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594,123</w:t>
            </w:r>
          </w:p>
        </w:tc>
      </w:tr>
      <w:tr>
        <w:trPr>
          <w:trHeight w:val="20"/>
        </w:trPr>
        <w:tc>
          <w:tcPr>
            <w:tcW w:w="3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NINE MONTHS ENDED SEPTEMBER 30, 2025 AND 2024</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15"/>
        </w:trPr>
        <w:tc>
          <w:tcPr>
            <w:tcW w:w="576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28"/>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1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(16,715)</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(36,059)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101,327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107,196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3,664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5,916</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6,495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4,209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2,154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1,915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disposition of assets, transfers and contingent consideration</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4,991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(14,919)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6,556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6,521</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(12,767)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(14,409)</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Loss on extinguishment of debt</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760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on investments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(484)</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Goodwill impairment</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35,269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 and government grant receivables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(2,305)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8,958</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3,146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3,076</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Prepaid income taxes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23</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5,326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(3,187)</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4,889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(893)</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and advance payments and deposits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2,880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(1,163)</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(1,935)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288</w:t>
            </w:r>
          </w:p>
        </w:tc>
      </w:tr>
      <w:tr>
        <w:trPr>
          <w:trHeight w:val="135"/>
        </w:trPr>
        <w:tc>
          <w:tcPr>
            <w:tcW w:w="5760" w:type="dxa"/>
            <w:vAlign w:val="bottom"/>
            <w:tcBorders>
              <w:bottom w:val="single" w:sz="8" w:color="CCEEFF"/>
            </w:tcBorders>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10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(5,591)</w:t>
            </w:r>
          </w:p>
        </w:tc>
      </w:tr>
      <w:tr>
        <w:trPr>
          <w:trHeight w:val="128"/>
        </w:trPr>
        <w:tc>
          <w:tcPr>
            <w:tcW w:w="5760" w:type="dxa"/>
            <w:vAlign w:val="bottom"/>
            <w:shd w:val="clear" w:color="auto" w:fill="CCEEFF"/>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97,689</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97,426</w:t>
            </w:r>
          </w:p>
        </w:tc>
      </w:tr>
      <w:tr>
        <w:trPr>
          <w:trHeight w:val="129"/>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(60,925)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(85,672)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(67,303)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(71,849)</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61,145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72,531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intangible assets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(573)</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strategic investments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10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261</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17,910</w:t>
            </w:r>
          </w:p>
        </w:tc>
      </w:tr>
      <w:tr>
        <w:trPr>
          <w:trHeight w:val="128"/>
        </w:trPr>
        <w:tc>
          <w:tcPr>
            <w:tcW w:w="57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0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(66,136)</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(66,358)</w:t>
            </w: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(11,475)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(11,047)</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(1,404)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(2,226)</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(6,548)</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(1,260)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(1,357)</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(5,795)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(239,430)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borrowings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300,000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83,500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90,000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(57,500)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(94,002)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customer receivable credit facility</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5,740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(6,123)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(5,669)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(1,932)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share repurchase plan</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(10,000)</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10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(45)</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10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(1,157)</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23,529</w:t>
            </w:r>
          </w:p>
        </w:tc>
      </w:tr>
      <w:tr>
        <w:trPr>
          <w:trHeight w:val="128"/>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30,396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54,597</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10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89,244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62,167</w:t>
            </w:r>
          </w:p>
        </w:tc>
      </w:tr>
      <w:tr>
        <w:trPr>
          <w:trHeight w:val="168"/>
        </w:trPr>
        <w:tc>
          <w:tcPr>
            <w:tcW w:w="57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1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119,640</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116,764</w:t>
            </w:r>
          </w:p>
        </w:tc>
      </w:tr>
      <w:tr>
        <w:trPr>
          <w:trHeight w:val="116"/>
        </w:trPr>
        <w:tc>
          <w:tcPr>
            <w:tcW w:w="57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Supplemental cash flow information:</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Interest paid</w:t>
            </w:r>
          </w:p>
        </w:tc>
        <w:tc>
          <w:tcPr>
            <w:tcW w:w="11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34,305</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34,757</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Taxes paid</w:t>
            </w:r>
          </w:p>
        </w:tc>
        <w:tc>
          <w:tcPr>
            <w:tcW w:w="11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3,026</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5,739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declared, not paid</w:t>
            </w:r>
          </w:p>
        </w:tc>
        <w:tc>
          <w:tcPr>
            <w:tcW w:w="11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4,196</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3,627</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operating activity:</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480"/>
              <w:spacing w:after="0" w:line="135" w:lineRule="exact"/>
              <w:rPr>
                <w:sz w:val="20"/>
                <w:szCs w:val="20"/>
                <w:color w:val="auto"/>
              </w:rPr>
            </w:pPr>
            <w:r>
              <w:rPr>
                <w:rFonts w:ascii="Times New Roman" w:cs="Times New Roman" w:eastAsia="Times New Roman" w:hAnsi="Times New Roman"/>
                <w:sz w:val="12"/>
                <w:szCs w:val="12"/>
                <w:color w:val="auto"/>
              </w:rPr>
              <w:t>Assets held for sale</w:t>
            </w:r>
          </w:p>
        </w:tc>
        <w:tc>
          <w:tcPr>
            <w:tcW w:w="11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7,757</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investing activity:</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1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13,634</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32,467</w:t>
            </w:r>
          </w:p>
        </w:tc>
      </w:tr>
      <w:tr>
        <w:trPr>
          <w:trHeight w:val="150"/>
        </w:trPr>
        <w:tc>
          <w:tcPr>
            <w:tcW w:w="57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180" w:type="dxa"/>
            <w:vAlign w:val="bottom"/>
            <w:gridSpan w:val="2"/>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w:t>
            </w: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14,031</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jc w:val="both"/>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The Company has developed significant operational expertise and resources that it uses to augment its capabilities in its local markets. With this support, the Company’s operating subsidiaries can improve their quality of service with greater economies of scale and expertise than would typically be available in the size markets the Company operates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its profile of telecommunications businesses while keeping a focus on generating excess operating cash flows over extended periods of time. The Company uses the cash generated from its operations to maintain an appropriate ratio of debt and cash on hand and to re-invest in organic growth, fund capital expenditures, return value to its stockholders through dividends or stock repurchases and make strategic investments or acquisitions.</w:t>
      </w:r>
    </w:p>
    <w:p>
      <w:pPr>
        <w:spacing w:after="0" w:line="232"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Company’s financial segments see Note 13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2025, the Company offered the following types of services to its customers:</w:t>
      </w:r>
    </w:p>
    <w:p>
      <w:pPr>
        <w:spacing w:after="0" w:line="221" w:lineRule="exact"/>
        <w:rPr>
          <w:sz w:val="20"/>
          <w:szCs w:val="20"/>
          <w:color w:val="auto"/>
        </w:rPr>
      </w:pPr>
    </w:p>
    <w:p>
      <w:pPr>
        <w:jc w:val="both"/>
        <w:ind w:left="1220" w:right="179" w:hanging="319"/>
        <w:spacing w:after="0" w:line="26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The Company provides fixed data and voice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business and consumer customers. These services include high-speed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The Company delivers services to other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including the leasing of critical network infrastructure such as tower and transport facilities, wholesale roaming and long-distance voice services, site maintenance and international long-distance services.</w:t>
      </w:r>
    </w:p>
    <w:p>
      <w:pPr>
        <w:spacing w:after="0" w:line="176" w:lineRule="exact"/>
        <w:rPr>
          <w:rFonts w:ascii="Times New Roman" w:cs="Times New Roman" w:eastAsia="Times New Roman" w:hAnsi="Times New Roman"/>
          <w:sz w:val="18"/>
          <w:szCs w:val="18"/>
          <w:color w:val="auto"/>
        </w:rPr>
      </w:pPr>
    </w:p>
    <w:p>
      <w:pPr>
        <w:ind w:left="1220" w:right="179" w:hanging="319"/>
        <w:spacing w:after="0" w:line="28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The Company offers mobile communications services over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ind w:left="1220" w:right="119" w:hanging="319"/>
        <w:spacing w:after="0" w:line="268"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The Company provides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its business and consumer customers to complement its fixed telecommunications services in its existing markets.</w:t>
      </w:r>
    </w:p>
    <w:p>
      <w:pPr>
        <w:spacing w:after="0" w:line="175"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2025, the Company identified two operating segments to manage and review its operations, as well as to support investor presentations of its results. These two operating segments are as follows:</w:t>
      </w:r>
    </w:p>
    <w:p>
      <w:pPr>
        <w:spacing w:after="0" w:line="158" w:lineRule="exact"/>
        <w:rPr>
          <w:sz w:val="20"/>
          <w:szCs w:val="20"/>
          <w:color w:val="auto"/>
        </w:rPr>
      </w:pPr>
    </w:p>
    <w:p>
      <w:pPr>
        <w:ind w:left="1240" w:right="119" w:hanging="326"/>
        <w:spacing w:after="0" w:line="26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color w:val="auto"/>
        </w:rPr>
        <w:t>. In the United States, the Company offers fixed, carrier, and managed services 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consumer customers in Alaska and the western United States. In 2024, the Company ceased providing mobility services to retail customers in the western United States.</w:t>
      </w:r>
    </w:p>
    <w:p>
      <w:pPr>
        <w:spacing w:after="0" w:line="170" w:lineRule="exact"/>
        <w:rPr>
          <w:rFonts w:ascii="Times New Roman" w:cs="Times New Roman" w:eastAsia="Times New Roman" w:hAnsi="Times New Roman"/>
          <w:sz w:val="18"/>
          <w:szCs w:val="18"/>
          <w:color w:val="auto"/>
        </w:rPr>
      </w:pPr>
    </w:p>
    <w:p>
      <w:pPr>
        <w:ind w:left="1240" w:right="559" w:hanging="326"/>
        <w:spacing w:after="0" w:line="317"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International Telecom. </w:t>
      </w:r>
      <w:r>
        <w:rPr>
          <w:rFonts w:ascii="Times New Roman" w:cs="Times New Roman" w:eastAsia="Times New Roman" w:hAnsi="Times New Roman"/>
          <w:sz w:val="17"/>
          <w:szCs w:val="17"/>
          <w:color w:val="auto"/>
        </w:rPr>
        <w:t>In its international markets, the Company offers fixed, carrier, mobility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services to customers in Bermuda, the Cayman Islands, Guyana and the US Virgin Islands.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reports its revenue and the markets it served during the nine months ended September 30, 2025:</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30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4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40" w:type="dxa"/>
            <w:vAlign w:val="bottom"/>
            <w:tcBorders>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2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90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r>
      <w:tr>
        <w:trPr>
          <w:trHeight w:val="21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(rural 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Brava</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Guyana, US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3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44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Essextel, Logic,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Brava</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US Virgin</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Islands, Guyana</w:t>
            </w:r>
          </w:p>
        </w:tc>
        <w:tc>
          <w:tcPr>
            <w:tcW w:w="60" w:type="dxa"/>
            <w:vAlign w:val="bottom"/>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Brava</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ind w:left="1040" w:right="239" w:hanging="315"/>
        <w:spacing w:after="0" w:line="253"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completed a rebranding in Guyana, and GTT is now known as “One Communications.” The Company refers to its business in Guyana as “OneGY” throughout this Report. In April 2025, the Company completed a rebranding in the US Virgin Islands and Viya is now known as “One Communications.” The Company refers to its business in the U.S. Virgin Islands as “OneVI” throughout this Report.</w:t>
      </w:r>
    </w:p>
    <w:p>
      <w:pPr>
        <w:spacing w:after="0" w:line="227"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54"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reclassified $7.8 million of telecommunication licenses, net, included within its US Telecom segment, to assets held for sale in its September 30, 2025 balance sheet. As of that date, the Company has entered into a sale agreement and received regulatory approval to complete the transaction, and the Company expects to complete the transfer of the licenses in stages beginning in the fourth quarter of 2025 and continuing into the first half of 2026. The Company expects to recognize a pre-tax gain of approximately $6.0 million on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reorganization expense</w:t>
      </w:r>
    </w:p>
    <w:p>
      <w:pPr>
        <w:spacing w:after="0" w:line="268"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The Company engages in restructuring and reorganization activities from time to time. These activities are primarily reduction in force costs incurred to increase operational efficiency and improve the Company’s operating margins. The Company’s 2024 reorganization plan began in July 2024 and was completed in December 2024. As of September 30, 2025, the 2024 reorganization plan was completed, and all amounts were expensed and paid. The Company’s 2025 reorganization plan began in January 2025. As of September 30, 2025, the Company recorded $8.7 million of costs under the 2025 reorganization plan and of that amount $2.1 million was accrued and payable. The Company expects the 2025 reorganization plan to end in the fourth quarter of 2025 and to incur approximately $1 million of additional costs under the plan. A summary of the restructuring and reorganization costs is below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27"/>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9"/>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2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Consulting costs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9"/>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42"/>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6"/>
        </w:trPr>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99"/>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22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1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Consulting costs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1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9"/>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(“GAAP”). Results of interim periods may not be indicative of results for the full year. These condensed consolidated financial statements and related notes should be read in conjunction with the Company’s Annual Report on Form 10-K for the year ended December 31, 2024, filed with the SEC on March 17, 2025.</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released Accounting Standard Update (“ASU”) 2023-09, titled “Enhancements to Income Tax Disclosures” (“ASU 2023-09”),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its consolidated financial statements and accompanying disclosures.</w:t>
      </w:r>
    </w:p>
    <w:p>
      <w:pPr>
        <w:spacing w:after="0" w:line="14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Statements Expenses (DISE)” (ASU 2024-03), which requires that a public entity provide additional disclosure of the nature of expenses included in the income statement. The update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(Subtopic 350-40): Targeted Improvements to the Accounting for Internal-Use Software” (ASU 2025-06). ASU 2025-06 removes references to software development project stages and requires software cost capitalization when two criteria are met (i) management has authorized and committed to funding the project, and (ii) it is probable that the project will be completed and used as intended. ASU 2025-06 will be effective for annual reporting periods beginning after December 15, 2027. The Company is currently evaluating the impacts of our adoption.</w:t>
      </w:r>
    </w:p>
    <w:p>
      <w:pPr>
        <w:spacing w:after="0" w:line="21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“Measurement of Credit Losses for Accounts Receivable and Contract Assets” (ASU 2025-05), which provides a practical expedient for all entities to assume current conditions as of the balance sheet date will remain through the reasonable and supportable forecast period for eligible assets. Entities will be required to adjust the historical data used in the estimation of credit losses to reflect current conditions. ASU 2025-05 is effective for annual and interim periods beginning after December 15, 2025 and should be applied prospectively. The Company is currently evaluating the impacts of our adoption.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 AND RECEIVABLES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revenue in accordance with the FASB’s Accounting Standard Codification (“ASC”) Topic 606, “Revenue Recognition” (“ASC 606”), from contracts with customers and ASC Topic 842, “Leases” (“ASC 842”), from lease agreements, as well as government grants. Lease revenue recognized under ASC 842 is disclosed in Note 4 and government support revenue is disclosed in Note 8.</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consisted of the following for the periods presented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$ 160,627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158,995</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Goods and services transferred at a point in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178"/>
        </w:trPr>
        <w:tc>
          <w:tcPr>
            <w:tcW w:w="344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revenue accounted for under ASC</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93,577</w:t>
            </w:r>
          </w:p>
        </w:tc>
        <w:tc>
          <w:tcPr>
            <w:tcW w:w="1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$ 166,927</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92,730</w:t>
            </w:r>
          </w:p>
        </w:tc>
        <w:tc>
          <w:tcPr>
            <w:tcW w:w="1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71,872</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164,602</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2,271</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0" w:type="dxa"/>
            <w:vAlign w:val="bottom"/>
          </w:tcPr>
          <w:p>
            <w:pPr>
              <w:spacing w:after="0"/>
              <w:rPr>
                <w:sz w:val="1"/>
                <w:szCs w:val="1"/>
                <w:color w:val="auto"/>
              </w:rPr>
            </w:pPr>
          </w:p>
        </w:tc>
      </w:tr>
      <w:tr>
        <w:trPr>
          <w:trHeight w:val="209"/>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$ 183,165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9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$ 208,965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$ 478,519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$ 219,728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$ 487,698</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Goods and services transferred at a point in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178"/>
        </w:trPr>
        <w:tc>
          <w:tcPr>
            <w:tcW w:w="338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revenue accounted for under ASC</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279,909</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$ 218,142</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$ 498,051</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278,213</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$ 228,663</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$ 506,876</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5,926</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5,989</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0" w:type="dxa"/>
            <w:vAlign w:val="bottom"/>
          </w:tcPr>
          <w:p>
            <w:pPr>
              <w:spacing w:after="0"/>
              <w:rPr>
                <w:sz w:val="1"/>
                <w:szCs w:val="1"/>
                <w:color w:val="auto"/>
              </w:rPr>
            </w:pPr>
          </w:p>
        </w:tc>
      </w:tr>
      <w:tr>
        <w:trPr>
          <w:trHeight w:val="209"/>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284,533</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$ 259,227</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$ 543,760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282,697</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$ 265,830</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$ 548,527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Revenue recognized from CAF II, USF and RDOF programs (each as defined below). Refer to Note 8.</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Network Build and Maintenance Agreement with AT&amp;T Mobility, LLC (“AT&amp;T”) that was subsequently amended through March 31, 2025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the FirstNet Agreement is recorded in customer receivable, and the long-term portion is recorded in customer receivable long-term on the Company’s balance sheet.</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September</w:t>
            </w:r>
          </w:p>
        </w:tc>
        <w:tc>
          <w:tcPr>
            <w:tcW w:w="8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decrease in the Company’s net contract liability was due to the timing of customer prepayments, contract billings, and recognition of deferred revenue. During the nine months ended September 30, 2025, the Company recognized revenue of $26.0 million related to its December 31, 2024 contract liability and amortized $3.1 million of the December 31, 2024 contract asset to revenue. During the nine months ended September 30, 2024, the Company recognized revenue of $26.2 million related to its December 31, 2023 contract liability and amortized $3.7 million of the December 31, 2023 contract asset to revenue.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6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September 30, 2025 and December 31, 2024 balance sheets include contract acquisition costs of $11.4 million and $10.7 million, respectively, in other assets. During the three and nine months ended September 30, 2025, the Company amortized $1.8 million and $5.2 million, respectively, of contract acquisition costs. During the three and nine months ended September 30, 2024, the Company amortized $1.7 million and $4.9 million, respectively, of contract acquisition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6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$586 million at September 30, 2025. The Company expects to satisfy approximately 45% of the remaining performance obligations and recognize the transaction price within 24 months and approximately $60 million annually from 2027 through 2032. The Company omits performance obligations associated with a contract with a duration of one year or less and variable consideration under the right to invoice or wholly unsatisfied performance obligation practical expedients from this disclosure.</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54"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6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pacing w:after="0" w:line="207"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 had gross accounts receivables of $96.6 million and $98.8 million as of September 30, 2025 and December 31, 2024, respectively. The Company also recorded allowances for credit losses against these receivables of $15.3 million and $15.1 million as of September 30, 2025 and December 31, 2024, respectively.</w:t>
      </w:r>
    </w:p>
    <w:p>
      <w:pPr>
        <w:spacing w:after="0" w:line="21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also recorded a receivable under the FirstNet Agreement totaling $45.9 million as of September 30, 2025, of which $9.1 million was current and $36.8 million was long-term, and had a receivable under that same agreement of $49.0 million as of December 31, 2024, of which $8.0 million was current and $41.0 million was long-term. As of September 30, 2025, the Company had recorded $36.7 million of receivables under certain government support agreements, which included $25.3 million under the Replace and Remove Program and $11.4 million related to the Company’s participation in other government support programs. As of December 31, 2024, the Company had recorded $50.5 million of receivables under certain government support agreements, which included $37.7 million under the Replace and Remove Program and $12.8 million under the Company’s participation in other government support programs (refer to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monitors receivables through the use of historical operating data adjusted for the expectation of future performance as appropriate. Activity in the allowance for credit losses is below (in thousands):</w:t>
      </w:r>
    </w:p>
    <w:p>
      <w:pPr>
        <w:spacing w:after="0" w:line="236"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0" w:type="dxa"/>
            <w:vAlign w:val="bottom"/>
          </w:tcPr>
          <w:p>
            <w:pPr>
              <w:spacing w:after="0"/>
              <w:rPr>
                <w:sz w:val="18"/>
                <w:szCs w:val="18"/>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r>
      <w:tr>
        <w:trPr>
          <w:trHeight w:val="209"/>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30, 2025 and 2024, the Company paid $18.7 million and $14.8 million, respectively, for operating lease liabilities. During the nine months ended September 30, 2025 and 2024, the Company recorded $16.9 million and $11.5 million, respectively, of operating lease liabilities arising from right of use assets.</w:t>
      </w:r>
    </w:p>
    <w:p>
      <w:pPr>
        <w:spacing w:after="0" w:line="198"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2025, finance leases with a net book value of $24.8 million were included in fixed assets, net. During the nine months ended September 30, 2025, the Company paid $1.3 million of financing cash flows and $0.3 million of operating cash flows for finance lease liabilities. During the nine months ended September 30, 2024, the Company paid $1.4 million of financing cash flows and $0.3 million of operating cash flows for finance lease liabilities. At September 30, 2025, finance leases had a lease liability of $4.1 million, of which $0.8 million was current.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2024, finance leases with a net book value of $29.6 million were included in fixed assets, net.</w:t>
      </w:r>
    </w:p>
    <w:p>
      <w:pPr>
        <w:spacing w:after="0" w:line="26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September 30, 2025 and December 31, 2024 are set forth in the table below:</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September 30, 2025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3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9"/>
              </w:rPr>
              <w:t>2025 (excluding the nine months ended September 30,</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did not have any material operating or finance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6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nine months ended September 30, 2025 and 2024, the Company recorded $6.5 million and $6.3 million, respectively, of lease income from agreements for which the Company is the lessor. Lease income is classified as Carrier Services revenue in the statement of operations.</w:t>
      </w:r>
    </w:p>
    <w:p>
      <w:pPr>
        <w:spacing w:after="0" w:line="22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114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33,123</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USE OF ESTIMATES</w:t>
      </w:r>
    </w:p>
    <w:p>
      <w:pPr>
        <w:spacing w:after="0" w:line="27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Company bases its estimates on historical experience and on various other assumptions that it believes are reasonable under the circumstances. The most significant estimates relate to revenue recognition, goodwill and long-lived intangible assets, income taxes, and contingencies. Actual results could differ significantly from those estimates.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 AND INVESTMENTS</w:t>
      </w:r>
    </w:p>
    <w:p>
      <w:pPr>
        <w:spacing w:after="0" w:line="25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1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that requires an entity to maximize the use of observable inputs and minimize the use of unobservable inputs when measuring fair value. The guidance describes three levels of inputs that may be used to measure fair value:</w:t>
      </w:r>
    </w:p>
    <w:p>
      <w:pPr>
        <w:spacing w:after="0" w:line="189" w:lineRule="exact"/>
        <w:rPr>
          <w:sz w:val="20"/>
          <w:szCs w:val="20"/>
          <w:color w:val="auto"/>
        </w:rPr>
      </w:pPr>
    </w:p>
    <w:p>
      <w:pPr>
        <w:ind w:left="1980" w:right="1679" w:hanging="634"/>
        <w:spacing w:after="0" w:line="25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80" w:right="1739" w:hanging="634"/>
        <w:spacing w:after="0" w:line="255"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 w:lineRule="exact"/>
        <w:rPr>
          <w:sz w:val="20"/>
          <w:szCs w:val="20"/>
          <w:color w:val="auto"/>
        </w:rPr>
      </w:pPr>
    </w:p>
    <w:p>
      <w:pPr>
        <w:ind w:left="1980" w:right="1659"/>
        <w:spacing w:after="0" w:line="252" w:lineRule="auto"/>
        <w:rPr>
          <w:sz w:val="20"/>
          <w:szCs w:val="20"/>
          <w:color w:val="auto"/>
        </w:rPr>
      </w:pPr>
      <w:r>
        <w:rPr>
          <w:rFonts w:ascii="Times New Roman" w:cs="Times New Roman" w:eastAsia="Times New Roman" w:hAnsi="Times New Roman"/>
          <w:sz w:val="18"/>
          <w:szCs w:val="18"/>
          <w:color w:val="auto"/>
        </w:rPr>
        <w:t>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00" w:lineRule="exact"/>
        <w:rPr>
          <w:sz w:val="20"/>
          <w:szCs w:val="20"/>
          <w:color w:val="auto"/>
        </w:rPr>
      </w:pPr>
    </w:p>
    <w:p>
      <w:pPr>
        <w:spacing w:after="0" w:line="206"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September 30,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summarized as follows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 (1)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8"/>
              </w:rPr>
              <w:t>$ (11,735)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7"/>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198"/>
        </w:trPr>
        <w:tc>
          <w:tcPr>
            <w:tcW w:w="38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redeemable common units in Alloy, Inc. (“Alloy”), the parent company of the Company’s operations in the western United States. The units were carried at fair value at September 30, 2025 and historical cost at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holds investments in equity securities consisting of noncontrolling investments in privately held companies. Historically, the investments are accounted for using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As of September 30, 2025, the Company’s investments were all accounted for under the measurement alternative for investments without a readily determinable value. A roll forward of the investments is set forth below (in thousands):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 and September 30, 2025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42,907</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recognized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investment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on the consolidated balance sheets.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7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issued redeemable common units, and warrants to purchase additional common units, in consolidated subsidiaries of the Company. The instruments are redeemable at the option of the holder. The common units are recorded at the higher or historical cost or fair value and the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fair value of the Alaska Commun Units was zero at both September 30, 2025 and December 31, 2024. The fair value of the warrants to purchase Alaska common units was zero and $(0.2) million at September 30, 2025 and December 31, 2024, respectively. The Alloy common units were carried at a fair value of $14.1 million and historical cost of $10.6 million, which exceeded fair value, at September 30, 2025 and December 31, 2024, respectively. The Company calculates the fair value of the instruments using a combination of market and discounted cash flows approaches with Level 3 inputs.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6"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80" w:lineRule="exact"/>
        <w:rPr>
          <w:sz w:val="20"/>
          <w:szCs w:val="20"/>
          <w:color w:val="auto"/>
        </w:rPr>
      </w:pPr>
    </w:p>
    <w:p>
      <w:pPr>
        <w:jc w:val="both"/>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long-term debt is estimated using Level 2 inputs. At September 30, 2025, the fair value of long-term debt, including the current portion, was $585.9 million and its book value was $579.6 million. At December 31, 2024, the fair value of long-term debt, including the current portion, was $564.4 million and its book value was $557.4 million.</w:t>
      </w:r>
    </w:p>
    <w:p>
      <w:pPr>
        <w:spacing w:after="0" w:line="19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customer receivable credit facility is estimated using Level 2 inputs. At September 30, 2025, the fair value of the customer receivable credit facility, including the current portion, was $37.8 million and its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book value was $38.2 million. At December 31, 2024, the fair value of the customer receivable credit facility, including the current portion, was $42.7 million and its book value was $44.2 million.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5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July 13, 2023, the Company, along with certain of its subsidiaries as guarantors, entered into a Credit Agreement (as may be amended from time to time, the “2023 CoBank Credit Agreement”) with CoBank, ACB (“CoBank”) and a syndicate of other lenders (the “2023 CoBank Credit Facility”). On July 10, 2024, the Company amended the 2023 CoBank Credit Agreement to add certain subsidiaries as guarantors and to provide further flexibility in order to accept certain grant and government program obligations.</w:t>
      </w:r>
    </w:p>
    <w:p>
      <w:pPr>
        <w:spacing w:after="0" w:line="22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w:t>
      </w:r>
    </w:p>
    <w:p>
      <w:pPr>
        <w:spacing w:after="0" w:line="220"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76" w:lineRule="exact"/>
        <w:rPr>
          <w:sz w:val="20"/>
          <w:szCs w:val="20"/>
          <w:color w:val="auto"/>
        </w:rPr>
      </w:pPr>
    </w:p>
    <w:tbl>
      <w:tblPr>
        <w:tblLayout w:type="fixed"/>
        <w:tblInd w:w="730" w:type="dxa"/>
        <w:tblCellMar>
          <w:top w:w="0" w:type="dxa"/>
          <w:left w:w="0" w:type="dxa"/>
          <w:bottom w:w="0" w:type="dxa"/>
          <w:right w:w="0" w:type="dxa"/>
        </w:tblCellMar>
      </w:tblPr>
      <w:tr>
        <w:trPr>
          <w:trHeight w:val="283"/>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306"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2023 CoBank Term Loan and 0.75% to 2.50% for the 2023 CoBank Revolving Loans. Swingline loans bear interest at the base rate plus the applicable margin for base rate loans. The base rate is equal to the higher of (i) 1.00% plus the one-month SOFR rate</w:t>
      </w:r>
    </w:p>
    <w:p>
      <w:pPr>
        <w:spacing w:after="0" w:line="5" w:lineRule="exact"/>
        <w:rPr>
          <w:sz w:val="20"/>
          <w:szCs w:val="20"/>
          <w:color w:val="auto"/>
        </w:rPr>
      </w:pPr>
    </w:p>
    <w:p>
      <w:pPr>
        <w:ind w:left="60" w:right="199" w:hanging="10"/>
        <w:spacing w:after="0" w:line="253" w:lineRule="auto"/>
        <w:tabs>
          <w:tab w:leader="none" w:pos="3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1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$4.5 million of fees associated with the 2023 CoBank Credit Facility, which are being amortized over the life of the debt and $2.7 million were unamortized as of September 30, 2025.</w:t>
      </w:r>
    </w:p>
    <w:p>
      <w:pPr>
        <w:spacing w:after="0" w:line="202"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$122.7 million outstanding under the 2023 CoBank Term Loan, $75.1 million under the 2023 CoBank Revolving Loan, and had $94.9 million of availability. The Company was in compliance with all financial covenants as of September 30, 2025.</w:t>
      </w:r>
    </w:p>
    <w:p>
      <w:pPr>
        <w:spacing w:after="0" w:line="21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 two-year, forward starting one-month floating to fixed SOFR interest rate swap agreement. The swap was effective November 13, 2023 in a non-amortizing notional amount of $50.0 million, has a fixed SOFR rate of 4.896% and matures on November 13, 2025. The swap agreement had a fair value of $(0.1) million and $(0.3) million as of September 30, 2025 and December 31, 2024,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September 30, 2025, $35.3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5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20"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September 30, 2025, $300.0 million was outstanding under the 2024 Alaska Term Facility.</w:t>
      </w:r>
    </w:p>
    <w:p>
      <w:pPr>
        <w:spacing w:after="0" w:line="22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September 30, 2025, $9.5 million was outstanding under the 2024 Alaska Revolving Facility and $0.6 million of letters of credit were issued. As a result, $79.9 million was available under the 2024 Alaska Revolving Facility as of September 30, 2025.</w:t>
      </w:r>
    </w:p>
    <w:p>
      <w:pPr>
        <w:spacing w:after="0" w:line="210"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1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2024 Alaska Credit Facility, the Company incurred $6.9 million of fees and rolled over $2.1 million of fees for the 2022 Alaska Credit Facility to be amortized over the life of the debt. As of September 30, 2025, the Company had $7.1 million of unamortized fees, which are being amortized over the life of the debt, associated with the 2024 Alaska Credit Facility.</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37"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580" w:type="dxa"/>
            <w:vAlign w:val="bottom"/>
            <w:tcBorders>
              <w:top w:val="single" w:sz="8" w:color="auto"/>
              <w:left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Alaska</w:t>
            </w:r>
          </w:p>
        </w:tc>
        <w:tc>
          <w:tcPr>
            <w:tcW w:w="2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Term</w:t>
            </w:r>
          </w:p>
        </w:tc>
        <w:tc>
          <w:tcPr>
            <w:tcW w:w="2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Base Rate</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Tier /</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4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SOFR Loans and L/C</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 Reimbursement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 Commitment</w:t>
            </w: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Net Leverage</w:t>
            </w:r>
          </w:p>
        </w:tc>
        <w:tc>
          <w:tcPr>
            <w:tcW w:w="24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Fees</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130"/>
        </w:trPr>
        <w:tc>
          <w:tcPr>
            <w:tcW w:w="5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248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Greater than 4.00:1.00</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4.00:1.00 but greater</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3.25:1.00</w:t>
            </w:r>
          </w:p>
        </w:tc>
        <w:tc>
          <w:tcPr>
            <w:tcW w:w="24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3.25:1.00 but greater</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than 2.50:1.00</w:t>
            </w:r>
          </w:p>
        </w:tc>
        <w:tc>
          <w:tcPr>
            <w:tcW w:w="24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1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Less than or equal to</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126"/>
        </w:trPr>
        <w:tc>
          <w:tcPr>
            <w:tcW w:w="58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2.50:1.00</w:t>
            </w:r>
          </w:p>
        </w:tc>
        <w:tc>
          <w:tcPr>
            <w:tcW w:w="248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29"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19"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1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 as defined therein.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“2022 Alaska Credit Agreement”) with Fifth Third Bank, National Association, as administrative agent, and a syndicate of lenders (the “2022 Alaska Credit Facility”) to provide a Revolving Credit Commitment of $75.0 million (the “2022 Alaska Revolving Facility”) and Term Loan Commitment of $230.0 million (the “2022 Alaska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pacing w:after="0" w:line="266" w:lineRule="exact"/>
        <w:rPr>
          <w:sz w:val="20"/>
          <w:szCs w:val="20"/>
          <w:color w:val="auto"/>
        </w:rPr>
      </w:pPr>
    </w:p>
    <w:p>
      <w:pPr>
        <w:ind w:left="1380" w:right="259" w:hanging="331"/>
        <w:spacing w:after="0" w:line="276" w:lineRule="auto"/>
        <w:tabs>
          <w:tab w:leader="none" w:pos="1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outstanding bore an interest rate of the forward-looking SOFR rate with a one-month interest period, plus the SOFR Spread Adjustment of 10 basis points, plus a margin ranging from 3.00% to</w:t>
      </w:r>
    </w:p>
    <w:p>
      <w:pPr>
        <w:ind w:left="1380" w:right="47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 based on Alaska Communications’ Consolidated Total Net Leverage Ratio (as defined in the 2022 Alaska Credit Agreement) or at an alternate base rate at a margin that is 1% lower than the counterpart SOFR margin;</w:t>
      </w:r>
    </w:p>
    <w:p>
      <w:pPr>
        <w:spacing w:after="0" w:line="185"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380" w:right="139" w:hanging="331"/>
        <w:spacing w:after="0" w:line="254"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9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the Company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5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June 15, 2022, Holdings entered into a secured lending arrangement with Bristol Bay Industrial, LLC (the “Alaska Term Facility”).</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six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5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one-month floating to fixed SOFR interest rate swap agreements. The total non-amortizing notional amount of the agreements is $200.0 million, with fixed SOFR rates of 4.8695% and 4.8980% and both agreements matured on June 30, 2025. The swap agreement had a fair value of $(0.5) million as of December 31, 2024, and matured on June 30, 2025.</w:t>
      </w:r>
    </w:p>
    <w:p>
      <w:pPr>
        <w:spacing w:after="0" w:line="220"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On September 26, 2025, Alaska Communications entered into four forward starting one-month floating to fixed SOFR interest rate swap agreements. The total non-amortizing notional amount of the four agreements was $200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million, with fixed SOFR rates ranging from 3.4290% to 3.4485%. The swap agreements had a fair value of $(0.3) million as of September 30,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(the “Receivables Credit Facility”).</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w:t>
      </w:r>
    </w:p>
    <w:p>
      <w:pPr>
        <w:spacing w:after="0" w:line="22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6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As of September 30, 2025, Commnet Wireless had $38.5 million outstanding, of which $8.3 million was classified as being current and $30.2 million as long-term on the Company’s balance sheet, and $9.2 million of availability under the Receivables Credit Facility. Commnet Wireless capitalized $0.8 million in fees associated with the Receivables Credit Facility, which are being amortized over the life of the debt and $0.3 million were unamortized as of September 30,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Guyana Credit Facilities</w:t>
      </w:r>
    </w:p>
    <w:p>
      <w:pPr>
        <w:spacing w:after="0" w:line="27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October 12, 2022, OneGY entered into a $2.9 million term facility and a $5.7 million overdraft facility (the “Guyana Credit Facilities”) with Republic Bank (Guyana) Limited. The Guyana Credit Facilities were secured by real estate assets and carried a fixed interest rate of 7.5%. On November 29, 2024, the overdraft facility and term facility were canceled at the request of OneGY.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56"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spacing w:after="0" w:line="20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Each disbursement under the 2025 IDB Revolving Facility requires an established repayment date. Amounts may be prepaid with prior notice to IDB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200" w:lineRule="exact"/>
        <w:rPr>
          <w:sz w:val="20"/>
          <w:szCs w:val="20"/>
          <w:color w:val="auto"/>
        </w:rPr>
      </w:pPr>
    </w:p>
    <w:p>
      <w:pPr>
        <w:spacing w:after="0" w:line="248"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30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Amounts borrowed under the 2025 IDB Credit Facilities bear interest at a rate equal to SOFR plus an applicable margin of 2.4% for the 2025 IDB Revolving Facility and 3.0% for the 2025 IDB Term Loan. In the case of the 2025 IDB Term Loan, there is a prepayment fee equal to 1.0% until the first anniversary from the effective date, 0.5% until the second anniversary from the effective date, and 0.0% thereafter.</w:t>
      </w:r>
    </w:p>
    <w:p>
      <w:pPr>
        <w:spacing w:after="0" w:line="22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10"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outstanding borrowings under the 2025 IDB Revolving Facility or the 2025 IDB Term loan.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subsidiary, Sacred Wind, has a term debt facility (the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14"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September 30, 2025, Sacred Wind was in compliance with that corrective action plan.</w:t>
      </w:r>
    </w:p>
    <w:p>
      <w:pPr>
        <w:spacing w:after="0" w:line="208" w:lineRule="exact"/>
        <w:rPr>
          <w:sz w:val="20"/>
          <w:szCs w:val="20"/>
          <w:color w:val="auto"/>
        </w:rPr>
      </w:pPr>
    </w:p>
    <w:p>
      <w:pPr>
        <w:ind w:left="100" w:right="399" w:firstLine="603"/>
        <w:spacing w:after="0" w:line="282" w:lineRule="auto"/>
        <w:rPr>
          <w:sz w:val="20"/>
          <w:szCs w:val="20"/>
          <w:color w:val="auto"/>
        </w:rPr>
      </w:pPr>
      <w:r>
        <w:rPr>
          <w:rFonts w:ascii="Times New Roman" w:cs="Times New Roman" w:eastAsia="Times New Roman" w:hAnsi="Times New Roman"/>
          <w:sz w:val="18"/>
          <w:szCs w:val="18"/>
          <w:color w:val="auto"/>
        </w:rPr>
        <w:t>As of September 30, 2025, $22.3 million was outstanding under the Sacred Wind Term Debt. Of that amount, $3.4 million was current and $18.9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OneVI Debt</w:t>
      </w:r>
    </w:p>
    <w:p>
      <w:pPr>
        <w:spacing w:after="0" w:line="270"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 loan agreement (the “OneVI Debt Agreement”) for a $60.0 million loan (the “OneVI Debt”) with National Cooperative Services Corporation (“NCSC”). The OneVI Debt Agreement contains customary representations, warranties, and affirmative and negative covenants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(including limitations on additional debt, guaranties, sale of assets and liens) and a financial covenant that limits the maximum ratio of indebtedness to annual operating cash flow of 3.5 to 1.0 (the “OneVI Net Leverage Ratio”). This covenant is tested on an annual basis at the end of each fiscal year. Interest is paid quarterly at a fixed rate of 4.0% per annum and principal repayment is not required until maturity on July 1, 2026. Prepayment of amounts under the OneVI Debt Agreement may be subject to a fee under certain circumstances. The debt is secured by certain assets of the OneVI subsidiaries and is guaranteed by the Company.</w:t>
      </w:r>
    </w:p>
    <w:p>
      <w:pPr>
        <w:spacing w:after="0" w:line="228"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fee of $0.9 million in 2016 to lock the interest rate at 4% per annum over the term of the OneVI Debt Agreement. The fee was recorded as a reduction to the OneVI Debt carrying amount and is being amortized over the life of the loan.</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2025, $60.0 million of the OneVI Debt remained outstanding.</w:t>
      </w:r>
    </w:p>
    <w:p>
      <w:pPr>
        <w:spacing w:after="0" w:line="25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On May 5, 2022, the OneVI Net Leverage Ratio was amended to 7.0 to 1.0 through the maturity date of July 1, 2026. The OneVI Net Leverage Ratio is tested annually, and the Company was in compliance with the OneVI Net Leverage Ratio as of December 31, 2024.</w:t>
      </w:r>
    </w:p>
    <w:p>
      <w:pPr>
        <w:spacing w:after="0" w:line="21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November 5, 2025, the Company and NCSC amended and extended the maturity date of the OneVI Debt Agreement to July 1, 2035. The interest rate will be reset on the original loan maturity date of July 1, 2026. Beginning in July 2026, the loan will be subject to a quarterly repayment schedule. The covenants tested on annual basis will change as of December 31, 2026. See Note 15 to the Unaudited Condensed Consolidated Financial Statements included in this Report for additional information.</w:t>
      </w:r>
    </w:p>
    <w:p>
      <w:pPr>
        <w:spacing w:after="0" w:line="236" w:lineRule="exact"/>
        <w:rPr>
          <w:sz w:val="20"/>
          <w:szCs w:val="20"/>
          <w:color w:val="auto"/>
        </w:rPr>
      </w:pPr>
    </w:p>
    <w:tbl>
      <w:tblPr>
        <w:tblLayout w:type="fixed"/>
        <w:tblInd w:w="970" w:type="dxa"/>
        <w:tblCellMar>
          <w:top w:w="0" w:type="dxa"/>
          <w:left w:w="0" w:type="dxa"/>
          <w:bottom w:w="0" w:type="dxa"/>
          <w:right w:w="0" w:type="dxa"/>
        </w:tblCellMar>
      </w:tblPr>
      <w:tr>
        <w:trPr>
          <w:trHeight w:val="237"/>
        </w:trPr>
        <w:tc>
          <w:tcPr>
            <w:tcW w:w="34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Dates</w:t>
            </w:r>
          </w:p>
        </w:tc>
        <w:tc>
          <w:tcPr>
            <w:tcW w:w="366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8"/>
              </w:rPr>
              <w:t>Annual Principal Repayment</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1-3</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4-6</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7-8</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9</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1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Telecom (1)</w:t>
            </w:r>
          </w:p>
        </w:tc>
        <w:tc>
          <w:tcPr>
            <w:tcW w:w="20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9"/>
                <w:szCs w:val="19"/>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190"/>
        </w:trPr>
        <w:tc>
          <w:tcPr>
            <w:tcW w:w="3580" w:type="dxa"/>
            <w:vAlign w:val="bottom"/>
            <w:tcBorders>
              <w:top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October 1, 2025 through December 31, 2025</w:t>
            </w: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923</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1,625</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1,908</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38,479</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38,198</w:t>
            </w:r>
          </w:p>
        </w:tc>
      </w:tr>
    </w:tbl>
    <w:p>
      <w:pPr>
        <w:spacing w:after="0" w:line="198"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schedule reflects principal repayment schedule in the amendment to the OneVi Debt Agreement signed November 5,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GOVERNMENT SUPPORT AND SPECTRUM MATTERS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but not limited to,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040" w:right="79" w:hanging="315"/>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federal Universal Service Fund (“USF”) support under the Alaska Connect Fund (“ACF”). Beginning January 1, 2025, the Company began receiving $25.6 million per year and expects such annual funding to continue until December 31, 2028. Beginning in 2029 and continuing through 2034, the amount of ACF support will be determined by the Federal Communications Commission (“FCC”) staff taking into consideration broadband deployment funded through the Broadband Equity Access and Deployment Program. The ACF replaced the $19.7 million per year that the Company had previously received in Connect America Fund II (“CAF II”) support in Alaska;</w:t>
      </w:r>
    </w:p>
    <w:p>
      <w:pPr>
        <w:spacing w:after="0" w:line="10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(“E-ACAM”) funding available to the Company’s operations in the southwest, the Company is estimated to receive $102.6 million over the next 14 years, through 2038, with approximately $9 million annually through 2030 before a gradual step down to $6 million annually in 2038;</w:t>
      </w:r>
    </w:p>
    <w:p>
      <w:pPr>
        <w:spacing w:after="0" w:line="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$8.0 million per year in CAF II support in the rural southwest until July 2028;</w:t>
      </w:r>
    </w:p>
    <w:p>
      <w:pPr>
        <w:spacing w:after="0" w:line="14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$5.5 million annually in the US Virgin Islands through December 31, 2025, subject to the requirement to enhance network resiliency and operations in those markets;</w:t>
      </w:r>
    </w:p>
    <w:p>
      <w:pPr>
        <w:spacing w:after="0" w:line="80"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$2.3 million annually in the western United States through December 31, 2031, as part of the Rural Digital Opportunity Fund Phase I (“RDOF”) auction. In exchange for this support, the Company committed to deploy voice and broadband service to covered areas within six years and to provide service in those areas for ten years. As of September 2025, the Company transferred $1.3 million of the annual awards to other providers and returned $0.7 million of the annual awards to the FCC; and</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state USF support in Alaska of approximately $2.5 million annually.</w:t>
      </w:r>
    </w:p>
    <w:p>
      <w:pPr>
        <w:spacing w:after="0" w:line="15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in compliance in all material respects with its requirements associated with such funding.</w:t>
      </w:r>
    </w:p>
    <w:p>
      <w:pPr>
        <w:spacing w:after="0" w:line="18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Additionally, in 2024, the Company recognized revenue from the FCC’s Affordable Connectivity Program (“ACP”) and the Emergency Connectivity Fund (“ECF”) that expired in the second quarter of 2024. During the nine months ended September 30, 2025, the Company recorded a loss of $1.9 million related to the transfer of RDOF awards. This loss is recorded in Loss on disposition of assets, transfers and contingent consideration in the Company’s income statement. The Company had a liability of $2.7 million accrued related to transferring its RDOF awards as of September 30, 2025, which will be paid in the first quarter of 2026.</w:t>
      </w:r>
    </w:p>
    <w:p>
      <w:pPr>
        <w:spacing w:after="0" w:line="228"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participates in the FCC’s Rural Health Care Program (“RHC”). During the nine months ended September 30, 2025, the Company received $12.5 million related to RHC funding.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Revenue recognized from the USF High Cost Program, including the CAF II, ACF, E-ACAM, and RDOF programs, is recognized as revenue from government grants. Revenue from other programs is recognized in accordance with ASC 606.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7"/>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7"/>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200" w:type="dxa"/>
            <w:vAlign w:val="bottom"/>
          </w:tcPr>
          <w:p>
            <w:pPr>
              <w:spacing w:after="0"/>
              <w:rPr>
                <w:sz w:val="24"/>
                <w:szCs w:val="24"/>
                <w:color w:val="auto"/>
              </w:rPr>
            </w:pP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6"/>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7"/>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3200" w:type="dxa"/>
            <w:vAlign w:val="bottom"/>
          </w:tcPr>
          <w:p>
            <w:pPr>
              <w:spacing w:after="0"/>
              <w:rPr>
                <w:sz w:val="24"/>
                <w:szCs w:val="24"/>
                <w:color w:val="auto"/>
              </w:rPr>
            </w:pP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 (including ACF)</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began in 2025 and once these projects are constructed, the Company is obligated to provide service to the participants. As of the date of this Report, the Company expects to meet all requirements associated with these grants.</w:t>
      </w:r>
    </w:p>
    <w:p>
      <w:pPr>
        <w:spacing w:after="0" w:line="22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2025, the Company was notified that the National Telecommunications and Information Administration (“NTIA”) rescinded Broadband Equity Access and Deployment Program (“BEAD”) grants initially awarded in December 2024. The Company previously recorded $51 million of grants under this program which are presented below in Transferred and rescinded grants. The Company is currently reviewing funding available under the BEAD grant program. A roll forward of the Company’s grant awards is set forth below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Grants awarded,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-119380</wp:posOffset>
            </wp:positionV>
            <wp:extent cx="286321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63215" cy="145415"/>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286321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63215" cy="137160"/>
                    </a:xfrm>
                    <a:prstGeom prst="rect">
                      <a:avLst/>
                    </a:prstGeom>
                    <a:noFill/>
                  </pic:spPr>
                </pic:pic>
              </a:graphicData>
            </a:graphic>
          </wp:anchor>
        </w:drawing>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Construction complete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Transferred and rescinded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286321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Grants awarded, September 30, 2025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48" w:lineRule="exact"/>
        <w:rPr>
          <w:sz w:val="20"/>
          <w:szCs w:val="20"/>
          <w:color w:val="auto"/>
        </w:rPr>
      </w:pPr>
    </w:p>
    <w:p>
      <w:pPr>
        <w:ind w:left="300" w:hanging="293"/>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150,189</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16,097</w:t>
      </w:r>
    </w:p>
    <w:p>
      <w:pPr>
        <w:spacing w:after="0" w:line="9"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color w:val="auto"/>
        </w:rPr>
        <w:t>(10,294)</w:t>
      </w:r>
    </w:p>
    <w:p>
      <w:pPr>
        <w:spacing w:after="0" w:line="9"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color w:val="auto"/>
        </w:rPr>
        <w:t>(52,487)</w:t>
      </w:r>
    </w:p>
    <w:p>
      <w:pPr>
        <w:spacing w:after="0" w:line="9" w:lineRule="exact"/>
        <w:rPr>
          <w:sz w:val="20"/>
          <w:szCs w:val="20"/>
          <w:color w:val="auto"/>
        </w:rPr>
      </w:pPr>
    </w:p>
    <w:p>
      <w:pPr>
        <w:ind w:left="300" w:hanging="293"/>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103,505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91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3199"/>
          </w:cols>
          <w:pgMar w:left="1440" w:top="513" w:right="1440" w:bottom="1440" w:gutter="0" w:footer="0" w:header="0"/>
          <w:type w:val="continuous"/>
        </w:sectPr>
      </w:pPr>
    </w:p>
    <w:p>
      <w:pPr>
        <w:spacing w:after="0" w:line="101"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The Company was identified as a sub recipient of grants under these programs totaling $239 million as of September 30, 2025.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September 30, 2025, the Company has received $34.0 million of funding under these programs and spent $31.9 million on construction obligations. These amounts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the Company was approved to participate in the FCC’s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the Company’s eligible subsidiaries were initially allocated up to approximately $207 million to replace, remove and securely destroy such communications equipment and services in the Company’s networks in the western United States and in the US Virgin Islands; however, in December 2024, this program was fully funded for an increased allocation to the Company of an aggregate amount of approximately $517 million. The Replace and Remove Program requires each of the Company’s participating subsidiaries to complete the project no later than a specified deadline, which was recently extended to the second quarter of 2026.</w:t>
      </w:r>
    </w:p>
    <w:p>
      <w:pPr>
        <w:spacing w:after="0" w:line="235"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September 30,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(27,181)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(48,555)</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September 30,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September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(68,450)</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(18,739)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September 30,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2025, $11.0 million of the capital expenditures spent under the Replace and Remove Program were accrued and unpaid. The Company expects to be reimbursed, within the next twelve months, for all amounts spent to date.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68" w:lineRule="exact"/>
        <w:rPr>
          <w:sz w:val="20"/>
          <w:szCs w:val="20"/>
          <w:color w:val="auto"/>
        </w:rPr>
      </w:pPr>
    </w:p>
    <w:p>
      <w:pPr>
        <w:ind w:left="100" w:right="220" w:firstLine="648"/>
        <w:spacing w:after="0" w:line="272" w:lineRule="auto"/>
        <w:rPr>
          <w:sz w:val="20"/>
          <w:szCs w:val="20"/>
          <w:color w:val="auto"/>
        </w:rPr>
      </w:pPr>
      <w:r>
        <w:rPr>
          <w:rFonts w:ascii="Times New Roman" w:cs="Times New Roman" w:eastAsia="Times New Roman" w:hAnsi="Times New Roman"/>
          <w:sz w:val="17"/>
          <w:szCs w:val="17"/>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100" w:right="380"/>
        <w:spacing w:after="0" w:line="260" w:lineRule="auto"/>
        <w:rPr>
          <w:sz w:val="20"/>
          <w:szCs w:val="20"/>
          <w:color w:val="auto"/>
        </w:rPr>
      </w:pPr>
      <w:r>
        <w:rPr>
          <w:rFonts w:ascii="Times New Roman" w:cs="Times New Roman" w:eastAsia="Times New Roman" w:hAnsi="Times New Roman"/>
          <w:sz w:val="18"/>
          <w:szCs w:val="18"/>
          <w:color w:val="auto"/>
        </w:rPr>
        <w:t>are not determined for, or allocated separately to, the individual employer. This plan was not in endangered or in critical status during the plan year.</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ind w:left="100"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employees who meet certain eligibility criteria. The majority of the benefits under these plans are frozen and the plans no longer allow new participants to join.</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5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6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00" w:type="dxa"/>
            <w:vAlign w:val="bottom"/>
          </w:tcPr>
          <w:p>
            <w:pPr>
              <w:spacing w:after="0"/>
              <w:rPr>
                <w:sz w:val="10"/>
                <w:szCs w:val="10"/>
                <w:color w:val="auto"/>
              </w:rPr>
            </w:pPr>
          </w:p>
        </w:tc>
        <w:tc>
          <w:tcPr>
            <w:tcW w:w="6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6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6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Expected return on plan</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Amortization of unrecognized</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periodic pension expense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nine months ended September 30, 2025 and 2024. However, the Company periodically evaluates whether to make discretionary contributions. The Company funds its postretirement benefit plans as claims are made and did not make contributions to its pension plans during the nine months ended September 30, 2025 and 2024.</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GOODWILL</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2024, the Company completed an impairment assessment for its US Telecom segment after identifying events that 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a result of that analysis, the Company recorded an impairment of $35.3 million during the three months ended September 30, 2024. The table below discloses goodwill recorded in each of the Company’s segments and accumulated impairment changes (in thousands):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40" w:type="dxa"/>
            <w:vAlign w:val="bottom"/>
          </w:tcPr>
          <w:p>
            <w:pPr>
              <w:spacing w:after="0"/>
              <w:rPr>
                <w:sz w:val="16"/>
                <w:szCs w:val="16"/>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US</w:t>
            </w:r>
          </w:p>
        </w:tc>
        <w:tc>
          <w:tcPr>
            <w:tcW w:w="1240" w:type="dxa"/>
            <w:vAlign w:val="bottom"/>
          </w:tcPr>
          <w:p>
            <w:pPr>
              <w:spacing w:after="0"/>
              <w:rPr>
                <w:sz w:val="16"/>
                <w:szCs w:val="16"/>
                <w:color w:val="auto"/>
              </w:rPr>
            </w:pPr>
          </w:p>
        </w:tc>
      </w:tr>
      <w:tr>
        <w:trPr>
          <w:trHeight w:val="199"/>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340" w:type="dxa"/>
            <w:vAlign w:val="bottom"/>
          </w:tcPr>
          <w:p>
            <w:pPr>
              <w:spacing w:after="0"/>
              <w:rPr>
                <w:sz w:val="17"/>
                <w:szCs w:val="17"/>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8"/>
        </w:trPr>
        <w:tc>
          <w:tcPr>
            <w:tcW w:w="40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at December 31, 2024 and September 30,</w:t>
            </w:r>
          </w:p>
        </w:tc>
        <w:tc>
          <w:tcPr>
            <w:tcW w:w="2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23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60,691</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(20,587)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(35,269)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w:t>
            </w: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of accumulated impairment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impact of the enacted provisions in its 2025 financial statements, which were determined to be immaterial. The Company is currently evaluating the impact of the OBBBA provisions effective in future years on the Company’s financial statements and related disclosures.</w:t>
      </w:r>
    </w:p>
    <w:p>
      <w:pPr>
        <w:spacing w:after="0" w:line="229"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2025 and 2024 was 451.5% and 23.4%, respectively.</w:t>
      </w:r>
    </w:p>
    <w:p>
      <w:pPr>
        <w:spacing w:after="0" w:line="20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benefit of $5.1 million in relation to a pretax loss of $1.1 million for the three months ended September 30, 2025. The effective tax rate for the three months ended September 30, 2025 was primarily impacted by the following items: (i) the mix of income generated among the jurisdictions in which the Company operates, (ii) net expense related to valuation allowances placed on certain deferred tax assets that are not expected to be realized based on the weight of positive and negative evidence, and (iii) a discrete item consisting of a $0.6 million expense for interest on prior years uncertain tax positions.</w:t>
      </w:r>
    </w:p>
    <w:p>
      <w:pPr>
        <w:spacing w:after="0" w:line="214"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The Company recorded an income tax benefit of $12.0 million in relation to a pretax loss of $51.5 million for the three months ended September 30, 2024. The effective tax rate for the three months ended September 30, 2024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$0.8 million expense associated with sale of a partnership interest, and a $0.8 million expense for interest on unrecognized tax positions.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2025 and 2024 was 35.0% and 22.1%, respectively.</w:t>
      </w:r>
    </w:p>
    <w:p>
      <w:pPr>
        <w:spacing w:after="0" w:line="202" w:lineRule="exact"/>
        <w:rPr>
          <w:sz w:val="20"/>
          <w:szCs w:val="20"/>
          <w:color w:val="auto"/>
        </w:rPr>
      </w:pPr>
    </w:p>
    <w:p>
      <w:pPr>
        <w:ind w:left="60" w:right="259" w:firstLine="648"/>
        <w:spacing w:after="0" w:line="257" w:lineRule="auto"/>
        <w:rPr>
          <w:sz w:val="20"/>
          <w:szCs w:val="20"/>
          <w:color w:val="auto"/>
        </w:rPr>
      </w:pPr>
      <w:r>
        <w:rPr>
          <w:rFonts w:ascii="Times New Roman" w:cs="Times New Roman" w:eastAsia="Times New Roman" w:hAnsi="Times New Roman"/>
          <w:sz w:val="18"/>
          <w:szCs w:val="18"/>
          <w:color w:val="auto"/>
        </w:rPr>
        <w:t>The Company recorded an income tax benefit of $9.0 million in relation to a pretax loss of $25.7 million for the nine months ended September 30, 2025. The effective tax rate for the nine months ended September 30, 2025 was primarily impacted by the following items: (i) the mix of income generated among the jurisdictions in which we operate,</w:t>
      </w:r>
    </w:p>
    <w:p>
      <w:pPr>
        <w:spacing w:after="0" w:line="1" w:lineRule="exact"/>
        <w:rPr>
          <w:sz w:val="20"/>
          <w:szCs w:val="20"/>
          <w:color w:val="auto"/>
        </w:rPr>
      </w:pPr>
    </w:p>
    <w:p>
      <w:pPr>
        <w:ind w:left="60" w:right="59" w:hanging="10"/>
        <w:spacing w:after="0" w:line="252" w:lineRule="auto"/>
        <w:tabs>
          <w:tab w:leader="none" w:pos="3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$1.8 million expense for interest on prior years uncertain tax positions, a $0.5 million expense associated with stock option shortfalls, and a $1.0 million benefit from the release of a capital loss carryover valuation allowance based on the Company’s conclusion that it was more likely than not that this deferred tax asset would be realized in the future.</w:t>
      </w:r>
    </w:p>
    <w:p>
      <w:pPr>
        <w:spacing w:after="0" w:line="23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benefit of $10.2 million in relation to a pretax loss of $46.3 million for the nine months ended September 30, 2024. The effective tax rate for the nine months ended September 30, 2024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 $2.2 million expense for interest on unrecognized tax positions, and a $0.8 million expense associated with the sale of a partnership interest.</w:t>
      </w:r>
    </w:p>
    <w:p>
      <w:pPr>
        <w:spacing w:after="0" w:line="21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 AND REDEEMABLE NONCONTROLLING INTERESTS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7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p>
      <w:pPr>
        <w:spacing w:after="0" w:line="39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ATN International, Inc.</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Basic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ATN International, Inc. common</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(34,117)</w:t>
            </w:r>
          </w:p>
        </w:tc>
        <w:tc>
          <w:tcPr>
            <w:tcW w:w="8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(16,134)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(34,154)</w:t>
            </w:r>
          </w:p>
        </w:tc>
        <w:tc>
          <w:tcPr>
            <w:tcW w:w="0" w:type="dxa"/>
            <w:vAlign w:val="bottom"/>
          </w:tcPr>
          <w:p>
            <w:pPr>
              <w:spacing w:after="0"/>
              <w:rPr>
                <w:sz w:val="1"/>
                <w:szCs w:val="1"/>
                <w:color w:val="auto"/>
              </w:rPr>
            </w:pPr>
          </w:p>
        </w:tc>
      </w:tr>
      <w:tr>
        <w:trPr>
          <w:trHeight w:val="26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Diluted</w:t>
            </w:r>
          </w:p>
        </w:tc>
        <w:tc>
          <w:tcPr>
            <w:tcW w:w="8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0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or the estimated fair value of the common units.</w:t>
      </w:r>
    </w:p>
    <w:p>
      <w:pPr>
        <w:spacing w:after="0" w:line="22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July 2028.</w:t>
      </w:r>
    </w:p>
    <w:p>
      <w:pPr>
        <w:spacing w:after="0" w:line="185"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allocated losses of $2.5 million and $7.9 million, respectively, to the redeemable common units representing their proportionate share of operating losses. For the nine months ended September 30, 2025 and 2024, the Company allocated $11.2 million and $14.1 million, respectively, to the redeemable common units representing their proportionate share of operating losses. The fair value of the Alaska common units was zero at both September 30, 2025 and December 31, 2024. The Alloy common units were carried at a fair value of $14.1 million and historical cost of $10.6 million, which exceeded fair value, at September 30, 2025 and December 31, 2024,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nine months ended September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60,094</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70"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2025, the Company had the following two reportable and operating segments: (i) International Telecom and (ii) US Telecom.</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its financial data in evaluating the effectiveness of its operations and underlying business trends in a manner that is consistent with management’s evaluation of business performance. The Company’s chief operating decision maker is 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w:t>
            </w:r>
          </w:p>
        </w:tc>
      </w:tr>
      <w:tr>
        <w:trPr>
          <w:trHeight w:val="209"/>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65,878</w:t>
            </w:r>
          </w:p>
        </w:tc>
      </w:tr>
      <w:tr>
        <w:trPr>
          <w:trHeight w:val="21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114,476</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177,752</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4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183,165</w:t>
            </w:r>
          </w:p>
        </w:tc>
      </w:tr>
      <w:tr>
        <w:trPr>
          <w:trHeight w:val="197"/>
        </w:trPr>
        <w:tc>
          <w:tcPr>
            <w:tcW w:w="4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r>
      <w:tr>
        <w:trPr>
          <w:trHeight w:val="210"/>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64,507</w:t>
            </w:r>
          </w:p>
        </w:tc>
      </w:tr>
      <w:tr>
        <w:trPr>
          <w:trHeight w:val="21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61,759</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112,775</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174,422</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4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178,451</w:t>
            </w:r>
          </w:p>
        </w:tc>
      </w:tr>
      <w:tr>
        <w:trPr>
          <w:trHeight w:val="197"/>
        </w:trPr>
        <w:tc>
          <w:tcPr>
            <w:tcW w:w="4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78,973</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216,809</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(38,358)</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16"/>
        </w:trPr>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0"/>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r>
    </w:tbl>
    <w:p>
      <w:pPr>
        <w:spacing w:after="0" w:line="198" w:lineRule="exact"/>
        <w:rPr>
          <w:sz w:val="20"/>
          <w:szCs w:val="20"/>
          <w:color w:val="auto"/>
        </w:rPr>
      </w:pPr>
    </w:p>
    <w:p>
      <w:pPr>
        <w:ind w:left="1040" w:right="39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r>
      <w:tr>
        <w:trPr>
          <w:trHeight w:val="209"/>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79,124</w:t>
            </w:r>
          </w:p>
        </w:tc>
      </w:tr>
      <w:tr>
        <w:trPr>
          <w:trHeight w:val="21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197,002</w:t>
            </w:r>
          </w:p>
        </w:tc>
      </w:tr>
      <w:tr>
        <w:trPr>
          <w:trHeight w:val="209"/>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340,601</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100,432</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526,657</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543,760</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101,327</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266,794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531,030</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1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(38,464)</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w:t>
            </w: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67,013</w:t>
            </w:r>
          </w:p>
        </w:tc>
      </w:tr>
      <w:tr>
        <w:trPr>
          <w:trHeight w:val="209"/>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81,969</w:t>
            </w:r>
          </w:p>
        </w:tc>
      </w:tr>
      <w:tr>
        <w:trPr>
          <w:trHeight w:val="21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195,389</w:t>
            </w:r>
          </w:p>
        </w:tc>
      </w:tr>
      <w:tr>
        <w:trPr>
          <w:trHeight w:val="209"/>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346,687</w:t>
            </w:r>
          </w:p>
        </w:tc>
      </w:tr>
      <w:tr>
        <w:trPr>
          <w:trHeight w:val="21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100,020</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254,584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533,055</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548,527</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107,196</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(15,512)</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557,994</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r>
      <w:tr>
        <w:trPr>
          <w:trHeight w:val="216"/>
        </w:trPr>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09"/>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September 30, 2025 and December 31, 2024 consists of the following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44,066</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119,640</w:t>
            </w: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540,114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997,478</w:t>
            </w: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1,698,681</w:t>
            </w: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579,606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89,244</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1,040,193</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1,727,103</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spent $128.2 million and $157.5 million, respectively, on capital expenditures relating to its telecommunications networks and business support systems, of which $67.3 million and $71.8 million, respectively, are reimbursable under various government programs. The following notes the Company’s capital expenditures, by operating segment, for these periods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128,228</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116,220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1,861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40" w:right="399" w:hanging="315"/>
        <w:spacing w:after="0" w:line="282" w:lineRule="auto"/>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 disposition of matters currently pending, individually or in the aggregate, will not have a material adverse effect on the Company’s financial position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Since 2006, the National Frequency Management Unit (now the Telecommunications Agency,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reached out for further discussion on the subject of a revised spectrum fee methodology with the TA.</w:t>
      </w:r>
    </w:p>
    <w:p>
      <w:pPr>
        <w:spacing w:after="0" w:line="22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OneGY has filed several lawsuits in the High Court of Guyana (the “High Court”)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as of the date of this Report, the Company cannot accurately predict when the consolidated suit will reach a court of final determination.</w:t>
      </w:r>
    </w:p>
    <w:p>
      <w:pPr>
        <w:spacing w:after="0" w:line="22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only one remains pending for determination by the High Court.</w:t>
      </w:r>
    </w:p>
    <w:p>
      <w:pPr>
        <w:spacing w:after="0" w:line="21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February 2020, the Company’s Alaska Communications subsidiary received a draft audit report from the Universal Service Administrative Company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 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As of the date of this Report, the Company believes that it can comply with all of the terms of the compliance agreement. As of September 30, 2025, the Company had paid a settlement amount of $6.3 million consisting of a $5.3 million cash payment and the $1.0 million forgiveness of certain receivables. This settlement will not impact the statement of operations in future periods.</w:t>
      </w:r>
    </w:p>
    <w:p>
      <w:pPr>
        <w:spacing w:after="0" w:line="22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Regulatory Authority of Bermuda (the “RA”) is the primary regulator of the Company’s operations in Bermuda. On August 28, 2025, the RA completed a market review and determined that the Company has significant market power in certain broadband and mobile services. In connection therewith, the RA assessed, and the Company has initiated an appeal of, a series of ex-ante remedies that include wholesale obligations, price caps, and reporting obligations in addition to the ex post competition rules that generally apply. In October 2025, the Company was able to obtain a stay of implementation of these ex-ante remedies pending the Court’s review of its appeal of the RA’s market review determination. The ex-ante remedies are burdensome and, if implemented, will require financial, operational, legal and regulatory resources to be allocated to ensure compliance.</w:t>
      </w:r>
    </w:p>
    <w:p>
      <w:pPr>
        <w:spacing w:after="0" w:line="232"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With respect to all of the foregoing unresolved matters, the Company believes that some adverse outcome is probable and has accordingly accrued $15.4 million as of September 30, 2025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November 5, 2025, the Company and certain of its subsidiaries (the “Borrowers”) amended the OneVI Debt Agreement (the “Amendment”) to extend the maturity date of the OneVI Debt from July 1, 2026 to July 1, 2035 (the “Extended Maturity Date”). The Amendment further provides that the OneVI Debt will continue to accrue interest at the current fixed 4.0% rate through June 30, 2026 and, beginning on July 1, 2026, NCSC will offer, at the Borrowers’ option, a forward fixed rate or variable rate of interest for the remainder of the term of the OneVI Debt through the Extended Maturity Date. If the Borrowers elect the variable rate, the variable rate will be NCSC’s standard variable rate of interest for long-term loans and subject to change monthly, and the Borrowers will have the option to convert all or a portion of principal outstanding as of the date specified in the Conversion Notice (as defined in the OneVI Debt Agreement), to NCSC’s standard fixed interest rates for long-term loans at any time thereafter without a fee.</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Additionally, the Amendment provides that the OneVI Debt will continue to require interest-only payments at the current rate through June 30, 2026; beginning on July 1, 2026, the OneVI Debt will be subject to a quarterly repayment schedule using the level debt service, level principal amortization method, or a principal repayment schedule mutually agreed upon by NCSC and the Borrowers.</w:t>
      </w:r>
    </w:p>
    <w:p>
      <w:pPr>
        <w:spacing w:after="0" w:line="207"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Amendment includes financial covenants by the Borrowers that impose a maximum ratio of indebtedness to annual operating cash flow and require the Borrowers to maintain a minimum fixed charge cover ratio for annual periods through the Extended Maturity Date.</w:t>
      </w:r>
    </w:p>
    <w:p>
      <w:pPr>
        <w:spacing w:after="0" w:line="21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80" w:right="15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focus on rural and remote markets in the United States, and internationally, including Bermuda and the Caribbean region.</w:t>
      </w:r>
    </w:p>
    <w:p>
      <w:pPr>
        <w:spacing w:after="0" w:line="162" w:lineRule="exact"/>
        <w:rPr>
          <w:sz w:val="20"/>
          <w:szCs w:val="20"/>
          <w:color w:val="auto"/>
        </w:rPr>
      </w:pPr>
    </w:p>
    <w:p>
      <w:pPr>
        <w:ind w:left="8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significant operational expertise and resources that we use to augment our capabilities in our local markets. With this support, our operating subsidiaries can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while keeping a focus on generating excess operating cash flows over extended periods of time. We use the cash generated from our operations to maintain an appropriate ratio of debt and cash on hand and to re-invest in organic growth, to fund capital expenditures, to return value to our stockholders through dividends or stock repurchases, and to make strategic investments or acquisitions.</w:t>
      </w:r>
    </w:p>
    <w:p>
      <w:pPr>
        <w:spacing w:after="0" w:line="194" w:lineRule="exact"/>
        <w:rPr>
          <w:sz w:val="20"/>
          <w:szCs w:val="20"/>
          <w:color w:val="auto"/>
        </w:rPr>
      </w:pPr>
    </w:p>
    <w:p>
      <w:pPr>
        <w:ind w:left="80" w:right="17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financial segments and geographical information about our operating revenues and assets, see Notes 1 and 12 to the Consolidated Financial Statements included in this Report.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2025, we offered the following types of services to our customers:</w:t>
      </w:r>
    </w:p>
    <w:p>
      <w:pPr>
        <w:spacing w:after="0" w:line="221" w:lineRule="exact"/>
        <w:rPr>
          <w:sz w:val="20"/>
          <w:szCs w:val="20"/>
          <w:color w:val="auto"/>
        </w:rPr>
      </w:pPr>
    </w:p>
    <w:p>
      <w:pPr>
        <w:ind w:left="1240" w:right="99" w:hanging="326"/>
        <w:spacing w:after="0" w:line="26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We provide fixed data and voice telecommunications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and consumer customers. These services include high-speed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ind w:left="1240" w:right="399" w:hanging="326"/>
        <w:spacing w:after="0" w:line="26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We deliver services to other telecommunications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leasing of critical network infrastructure such as tower and transport facilities, wholesale roaming and long-distance voice services, site maintenance and international long-distance services.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579" w:hanging="326"/>
        <w:spacing w:after="0" w:line="28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We offer mobile communications services over our wireless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ind w:left="1240" w:right="179" w:hanging="326"/>
        <w:spacing w:after="0" w:line="268"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provide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our business and consumer customers to complement our fixed telecommunications services in our existing markets.</w:t>
      </w:r>
    </w:p>
    <w:p>
      <w:pPr>
        <w:spacing w:after="0" w:line="175"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2025, we identified two operating segments to manage and review our operations, as well as to support investor presentations of our results. These operating segments are as follows:</w:t>
      </w:r>
    </w:p>
    <w:p>
      <w:pPr>
        <w:spacing w:after="0" w:line="158" w:lineRule="exact"/>
        <w:rPr>
          <w:sz w:val="20"/>
          <w:szCs w:val="20"/>
          <w:color w:val="auto"/>
        </w:rPr>
      </w:pPr>
    </w:p>
    <w:p>
      <w:pPr>
        <w:jc w:val="both"/>
        <w:ind w:left="1240" w:right="139" w:hanging="326"/>
        <w:spacing w:after="0" w:line="268"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we offer fixed, carrier, and managed services to business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customers in Alaska and the western United States. In 2024, we ceased providing mobility services to retail customers in the western United States.</w:t>
      </w:r>
    </w:p>
    <w:p>
      <w:pPr>
        <w:spacing w:after="0" w:line="170" w:lineRule="exact"/>
        <w:rPr>
          <w:rFonts w:ascii="Times New Roman" w:cs="Times New Roman" w:eastAsia="Times New Roman" w:hAnsi="Times New Roman"/>
          <w:sz w:val="18"/>
          <w:szCs w:val="18"/>
          <w:color w:val="auto"/>
        </w:rPr>
      </w:pPr>
    </w:p>
    <w:p>
      <w:pPr>
        <w:ind w:left="1240" w:right="79" w:hanging="326"/>
        <w:spacing w:after="0" w:line="28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carrier, mobility and managed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customers in Bermuda, the Cayman Islands, Guyana and the US Virgin Islands.</w:t>
      </w:r>
    </w:p>
    <w:p>
      <w:pPr>
        <w:spacing w:after="0" w:line="15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during the nine months ended September 30,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20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1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80" w:type="dxa"/>
            <w:vAlign w:val="bottom"/>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(rural markets)</w:t>
            </w: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Brava</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 US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Virgin Islands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Brava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500" w:type="dxa"/>
            <w:vAlign w:val="bottom"/>
            <w:tcBorders>
              <w:right w:val="single" w:sz="8" w:color="auto"/>
            </w:tcBorders>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Essextel, Logic,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Brava</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US Virgin</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Brava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720" w:right="13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completed a rebranding in Guyana, and GTT is now known as “One Communications.” We refer to our business in Guyana as “OneGY” throughout this Report. In April 2025, we completed a rebranding in the US Virgin Islands, and Viya is now known as “One Communications.” We refer to our business in the U.S. Virgin Islands as “OneVI” throughout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Carrier Managed Services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2019, we entered into a Network Build and Maintenance Agreement with AT&amp;T Mobility, LLC (“AT&amp;T”) that we subsequently amended through March 31, 2025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September 30, 2025, we have recorded $81 million in construction revenue and expect to record approximately $5 million in additional construction revenue and related costs as sites are completed. We expect to substantially complete the build during the first half of 2026. Revenues from construction are expected to have minimal impact on the Company’s operating income.</w:t>
      </w:r>
    </w:p>
    <w:p>
      <w:pPr>
        <w:spacing w:after="0" w:line="18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May 10, 2023, we entered into a Carrier Managed Services Master Agreement (the “Verizon CMS Agreement”) with Cellco Partnership d/b/a Verizon Wireless (“Verizon”), pursuant to which we will provide a variety of network, infrastructure and technical services that will help deliver next generation wireless services to Verizon’s subscribers in our current operating areas in the southwestern United States.</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Pursuant to the Verizon CMS Agreement and subject to certain limitations contained therein, we will upgrade our wireless service in specific areas and provide services to Verizon for an initial term ending in 2030.</w:t>
      </w:r>
    </w:p>
    <w:p>
      <w:pPr>
        <w:spacing w:after="0" w:line="162"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as of the date of this Report, we were in compliance with, in all material respects, applicable federal and state USF assessment and support requirements.</w:t>
      </w:r>
    </w:p>
    <w:p>
      <w:pPr>
        <w:spacing w:after="0" w:line="187"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USF High-Cost Support. </w:t>
      </w:r>
      <w:r>
        <w:rPr>
          <w:rFonts w:ascii="Times New Roman" w:cs="Times New Roman" w:eastAsia="Times New Roman" w:hAnsi="Times New Roman"/>
          <w:sz w:val="18"/>
          <w:szCs w:val="18"/>
          <w:color w:val="auto"/>
        </w:rPr>
        <w:t>The Federal Communications Commission’s (“FCC”) high-cost USF (or alternatives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p>
      <w:pPr>
        <w:spacing w:after="0" w:line="76" w:lineRule="exact"/>
        <w:rPr>
          <w:sz w:val="20"/>
          <w:szCs w:val="20"/>
          <w:color w:val="auto"/>
        </w:rPr>
      </w:pPr>
    </w:p>
    <w:p>
      <w:pPr>
        <w:ind w:left="1040" w:right="339" w:hanging="315"/>
        <w:spacing w:after="0" w:line="312"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federal USF support under the Alaska Connect Fund (“ACF”). Beginning January 1, 2025, we began receiving $25.6 million per year and expect such annual funding to continue until December 31,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61" w:lineRule="auto"/>
        <w:rPr>
          <w:sz w:val="20"/>
          <w:szCs w:val="20"/>
          <w:color w:val="auto"/>
        </w:rPr>
      </w:pPr>
      <w:r>
        <w:rPr>
          <w:rFonts w:ascii="Times New Roman" w:cs="Times New Roman" w:eastAsia="Times New Roman" w:hAnsi="Times New Roman"/>
          <w:sz w:val="18"/>
          <w:szCs w:val="18"/>
          <w:color w:val="auto"/>
        </w:rPr>
        <w:t>2028. Beginning in 2029 and continuing through 2034, the amount of ACF support we receive will be determined by the FCC staff taking into consideration broadband deployment funded through the Broadband Equity Access and Deployment Program. The ACF replaced the $19.7 million per year that we had previously received in Connect America Fund II (“CAF II”) support in Alaska;</w:t>
      </w:r>
    </w:p>
    <w:p>
      <w:pPr>
        <w:spacing w:after="0" w:line="99" w:lineRule="exact"/>
        <w:rPr>
          <w:sz w:val="20"/>
          <w:szCs w:val="20"/>
          <w:color w:val="auto"/>
        </w:rPr>
      </w:pPr>
    </w:p>
    <w:p>
      <w:pPr>
        <w:ind w:left="1040" w:right="7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(“E-ACAM”) funding available to our operations in the southwest, we are estimated to receive approximately $102.6 million over the next 14 years, through 2038, with approximately $9 million annually through 2030 before a gradual step down to $6 million annually in 2038. This funding is subject to a requirement to deploy voice and broadband service at speeds of 100/20 Mbps to all required locations by the end of calendar year 2028;</w:t>
      </w:r>
    </w:p>
    <w:p>
      <w:pPr>
        <w:spacing w:after="0" w:line="11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receive approximately $8 million per year in CAF II support in the rural southwest until July 2028;</w:t>
      </w:r>
    </w:p>
    <w:p>
      <w:pPr>
        <w:spacing w:after="0" w:line="80"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estimated to receive approximately $5.5 million annually in the US Virgin Islands through December 31, 2025 (this annual support is scheduled to end in 2025), subject to the requirement to enhance network resiliency and operations in those markets;</w:t>
      </w:r>
    </w:p>
    <w:p>
      <w:pPr>
        <w:spacing w:after="0" w:line="94"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awarded approximately $2.3 million annually in the western United States through December 31, 2031 as part of the Rural Digital Opportunity Fund Phase I (“RDOF”) auction. In exchange for this support, we committed to deploy voice and broadband service to covered areas within six years and to provide service in those areas for ten years. As of September 2025, we transferred $1.3 million of the annual awards to other providers and returned $0.7 million of the annual awards to the FCC;</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state USF support in Alaska of approximately $2.5 million annually.</w:t>
      </w:r>
    </w:p>
    <w:p>
      <w:pPr>
        <w:spacing w:after="0" w:line="252"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we were in compliance in all material respects with requirements associated with such funding. If we fail to meet these obligations or require substantial additional capital expenditures to meet the obligations in a timely manner, our revenue, results of operations and liquidity may be materially adversely impacted.</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began in 2025 and once these projects are constructed, we are obligated to provide service to the participants. We expect to meet all requirements associated with these grants. As of September 30, 2025, we were awarded $103.5 million of construction grants.</w:t>
      </w:r>
    </w:p>
    <w:p>
      <w:pPr>
        <w:spacing w:after="0" w:line="18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disbursed capital expenditures of $16.7 million under these programs and received reimbursement of $12.6 million. These cash flows are classified as investing activities in our statement of cash flows.</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We were identified as a sub recipient of grants under these programs totaling $239 million as of September 30, 2025. Through September 30, 2025, we have received $34.0 million of funding under these programs and spent $31.9 million on construction obligations. These amounts are recorded as operating cash flows in the Company’s statement of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29" w:lineRule="exact"/>
        <w:rPr>
          <w:sz w:val="20"/>
          <w:szCs w:val="20"/>
          <w:color w:val="auto"/>
        </w:rPr>
      </w:pPr>
    </w:p>
    <w:p>
      <w:pPr>
        <w:ind w:left="60" w:right="619" w:firstLine="648"/>
        <w:spacing w:after="0" w:line="289" w:lineRule="auto"/>
        <w:rPr>
          <w:sz w:val="20"/>
          <w:szCs w:val="20"/>
          <w:color w:val="auto"/>
        </w:rPr>
      </w:pPr>
      <w:r>
        <w:rPr>
          <w:rFonts w:ascii="Times New Roman" w:cs="Times New Roman" w:eastAsia="Times New Roman" w:hAnsi="Times New Roman"/>
          <w:sz w:val="17"/>
          <w:szCs w:val="17"/>
          <w:color w:val="auto"/>
        </w:rPr>
        <w:t>In July 2022, we were approved to participate in the FCC’s Secure and Trusted Communications Networks Reimbursement Program (the “Replace and Remove Program”), designed to reimburse providers of advanced communications services for reasonable costs incurred in the required removal, replacement, and disposal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United States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recently extended to the second quarter of 2026.</w:t>
      </w:r>
    </w:p>
    <w:p>
      <w:pPr>
        <w:spacing w:after="0" w:line="18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incurred total expenditures of $213.7 million related to this project, of which $45.3 million were incurred in 2025. Of these total expenditures, $177.4 million were classified as capital.</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2025, $11.0 million of capital expenditures were accrued and unpaid under the Replace and Remove Program. We expect to be reimbursed, within the next twelve months, for all amounts spent to date. During the nine months ended September 30, 2025, we received $57.7 million of reimbursement under the program, of which $9.1 million was classified as operating cash inflows and $48.6 million was classified as investing cash inflows in our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29"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Through September 30, 2025, the Company had the following two reportable and operating segments: (i) International Telecom and (ii) US Telecom.</w:t>
      </w:r>
    </w:p>
    <w:p>
      <w:pPr>
        <w:spacing w:after="0" w:line="16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September 30, 2025 and 2024 (in thousands):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w:t>
            </w:r>
          </w:p>
        </w:tc>
      </w:tr>
      <w:tr>
        <w:trPr>
          <w:trHeight w:val="210"/>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65,878</w:t>
            </w:r>
          </w:p>
        </w:tc>
      </w:tr>
      <w:tr>
        <w:trPr>
          <w:trHeight w:val="21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114,476</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177,752</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4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183,165</w:t>
            </w:r>
          </w:p>
        </w:tc>
      </w:tr>
      <w:tr>
        <w:trPr>
          <w:trHeight w:val="197"/>
        </w:trPr>
        <w:tc>
          <w:tcPr>
            <w:tcW w:w="4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173,335</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bl>
    <w:p>
      <w:pPr>
        <w:spacing w:after="0" w:line="198" w:lineRule="exact"/>
        <w:rPr>
          <w:sz w:val="20"/>
          <w:szCs w:val="20"/>
          <w:color w:val="auto"/>
        </w:rPr>
      </w:pPr>
    </w:p>
    <w:p>
      <w:pPr>
        <w:ind w:left="1040" w:right="3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r>
      <w:tr>
        <w:trPr>
          <w:trHeight w:val="209"/>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64,507</w:t>
            </w:r>
          </w:p>
        </w:tc>
      </w:tr>
      <w:tr>
        <w:trPr>
          <w:trHeight w:val="209"/>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61,759</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112,775</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174,422</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178,451</w:t>
            </w:r>
          </w:p>
        </w:tc>
      </w:tr>
      <w:tr>
        <w:trPr>
          <w:trHeight w:val="196"/>
        </w:trPr>
        <w:tc>
          <w:tcPr>
            <w:tcW w:w="4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78,973</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216,809</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(38,358)</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16"/>
        </w:trPr>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0"/>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r>
    </w:tbl>
    <w:p>
      <w:pPr>
        <w:spacing w:after="0" w:line="179" w:lineRule="exact"/>
        <w:rPr>
          <w:sz w:val="20"/>
          <w:szCs w:val="20"/>
          <w:color w:val="auto"/>
        </w:rPr>
      </w:pPr>
    </w:p>
    <w:p>
      <w:pPr>
        <w:ind w:left="980" w:right="499" w:hanging="282"/>
        <w:spacing w:after="0" w:line="282" w:lineRule="auto"/>
        <w:tabs>
          <w:tab w:leader="none" w:pos="9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September 30, 2025 and 2024 is as follows: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$0.8 million, or 0.8%,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$95.1 million from $94.3 million for the three months ended September 30, 2025 and 2024, respectively. This increase was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the result of increases in revenue from ancillary services and Carrier Services of $1.2 million and $0.1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partially offset by decreases in Fixed and Mobility revenues of $0.4 million and $0.1 million, respectively.</w:t>
      </w:r>
    </w:p>
    <w:p>
      <w:pPr>
        <w:spacing w:after="0" w:line="20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decreased by $4.3 million, or 5.3%, to $77.1 million from $81.4 million for the three months ended September 30, 2025 and 2024, respectively. Operating expenses for the three months ended September 30, 2025 decreased through certain cost savings initiatives, including reorganization and reductions in force, that were implemented in current and previous periods.</w:t>
      </w:r>
    </w:p>
    <w:p>
      <w:pPr>
        <w:spacing w:after="0" w:line="180"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increased $5.2 million, or 40.3%, to $18.1 million from $12.9 million for the three months ended September 30, 2025 and 2024, respectively.</w:t>
      </w:r>
    </w:p>
    <w:p>
      <w:pPr>
        <w:spacing w:after="0" w:line="160"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increased by $3.8 million, or 4.5%, to $88.0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$84.2 million for the three months ended September 30, 2025 and 2024, respectively, primarily as a result of increases in Fixed revenue, Carrier Service revenue, Construction revenue and Managed Services revenue of $2.1 million, $1.3 million, $0.9 million and $0.4 million, respectively. Such increases were partially offset by a $0.7 million decrease in Mobility revenues, resulting from our decision to cease providing retail mobility services under our own brand name to retail customers.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Operating expenses within our US Telecom segment decreased $40.9 million, or 31.8%, to $87.6 million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$128.5 million for the three months ended September 30, 2025 and 2024, respectively. The three months ended September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2024 included a $35.3 million impairment of goodwill. The remaining decrease is the result of certain cost savings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initiatives, including reorganization and reductions in force that were implemented in current and previous periods.</w:t>
      </w:r>
    </w:p>
    <w:p>
      <w:pPr>
        <w:spacing w:after="0" w:line="20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increased to income of $0.4 million from a loss of $44.3 million for the three months ended September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September 30, 2025 and 2024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177,752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$ 174,422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183,165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 on disposition of long-lived assets, transfers and contingent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173,335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48,188</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 ATTRIBUTABLE TO ATN</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(32,691)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(113.3)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2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1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Our Mobility revenue consists of revenue generated within our International Telecom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by providing business and retail mobile voice and data services over our wireless networks as well as through the sale and repair services of related equipment, such as handsets and other accessories, to our subscribers. Wholesale Mobility revenue is recorded under Carrier Services Revenue.</w:t>
      </w:r>
    </w:p>
    <w:p>
      <w:pPr>
        <w:spacing w:after="0" w:line="221"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Mobility revenue decreased by $0.8 million, or 2.9%, to $26.7 million for the three months ended September 30, 2025 from $27.5 million for the three months ended September 30, 2024. The decrease in Mobility revenue, within our segments, consisted of the following:</w:t>
      </w:r>
    </w:p>
    <w:p>
      <w:pPr>
        <w:spacing w:after="0" w:line="201" w:lineRule="exact"/>
        <w:rPr>
          <w:sz w:val="20"/>
          <w:szCs w:val="20"/>
          <w:color w:val="auto"/>
        </w:rPr>
      </w:pPr>
    </w:p>
    <w:p>
      <w:pPr>
        <w:ind w:left="1040" w:right="35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0.4%, to $26.7 million from $26.8 million for the three months ended September 30, 2025 and 2024, respectively. The $0.3 million decrease in consumer revenue was partially offset by a $0.2 million increase in business revenues.</w:t>
      </w:r>
    </w:p>
    <w:p>
      <w:pPr>
        <w:spacing w:after="0" w:line="179" w:lineRule="exact"/>
        <w:rPr>
          <w:rFonts w:ascii="Times New Roman" w:cs="Times New Roman" w:eastAsia="Times New Roman" w:hAnsi="Times New Roman"/>
          <w:sz w:val="18"/>
          <w:szCs w:val="18"/>
          <w:color w:val="auto"/>
        </w:rPr>
      </w:pPr>
    </w:p>
    <w:p>
      <w:pPr>
        <w:jc w:val="both"/>
        <w:ind w:left="1040" w:right="539" w:hanging="315"/>
        <w:spacing w:after="0" w:line="26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As a result of the conclusion of our providing retail mobility services, we recorded only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nominal amount and $0.7 million of Mobility revenue within the US Telecom segment during the three months ended September 30, 2025 and 2024, respectively.</w:t>
      </w:r>
    </w:p>
    <w:p>
      <w:pPr>
        <w:spacing w:after="0" w:line="21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Mobility revenue within our International Telecom may decrease as a result of increased competition and regulatory changes partially offset by our continued network upgrades, marketing efforts, and conversion of our subscriber base to higher margin prepaid and postpaid plans.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do not expect to record Mobility revenue within our US Telecom segment in the future.</w:t>
      </w:r>
    </w:p>
    <w:p>
      <w:pPr>
        <w:spacing w:after="0" w:line="248"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is primarily generated by broadband, voice, and video service revenues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retail and business customers over our wireline networks. Fixed revenue within our US Telecom segment also includes awards from the CAF II program, the E-ACAM program, and the Alaska USF . In addition, and through early April 2024, Fixed revenue within the US Telecom segment also included revenue from the Emergency Connectivity Fund (“ECF”) and Affordable Care Program (“ACP”). Within our International Telecom segment, Fixed revenue includes funding under the FCC’s High-Cost Program in the US Virgin Islands.</w:t>
      </w:r>
    </w:p>
    <w:p>
      <w:pPr>
        <w:spacing w:after="0" w:line="227"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Fixed revenue increased by $1.7 million, or 1.5%, to $114.5 million from $112.8 million for the three months ended September 30, 2025 and 2024, respectively. This increase pertained to a net increase in Fixed revenue from both business and consumer customers and consisted of the following:</w:t>
      </w:r>
    </w:p>
    <w:p>
      <w:pPr>
        <w:spacing w:after="0" w:line="214" w:lineRule="exact"/>
        <w:rPr>
          <w:sz w:val="20"/>
          <w:szCs w:val="20"/>
          <w:color w:val="auto"/>
        </w:rPr>
      </w:pPr>
    </w:p>
    <w:p>
      <w:pPr>
        <w:ind w:left="1040" w:right="13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decreased by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0.6%, to $61.4 million from $61.8 million for the three months ended September 30, 2025 and 2024, respectively. This decrease was primarily the result of a reduction in Fixed revenue from consumer customers.</w:t>
      </w:r>
    </w:p>
    <w:p>
      <w:pPr>
        <w:spacing w:after="0" w:line="179" w:lineRule="exact"/>
        <w:rPr>
          <w:rFonts w:ascii="Times New Roman" w:cs="Times New Roman" w:eastAsia="Times New Roman" w:hAnsi="Times New Roman"/>
          <w:sz w:val="18"/>
          <w:szCs w:val="18"/>
          <w:color w:val="auto"/>
        </w:rPr>
      </w:pPr>
    </w:p>
    <w:p>
      <w:pPr>
        <w:ind w:left="1040" w:right="35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increased by $2.1 million, or 4.1%, to $53.1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$51.0 million for the three months ended September 30, 2025 and 2024, respectively. Fixed revenue from consumer and business customers within this segment increased by $1.7 million and $0.4 million, respectively.</w:t>
      </w:r>
    </w:p>
    <w:p>
      <w:pPr>
        <w:spacing w:after="0" w:line="20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Fixed revenue within our International Telecom segment may increase due to investments in the fixed network combined with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legacy services, as subscribers opt for alternative methods to receive video and audio content.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Within our US Telecom segment, Fixed revenue from business customers in Alaska and our western United States operations may increase as we further deploy fiber and fiber-fed broadband with capital investment and government grant funding, which will improve access for both consumers and businesses.</w:t>
      </w:r>
    </w:p>
    <w:p>
      <w:pPr>
        <w:spacing w:after="0" w:line="212"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CMS Agreement, wholesale roaming revenues, the provision of network switching services, tower lease revenue and other services provided to other carriers.</w:t>
      </w:r>
    </w:p>
    <w:p>
      <w:pPr>
        <w:spacing w:after="0" w:line="22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Carrier Services revenue increased by $1.4 million, or 4.3%, to $34.1 million from $32.7 million for the three months ended September 30, 2025 and 2024, respectively. The increase, within our segments, consisted of the following:</w:t>
      </w:r>
    </w:p>
    <w:p>
      <w:pPr>
        <w:spacing w:after="0" w:line="187" w:lineRule="exact"/>
        <w:rPr>
          <w:sz w:val="20"/>
          <w:szCs w:val="20"/>
          <w:color w:val="auto"/>
        </w:rPr>
      </w:pPr>
    </w:p>
    <w:p>
      <w:pPr>
        <w:ind w:left="1040" w:right="239" w:hanging="315"/>
        <w:spacing w:after="0" w:line="284"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was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$3.3 million for the three months ended September 30, 2025 and 2024, respectively.</w:t>
      </w:r>
    </w:p>
    <w:p>
      <w:pPr>
        <w:spacing w:after="0" w:line="158" w:lineRule="exact"/>
        <w:rPr>
          <w:rFonts w:ascii="Times New Roman" w:cs="Times New Roman" w:eastAsia="Times New Roman" w:hAnsi="Times New Roman"/>
          <w:sz w:val="18"/>
          <w:szCs w:val="18"/>
          <w:color w:val="auto"/>
        </w:rPr>
      </w:pPr>
    </w:p>
    <w:p>
      <w:pPr>
        <w:ind w:left="1040" w:right="19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increased by $1.3 million, or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$30.7 million from $29.4 million, for the three months ended September 30, 2025 and 2024, respectively. This increase was primarily the result of the transition of legacy roaming arrangements to carrier service management contracts.</w:t>
      </w:r>
    </w:p>
    <w:p>
      <w:pPr>
        <w:spacing w:after="0" w:line="22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Within our International Telecom segment, Carrier Services revenue may increase if international travel in our markets grow.</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may increase as a result of the impact of carrier service management contracts.</w:t>
      </w:r>
    </w:p>
    <w:p>
      <w:pPr>
        <w:spacing w:after="0" w:line="185"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ancillary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operations within our International Telecom segment, as well as project-related revenue generated within both our International and US Telecom segments. Other Communications Services revenue increased $1.1 million, or 78.6%, to $2.5 million from $1.4 million for the three months ended September 30, 2025 and 2024, respectively, as a result of an increase in revenue from ancillary services in our International Telecom segment partially offset by a reduction in certain non-recurring project-related revenue recognized in our US Telecom segment.</w:t>
      </w:r>
    </w:p>
    <w:p>
      <w:pPr>
        <w:spacing w:after="0" w:line="227" w:lineRule="exact"/>
        <w:rPr>
          <w:sz w:val="20"/>
          <w:szCs w:val="20"/>
          <w:color w:val="auto"/>
        </w:rPr>
      </w:pPr>
    </w:p>
    <w:p>
      <w:pPr>
        <w:ind w:left="60" w:right="579" w:firstLine="648"/>
        <w:spacing w:after="0" w:line="312" w:lineRule="auto"/>
        <w:rPr>
          <w:sz w:val="20"/>
          <w:szCs w:val="20"/>
          <w:color w:val="auto"/>
        </w:rPr>
      </w:pPr>
      <w:r>
        <w:rPr>
          <w:rFonts w:ascii="Times New Roman" w:cs="Times New Roman" w:eastAsia="Times New Roman" w:hAnsi="Times New Roman"/>
          <w:sz w:val="17"/>
          <w:szCs w:val="17"/>
          <w:color w:val="auto"/>
        </w:rPr>
        <w:t>Other Communication Services revenue may increase in future periods as the demand for ancillary services increase but may be partially offset by a decrease in project-related revenues as those projects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three months ended September 30, 2025 and 2024, Construction revenue increased to $1.1 million from $0.2 million, respectively, primarily as a result of an increase in the number of sites completed during 2025 as compared to 2024. We expect to substantially complete the build related to the FirstNet Agreement by the first half of 2026.</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52"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w:t>
      </w:r>
    </w:p>
    <w:p>
      <w:pPr>
        <w:spacing w:after="0" w:line="19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Managed Services revenue increased by $0.5 million, or 13.2%, to $4.3 million from $3.8 million for the three months ended September 30, 2025 and 2024, respectively. The increases, within our segments, consisted of the following:</w:t>
      </w:r>
    </w:p>
    <w:p>
      <w:pPr>
        <w:spacing w:after="0" w:line="200" w:lineRule="exact"/>
        <w:rPr>
          <w:sz w:val="20"/>
          <w:szCs w:val="20"/>
          <w:color w:val="auto"/>
        </w:rPr>
      </w:pPr>
    </w:p>
    <w:p>
      <w:pPr>
        <w:ind w:left="60" w:right="2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Managed Services revenue in our International Telecom segment increased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16.7%, to $1.4 million from $1.2 million for the three months ended September 30, 2025 and 2024, respectively.</w:t>
      </w:r>
    </w:p>
    <w:p>
      <w:pPr>
        <w:spacing w:after="0" w:line="185" w:lineRule="exact"/>
        <w:rPr>
          <w:sz w:val="20"/>
          <w:szCs w:val="20"/>
          <w:color w:val="auto"/>
        </w:rPr>
      </w:pPr>
    </w:p>
    <w:p>
      <w:pPr>
        <w:ind w:left="60" w:right="3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Managed Services revenue increased $0.3 million, or 11.5%,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million from $2.6 million for the three months ended September 30, 2025 and 2024, respectively.</w:t>
      </w:r>
    </w:p>
    <w:p>
      <w:pPr>
        <w:spacing w:after="0" w:line="201"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may continue to increase in both our US and International Telecom segments as a result of our continued effort to sell certain Managed Services solutions to primarily business customers in all of our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decreased by $1.1 million, or 1.4%, to $77.9 million from $79.0 million for the three months ended September 30, 2025 and 2024, respectively. The net decrease in cost of communication services and other, within our segments, consisted of the following:</w:t>
      </w:r>
    </w:p>
    <w:p>
      <w:pPr>
        <w:spacing w:after="0" w:line="214" w:lineRule="exact"/>
        <w:rPr>
          <w:sz w:val="20"/>
          <w:szCs w:val="20"/>
          <w:color w:val="auto"/>
        </w:rPr>
      </w:pPr>
    </w:p>
    <w:p>
      <w:pPr>
        <w:ind w:left="1040" w:right="119" w:hanging="315"/>
        <w:spacing w:after="0" w:line="25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$0.3 million, or 0.9%, to $34.1 million from $34.4 million for the three months ended September 30, 2025 and 2024, respectively. The decrease was the result of the impact of cost savings initiatives, including reorganizations and reductions in force, that were implemented in the current and previous periods, partially offset by increases in this segment’s equipment expenses, provision for doubtful accounts, licensing costs and maintenance expenses.</w:t>
      </w:r>
    </w:p>
    <w:p>
      <w:pPr>
        <w:spacing w:after="0" w:line="114" w:lineRule="exact"/>
        <w:rPr>
          <w:rFonts w:ascii="Times New Roman" w:cs="Times New Roman" w:eastAsia="Times New Roman" w:hAnsi="Times New Roman"/>
          <w:sz w:val="18"/>
          <w:szCs w:val="18"/>
          <w:color w:val="auto"/>
        </w:rPr>
      </w:pPr>
    </w:p>
    <w:p>
      <w:pPr>
        <w:ind w:left="1040" w:right="239" w:hanging="315"/>
        <w:spacing w:after="0" w:line="26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decreased by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1.6%, to $43.8 million from $44.5 million for the three months ended September 30, 2025 and 2024, respectively. This decrease was the result of the beneficial impact of certain cost savings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59"/>
        <w:spacing w:after="0" w:line="282" w:lineRule="auto"/>
        <w:rPr>
          <w:sz w:val="20"/>
          <w:szCs w:val="20"/>
          <w:color w:val="auto"/>
        </w:rPr>
      </w:pPr>
      <w:r>
        <w:rPr>
          <w:rFonts w:ascii="Times New Roman" w:cs="Times New Roman" w:eastAsia="Times New Roman" w:hAnsi="Times New Roman"/>
          <w:sz w:val="18"/>
          <w:szCs w:val="18"/>
          <w:color w:val="auto"/>
        </w:rPr>
        <w:t>initiatives, including reorganization and reductions in force, that were implemented in the current and previous periods, partially offset by an increase in cell site rents in certain locations.</w:t>
      </w:r>
    </w:p>
    <w:p>
      <w:pPr>
        <w:spacing w:after="0" w:line="20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decrease as a result of the ongoing cost reduction initiatives, but such decrease may be partially offset by future inflationary pressure.</w:t>
      </w:r>
    </w:p>
    <w:p>
      <w:pPr>
        <w:spacing w:after="0" w:line="198" w:lineRule="exact"/>
        <w:rPr>
          <w:sz w:val="20"/>
          <w:szCs w:val="20"/>
          <w:color w:val="auto"/>
        </w:rPr>
      </w:pPr>
    </w:p>
    <w:p>
      <w:pPr>
        <w:ind w:left="60" w:right="2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During the three months ended September 30, 2025 and 2024, cost of construction revenue increased to $1.1 million from $0.2 million, respectively, as a result of an increase in the number of sites completed during 2025 as compared to 2024. We expect to substantially complete the build during the first half of 2026.</w:t>
      </w:r>
    </w:p>
    <w:p>
      <w:pPr>
        <w:spacing w:after="0" w:line="206"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37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$0.7 million, or 1.3%, to $54.3 million from $53.6 million for the three months ended September 30, 2025 and 2024, respectively. The net increase in selling, general and administrative expenses, within of our segments, was primarily related to increases in legal, regulatory and other professional fees, partially offset by the impact of certain cost containment initiatives, including reorganizations and reductions in force, that were implemented in the current and previous periods. The impact to each of our segments, consisted of the following:</w:t>
      </w:r>
    </w:p>
    <w:p>
      <w:pPr>
        <w:spacing w:after="0" w:line="226" w:lineRule="exact"/>
        <w:rPr>
          <w:sz w:val="20"/>
          <w:szCs w:val="20"/>
          <w:color w:val="auto"/>
        </w:rPr>
      </w:pPr>
    </w:p>
    <w:p>
      <w:pPr>
        <w:ind w:left="1040" w:right="15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by $0.2 million, or 0.7%, to $27.8 million from $27.6 million for the three months ended September 30, 2025 and 2024, respectively.</w:t>
      </w:r>
    </w:p>
    <w:p>
      <w:pPr>
        <w:spacing w:after="0" w:line="173" w:lineRule="exact"/>
        <w:rPr>
          <w:rFonts w:ascii="Times New Roman" w:cs="Times New Roman" w:eastAsia="Times New Roman" w:hAnsi="Times New Roman"/>
          <w:sz w:val="18"/>
          <w:szCs w:val="18"/>
          <w:color w:val="auto"/>
        </w:rPr>
      </w:pPr>
    </w:p>
    <w:p>
      <w:pPr>
        <w:ind w:left="1040" w:right="9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increased within our US Telecom segment by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1.4%, to $22.0 million from $21.7 million for the three months ended September 30, 2025 and 2024, respectively.</w:t>
      </w:r>
    </w:p>
    <w:p>
      <w:pPr>
        <w:spacing w:after="0" w:line="173" w:lineRule="exact"/>
        <w:rPr>
          <w:rFonts w:ascii="Times New Roman" w:cs="Times New Roman" w:eastAsia="Times New Roman" w:hAnsi="Times New Roman"/>
          <w:sz w:val="18"/>
          <w:szCs w:val="18"/>
          <w:color w:val="auto"/>
        </w:rPr>
      </w:pPr>
    </w:p>
    <w:p>
      <w:pPr>
        <w:ind w:left="1040" w:right="17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$0.2 million, or 4.7%, to $4.5 million from $4.3 million for the three months ended September 30, 2025 and 2024, respectively.</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all our segments may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9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three months ended September 30, 2025 and 2024 was $2.0 million and $1.8 million, respectively.</w:t>
      </w:r>
    </w:p>
    <w:p>
      <w:pPr>
        <w:spacing w:after="0" w:line="185"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incurred $0.4 million of transaction-related charges during the three months ended September 30, 2025.</w:t>
      </w:r>
    </w:p>
    <w:p>
      <w:pPr>
        <w:spacing w:after="0" w:line="266" w:lineRule="exact"/>
        <w:rPr>
          <w:sz w:val="20"/>
          <w:szCs w:val="20"/>
          <w:color w:val="auto"/>
        </w:rPr>
      </w:pPr>
    </w:p>
    <w:p>
      <w:pPr>
        <w:ind w:left="60" w:right="799" w:firstLine="648"/>
        <w:spacing w:after="0" w:line="282" w:lineRule="auto"/>
        <w:rPr>
          <w:sz w:val="20"/>
          <w:szCs w:val="20"/>
          <w:color w:val="auto"/>
        </w:rPr>
      </w:pPr>
      <w:r>
        <w:rPr>
          <w:rFonts w:ascii="Times New Roman" w:cs="Times New Roman" w:eastAsia="Times New Roman" w:hAnsi="Times New Roman"/>
          <w:sz w:val="18"/>
          <w:szCs w:val="18"/>
          <w:color w:val="auto"/>
        </w:rPr>
        <w:t>We incurred $3.8 million of transaction-related charges in connection with the refinancing of our Alaska subsidiary’s debt during the three months ended September 30, 2024.</w:t>
      </w:r>
    </w:p>
    <w:p>
      <w:pPr>
        <w:spacing w:after="0" w:line="19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Restructuring and reorganization expenses. </w:t>
      </w:r>
      <w:r>
        <w:rPr>
          <w:rFonts w:ascii="Times New Roman" w:cs="Times New Roman" w:eastAsia="Times New Roman" w:hAnsi="Times New Roman"/>
          <w:sz w:val="17"/>
          <w:szCs w:val="17"/>
          <w:color w:val="auto"/>
        </w:rPr>
        <w:t>In our efforts to advance our cost management actions to drive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higher operating efficiencies and margins, we incurred certain restructuring and reorganization expenses, primarily related to reductions in force, totaling $0.6 million, $0.3 million and $1.1 million within our International Telecom segment, US Telecom segment and Corporate and Other segment, respectively, during the three months ended September 30, 2025.</w:t>
      </w:r>
    </w:p>
    <w:p>
      <w:pPr>
        <w:spacing w:after="0" w:line="192"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incurred $0.3 million, $1.2 million and $0.8 million of restructuring and reorganization expenses in the International Telecom segment, US Telecom segment and Corporate and Other segment, respectively.</w:t>
      </w:r>
    </w:p>
    <w:p>
      <w:pPr>
        <w:spacing w:after="0" w:line="212" w:lineRule="exact"/>
        <w:rPr>
          <w:sz w:val="20"/>
          <w:szCs w:val="20"/>
          <w:color w:val="auto"/>
        </w:rPr>
      </w:pPr>
    </w:p>
    <w:p>
      <w:pPr>
        <w:ind w:left="60" w:right="33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decreased by $4.4 million, or 11.8%, to $32.9 million from $37.3 million for the three months ended September 30, 2025 and 2024, respectively. The net decrease in depreciation and amortization expenses, within our segments, consisted primarily of the following:</w:t>
      </w:r>
    </w:p>
    <w:p>
      <w:pPr>
        <w:spacing w:after="0" w:line="201" w:lineRule="exact"/>
        <w:rPr>
          <w:sz w:val="20"/>
          <w:szCs w:val="20"/>
          <w:color w:val="auto"/>
        </w:rPr>
      </w:pPr>
    </w:p>
    <w:p>
      <w:pPr>
        <w:ind w:left="1040" w:right="199" w:hanging="315"/>
        <w:spacing w:after="0" w:line="281"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International Telecom</w:t>
      </w:r>
      <w:r>
        <w:rPr>
          <w:rFonts w:ascii="Times New Roman" w:cs="Times New Roman" w:eastAsia="Times New Roman" w:hAnsi="Times New Roman"/>
          <w:sz w:val="17"/>
          <w:szCs w:val="17"/>
          <w:color w:val="auto"/>
        </w:rPr>
        <w:t>. Depreciation and amortization expenses decreased within our International Telecom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by $4.2 million, or 22.8%, to $14.2 million from $18.4 million, for the three months ended September 30, 2025 and 2024, respectively. The decrease was the result of this segment’s reduction in capital expenditures in recent periods, as well as certain assets becoming fully depreciated in recent periods.</w:t>
      </w:r>
    </w:p>
    <w:p>
      <w:pPr>
        <w:spacing w:after="0" w:line="164" w:lineRule="exact"/>
        <w:rPr>
          <w:rFonts w:ascii="Times New Roman" w:cs="Times New Roman" w:eastAsia="Times New Roman" w:hAnsi="Times New Roman"/>
          <w:sz w:val="17"/>
          <w:szCs w:val="17"/>
          <w:color w:val="auto"/>
        </w:rPr>
      </w:pPr>
    </w:p>
    <w:p>
      <w:pPr>
        <w:ind w:left="1040" w:right="17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4.3%, to $17.9 million from $18.7 million, for the three months ended September 30, 2025 and 2024, respectively, primarily as a result of this segment’s reduction in capital expenditures in recent periods, as well as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5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increased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million from $0.2 million for the three months ended September 30, 2025 and 2024, respectively. Depreciation and amortization expense for the three months ended September 30, 2024 was impacted by certain capital expenditure credits received in previous periods that were being credited to depreciation and amortization expense over the depreciable lives of the underlying assets associated with the issued credits. Such credits became fully depreciated in early 2025.</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decrease as a result of the decline in capital expenditures and as a result of some of our previously acquired assets becoming fully depreciated.</w:t>
      </w:r>
    </w:p>
    <w:p>
      <w:pPr>
        <w:spacing w:after="0" w:line="198"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8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$0.8 million to $1.2 million from $2.0 million for the three months ended September 30, 2025 and 2024, respectively.</w:t>
      </w:r>
    </w:p>
    <w:p>
      <w:pPr>
        <w:spacing w:after="0" w:line="202"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expect that amortization of intangibles from acquisitions will continue to decrease in future periods as such assets continue to amortize.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(Gain) loss on disposition of assets, transfers and contingent consideration</w:t>
      </w:r>
      <w:r>
        <w:rPr>
          <w:rFonts w:ascii="Times New Roman" w:cs="Times New Roman" w:eastAsia="Times New Roman" w:hAnsi="Times New Roman"/>
          <w:sz w:val="18"/>
          <w:szCs w:val="18"/>
          <w:color w:val="auto"/>
        </w:rPr>
        <w:t>. During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we recorded a net loss on the disposition of assets of $1.6 million primarily in connection with the revaluation of contingent consideration relating to a prior year’s acquisition within the US Telecom segment.</w:t>
      </w:r>
    </w:p>
    <w:p>
      <w:pPr>
        <w:spacing w:after="0" w:line="215"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recorded a loss on the disposition and transfer of assets of $1.5 million primarily relating to the disposal of certain assets within our US Telecom segment.</w:t>
      </w:r>
    </w:p>
    <w:p>
      <w:pPr>
        <w:spacing w:after="0" w:line="19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impairment. </w:t>
      </w:r>
      <w:r>
        <w:rPr>
          <w:rFonts w:ascii="Times New Roman" w:cs="Times New Roman" w:eastAsia="Times New Roman" w:hAnsi="Times New Roman"/>
          <w:sz w:val="18"/>
          <w:szCs w:val="18"/>
          <w:color w:val="auto"/>
        </w:rPr>
        <w:t>During the three months ended September 30, 2024, we completed our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for our US Telecom segment after identifying events that indicated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214"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that analysis, we recorded an impairment of $35.3 million during the three months ended September 30, 2024. No such impairments were recorded during the three months ended September 30, 2025.</w:t>
      </w:r>
    </w:p>
    <w:p>
      <w:pPr>
        <w:spacing w:after="0" w:line="198"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$0.2 million for both the three months ended September 30, 2025 and 2024.</w:t>
      </w:r>
    </w:p>
    <w:p>
      <w:pPr>
        <w:spacing w:after="0" w:line="211"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We incur interest expense on the 2023 CoBank Credit Facility, the 2024 Alaska Credit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Receivables Credit Facility, the Guyana Credit Facilities, the Sacred Wind Term Debt and the OneVI Debt (each defined below). In addition, interest expense includes commitment fees, letter of credit fees and the amortization of debt issuance costs.</w:t>
      </w:r>
    </w:p>
    <w:p>
      <w:pPr>
        <w:spacing w:after="0" w:line="207"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Interest expense decreased to $11.6 million from $12.7 million for the three months ended September 30, 2025 and 2024, respectively, as a result of a decrease in interest rates on borrowings under our credit facilities.</w:t>
      </w:r>
    </w:p>
    <w:p>
      <w:pPr>
        <w:spacing w:after="0" w:line="20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Interest expense may increase in future periods as a result of additional borrowings or an increase in interest rates on those borrowings.</w:t>
      </w:r>
    </w:p>
    <w:p>
      <w:pPr>
        <w:spacing w:after="0" w:line="198" w:lineRule="exact"/>
        <w:rPr>
          <w:sz w:val="20"/>
          <w:szCs w:val="20"/>
          <w:color w:val="auto"/>
        </w:rPr>
      </w:pPr>
    </w:p>
    <w:p>
      <w:pPr>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three months ended September 30, 2025, other income (expense) was $0.5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 income primarily related to gains from the settlement of an insurance claim partially offset by losses on foreign currency transactions.</w:t>
      </w:r>
    </w:p>
    <w:p>
      <w:pPr>
        <w:spacing w:after="0" w:line="20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other income (expense) was $0.6 million of expense primarily related to a loss on the extinguishment of the 2022 Alaska Credit Facility, as discussed below.</w:t>
      </w:r>
    </w:p>
    <w:p>
      <w:pPr>
        <w:spacing w:after="0" w:line="198" w:lineRule="exact"/>
        <w:rPr>
          <w:sz w:val="20"/>
          <w:szCs w:val="20"/>
          <w:color w:val="auto"/>
        </w:rPr>
      </w:pPr>
    </w:p>
    <w:p>
      <w:pPr>
        <w:ind w:left="60" w:right="2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three months ended September 30, 2025 and 2024 was 451.5%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23.4%, respectively.</w:t>
      </w:r>
    </w:p>
    <w:p>
      <w:pPr>
        <w:spacing w:after="0" w:line="19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$5.1 million in relation to a pretax loss of $1.1 million for the three months ended September 30, 2025. The effective tax rate for the three months ended September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a discrete item consisting of a $0.6 million expense for interest on prior years uncertain tax positions.</w:t>
      </w:r>
    </w:p>
    <w:p>
      <w:pPr>
        <w:spacing w:after="0" w:line="214"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We recorded an income tax benefit of $12.0 million in relation to a pretax loss of $51.5 million for the three months ended September 30, 2024. The effective tax rate for the three months ended September 30, 2024 was primarily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$0.8 million expense associated with sale of a partnership interest, and a $0.8 million expense for interest on unrecognized tax positions.</w:t>
      </w:r>
    </w:p>
    <w:p>
      <w:pPr>
        <w:spacing w:after="0" w:line="22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25"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noncontrolling interests, net of tax. </w:t>
      </w:r>
      <w:r>
        <w:rPr>
          <w:rFonts w:ascii="Times New Roman" w:cs="Times New Roman" w:eastAsia="Times New Roman" w:hAnsi="Times New Roman"/>
          <w:sz w:val="18"/>
          <w:szCs w:val="18"/>
          <w:color w:val="auto"/>
        </w:rPr>
        <w:t>Net loss attributable to noncontrolling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net of tax reflected an allocation of $0.4 million and $6.8 million of losses generated by our less than wholly owned subsidiaries for the three months ended September 30, 2025 and 2024, respectively. Changes in net loss attributable to noncontrolling interests, net of tax, within our segments, consisted of the following:</w:t>
      </w:r>
    </w:p>
    <w:p>
      <w:pPr>
        <w:spacing w:after="0" w:line="205" w:lineRule="exact"/>
        <w:rPr>
          <w:sz w:val="20"/>
          <w:szCs w:val="20"/>
          <w:color w:val="auto"/>
        </w:rPr>
      </w:pPr>
    </w:p>
    <w:p>
      <w:pPr>
        <w:ind w:left="1040" w:right="11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increased by $0.9 million to an allocation of $2.8 million of income from an allocation of $1.9 million of income for the three months ended September 30, 2025 and 2024, respectively, as a result of an increase in profitability within our less than wholly owned subsidiaries within this segment.</w:t>
      </w:r>
    </w:p>
    <w:p>
      <w:pPr>
        <w:spacing w:after="0" w:line="179" w:lineRule="exact"/>
        <w:rPr>
          <w:rFonts w:ascii="Times New Roman" w:cs="Times New Roman" w:eastAsia="Times New Roman" w:hAnsi="Times New Roman"/>
          <w:sz w:val="18"/>
          <w:szCs w:val="18"/>
          <w:color w:val="auto"/>
        </w:rPr>
      </w:pPr>
    </w:p>
    <w:p>
      <w:pPr>
        <w:ind w:left="1040" w:right="99" w:hanging="315"/>
        <w:spacing w:after="0" w:line="257"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$5.5 million to an allocation of losses of $3.2 million from an allocation of losses of $8.7 million for the three months ended September 30, 2025 and 2024, respectively, as a result of decreased losses at our less than wholly owned subsidiaries within this segment. Amounts recorded during the three months ended September 30, 2024 were negatively impacted by the impairment of goodwill at our less than wholly owned subsidiaries within this segment.</w:t>
      </w:r>
    </w:p>
    <w:p>
      <w:pPr>
        <w:spacing w:after="0" w:line="221"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ATN International, Inc. stockholders. </w:t>
      </w:r>
      <w:r>
        <w:rPr>
          <w:rFonts w:ascii="Times New Roman" w:cs="Times New Roman" w:eastAsia="Times New Roman" w:hAnsi="Times New Roman"/>
          <w:sz w:val="18"/>
          <w:szCs w:val="18"/>
          <w:color w:val="auto"/>
        </w:rPr>
        <w:t>Net income (loss) attributable to ATN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Inc. stockholders was income of $4.3 million for the three months ended September 30, 2025, as compared to a loss of $32.7 million for the three months ended September 30, 2024.</w:t>
      </w:r>
    </w:p>
    <w:p>
      <w:pPr>
        <w:spacing w:after="0" w:line="21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income was $0.18 per diluted share for the three months ended September 30, 2025, as compared to a loss of $2.26 per diluted share for the three months ended September 30, 2024. Such per share amounts were negatively impacted by accrued preferred dividends of $1.6 million and $1.4 million for the three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nine months ended September 30, 2025 and 2024 (in thousands):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64,181</w:t>
            </w:r>
          </w:p>
        </w:tc>
      </w:tr>
      <w:tr>
        <w:trPr>
          <w:trHeight w:val="209"/>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79,124</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197,002</w:t>
            </w:r>
          </w:p>
        </w:tc>
      </w:tr>
      <w:tr>
        <w:trPr>
          <w:trHeight w:val="209"/>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340,601</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100,432</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526,657</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543,760</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233,239</w:t>
            </w:r>
          </w:p>
        </w:tc>
      </w:tr>
      <w:tr>
        <w:trPr>
          <w:trHeight w:val="216"/>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1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165,684</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101,327</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disposition of assets, transfers and contingent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266,794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531,030</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1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(38,464)</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w:t>
            </w: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2"/>
        </w:trPr>
        <w:tc>
          <w:tcPr>
            <w:tcW w:w="45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67,013</w:t>
            </w:r>
          </w:p>
        </w:tc>
      </w:tr>
      <w:tr>
        <w:trPr>
          <w:trHeight w:val="210"/>
        </w:trPr>
        <w:tc>
          <w:tcPr>
            <w:tcW w:w="4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81,969</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151,298</w:t>
            </w:r>
          </w:p>
        </w:tc>
      </w:tr>
      <w:tr>
        <w:trPr>
          <w:trHeight w:val="21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195,389</w:t>
            </w:r>
          </w:p>
        </w:tc>
      </w:tr>
      <w:tr>
        <w:trPr>
          <w:trHeight w:val="21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346,687</w:t>
            </w:r>
          </w:p>
        </w:tc>
      </w:tr>
      <w:tr>
        <w:trPr>
          <w:trHeight w:val="20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100,020</w:t>
            </w: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254,584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533,055</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548,527</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107,196</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198"/>
        </w:trPr>
        <w:tc>
          <w:tcPr>
            <w:tcW w:w="4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(15,512)</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557,994</w:t>
            </w:r>
          </w:p>
        </w:tc>
      </w:tr>
      <w:tr>
        <w:trPr>
          <w:trHeight w:val="21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r>
      <w:tr>
        <w:trPr>
          <w:trHeight w:val="216"/>
        </w:trPr>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09"/>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w:t>
            </w:r>
          </w:p>
        </w:tc>
      </w:tr>
      <w:tr>
        <w:trPr>
          <w:trHeight w:val="216"/>
        </w:trPr>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r>
    </w:tbl>
    <w:p>
      <w:pPr>
        <w:spacing w:after="0" w:line="198" w:lineRule="exact"/>
        <w:rPr>
          <w:sz w:val="20"/>
          <w:szCs w:val="20"/>
          <w:color w:val="auto"/>
        </w:rPr>
      </w:pPr>
    </w:p>
    <w:p>
      <w:pPr>
        <w:ind w:left="720" w:right="71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nine months ended September 30, 2025 and 2024 is as follows:</w:t>
      </w:r>
    </w:p>
    <w:p>
      <w:pPr>
        <w:spacing w:after="0" w:line="223"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$1.8 million, or 0.6%,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$284.5 million from $282.7 million for the nine months ended September 30, 2025 and 2024, respectively, primarily as a result of an increase in revenue from ancillary services and Carrier Services revenue of $3.1 million and $0.2 million, respectively, partially offset by reductions in Fixed revenue and Mobility revenue of $0.8 million and $0.6 million, respectively.</w:t>
      </w:r>
    </w:p>
    <w:p>
      <w:pPr>
        <w:spacing w:after="0" w:line="18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increased by $9.7 million, or 4.3%, to $235.5 million from $225.8 million for the nine months ended September 30, 2025 and 2024, respectively. Operating expenses for the nine months ended September 30, 2024 included a $15.5 million gain on the disposition of long-lived assets, primarily real estate, which was partially offset by a $5.8 million decrease as a result of certain cost savings initiatives, including reorganization and reductions in force, that were implemented in current and previous periods.</w:t>
      </w:r>
    </w:p>
    <w:p>
      <w:pPr>
        <w:spacing w:after="0" w:line="183"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decreased $7.8 million, or 13.7%, to $49.1 million from $56.9 million for the nine months ended September 30, 2025 and 2024, respectively.</w:t>
      </w:r>
    </w:p>
    <w:p>
      <w:pPr>
        <w:spacing w:after="0" w:line="16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$6.6 million, or 2.5%, to $259.2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$265.8 million for the nine months ended September 30, 2025 and 2024, respectively. The decrease was primarily a result of a $5.3 million reduction in Fixed revenues, which were negatively impacted by the April 2024 conclusion of both the Emergency Connectivity Fund and the Affordable Care Program, a $2.3 million decrease in Mobility revenue as a result of the conclusion of our providing retail mobility services, and a $1.0 million decrease in revenue from other communications services. These decreases were partially offset by increases in construction revenue of $1.8 million as a result of an increase in the number of sites completed during 2025 as compared to 2024 and Carrier Services revenue of $0.2 million.</w:t>
      </w:r>
    </w:p>
    <w:p>
      <w:pPr>
        <w:spacing w:after="0" w:line="18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US Telecom segment decreased $41.9 million, or 13.6%, to $266.8 million from $308.7 million for the nine months ended September 30, 2025 and 2024, respectively, as a result of no goodwill impairment, the reduction in the direct costs of services associated with the revenue decline and the impact of certain cost savings initiatives, including reorganization and reductions in force, that were implemented in the current and previous periods.</w:t>
      </w:r>
    </w:p>
    <w:p>
      <w:pPr>
        <w:spacing w:after="0" w:line="183"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decreased to a loss of $7.6 million from a loss of $42.9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nine months ended September 30, 2025 and 2024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526,657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$ 533,055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(6,398)</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543,760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(35,269)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(Gain) loss on disposition of assets, transfers and contingent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531,030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(36,388)</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(2,637)</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(9,019)</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8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 ATN</w:t>
            </w: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20" w:type="dxa"/>
            <w:vAlign w:val="bottom"/>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80" w:type="dxa"/>
            <w:vAlign w:val="bottom"/>
            <w:vMerge w:val="restart"/>
          </w:tcPr>
          <w:p>
            <w:pPr>
              <w:spacing w:after="0"/>
              <w:rPr>
                <w:sz w:val="15"/>
                <w:szCs w:val="15"/>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 (30,000)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80" w:type="dxa"/>
            <w:vAlign w:val="bottom"/>
          </w:tcPr>
          <w:p>
            <w:pPr>
              <w:spacing w:after="0"/>
              <w:rPr>
                <w:sz w:val="15"/>
                <w:szCs w:val="15"/>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jc w:val="both"/>
        <w:ind w:left="60" w:right="2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Mobility revenue decreased by $2.9 million, or 3.5%, to $79.1 million for the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2025 from $82.0 million for the nine months ended September 30, 2024. The decrease in Mobility revenue, within our segments, consisted of the following:</w:t>
      </w:r>
    </w:p>
    <w:p>
      <w:pPr>
        <w:spacing w:after="0" w:line="200" w:lineRule="exact"/>
        <w:rPr>
          <w:sz w:val="20"/>
          <w:szCs w:val="20"/>
          <w:color w:val="auto"/>
        </w:rPr>
      </w:pPr>
    </w:p>
    <w:p>
      <w:pPr>
        <w:ind w:left="1040" w:right="199" w:hanging="315"/>
        <w:spacing w:after="0" w:line="26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0.8%, to $79.1 million for the nine months ended September 30, 2025 from $79.7 million for the nine months ended September 30, 2024. This decrease in revenue was attributable to a decrease in revenue from consumer customers and relates primarily to a reduction in equipment sales.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199" w:hanging="315"/>
        <w:spacing w:after="0" w:line="267"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to a nominal amount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from $2.3 million for the nine months ended September 30, 2024 due to the conclusion of our providing retail mobility services.</w:t>
      </w:r>
    </w:p>
    <w:p>
      <w:pPr>
        <w:spacing w:after="0" w:line="212"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decreased by $6.1 million, or 1.8%, to $340.6 million from $346.7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 months ended September 30, 2025 and 2024, respectively. This decrease primarily pertained to a $7.7 million decrease in Fixed revenue from business customers, partially offset by a $1.6 million increase in revenue from consumer customers and consisted of the following:</w:t>
      </w:r>
    </w:p>
    <w:p>
      <w:pPr>
        <w:spacing w:after="0" w:line="219" w:lineRule="exact"/>
        <w:rPr>
          <w:sz w:val="20"/>
          <w:szCs w:val="20"/>
          <w:color w:val="auto"/>
        </w:rPr>
      </w:pPr>
    </w:p>
    <w:p>
      <w:pPr>
        <w:ind w:left="1040" w:right="139" w:hanging="315"/>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decreased by $0.8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0.4%, to $184.5 million from $185.3 million for the nine months ended September 30, 2025 and 2024, respectively. This decrease was primarily related to $0.4 million decreases in revenue from both business and consumer customers.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58"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$5.3 million, or 3.3%, to $156.1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$161.4 million for the nine months ended September 30, 2025 and 2024, respectively. This decrease was primarily related to a decrease in revenue from business customers and driven by the conclusion of the Emergency Connectivity Fund and Affordable Care Programs, both of which provided revenue through April 2024.</w:t>
      </w:r>
    </w:p>
    <w:p>
      <w:pPr>
        <w:spacing w:after="0" w:line="208" w:lineRule="exact"/>
        <w:rPr>
          <w:sz w:val="20"/>
          <w:szCs w:val="20"/>
          <w:color w:val="auto"/>
        </w:rPr>
      </w:pPr>
    </w:p>
    <w:p>
      <w:pPr>
        <w:jc w:val="both"/>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increased by $0.4 million, or 0.4%, to $100.4 million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million for the nine months ended September 30, 2025 and 2024, respectively. The increase, within our segments, consisted of the following:</w:t>
      </w:r>
    </w:p>
    <w:p>
      <w:pPr>
        <w:spacing w:after="0" w:line="213" w:lineRule="exact"/>
        <w:rPr>
          <w:sz w:val="20"/>
          <w:szCs w:val="20"/>
          <w:color w:val="auto"/>
        </w:rPr>
      </w:pPr>
    </w:p>
    <w:p>
      <w:pPr>
        <w:ind w:left="1040" w:right="23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or 1.9%, to $10.7 million, from $10.5 million for the nine months ended September 30, 2025 and 2024, respectively, primarily as a result of an increase in roaming revenues in some of our international markets.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increased by $0.3 million, or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$89.8 million from $89.5 million, for the nine months ended September 30, 2025 and 2024, respectively. This increase is primarily the result of the transition of legacy roaming arrangements to carrier service management contracts.</w:t>
      </w:r>
    </w:p>
    <w:p>
      <w:pPr>
        <w:spacing w:after="0" w:line="218"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increased $2.1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47.7%, to $6.5 million from $4.4 million for the nine months ended September 30, 2025 and 2024, respectively, as a result of an increase in revenue from ancillary services in our International Telecom segment, partially offset by a reduction in certain non-recurring project-related revenue being recognized in our US Telecom segment.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nine months ended September 30, 2025 and 2024, Construction revenue increased to $4.4 million from $2.6 million, respectively, primarily as a result of an increase in the number of sites completed during 2025 as compared to 2024. We expect to substantially complete the build during the first half of 2026.</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52" w:lineRule="exact"/>
        <w:rPr>
          <w:sz w:val="20"/>
          <w:szCs w:val="20"/>
          <w:color w:val="auto"/>
        </w:rPr>
      </w:pPr>
    </w:p>
    <w:p>
      <w:pPr>
        <w:ind w:left="60" w:right="3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decreased by $0.2 million, or 1.6%, to $12.7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$12.9 million for the nine months ended September 30, 2025 and 2024, respectively. The decrease included a decrease within our International Telecom segment of $0.1 million, or 2.4%, to $4.1 million from $4.2 million for the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2025 and 2024, respectively. Within our US Telecom segment, Managed Services revenue was consistent at $8.6 million for both the nine months ended September 30, 2025 and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ind w:left="60" w:right="6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decreased by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1.0%, to $233.2 million from $235.5 million for the nine months ended September 30, 2025 and 2024, respectively. The net decrease in cost of communication services and other, within our segments, consisted of the following:</w:t>
      </w:r>
    </w:p>
    <w:p>
      <w:pPr>
        <w:spacing w:after="0" w:line="205" w:lineRule="exact"/>
        <w:rPr>
          <w:sz w:val="20"/>
          <w:szCs w:val="20"/>
          <w:color w:val="auto"/>
        </w:rPr>
      </w:pPr>
    </w:p>
    <w:p>
      <w:pPr>
        <w:ind w:left="1040" w:right="119" w:hanging="315"/>
        <w:spacing w:after="0" w:line="257"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$0.4 million, or 0.4%, to $102.8 million from $102.4 million for the nine months ended September 30, 2025 and 2024, respectively. Increases in this segment’s transport costs to secure capacity, its provision for doubtful accounts and increased maintenance expenses offset the impact of cost savings initiatives, including reorganizations and reductions in force, that were implemented in the current and previous periods.</w:t>
      </w:r>
    </w:p>
    <w:p>
      <w:pPr>
        <w:spacing w:after="0" w:line="182" w:lineRule="exact"/>
        <w:rPr>
          <w:rFonts w:ascii="Times New Roman" w:cs="Times New Roman" w:eastAsia="Times New Roman" w:hAnsi="Times New Roman"/>
          <w:sz w:val="18"/>
          <w:szCs w:val="18"/>
          <w:color w:val="auto"/>
        </w:rPr>
      </w:pPr>
    </w:p>
    <w:p>
      <w:pPr>
        <w:ind w:left="1040" w:right="99" w:hanging="315"/>
        <w:spacing w:after="0" w:line="257"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decreased by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2.1%, to $130.5 million from $133.3 million for the nine months ended September 30, 2025 and 2024, respectively. Such decrease was a result of the beneficial impact of certain cost savings initiatives, including reorganizations and reductions in force, that were implemented in the current and previous periods, as well as a reduction in the costs associated with the Emergency Connectivity Fund program, which concluded during the second quarter of 2024.</w:t>
      </w:r>
    </w:p>
    <w:p>
      <w:pPr>
        <w:spacing w:after="0" w:line="221"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During the nine months ended September 30, 2025 and 2024, cost of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increased to $4.8 million from $2.6 million, respectively, as a result of an increase in the number of sites completed during 2025 as compared to 2024. We expect to substantially complete the build during the first half of 2026.</w:t>
      </w:r>
    </w:p>
    <w:p>
      <w:pPr>
        <w:spacing w:after="0" w:line="211" w:lineRule="exact"/>
        <w:rPr>
          <w:sz w:val="20"/>
          <w:szCs w:val="20"/>
          <w:color w:val="auto"/>
        </w:rPr>
      </w:pPr>
    </w:p>
    <w:p>
      <w:pPr>
        <w:ind w:left="60" w:right="2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$6.9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4.0%, to $165.7 million from $172.6 million for the nine months ended September 30, 2025 and 2024, respectively. The decreases in selling, general and administrative expenses occurred within all of our segments and were primarily related to certain cost containment initiatives, including reorganizations and reductions in force, that were implemented in the current and previous periods. The impact to each of our segments, consisted of the following:</w:t>
      </w:r>
    </w:p>
    <w:p>
      <w:pPr>
        <w:spacing w:after="0" w:line="208" w:lineRule="exact"/>
        <w:rPr>
          <w:sz w:val="20"/>
          <w:szCs w:val="20"/>
          <w:color w:val="auto"/>
        </w:rPr>
      </w:pPr>
    </w:p>
    <w:p>
      <w:pPr>
        <w:ind w:left="1040" w:right="179" w:hanging="315"/>
        <w:spacing w:after="0" w:line="267"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$2.7 million, or 3.2%, to $82.8 million from $85.5 million for the nine months ended September 30, 2025 and 2024, respectively.</w:t>
      </w:r>
    </w:p>
    <w:p>
      <w:pPr>
        <w:spacing w:after="0" w:line="173" w:lineRule="exact"/>
        <w:rPr>
          <w:rFonts w:ascii="Times New Roman" w:cs="Times New Roman" w:eastAsia="Times New Roman" w:hAnsi="Times New Roman"/>
          <w:sz w:val="18"/>
          <w:szCs w:val="18"/>
          <w:color w:val="auto"/>
        </w:rPr>
      </w:pPr>
    </w:p>
    <w:p>
      <w:pPr>
        <w:jc w:val="both"/>
        <w:ind w:left="1040" w:right="359" w:hanging="315"/>
        <w:spacing w:after="0" w:line="267"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million, or 3.7%, to $67.1 million from $69.7 million for the nine months ended September 30, 2025 and 2024, respectively.</w:t>
      </w:r>
    </w:p>
    <w:p>
      <w:pPr>
        <w:spacing w:after="0" w:line="173" w:lineRule="exact"/>
        <w:rPr>
          <w:rFonts w:ascii="Times New Roman" w:cs="Times New Roman" w:eastAsia="Times New Roman" w:hAnsi="Times New Roman"/>
          <w:sz w:val="18"/>
          <w:szCs w:val="18"/>
          <w:color w:val="auto"/>
        </w:rPr>
      </w:pPr>
    </w:p>
    <w:p>
      <w:pPr>
        <w:jc w:val="both"/>
        <w:ind w:left="1040" w:right="139" w:hanging="315"/>
        <w:spacing w:after="0" w:line="267"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$1.6 million, or 9.2%, to $15.8 million from $17.4 million for the nine months ended September 30, 2025 and 2024, respectively.</w:t>
      </w:r>
    </w:p>
    <w:p>
      <w:pPr>
        <w:spacing w:after="0" w:line="212"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for the nine months ended September 30, 2025 and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$6.6 million and $6.5 million, respectively.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We incurred $2.1 million and $3.8 million of transaction-related charges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 months ended September 30, 2025 and 2024, respectively. Transaction-related charges incurred during the nine months ended September 30, 2024 related to refinancing of our Alaska subsidiary’s debt.</w:t>
      </w:r>
    </w:p>
    <w:p>
      <w:pPr>
        <w:spacing w:after="0" w:line="211" w:lineRule="exact"/>
        <w:rPr>
          <w:sz w:val="20"/>
          <w:szCs w:val="20"/>
          <w:color w:val="auto"/>
        </w:rPr>
      </w:pPr>
    </w:p>
    <w:p>
      <w:pPr>
        <w:ind w:left="60" w:right="3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and reorganization expenses. </w:t>
      </w:r>
      <w:r>
        <w:rPr>
          <w:rFonts w:ascii="Times New Roman" w:cs="Times New Roman" w:eastAsia="Times New Roman" w:hAnsi="Times New Roman"/>
          <w:sz w:val="18"/>
          <w:szCs w:val="18"/>
          <w:color w:val="auto"/>
        </w:rPr>
        <w:t>In our efforts to advance our cost management actions to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operating efficiencies and margins, we incurred certain restructuring and reorganization expenses, primarily reductions in force, totaling $3.5 million, $2.8 million and $2.4 million within our International Telecom segment, US Telecom segment and Corporate and Other segment, respectively, during the nine months ended September 30, 2025.</w:t>
      </w:r>
    </w:p>
    <w:p>
      <w:pPr>
        <w:spacing w:after="0" w:line="22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incurred $1.5 million, $1.1 million and $0.9 million of restructuring and reorganization expenses within the International Telecom segment, US Telecom segment and Corporate and Other segment, respectively.</w:t>
      </w:r>
    </w:p>
    <w:p>
      <w:pPr>
        <w:spacing w:after="0" w:line="19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decreased by $5.9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 to $101.3 million from $107.2 million for the nine months ended September 30, 2025 and 2024, respectively. The net decrease in depreciation and amortization expenses, within our segments, consisted primarily of the following:</w:t>
      </w:r>
    </w:p>
    <w:p>
      <w:pPr>
        <w:spacing w:after="0" w:line="213" w:lineRule="exact"/>
        <w:rPr>
          <w:sz w:val="20"/>
          <w:szCs w:val="20"/>
          <w:color w:val="auto"/>
        </w:rPr>
      </w:pPr>
    </w:p>
    <w:p>
      <w:pPr>
        <w:ind w:left="1040" w:right="79" w:hanging="315"/>
        <w:spacing w:after="0" w:line="261"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decreased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$6.1 million, or 12.0%, to $44.7 million from $50.8 million for the nine months ended September 30, 2025 and 2024, respectively. The decrease was the result of this segment’s reduction in capital expenditures in recent periods and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61"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3.7%, to $54.0 million from $56.1 million for the nine months ended September 30, 2025 and 2024, respectively, primarily as a result of this segment’s reduction in capital expenditures in recent periods and certain assets becoming fully depreciated in recent periods.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57"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increased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million from $0.3 million for the nine months ended September 30, 2025 and 2024, respectively. Depreciation and amortization expense for the nine months ended September 30, 2024 was impacted by certain capital expenditure credits received in previous periods that were being credited to depreciation and amortization expense over the depreciable lives of the underlying assets associated with the issued credits. Such credits became fully depreciated in early 2025.</w:t>
      </w:r>
    </w:p>
    <w:p>
      <w:pPr>
        <w:spacing w:after="0" w:line="221"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decreased by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$3.7 million from $5.9 million for the nine months ended September 30, 2025 and 2024, respectively.</w:t>
      </w:r>
    </w:p>
    <w:p>
      <w:pPr>
        <w:spacing w:after="0" w:line="18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(Gain) loss on disposition of assets, transfers and contingent consideration</w:t>
      </w:r>
      <w:r>
        <w:rPr>
          <w:rFonts w:ascii="Times New Roman" w:cs="Times New Roman" w:eastAsia="Times New Roman" w:hAnsi="Times New Roman"/>
          <w:sz w:val="17"/>
          <w:szCs w:val="17"/>
          <w:color w:val="auto"/>
        </w:rPr>
        <w:t>. During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2025, we recorded a net loss on the disposition of assets of $5.0 million. Of this net loss, $0.4 million and $4.6 million were recognized within our International and US Telecom segments, respectively. Within the US Telecom segment, we recorded the revaluation of contingent consideration relating to a prior year’s acquisition within that segment.</w:t>
      </w:r>
    </w:p>
    <w:p>
      <w:pPr>
        <w:spacing w:after="0" w:line="20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a gain on the disposition of assets of $14.9 million. This gain was comprised primarily of a $15.5 million gain, mostly related to the sale of real estate within our International Telecom segment and a $0.5 million gain pertaining to the previously completed disposition of our renewable energy assets. These gains were partially offset by a $1.5 million loss on the transfer of certain assets within our US Telecom segment.</w:t>
      </w:r>
    </w:p>
    <w:p>
      <w:pPr>
        <w:spacing w:after="0" w:line="220"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impairment. </w:t>
      </w:r>
      <w:r>
        <w:rPr>
          <w:rFonts w:ascii="Times New Roman" w:cs="Times New Roman" w:eastAsia="Times New Roman" w:hAnsi="Times New Roman"/>
          <w:sz w:val="18"/>
          <w:szCs w:val="18"/>
          <w:color w:val="auto"/>
        </w:rPr>
        <w:t>During the nine months ended September 30, 2024, we completed our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for our US Telecom segment after identifying events that indicated that the fair value of a reporting unit may be below its carrying value. These events included the Company’s continued shift away from wholesale roaming and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22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As a result of that analysis, we recorded an impairment of $35.3 million during the nine months ended September 30, 2024. No such impairments were recorded during the nine months ended September 30, 2025.</w:t>
      </w:r>
    </w:p>
    <w:p>
      <w:pPr>
        <w:spacing w:after="0" w:line="198" w:lineRule="exact"/>
        <w:rPr>
          <w:sz w:val="20"/>
          <w:szCs w:val="20"/>
          <w:color w:val="auto"/>
        </w:rPr>
      </w:pPr>
    </w:p>
    <w:p>
      <w:pPr>
        <w:ind w:left="60" w:right="3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was $0.6 million and $0.8 million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2024, respectively.</w:t>
      </w:r>
    </w:p>
    <w:p>
      <w:pPr>
        <w:spacing w:after="0" w:line="182" w:lineRule="exact"/>
        <w:rPr>
          <w:sz w:val="20"/>
          <w:szCs w:val="20"/>
          <w:color w:val="auto"/>
        </w:rPr>
      </w:pPr>
    </w:p>
    <w:p>
      <w:pPr>
        <w:ind w:left="60" w:right="4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decreased to $36.4 million from $36.6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and 2024, respectively, as a result of a decrease in interest rates on borrowings under our credit facilities.</w:t>
      </w:r>
    </w:p>
    <w:p>
      <w:pPr>
        <w:spacing w:after="0" w:line="211"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9"/>
          <w:szCs w:val="19"/>
          <w:color w:val="auto"/>
        </w:rPr>
        <w:t>For the nine months ended September 30, 2025, other expense was $2.6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primarily related to a non-operating employee-related matter and losses on foreign currency transactions net of insurance proceeds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left="60" w:right="299" w:firstLine="648"/>
        <w:spacing w:after="0" w:line="254" w:lineRule="auto"/>
        <w:rPr>
          <w:sz w:val="20"/>
          <w:szCs w:val="20"/>
          <w:color w:val="auto"/>
        </w:rPr>
      </w:pPr>
      <w:r>
        <w:rPr>
          <w:rFonts w:ascii="Times New Roman" w:cs="Times New Roman" w:eastAsia="Times New Roman" w:hAnsi="Times New Roman"/>
          <w:sz w:val="20"/>
          <w:szCs w:val="20"/>
          <w:color w:val="auto"/>
        </w:rPr>
        <w:t>For the nine months ended September 30, 2024, other expense was $1.1 million primarily related to a loss on the extinguishment of the 2022 Alaska Credit Facility, as discussed below, losses on foreign currency transactions and expenses incurred for certain employee benefit plans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60" w:right="3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nine months ended September 30, 2025 and 2024 was 35.0%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22.1%, respectively.</w:t>
      </w:r>
    </w:p>
    <w:p>
      <w:pPr>
        <w:spacing w:after="0" w:line="19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benefit of $9.0 million in relation to a pretax loss of $25.7 million for the nine months ended September 30, 2025. The effective tax rate for the nine months ended September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$1.8 million expense for interest on prior years uncertain tax positions, a $0.5 million expense associated with stock option shortfalls, and a $1.0 million benefit from the release of a capital loss carryover valuation allowance based on our conclusion that it was more likely than not that this deferred tax asset would be realized in the future.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benefit of $10.2 million in relation to a pretax loss of $46.3 million for the nine months ended September 30, 2024. The effective tax rate for the nine months ended September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 $2.2 million expense for interest on unrecognized tax positions, and a $0.8 million expense associated with the sale of a partnership interest.</w:t>
      </w:r>
    </w:p>
    <w:p>
      <w:pPr>
        <w:spacing w:after="0" w:line="21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12"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noncontrolling interests, net of tax. </w:t>
      </w:r>
      <w:r>
        <w:rPr>
          <w:rFonts w:ascii="Times New Roman" w:cs="Times New Roman" w:eastAsia="Times New Roman" w:hAnsi="Times New Roman"/>
          <w:sz w:val="18"/>
          <w:szCs w:val="18"/>
          <w:color w:val="auto"/>
        </w:rPr>
        <w:t>Net loss attributable to noncontrolling interests,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tax reflected an allocation of $5.1 million and $6.1 million of losses generated by our less than wholly owned subsidiaries for the nine months ended September 30, 2025 and 2024, respectively. Changes in net loss attributable to noncontrolling interests, net of tax, within our segments, consisted of the following:</w:t>
      </w:r>
    </w:p>
    <w:p>
      <w:pPr>
        <w:spacing w:after="0" w:line="219" w:lineRule="exact"/>
        <w:rPr>
          <w:sz w:val="20"/>
          <w:szCs w:val="20"/>
          <w:color w:val="auto"/>
        </w:rPr>
      </w:pPr>
    </w:p>
    <w:p>
      <w:pPr>
        <w:ind w:left="1040" w:right="99" w:hanging="315"/>
        <w:spacing w:after="0" w:line="257"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decreased by $1.9 million to an allocation of $6.6 million of income from an allocation of $8.5 million of income for the nine months ended September 30, 2025 and 2024, respectively. Amounts recorded during the nine months ended September 30, 2024 were impacted by a $15.5 million gain on a disposition of assets, primarily real estate, and increased profitability at certain less than wholly owned subsidiaries.</w:t>
      </w:r>
    </w:p>
    <w:p>
      <w:pPr>
        <w:spacing w:after="0" w:line="182" w:lineRule="exact"/>
        <w:rPr>
          <w:rFonts w:ascii="Times New Roman" w:cs="Times New Roman" w:eastAsia="Times New Roman" w:hAnsi="Times New Roman"/>
          <w:sz w:val="18"/>
          <w:szCs w:val="18"/>
          <w:color w:val="auto"/>
        </w:rPr>
      </w:pPr>
    </w:p>
    <w:p>
      <w:pPr>
        <w:ind w:left="1040" w:right="179" w:hanging="315"/>
        <w:spacing w:after="0" w:line="257"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$2.8 million to an allocation of losses of $11.7 million from an allocation of losses of $14.5 million for the nine months ended September 30, 2025 and 2024, respectively, as a result of increased losses at our less than wholly owned subsidiaries within this segment. Amounts recorded during the nine months ended September 30, 2024, were negatively impacted by the impairment of goodwill at our less than wholly owned subsidiaries within this segment.</w:t>
      </w:r>
    </w:p>
    <w:p>
      <w:pPr>
        <w:spacing w:after="0" w:line="207" w:lineRule="exact"/>
        <w:rPr>
          <w:sz w:val="20"/>
          <w:szCs w:val="20"/>
          <w:color w:val="auto"/>
        </w:rPr>
      </w:pPr>
    </w:p>
    <w:p>
      <w:pPr>
        <w:jc w:val="both"/>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ATN International, Inc. stockholders. </w:t>
      </w:r>
      <w:r>
        <w:rPr>
          <w:rFonts w:ascii="Times New Roman" w:cs="Times New Roman" w:eastAsia="Times New Roman" w:hAnsi="Times New Roman"/>
          <w:sz w:val="18"/>
          <w:szCs w:val="18"/>
          <w:color w:val="auto"/>
        </w:rPr>
        <w:t>Net loss attributable to ATN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was $11.6 million for the nine months ended September 30, 2025, as compared to $30.0 million for the nine months ended September 30, 2024.</w:t>
      </w:r>
    </w:p>
    <w:p>
      <w:pPr>
        <w:spacing w:after="0" w:line="21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$1.06 per diluted share for the nine months ended September 30, 2025, as compared to $2.24 million for the nine months ended September 30, 2024. Such per share amounts were negatively impacted by accrued preferred dividends of $4.5 million and $4.2 million for the nine months ended September 30, 2025 and 2024,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5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14 to the Consolidated Financial Statements in this Report</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One Big Beautiful Bill Act</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impact of the enacted provisions in its 2025 financial statements, which were determined to be immaterial. The Company is currently evaluating the impact of the OBBBA provisions effective in future years on the Company’s financial statements and related disclosures.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Historically, we have met our operational liquidity needs and have funded our capital expenditures and acquisitions through a combination of cash-on-hand, internally generated funds, borrowings under our credit facilities,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w:t>
      </w:r>
    </w:p>
    <w:p>
      <w:pPr>
        <w:spacing w:after="0" w:line="214"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September 30, 2025, we had approximately $119.6 million in cash,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Of this amount, $54.4 million was held by our foreign subsidiaries and is indefinitely invested outside the United States. In addition, we had approximately $579.6 million of debt outstanding, net of unamortized deferred financing costs, and $224.0 million available under our credit facilities as of September 30, 2025. How and when we deploy our balance sheet capacity, including the availability under our various credit facilities (as further described below), will figure prominently in our longer-term growth prospects and stockholder returns.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68" w:lineRule="exact"/>
        <w:rPr>
          <w:sz w:val="20"/>
          <w:szCs w:val="20"/>
          <w:color w:val="auto"/>
        </w:rPr>
      </w:pPr>
    </w:p>
    <w:p>
      <w:pPr>
        <w:ind w:left="60" w:right="2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borrowings under our credit facilities, as well as equity investor and seller financing.</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2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Cash used in investing activities decreased by $0.3 million to $66.1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$66.4 million for the nine months ended September 30, 2025 and 2024, respectively. This year-over-year increase in cash used in investing activities was primarily the result of the reduction in capital expenditures and capital expenditures under certain government programs of $24.7 million and $4.5 million, respectively. Offsetting these amounts were reductions of $17.6 million and $11.4 million of cash received in proceeds from the disposition of assets and transfers and cash received for the reimbursement of amounts previously paid for capital expenditures under certain government programs, respectively.</w:t>
      </w:r>
    </w:p>
    <w:p>
      <w:pPr>
        <w:spacing w:after="0" w:line="223"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(used in) provided by financing activities. </w:t>
      </w:r>
      <w:r>
        <w:rPr>
          <w:rFonts w:ascii="Times New Roman" w:cs="Times New Roman" w:eastAsia="Times New Roman" w:hAnsi="Times New Roman"/>
          <w:sz w:val="18"/>
          <w:szCs w:val="18"/>
          <w:color w:val="auto"/>
        </w:rPr>
        <w:t>Cash used in financing activities was $1.2 million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Cash provided by financing activities was $23.5 million during the nine months ended September 30, 2024. The $24.7 change was primarily the result of a $42.6 million reduction in borrowings, net of repayments, under our credit facilities, offset by reductions in cash used to repurchase our common stock of $11.2 million (including $10.0 million under the 2023 Repurchase Plan, as discussed below) and a $6.3 million reduction in cash used for debt issuance costs.</w:t>
      </w:r>
    </w:p>
    <w:p>
      <w:pPr>
        <w:spacing w:after="0" w:line="20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We have funded our working capital needs through a combination of internally generated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spent approximately $60.9 million for capital expenditures and $67.3 million for capital expenditures that are reimbursable under certain government programs. For the nine months ended September 30, 2024, we spent approximately $85.7 million for capital expenditures and $71.8 million for capital expenditures that are reimbursable under certain government programs. The following notes our capital expenditures, by operating segment, for these periods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97,987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128,228</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1,861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40" w:right="39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 and have been presented for reconciliation purposes to consolidated amounts.</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ending December 31, 2025, such investments are expected to total between approximately $90 million to $100 million of non-reimbursable capital expenditures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20" w:lineRule="exact"/>
        <w:rPr>
          <w:sz w:val="20"/>
          <w:szCs w:val="20"/>
          <w:color w:val="auto"/>
        </w:rPr>
      </w:pPr>
    </w:p>
    <w:p>
      <w:pPr>
        <w:jc w:val="both"/>
        <w:ind w:left="60" w:right="3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nine months ended September 30, 2025, our Board of Directors declared $12.0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our stockholders, which includes a $0.275 per share dividend declared on September 18, 2025 and paid on October 7, 2025. We have declared quarterly dividends since the fourth quarter of 1998.</w:t>
      </w:r>
    </w:p>
    <w:p>
      <w:pPr>
        <w:spacing w:after="0" w:line="200"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Our Board of Directors has authorized the repurchase of up to $25.0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on the open market or in privately negotiated transactions (the “2023 Repurchase Plan”). We did not repurchase any of our common stock under the 2023 Repurchase Plan during the nine months ended September 30, 2025 and repurchased $10.0 million under that Plan during the nine months ended September 30, 2024. As of September 30, 2025, we had $15.0 million available to repurchase shares of our common stock under the 2023 Repurchase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68" w:lineRule="exact"/>
        <w:rPr>
          <w:sz w:val="20"/>
          <w:szCs w:val="20"/>
          <w:color w:val="auto"/>
        </w:rPr>
      </w:pPr>
    </w:p>
    <w:p>
      <w:pPr>
        <w:ind w:left="6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$97.7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as compared to $97.5 million for the nine months ended September 30, 2024. The increase of $0.2 million was primarily related to improvements in working capital.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Credit Agreement (as may be amended from time to time, the “2023 CoBank Credit Agreement”) with CoBank, ACB (“CoBank”) and a syndicate of other lenders (the “2023 CoBank Credit Facility”). On July 10, 2024, we amended the 2023 CoBank Credit Agreement to add certain subsidiaries as guarantors and to provide further flexibility in order to accept certain grant and government program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w:t>
      </w:r>
    </w:p>
    <w:p>
      <w:pPr>
        <w:spacing w:after="0" w:line="220"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-125095</wp:posOffset>
            </wp:positionV>
            <wp:extent cx="5014595" cy="626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4595" cy="626110"/>
                    </a:xfrm>
                    <a:prstGeom prst="rect">
                      <a:avLst/>
                    </a:prstGeom>
                    <a:noFill/>
                  </pic:spPr>
                </pic:pic>
              </a:graphicData>
            </a:graphic>
          </wp:anchor>
        </w:drawing>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34"/>
        </w:trPr>
        <w:tc>
          <w:tcPr>
            <w:tcW w:w="4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47"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2023 CoBank Term Loan and</w:t>
      </w:r>
    </w:p>
    <w:p>
      <w:pPr>
        <w:spacing w:after="0" w:line="3"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0.75% to 2.50% for the 2023 CoBank Revolving Loans.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pacing w:after="0" w:line="21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3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capitalized $4.5 million of fees associated with the 2023 CoBank Credit Facility, which are being amortized over the life of the debt and $2.7 million were unamortized as of September 30, 2025.</w:t>
      </w:r>
    </w:p>
    <w:p>
      <w:pPr>
        <w:spacing w:after="0" w:line="202"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we had $122.7 million outstanding under the 2023 CoBank Term Loan, $75.1 million under the 2023 CoBank Revolving Loan, and had $94.9 million of availability. We were in compliance with all financial covenants as of September 30, 2025.</w:t>
      </w:r>
    </w:p>
    <w:p>
      <w:pPr>
        <w:spacing w:after="0" w:line="20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two-year, forward starting one-month floating to fixed SOFR interest rate swap agreement. The swap was effective November 13, 2023 in a non-amortizing notional amount of $50.0 million, has a fixed SOFR rate of 4.896% and matures on November 13, 2025. The swap agreement had a fair value of $(0.1) million and $(0.3) million as of September 30, 2025 and December 31,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September 30, 2025, $35.3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5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20"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September 30, 2025, $300.0 million was outstanding under the 2024 Alaska Term Facility.</w:t>
      </w:r>
    </w:p>
    <w:p>
      <w:pPr>
        <w:spacing w:after="0" w:line="224" w:lineRule="exact"/>
        <w:rPr>
          <w:sz w:val="20"/>
          <w:szCs w:val="20"/>
          <w:color w:val="auto"/>
        </w:rPr>
      </w:pPr>
    </w:p>
    <w:p>
      <w:pPr>
        <w:ind w:left="60" w:right="99" w:firstLine="693"/>
        <w:spacing w:after="0" w:line="277" w:lineRule="auto"/>
        <w:rPr>
          <w:sz w:val="20"/>
          <w:szCs w:val="20"/>
          <w:color w:val="auto"/>
        </w:rPr>
      </w:pPr>
      <w:r>
        <w:rPr>
          <w:rFonts w:ascii="Times New Roman" w:cs="Times New Roman" w:eastAsia="Times New Roman" w:hAnsi="Times New Roman"/>
          <w:sz w:val="17"/>
          <w:szCs w:val="17"/>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September 30, 2025, $9.5 million was outstanding under the 2024 Alaska Revolving Facility and $0.6 million of letters of credit were issued. As a result, $79.9 million was available under the 2024 Alaska Revolving Facility as of September 30, 2025.</w:t>
      </w:r>
    </w:p>
    <w:p>
      <w:pPr>
        <w:spacing w:after="0" w:line="195"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1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2024 Alaska Credit Facility, we incurred $6.9 million of fees and rolled over $2.1 million of fees for the 2022 Alaska Credit Facility to be amortized over the life of the debt. As of September 30, 2025, we had $7.1 million of unamortized fees, which are being amortized over the life of the debt, associated with the 2024 Alaska Credit Facility.</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00" w:lineRule="exact"/>
        <w:rPr>
          <w:sz w:val="20"/>
          <w:szCs w:val="20"/>
          <w:color w:val="auto"/>
        </w:rPr>
      </w:pPr>
    </w:p>
    <w:p>
      <w:pPr>
        <w:spacing w:after="0" w:line="293"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660" w:type="dxa"/>
            <w:vAlign w:val="bottom"/>
            <w:tcBorders>
              <w:top w:val="single" w:sz="8" w:color="auto"/>
              <w:left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spacing w:after="0"/>
              <w:rPr>
                <w:sz w:val="18"/>
                <w:szCs w:val="18"/>
                <w:color w:val="auto"/>
              </w:rPr>
            </w:pPr>
          </w:p>
        </w:tc>
        <w:tc>
          <w:tcPr>
            <w:tcW w:w="31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Margin for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Tier /</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Alaska Communications Total Net</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 Term SOFR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 L/C Participation Fees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Reimbursement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245"/>
        </w:trPr>
        <w:tc>
          <w:tcPr>
            <w:tcW w:w="660" w:type="dxa"/>
            <w:vAlign w:val="bottom"/>
            <w:tcBorders>
              <w:left w:val="single" w:sz="8" w:color="auto"/>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31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Obligations</w:t>
            </w:r>
          </w:p>
        </w:tc>
        <w:tc>
          <w:tcPr>
            <w:tcW w:w="1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4.00:1.00</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4.00:1.00 but</w:t>
            </w:r>
          </w:p>
        </w:tc>
        <w:tc>
          <w:tcPr>
            <w:tcW w:w="3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greater than 3.25:1.00</w:t>
            </w:r>
          </w:p>
        </w:tc>
        <w:tc>
          <w:tcPr>
            <w:tcW w:w="31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3.25:1.00 but</w:t>
            </w:r>
          </w:p>
        </w:tc>
        <w:tc>
          <w:tcPr>
            <w:tcW w:w="3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greater than 2.50:1.00</w:t>
            </w:r>
          </w:p>
        </w:tc>
        <w:tc>
          <w:tcPr>
            <w:tcW w:w="31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60" w:type="dxa"/>
            <w:vAlign w:val="bottom"/>
            <w:tcBorders>
              <w:left w:val="single" w:sz="8" w:color="auto"/>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31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or equal to 2.50:1.00</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16"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29"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03"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 (as defined therein).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December 23, 2022, Alaska Communications entered into a Credit Agreement (the “2022 Alaska Credit Agreement”) with Fifth Third Bank, National Association, as administrative agent, and a syndicate of lenders (the “2022</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Alaska Credit Facility”) to provide a Revolving Credit Commitment of $75.0 million (the “2022 Alaska Revolving Facility”) and Term Loan Commitment of $230.0 million (the “2022 Alaska Term Loan”).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pacing w:after="0" w:line="266" w:lineRule="exact"/>
        <w:rPr>
          <w:sz w:val="20"/>
          <w:szCs w:val="20"/>
          <w:color w:val="auto"/>
        </w:rPr>
      </w:pPr>
    </w:p>
    <w:p>
      <w:pPr>
        <w:ind w:left="1040" w:right="359" w:hanging="315"/>
        <w:spacing w:after="0" w:line="258"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2022 Alaska Credit Agreement) or at an alternate base rate at a margin that is 1% lower than the counterpart SOFR margin;</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040" w:right="99" w:hanging="315"/>
        <w:spacing w:after="0" w:line="273" w:lineRule="auto"/>
        <w:tabs>
          <w:tab w:leader="none" w:pos="10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71" w:lineRule="exact"/>
        <w:rPr>
          <w:rFonts w:ascii="Times New Roman" w:cs="Times New Roman" w:eastAsia="Times New Roman" w:hAnsi="Times New Roman"/>
          <w:sz w:val="17"/>
          <w:szCs w:val="17"/>
          <w:color w:val="auto"/>
        </w:rPr>
      </w:pPr>
    </w:p>
    <w:p>
      <w:pPr>
        <w:ind w:left="1040" w:right="21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us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7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On September 15, 2022, Holdings entered into a secured lending arrangement with Bristol Bay Industrial, LLC (the “Alaska Term Facility”).</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six months ended June 30, 2024.</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one-month floating to fixed SOFR interest rate swap agreements. The total non-amortizing notional amount of the agreements is $200 million, with fixed SOFR rates of 4.8695% and 4.8980%. The swap agreement had a fair value of $(0.5) million as of December 31, 2024, and matured on September 30, 2025.</w:t>
      </w:r>
    </w:p>
    <w:p>
      <w:pPr>
        <w:spacing w:after="0" w:line="22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On September 26, 2025, Alaska Communications entered into four forward starting one-month floating to fixed SOFR interest rate swap agreements. The total non-amortizing notional amount of the four agreements was $200 million, with fixed SOFR rates ranging from 3.4290% to 3.4485%. The swap agreements had a fair value of $(0.3) million as of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(the “Receivables Credit Facility”).</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w:t>
      </w:r>
    </w:p>
    <w:p>
      <w:pPr>
        <w:spacing w:after="0" w:line="20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Commnet Wireless had $38.5 million outstanding, of which $8.3 million was classified as being current and $30.2 million as long-term on our balance sheet, and $9.2 million of availability under the Receivables Credit Facility. Commnet Wireless capitalized $0.8 million in fees associated with the Receivables Credit Facility which are being amortized over the life of the debt and $0.3 million were unamortized as of September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Guyana Credit Facilities</w:t>
      </w:r>
    </w:p>
    <w:p>
      <w:pPr>
        <w:spacing w:after="0" w:line="25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On October 12, 2022 , OneGY entered into a $2.9 million term facility and a $5.7 million overdraft facility (the “Guyana Credit Facilities”) with Republic Bank (Guyana) Limited. The Guyana Credit Facilities were secured by real estate assets and carried a fixed interest rate of 7.5%. On November 29, 2024, the overdraft facility and term facility were canceled at the request of OneGY.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70"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spacing w:after="0" w:line="191"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Each disbursement under the 2025 IDB Revolving Facility requires an established repayment date. Amounts may be prepaid with prior notice to IDB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191"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200" w:lineRule="exact"/>
        <w:rPr>
          <w:sz w:val="20"/>
          <w:szCs w:val="20"/>
          <w:color w:val="auto"/>
        </w:rPr>
      </w:pPr>
    </w:p>
    <w:p>
      <w:pPr>
        <w:spacing w:after="0" w:line="214"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Amounts borrowed under the 2025 IDB Credit Facilities bear interest at a rate equal to SOFR plus an applicable margin of 2.4% for the 2025 IDB Revolving Facility and 3.0% for the 2025 IDB Term Loan. In the case of the 2025 IDB Term Loan, there is a prepayment fee equal to 1% until the first anniversary from the effective date, 0.5% until the second anniversary from the effective date, and 0.0% thereafter.</w:t>
      </w:r>
    </w:p>
    <w:p>
      <w:pPr>
        <w:spacing w:after="0" w:line="22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outstanding borrowings under the 2025 IDB Revolving Facility or the 2025 IDB Term loan.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subsidiary, Sacred Wind, has a term debt facility (the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2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September 30, 2025, we were in compliance with that corrective action plan.</w:t>
      </w:r>
    </w:p>
    <w:p>
      <w:pPr>
        <w:spacing w:after="0" w:line="21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$22.3 million was outstanding under the Sacred Wind Term Debt. Of that amount, $3.4 million was current and $18.9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OneVI Debt</w:t>
      </w:r>
    </w:p>
    <w:p>
      <w:pPr>
        <w:spacing w:after="0" w:line="25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and certain of our subsidiaries, have entered into a loan agreement (“OneVI Debt Agreement”) for a $60.0 million loan (the “OneVI Debt”) with National Cooperative Services Corporation (“NCSC”). The OneVI Debt Agreement contains customary representations, warranties, and affirmative and negative covenants (including limitations on additional debt, guaranties, sale of assets and liens) and a financial covenant that limits the maximum ratio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indebtedness to annual operating cash flow to 3.5 to 1.0 (the “OneVI Net Leverage Ratio”). This covenant is tested on an annual basis at the end of each fiscal year. Interest is paid quarterly at a fixed rate of 4.0% per annum and principal repayment is not required until maturity on July 1, 2026. Prepayment of amounts under the OneVI Debt Agreement may be subject to a fee under certain circumstances. The debt is secured by certain assets of the OneVI subsidiaries and is guaranteed by us.</w:t>
      </w:r>
    </w:p>
    <w:p>
      <w:pPr>
        <w:spacing w:after="0" w:line="224"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paid a fee of $0.9 million in 2016 to lock the interest rate at 4% per annum over the term of the OneVI Debt Agreement. The fee was recorded as a reduction to the OneVI Debt carrying amount and is being amortized over the life of the loan.</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2025, $60.0 million of the OneVI Debt remained outstanding.</w:t>
      </w:r>
    </w:p>
    <w:p>
      <w:pPr>
        <w:spacing w:after="0" w:line="252"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On May 5, 2022, the OneVI Net Leverage Ratio was amended to 7.0 to 1.0 through the maturity date of July 1, 2026. The OneVI Net Leverage Ratio is tested annually, and we were in compliance with the OneVI Net Leverage Ratio as of December 31, 2024.</w:t>
      </w:r>
    </w:p>
    <w:p>
      <w:pPr>
        <w:spacing w:after="0" w:line="21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November 5, 2025, the Company and certain of its subsidiaries (the “Borrowers”) amended the OneVI Debt Agreement (the “Amendment”) to extend the maturity date of the OneVI Debt from July 1, 2026 to July 1, 2035 (the “Extended Maturity Date”). The Amendment further provides that the OneVI Debt will continue to accrue interest at the current fixed 4.0% rate through June 30, 2026 and, beginning on July 1, 2026, NCSC will offer, at the Borrowers’ option, a forward fixed rate or variable rate of interest for the remainder of the term of the OneVI Debt through the Extended Maturity Date. If the Borrowers elect the variable rate, the variable rate will be NCSC’s standard variable rate of interest for long-term loans and subject to change monthly, and the Borrowers will have the option to convert all or a portion of principal outstanding as of the date specified in the Conversion Notice (as defined in the OneVI Debt Agreement), to NCSC’s standard fixed interest rates for long-term loans at any time thereafter without a fee.</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Additionally, the Amendment provides that the OneVI Debt will continue to require interest-only payments at the current rate through June 30, 2026; beginning on July 1, 2026, the OneVI Debt will be subject to a quarterly repayment schedule using the level debt service, level principal amortization method, or a principal repayment schedule mutually agreed upon by NCSC and the Borrowers.</w:t>
      </w:r>
    </w:p>
    <w:p>
      <w:pPr>
        <w:spacing w:after="0" w:line="207"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Amendment includes financial covenants by the Borrowers that impose a maximum ratio of indebtedness to annual operating cash flow and require the Borrowers to maintain a minimum fixed charge cover ratio for annual periods through the Extended Maturity Date. The interest rate will be reset on the original loan maturity date of July 1, 2026. Beginning in July 2026, the loan will be subject to a quarterly repayment schedule.</w:t>
      </w:r>
    </w:p>
    <w:tbl>
      <w:tblPr>
        <w:tblLayout w:type="fixed"/>
        <w:tblInd w:w="970" w:type="dxa"/>
        <w:tblCellMar>
          <w:top w:w="0" w:type="dxa"/>
          <w:left w:w="0" w:type="dxa"/>
          <w:bottom w:w="0" w:type="dxa"/>
          <w:right w:w="0" w:type="dxa"/>
        </w:tblCellMar>
      </w:tblPr>
      <w:tr>
        <w:trPr>
          <w:trHeight w:val="212"/>
        </w:trPr>
        <w:tc>
          <w:tcPr>
            <w:tcW w:w="3460" w:type="dxa"/>
            <w:vAlign w:val="bottom"/>
            <w:tcBorders>
              <w:top w:val="single" w:sz="8" w:color="auto"/>
              <w:left w:val="single" w:sz="8" w:color="auto"/>
              <w:bottom w:val="single" w:sz="8" w:color="auto"/>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Payment Dates</w:t>
            </w:r>
          </w:p>
        </w:tc>
        <w:tc>
          <w:tcPr>
            <w:tcW w:w="3660" w:type="dxa"/>
            <w:vAlign w:val="bottom"/>
            <w:tcBorders>
              <w:top w:val="single" w:sz="8" w:color="auto"/>
              <w:bottom w:val="single" w:sz="8" w:color="auto"/>
              <w:right w:val="single" w:sz="8" w:color="auto"/>
            </w:tcBorders>
          </w:tcPr>
          <w:p>
            <w:pPr>
              <w:jc w:val="right"/>
              <w:ind w:right="1330"/>
              <w:spacing w:after="0" w:line="205" w:lineRule="exact"/>
              <w:rPr>
                <w:sz w:val="20"/>
                <w:szCs w:val="20"/>
                <w:color w:val="auto"/>
              </w:rPr>
            </w:pPr>
            <w:r>
              <w:rPr>
                <w:rFonts w:ascii="Times New Roman" w:cs="Times New Roman" w:eastAsia="Times New Roman" w:hAnsi="Times New Roman"/>
                <w:sz w:val="18"/>
                <w:szCs w:val="18"/>
                <w:b w:val="1"/>
                <w:bCs w:val="1"/>
                <w:color w:val="auto"/>
                <w:w w:val="98"/>
              </w:rPr>
              <w:t>Annual Principal Repayment</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1-3</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4-6</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7-8</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9</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38"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covenants tested on an annual basis will change as of December 31, 2026. Please see Item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9"/>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Telecom (1)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 through December 31, 2025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385,937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331,836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589,644</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38,479</w:t>
            </w:r>
          </w:p>
        </w:tc>
      </w:tr>
      <w:tr>
        <w:trPr>
          <w:trHeight w:val="209"/>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September 30, 2025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579,606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38,198</w:t>
            </w:r>
          </w:p>
        </w:tc>
      </w:tr>
    </w:tbl>
    <w:p>
      <w:pPr>
        <w:spacing w:after="0" w:line="198" w:lineRule="exact"/>
        <w:rPr>
          <w:sz w:val="20"/>
          <w:szCs w:val="20"/>
          <w:color w:val="auto"/>
        </w:rPr>
      </w:pPr>
    </w:p>
    <w:p>
      <w:pPr>
        <w:ind w:left="720" w:right="19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schedule reflects principal repayment schedule in the amendment to the OneVi Debt Agreement signed November 5,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14"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2023 Credit Facility. </w:t>
      </w:r>
      <w:r>
        <w:rPr>
          <w:rFonts w:ascii="Times New Roman" w:cs="Times New Roman" w:eastAsia="Times New Roman" w:hAnsi="Times New Roman"/>
          <w:sz w:val="18"/>
          <w:szCs w:val="18"/>
          <w:color w:val="auto"/>
        </w:rPr>
        <w:t>Our 2023 CoBank Credit Facility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2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September 30, 2025, we were in compliance with all of the financial covenants of the 2023 CoBank Credit Facility.</w:t>
      </w:r>
    </w:p>
    <w:p>
      <w:pPr>
        <w:spacing w:after="0" w:line="20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2025, we filed a new “universal” shelf registration statement with the SEC, to register potential future offerings of up to $300 million of our securities.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September 30, 2025 and 2024, we recorded $0.6 million and $0.1 million, respectively, in losses on foreign currency transactions. During the nine months ended September 30,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2025 and 2024, we recorded $1.6 million and $0.6 million, respectively, in losses on foreign currency transactions. We will continue to assess the impact of our exposure to the Guyana Dollar.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increases in operating costs, some of which we believe are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70"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government has announced tariffs on goods imported from various countries to the United States. Furthermore, recent global trade tensions and policy shifts have created an unpredictable environment for businesses operating across international borders. Countries subject to such tariffs or other trade restrictions and other changes in trade policy by the United States or other countries have imposed or may, in the future, impose reciprocal or retaliatory tariffs and other trade measures that may impact our business. We are actively monitoring the tariff developments and analyzing the potential impacts on our businesses, cost structures, supply chain and broader economic environment. We are also working closely with our strategic suppliers to manage their potential impact.</w:t>
      </w:r>
    </w:p>
    <w:p>
      <w:pPr>
        <w:spacing w:after="0" w:line="121"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Our International Telecom Segment, including the US Virgin Islands which is classified as an economic development zone, is not subject to these tariffs.</w:t>
      </w:r>
    </w:p>
    <w:p>
      <w:pPr>
        <w:spacing w:after="0" w:line="8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To date, the implemented tariffs have not had a material impact on our financial condition or results of operations. However, due to their evolving nature, we cannot predict, with certainty, the ultimate impact they may have on our business or results in the future.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2024.</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2 to the Consolidated Financial Statements included in this Report.</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2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September 30, 2025, we had $257.3 million of variable rate debt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subject to fluctuations in interest rates. Our interest expense may be affected by changes in interest rates. We believe that a 100-basis-point change in the interest rates on our variable rate debt would result in a $2.6 million change in our annual interest expense. We may have additional exposure to fluctuations in interest rates if we again borrow amounts under our revolver loans within our credit facilities.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2025.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2025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2024 Annual Report on Form 10-K. The risks described herein and in our 2024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The U.S. government shutdown may adversely impact our operations and financial results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U.S. federal government has been shut down since October 1, 2025. A prolonged government shutdown may adversely impact the operations and financial results of the Company because we rely on many government functions that are limited or ceased during this shutdown. For example, delays in the issuance, review and approval of permit applications may delay the Company’s construction timelines, which may increase our costs or impact our ability to meet contractual commitments or compliance obligations. Disruption to government awards, including delayed awards and delayed or halted payments or project funding may have an impact on the Company’s financial results if reimbursements are delayed. The backlog in review and approvals that is accumulating during this period of shutdown may also contribute to further delays even after government operations resume.</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Geopolitical instability and U.S. military presence in the Caribbean may impact our operations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substantial part of our operations is located in the Caribbean and we have undersea cable connectivity</w:t>
      </w:r>
    </w:p>
    <w:p>
      <w:pPr>
        <w:spacing w:after="0" w:line="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and corporate functions in several jurisdictions, including Trinidad and Tobago. The U.S. military has been increasing its presence in the Caribbean recently. There are a number of potential business and operational impacts in the event that military activity escalates, such as physical damage to our telecommunications and subsea infrastructure, impairment to critical infrastructure and facilities (like power), workforce disruptions, changes to customer base and competitive markets, inability to travel, as well as macroeconomic risks like currency fluctuation, oil and gas prices and general market instability. Any further geopolitical volatility, including the threat of or actual military action, may adversely impact our operations and financial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Purchases of Equity Securities by the Issuer. </w:t>
      </w:r>
      <w:r>
        <w:rPr>
          <w:rFonts w:ascii="Times New Roman" w:cs="Times New Roman" w:eastAsia="Times New Roman" w:hAnsi="Times New Roman"/>
          <w:sz w:val="18"/>
          <w:szCs w:val="18"/>
          <w:color w:val="auto"/>
        </w:rPr>
        <w:t>On December 14, 2023, our Board of Directors authorized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up to $25.0 million of our common stock, from time to time, on the open market or in privately negotiated transactions. No repurchases were made under this plan during the three months ended September 30, 2025, and we have $15.0 million available to be repurchased under that plan as of September 30, 2025.</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the OneVI Debt Agreement</w:t>
      </w:r>
    </w:p>
    <w:p>
      <w:pPr>
        <w:spacing w:after="0" w:line="270"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On November 5, 2025, the Company, through its subsidiaries ATN VI Holdings, LLC (“ATN VI”) and Caribbean Asset Holdings, LLC (“CAH” and, together with ATN VI, the “Borrowers”), entered into that certain Second Amendment to Loan Agreement (the “Amendment”) with NCSC, the successor in interest to Rural Telephone Finance Cooperative, to amend the Loan Agreement, dated as of July 1, 2016, by and among the Borrowers and Rural Telephone Finance Cooperative (as amended by the Amendment to Loan Agreement dated May 5, 2022, the “OneVI Debt Agreement”).</w:t>
      </w:r>
    </w:p>
    <w:p>
      <w:pPr>
        <w:spacing w:after="0" w:line="19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Amendment extends the maturity date of the OneVI Debt from July 1, 2026 to July 1, 2035 (the “Extended Maturity Date”). The Amendment further provides that the OneVI Debt will continue to accrue interest at the current fixed 4.0% rate through June 30, 2026 and, beginning on July 1, 2026, NCSC will offer, at the Borrowers’ option, a forward fixed rate or variable rate of interest for the remainder of the term of the OneVI Debt through the Extended Maturity Date. If the Borrowers elect the variable rate, the variable rate will be NCSC’s standard variable rate of interest for long-term loans and subject to change monthly, and the Borrowers will have the option to convert all or a portion of principal outstanding as of the date specified in the Conversion Notice (as defined in the OneVI Debt Agreement), to NCSC’s standard fixed interest rates for long-term loans at any time thereafter without a fee.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Additionally, the Amendment provides that the OneVI Debt will continue to require interest-only payments at the current rate through June 30, 2026; beginning on July 1, 2026, the OneVI Debt will be subject to a quarterly repayment schedule using the level debt service, level principal amortization method, or a principal repayment schedule mutually agreed upon by NCSC and the Borrowers.</w:t>
      </w:r>
    </w:p>
    <w:p>
      <w:pPr>
        <w:spacing w:after="0" w:line="220"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Amendment includes financial covenants by the Borrowers that impose a maximum ratio of indebtedness to annual operating cash flow and require the Borrowers to maintain a minimum fixed charge cover ratio for annual periods through the Extended Maturity Date.</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a copy of which is filed as Exhibit 10.1 to this Quarterly Report on Form 10-Q and is incorporated by reference herein.</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While the Company does allow for its officers and directors to enter into trading arrangements intended to satisfy the affirmative defense conditions of Rule 10b5-1 with the Company’s prior approval, during the quarter ended September 30, 2025,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10.1*</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Second Amendment to Loan Agreement, by and among ATN VI Holdings, LLC, Caribbean Asset</w:t>
            </w:r>
          </w:p>
        </w:tc>
      </w:tr>
      <w:tr>
        <w:trPr>
          <w:trHeight w:val="196"/>
        </w:trPr>
        <w:tc>
          <w:tcPr>
            <w:tcW w:w="104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LLC, and National Cooperative Services Corporation, dated as of November 5, 2025.</w:t>
            </w:r>
          </w:p>
        </w:tc>
        <w:tc>
          <w:tcPr>
            <w:tcW w:w="140" w:type="dxa"/>
            <w:vAlign w:val="bottom"/>
            <w:tcBorders>
              <w:top w:val="single" w:sz="8" w:color="0000EE"/>
            </w:tcBorders>
            <w:gridSpan w:val="3"/>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7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 of</w:t>
            </w:r>
          </w:p>
        </w:tc>
        <w:tc>
          <w:tcPr>
            <w:tcW w:w="4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2160" w:type="dxa"/>
            <w:vAlign w:val="bottom"/>
            <w:gridSpan w:val="6"/>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w:t>
            </w:r>
          </w:p>
        </w:tc>
      </w:tr>
      <w:tr>
        <w:trPr>
          <w:trHeight w:val="196"/>
        </w:trPr>
        <w:tc>
          <w:tcPr>
            <w:tcW w:w="1040" w:type="dxa"/>
            <w:vAlign w:val="bottom"/>
          </w:tcPr>
          <w:p>
            <w:pPr>
              <w:spacing w:after="0"/>
              <w:rPr>
                <w:sz w:val="17"/>
                <w:szCs w:val="17"/>
                <w:color w:val="auto"/>
              </w:rPr>
            </w:pP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r>
      <w:tr>
        <w:trPr>
          <w:trHeight w:val="218"/>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16"/>
        </w:trPr>
        <w:tc>
          <w:tcPr>
            <w:tcW w:w="1040" w:type="dxa"/>
            <w:vAlign w:val="bottom"/>
          </w:tcPr>
          <w:p>
            <w:pPr>
              <w:spacing w:after="0"/>
              <w:rPr>
                <w:sz w:val="18"/>
                <w:szCs w:val="18"/>
                <w:color w:val="auto"/>
              </w:rPr>
            </w:pP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60" w:right="939" w:firstLine="320"/>
        <w:spacing w:after="0" w:line="505" w:lineRule="auto"/>
        <w:tabs>
          <w:tab w:leader="none" w:pos="1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R.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8820"/>
        <w:spacing w:after="0"/>
        <w:rPr>
          <w:sz w:val="20"/>
          <w:szCs w:val="20"/>
          <w:color w:val="auto"/>
        </w:rPr>
      </w:pPr>
      <w:r>
        <w:rPr>
          <w:rFonts w:ascii="Arial" w:cs="Arial" w:eastAsia="Arial" w:hAnsi="Arial"/>
          <w:sz w:val="19"/>
          <w:szCs w:val="19"/>
          <w:b w:val="1"/>
          <w:bCs w:val="1"/>
          <w:color w:val="auto"/>
        </w:rPr>
        <w:t>Exhibit 10.1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LOAN AGREEMENT</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auto"/>
        </w:rPr>
        <w:t>SECOND AMENDMENT TO LOAN AGREEMENT</w:t>
      </w:r>
      <w:r>
        <w:rPr>
          <w:rFonts w:ascii="Arial" w:cs="Arial" w:eastAsia="Arial" w:hAnsi="Arial"/>
          <w:sz w:val="20"/>
          <w:szCs w:val="20"/>
          <w:color w:val="auto"/>
        </w:rPr>
        <w:t>, (the "Amendment") dated as of November 5, 2025, by</w:t>
      </w:r>
      <w:r>
        <w:rPr>
          <w:rFonts w:ascii="Arial" w:cs="Arial" w:eastAsia="Arial" w:hAnsi="Arial"/>
          <w:sz w:val="20"/>
          <w:szCs w:val="20"/>
          <w:b w:val="1"/>
          <w:bCs w:val="1"/>
          <w:color w:val="auto"/>
        </w:rPr>
        <w:t xml:space="preserve"> </w:t>
      </w:r>
      <w:r>
        <w:rPr>
          <w:rFonts w:ascii="Arial" w:cs="Arial" w:eastAsia="Arial" w:hAnsi="Arial"/>
          <w:sz w:val="20"/>
          <w:szCs w:val="20"/>
          <w:color w:val="auto"/>
        </w:rPr>
        <w:t>and between ATN VI Holdings, LLC ("ATN"), a Delaware limited liability company, Caribbean Asset Holdings LLC, a Delaware limited liability company (collectively, with the Company, the “Borrower”) and NATIONAL COOPERATIVE SERVICES CORPORATION ("NCSC"), a cooperative association organized and existing under the laws of the District of Columbia.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Borrower and Rural Telephone Finance Cooperative (“RTFC”) are parties to that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Loan Agreement, dated as of July 1, 2016 and amended by that Amendment to Loan Agreement dated May 5, 2022 (the "Original Agreement"); and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NCSC is the successor in interest to RTFC; and</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a modification of certain terms of the Original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NCSC has agreed to such modifications; and</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and NCSC have agreed to amend the Original Agreement to reflect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of such agreement.</w:t>
      </w:r>
    </w:p>
    <w:p>
      <w:pPr>
        <w:spacing w:after="0" w:line="1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foregoing, and in further consideration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and the mutual covenants herein contained, the parties hereby amend the Original Agreement, agree and bind themselves as follows: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 xml:space="preserve">Recitals. </w:t>
      </w:r>
      <w:r>
        <w:rPr>
          <w:rFonts w:ascii="Arial" w:cs="Arial" w:eastAsia="Arial" w:hAnsi="Arial"/>
          <w:sz w:val="19"/>
          <w:szCs w:val="19"/>
          <w:color w:val="auto"/>
        </w:rPr>
        <w:t>The foregoing recitals are incorporated herein by reference.</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b w:val="1"/>
          <w:bCs w:val="1"/>
          <w:color w:val="auto"/>
        </w:rPr>
        <w:t xml:space="preserve">Section 2. Definitions. </w:t>
      </w:r>
      <w:r>
        <w:rPr>
          <w:rFonts w:ascii="Arial" w:cs="Arial" w:eastAsia="Arial" w:hAnsi="Arial"/>
          <w:sz w:val="20"/>
          <w:szCs w:val="20"/>
          <w:color w:val="auto"/>
        </w:rPr>
        <w:t>Capitalized terms that are not defined herein shall have the meanings assigned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as set forth in the Original Agreement.</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Amendments.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color w:val="auto"/>
        </w:rPr>
        <w:t xml:space="preserve">The definition of </w:t>
      </w:r>
      <w:r>
        <w:rPr>
          <w:rFonts w:ascii="Arial" w:cs="Arial" w:eastAsia="Arial" w:hAnsi="Arial"/>
          <w:sz w:val="19"/>
          <w:szCs w:val="19"/>
          <w:b w:val="1"/>
          <w:bCs w:val="1"/>
          <w:color w:val="auto"/>
        </w:rPr>
        <w:t>“Maturity Date”</w:t>
      </w:r>
      <w:r>
        <w:rPr>
          <w:rFonts w:ascii="Arial" w:cs="Arial" w:eastAsia="Arial" w:hAnsi="Arial"/>
          <w:sz w:val="19"/>
          <w:szCs w:val="19"/>
          <w:color w:val="auto"/>
        </w:rPr>
        <w:t xml:space="preserve"> in Section 1 of the Original Agreement is amended to mean July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1, 2035.</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color w:val="auto"/>
        </w:rPr>
        <w:t>Section 2.03 (b) (i) is deleted in its entirety and replaced with:</w:t>
      </w:r>
    </w:p>
    <w:p>
      <w:pPr>
        <w:spacing w:after="0" w:line="191" w:lineRule="exact"/>
        <w:rPr>
          <w:sz w:val="20"/>
          <w:szCs w:val="20"/>
          <w:color w:val="auto"/>
        </w:rPr>
      </w:pPr>
    </w:p>
    <w:p>
      <w:pPr>
        <w:jc w:val="both"/>
        <w:ind w:left="1300"/>
        <w:spacing w:after="0" w:line="230" w:lineRule="auto"/>
        <w:rPr>
          <w:sz w:val="20"/>
          <w:szCs w:val="20"/>
          <w:color w:val="auto"/>
        </w:rPr>
      </w:pPr>
      <w:r>
        <w:rPr>
          <w:rFonts w:ascii="Arial" w:cs="Arial" w:eastAsia="Arial" w:hAnsi="Arial"/>
          <w:sz w:val="20"/>
          <w:szCs w:val="20"/>
          <w:color w:val="auto"/>
        </w:rPr>
        <w:t>“The Loan will continue to accrue interest at the current fixed 4.0% rate through June 30, 2026. Starting on July 1, 2026, NCSC shall offer, at Borrower’s option, a forward fixed rate or variable rate of interest for the remainder of the term of the Loan through the Maturity Date. Any election by Borrower to change to a fixed rate will be set forth in a separate rate lock agreement. The variable rate shall be NCSC’s standard variable rate of interest for long-term loans and subject to change monthly. If the Borrower elects the variable rate, the Borrower will have the option to convert all or a portion of principal outstanding as of the date specified in the Conversion Notice (as defined below), to NCSC’s standard fixed interest rates for long-term loans at any time thereafter without a fee. Fixed interest rates are matched-funded and are placed at the Borrower's request for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8"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326" w:lineRule="exact"/>
        <w:rPr>
          <w:sz w:val="20"/>
          <w:szCs w:val="20"/>
          <w:color w:val="auto"/>
        </w:rPr>
      </w:pPr>
    </w:p>
    <w:p>
      <w:pPr>
        <w:jc w:val="both"/>
        <w:ind w:left="840"/>
        <w:spacing w:after="0" w:line="257" w:lineRule="auto"/>
        <w:rPr>
          <w:sz w:val="20"/>
          <w:szCs w:val="20"/>
          <w:color w:val="auto"/>
        </w:rPr>
      </w:pPr>
      <w:r>
        <w:rPr>
          <w:rFonts w:ascii="Arial" w:cs="Arial" w:eastAsia="Arial" w:hAnsi="Arial"/>
          <w:sz w:val="20"/>
          <w:szCs w:val="20"/>
          <w:color w:val="auto"/>
        </w:rPr>
        <w:t>specified period of time. Conversions of a loan or portions thereof from the fixed rate mode are subject to certain notice provisions to NCSC and the payment of breakage costs.”</w:t>
      </w:r>
    </w:p>
    <w:p>
      <w:pPr>
        <w:spacing w:after="0" w:line="153"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color w:val="auto"/>
        </w:rPr>
        <w:t>The following is added to Schedule 1:</w:t>
      </w:r>
    </w:p>
    <w:p>
      <w:pPr>
        <w:spacing w:after="0" w:line="204" w:lineRule="exact"/>
        <w:rPr>
          <w:sz w:val="20"/>
          <w:szCs w:val="20"/>
          <w:color w:val="auto"/>
        </w:rPr>
      </w:pPr>
    </w:p>
    <w:p>
      <w:pPr>
        <w:jc w:val="both"/>
        <w:ind w:left="840"/>
        <w:spacing w:after="0" w:line="233" w:lineRule="auto"/>
        <w:rPr>
          <w:sz w:val="20"/>
          <w:szCs w:val="20"/>
          <w:color w:val="auto"/>
        </w:rPr>
      </w:pPr>
      <w:r>
        <w:rPr>
          <w:rFonts w:ascii="Arial" w:cs="Arial" w:eastAsia="Arial" w:hAnsi="Arial"/>
          <w:sz w:val="20"/>
          <w:szCs w:val="20"/>
          <w:color w:val="auto"/>
        </w:rPr>
        <w:t>“5. The Loan will continue to require interest-only payments at the current rate through June 30, 2026. Starting on July 1, 2026, the Loan will be subject to a quarterly repayment schedule using the level debt service, level principal amortization method or a principal repayment schedule mutually agreed upon by NCSC and Borrowers that is substantially similar to the principal amortization schedule detailed in Attachment A. Interest will continue to be billed quarterly while the principal balance on the Loan remains above $0.”</w:t>
      </w:r>
    </w:p>
    <w:p>
      <w:pPr>
        <w:spacing w:after="0" w:line="17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color w:val="auto"/>
        </w:rPr>
        <w:t>Section 6.04 of the Original Agreement is deleted in its entirety and replaced with:</w:t>
      </w:r>
    </w:p>
    <w:p>
      <w:pPr>
        <w:spacing w:after="0" w:line="202" w:lineRule="exact"/>
        <w:rPr>
          <w:sz w:val="20"/>
          <w:szCs w:val="20"/>
          <w:color w:val="auto"/>
        </w:rPr>
      </w:pPr>
    </w:p>
    <w:p>
      <w:pPr>
        <w:jc w:val="both"/>
        <w:ind w:left="84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Covenants.</w:t>
      </w:r>
      <w:r>
        <w:rPr>
          <w:rFonts w:ascii="Arial" w:cs="Arial" w:eastAsia="Arial" w:hAnsi="Arial"/>
          <w:sz w:val="20"/>
          <w:szCs w:val="20"/>
          <w:color w:val="auto"/>
        </w:rPr>
        <w:t xml:space="preserve"> Maintain a maximum Net Leverage Ratio of 7.00 through December 31, 2025, 5.00 as of December 31, 2026, 4.75 as of December 31, 2027, and 4.50 as of December 31, 2028, and each year thereafter, measured annually; and maintain a minimum Fixed Charge Coverage Ratio of 1.25 to 1:00 as of December 31, 2026, and each year thereafter, measured annually.”</w:t>
      </w:r>
    </w:p>
    <w:p>
      <w:pPr>
        <w:spacing w:after="0" w:line="17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color w:val="auto"/>
        </w:rPr>
        <w:t>Section 7.03 is deleted in its entirety and replaced with:</w:t>
      </w:r>
    </w:p>
    <w:p>
      <w:pPr>
        <w:spacing w:after="0" w:line="202" w:lineRule="exact"/>
        <w:rPr>
          <w:sz w:val="20"/>
          <w:szCs w:val="20"/>
          <w:color w:val="auto"/>
        </w:rPr>
      </w:pPr>
    </w:p>
    <w:p>
      <w:pPr>
        <w:jc w:val="both"/>
        <w:ind w:left="84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Dividends and Other Cash Distributions.</w:t>
      </w:r>
      <w:r>
        <w:rPr>
          <w:rFonts w:ascii="Arial" w:cs="Arial" w:eastAsia="Arial" w:hAnsi="Arial"/>
          <w:sz w:val="20"/>
          <w:szCs w:val="20"/>
          <w:color w:val="auto"/>
        </w:rPr>
        <w:t xml:space="preserve"> ATN shall not, in any one calendar year, without prior written consent of NCSC: (a) declare or pay any dividends or make any other distributions to its stockholders, members or partners with respect to its capital stock, membership interests or partnership interests; (b) purchase, redeem or retire any of its capital stock, membership interests or partnership interests; (c) make any cash principal or cash interest payments on account of any subordinated or junior lien debt, or (d) pay any management fees or if already paying a management fee that has been disclosed and agreed to by the NCSC prior to closing, pay an increase in such management fees (collectively, "Restricted Payments"), unless, on a pro forma basis immediately after giving effect to such Restricted Payment as if it was made on the last day of the most recently ended calendar month, (i) the Fixed Charge Coverage Ratio shall not be less than 1.25 to 1.00 as of the last day of the most recently ended calendar month and (ii) the Borrower shall be in compliance with the Net Leverage Ratio covenant above as if such covenant applied as of the last day of the most recently ended calendar month. In no event may ATN make any Restricted Payment when any Event of Default shall have occurred and be continuing at the time of any such Restricted Payment or would occur immediately after giving effect thereto as a result of such Restricted Payment. Notwithstanding the forgoing, (A) any direct or indirect wholly-owned Subsidiary of the Borrower may make Restricted Payments to the Borrower or another wholly-owned Subsidiary of the Borrower that is a Loan Party, (B) any direct or indirect Subsidiary of the Borrower may make, declare, order or pay pro rata cash dividends or distributions and (C) the Borrower or any direct or indirect Subsidiary of the Borrower may make dividends or distributions in the form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603250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326" w:lineRule="exact"/>
        <w:rPr>
          <w:sz w:val="20"/>
          <w:szCs w:val="20"/>
          <w:color w:val="auto"/>
        </w:rPr>
      </w:pPr>
    </w:p>
    <w:p>
      <w:pPr>
        <w:jc w:val="both"/>
        <w:ind w:left="1300" w:right="20"/>
        <w:spacing w:after="0" w:line="257" w:lineRule="auto"/>
        <w:rPr>
          <w:sz w:val="20"/>
          <w:szCs w:val="20"/>
          <w:color w:val="auto"/>
        </w:rPr>
      </w:pPr>
      <w:r>
        <w:rPr>
          <w:rFonts w:ascii="Arial" w:cs="Arial" w:eastAsia="Arial" w:hAnsi="Arial"/>
          <w:sz w:val="20"/>
          <w:szCs w:val="20"/>
          <w:color w:val="auto"/>
        </w:rPr>
        <w:t>Interests of such Person. The terms Restricted Payment, Loan Party, Equity Interests, and Event of Default will remain as defined in the existing Loan Agreement.”</w:t>
      </w:r>
    </w:p>
    <w:p>
      <w:pPr>
        <w:spacing w:after="0" w:line="153"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 xml:space="preserve">Section 4. Conditions to Amendment. </w:t>
      </w:r>
      <w:r>
        <w:rPr>
          <w:rFonts w:ascii="Arial" w:cs="Arial" w:eastAsia="Arial" w:hAnsi="Arial"/>
          <w:sz w:val="20"/>
          <w:szCs w:val="20"/>
          <w:color w:val="auto"/>
        </w:rPr>
        <w:t>The obligation of NCSC to enter into this Amendment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satisfaction of the following conditions:</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20"/>
          <w:szCs w:val="20"/>
          <w:b w:val="1"/>
          <w:bCs w:val="1"/>
          <w:color w:val="auto"/>
        </w:rPr>
        <w:t xml:space="preserve">4.1. Borrower Documents. </w:t>
      </w:r>
      <w:r>
        <w:rPr>
          <w:rFonts w:ascii="Arial" w:cs="Arial" w:eastAsia="Arial" w:hAnsi="Arial"/>
          <w:sz w:val="20"/>
          <w:szCs w:val="20"/>
          <w:color w:val="auto"/>
        </w:rPr>
        <w:t>NCSC shall have been furnished with (i) an executed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to NCSC, of this Amendment, and (ii) certified copies, satisfactory to NCSC, of all such organizational documents and proceedings of the Borrower authorizing the transactions hereby contemplated as NCSC shall require.</w:t>
      </w:r>
    </w:p>
    <w:p>
      <w:pPr>
        <w:spacing w:after="0" w:line="3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4.2 Government Approvals. </w:t>
      </w:r>
      <w:r>
        <w:rPr>
          <w:rFonts w:ascii="Arial" w:cs="Arial" w:eastAsia="Arial" w:hAnsi="Arial"/>
          <w:sz w:val="20"/>
          <w:szCs w:val="20"/>
          <w:color w:val="auto"/>
        </w:rPr>
        <w:t>The Borrower shall have furnished to NCSC true and correct copies of</w:t>
      </w:r>
      <w:r>
        <w:rPr>
          <w:rFonts w:ascii="Arial" w:cs="Arial" w:eastAsia="Arial" w:hAnsi="Arial"/>
          <w:sz w:val="20"/>
          <w:szCs w:val="20"/>
          <w:b w:val="1"/>
          <w:bCs w:val="1"/>
          <w:color w:val="auto"/>
        </w:rPr>
        <w:t xml:space="preserve"> </w:t>
      </w:r>
      <w:r>
        <w:rPr>
          <w:rFonts w:ascii="Arial" w:cs="Arial" w:eastAsia="Arial" w:hAnsi="Arial"/>
          <w:sz w:val="20"/>
          <w:szCs w:val="20"/>
          <w:color w:val="auto"/>
        </w:rPr>
        <w:t>all certificates, authorizations and consents necessary for the execution, delivery and performance by the Borrower of this Amendment.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Special Closing Conditions.</w:t>
      </w:r>
    </w:p>
    <w:p>
      <w:pPr>
        <w:spacing w:after="0" w:line="204" w:lineRule="exact"/>
        <w:rPr>
          <w:sz w:val="20"/>
          <w:szCs w:val="20"/>
          <w:color w:val="auto"/>
        </w:rPr>
      </w:pPr>
    </w:p>
    <w:p>
      <w:pPr>
        <w:jc w:val="both"/>
        <w:ind w:left="1300" w:firstLine="4"/>
        <w:spacing w:after="0" w:line="241" w:lineRule="auto"/>
        <w:tabs>
          <w:tab w:leader="none" w:pos="19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ATN and its subsidiaries shall have no indebtedness for borrowed money other than outstanding debt and commitments detailed in ATN's consolidated financial statements dated as of December 31, 2024.</w:t>
      </w:r>
    </w:p>
    <w:p>
      <w:pPr>
        <w:spacing w:after="0" w:line="63" w:lineRule="exact"/>
        <w:rPr>
          <w:rFonts w:ascii="Arial" w:cs="Arial" w:eastAsia="Arial" w:hAnsi="Arial"/>
          <w:sz w:val="20"/>
          <w:szCs w:val="20"/>
          <w:color w:val="auto"/>
        </w:rPr>
      </w:pPr>
    </w:p>
    <w:p>
      <w:pPr>
        <w:ind w:left="1300" w:right="20" w:firstLine="4"/>
        <w:spacing w:after="0" w:line="257" w:lineRule="auto"/>
        <w:tabs>
          <w:tab w:leader="none" w:pos="19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Execution and delivery of the credit documents in a form and content reasonably satisfactory to NCSC.</w:t>
      </w:r>
    </w:p>
    <w:p>
      <w:pPr>
        <w:spacing w:after="0" w:line="47" w:lineRule="exact"/>
        <w:rPr>
          <w:rFonts w:ascii="Arial" w:cs="Arial" w:eastAsia="Arial" w:hAnsi="Arial"/>
          <w:sz w:val="20"/>
          <w:szCs w:val="20"/>
          <w:color w:val="auto"/>
        </w:rPr>
      </w:pPr>
    </w:p>
    <w:p>
      <w:pPr>
        <w:ind w:left="1960" w:hanging="656"/>
        <w:spacing w:after="0"/>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Evidence of all necessary regulatory, government and/or third party approvals.</w:t>
      </w:r>
    </w:p>
    <w:p>
      <w:pPr>
        <w:spacing w:after="0" w:line="80" w:lineRule="exact"/>
        <w:rPr>
          <w:rFonts w:ascii="Arial" w:cs="Arial" w:eastAsia="Arial" w:hAnsi="Arial"/>
          <w:sz w:val="20"/>
          <w:szCs w:val="20"/>
          <w:color w:val="auto"/>
        </w:rPr>
      </w:pPr>
    </w:p>
    <w:p>
      <w:pPr>
        <w:jc w:val="both"/>
        <w:ind w:left="1300" w:firstLine="4"/>
        <w:spacing w:after="0" w:line="241" w:lineRule="auto"/>
        <w:tabs>
          <w:tab w:leader="none" w:pos="19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Confirmation of representations and warranties, including that there has been no material adverse change in the business, condition (financial or otherwise), operations, performance, properties or prospects of the Borrower and its subsidiaries.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Section 5. Effectiveness of Amendment. </w:t>
      </w:r>
      <w:r>
        <w:rPr>
          <w:rFonts w:ascii="Arial" w:cs="Arial" w:eastAsia="Arial" w:hAnsi="Arial"/>
          <w:sz w:val="20"/>
          <w:szCs w:val="20"/>
          <w:color w:val="auto"/>
        </w:rPr>
        <w:t>This Amendment and the terms hereof shall be effective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the Borrower has fulfilled the conditions set forth in Section 4 hereof.</w:t>
      </w:r>
    </w:p>
    <w:p>
      <w:pPr>
        <w:spacing w:after="0" w:line="152" w:lineRule="exact"/>
        <w:rPr>
          <w:sz w:val="20"/>
          <w:szCs w:val="20"/>
          <w:color w:val="auto"/>
        </w:rPr>
      </w:pPr>
    </w:p>
    <w:p>
      <w:pPr>
        <w:spacing w:after="0"/>
        <w:tabs>
          <w:tab w:leader="none" w:pos="1280" w:val="left"/>
          <w:tab w:leader="none" w:pos="484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20"/>
          <w:szCs w:val="20"/>
          <w:b w:val="1"/>
          <w:bCs w:val="1"/>
          <w:color w:val="auto"/>
        </w:rPr>
        <w:t>Representations and Warranties.</w:t>
      </w:r>
      <w:r>
        <w:rPr>
          <w:sz w:val="20"/>
          <w:szCs w:val="20"/>
          <w:color w:val="auto"/>
        </w:rPr>
        <w:tab/>
      </w:r>
      <w:r>
        <w:rPr>
          <w:rFonts w:ascii="Arial" w:cs="Arial" w:eastAsia="Arial" w:hAnsi="Arial"/>
          <w:sz w:val="20"/>
          <w:szCs w:val="20"/>
          <w:color w:val="auto"/>
        </w:rPr>
        <w:t>As a further inducement for NCSC to enter into this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Amendment, the Borrower represents and warrants that:</w:t>
      </w:r>
    </w:p>
    <w:p>
      <w:pPr>
        <w:spacing w:after="0" w:line="182"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b w:val="1"/>
          <w:bCs w:val="1"/>
          <w:color w:val="auto"/>
        </w:rPr>
        <w:t xml:space="preserve">6.1 Good Standing. </w:t>
      </w:r>
      <w:r>
        <w:rPr>
          <w:rFonts w:ascii="Arial" w:cs="Arial" w:eastAsia="Arial" w:hAnsi="Arial"/>
          <w:sz w:val="20"/>
          <w:szCs w:val="20"/>
          <w:color w:val="auto"/>
        </w:rPr>
        <w:t>The Borrower is a corporation organized and validly existing and in good</w:t>
      </w:r>
      <w:r>
        <w:rPr>
          <w:rFonts w:ascii="Arial" w:cs="Arial" w:eastAsia="Arial" w:hAnsi="Arial"/>
          <w:sz w:val="20"/>
          <w:szCs w:val="20"/>
          <w:b w:val="1"/>
          <w:bCs w:val="1"/>
          <w:color w:val="auto"/>
        </w:rPr>
        <w:t xml:space="preserve"> </w:t>
      </w:r>
      <w:r>
        <w:rPr>
          <w:rFonts w:ascii="Arial" w:cs="Arial" w:eastAsia="Arial" w:hAnsi="Arial"/>
          <w:sz w:val="20"/>
          <w:szCs w:val="20"/>
          <w:color w:val="auto"/>
        </w:rPr>
        <w:t>standing under the laws of the state of its incorporation, is duly qualified in those states in which it is required to be qualified to conduct its business and has power to enter into and perform this Amendment.</w:t>
      </w:r>
    </w:p>
    <w:p>
      <w:pPr>
        <w:spacing w:after="0" w:line="16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auto"/>
        </w:rPr>
        <w:t xml:space="preserve">6.2 Authority; Validity. </w:t>
      </w:r>
      <w:r>
        <w:rPr>
          <w:rFonts w:ascii="Arial" w:cs="Arial" w:eastAsia="Arial" w:hAnsi="Arial"/>
          <w:sz w:val="20"/>
          <w:szCs w:val="20"/>
          <w:color w:val="auto"/>
        </w:rPr>
        <w:t>The execution, delivery and performance by the Borrower of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performance hereof, have been duly authorized by all necessary corporate action and will not violate any provision of law or of the articles of incorporation or bylaws of the Borrower, or result in a breach of, or constitute a default under, any agreement, indenture or other instrument to which the Borrower is a party or by which it may be bound. The individual executing this Amendment has been duly authorized to act on behalf of the Borrower and has the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authority to bind the Borrower to the terms hereof without further action of, and without obtaining any additional approvals from, the Borrower’s governing body or any other person or entity.</w:t>
      </w:r>
    </w:p>
    <w:p>
      <w:pPr>
        <w:spacing w:after="0" w:line="15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This Amendment is, and when fully executed and delivered will be, legal, valid and binding upon the Borrower and enforceable against the Borrower in accordance with its terms, subject to applicable bankruptcy, insolvency, reorganization, moratorium or other laws affecting creditors’ rights generally and subject to general principles of equity.</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6.3 Material Adverse Change. </w:t>
      </w:r>
      <w:r>
        <w:rPr>
          <w:rFonts w:ascii="Arial" w:cs="Arial" w:eastAsia="Arial" w:hAnsi="Arial"/>
          <w:sz w:val="20"/>
          <w:szCs w:val="20"/>
          <w:color w:val="auto"/>
        </w:rPr>
        <w:t>There has been no material adverse change in the financial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or operations of the Borrower since the date of the Original Agreement, except as set forth in the most recent financial statements submitted to NCSC or as otherwise disclosed in writing to NCSC prior to the date hereof.</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b w:val="1"/>
          <w:bCs w:val="1"/>
          <w:color w:val="auto"/>
        </w:rPr>
        <w:t xml:space="preserve">6.4 REQUIRED APPROVALS. </w:t>
      </w:r>
      <w:r>
        <w:rPr>
          <w:rFonts w:ascii="Arial" w:cs="Arial" w:eastAsia="Arial" w:hAnsi="Arial"/>
          <w:sz w:val="20"/>
          <w:szCs w:val="20"/>
          <w:color w:val="auto"/>
        </w:rPr>
        <w:t>NO LICENSE, CONSENT OR APPROVAL OF ANY</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AGENCY OR AUTHORITY IS REQUIRED TO ENABLE THE BORROWER TO ENTER INTO THIS AMENDMENT, OR TO PERFORM ANY OF THE OBLIGATIONS PROVIDED FOR HEREIN, EXCEPT AS HAVE BEEN OBTAINED BY THE BORROWER AND DELIVERED TO NCSC PRIOR TO THE DATE HEREOF.</w:t>
      </w:r>
    </w:p>
    <w:p>
      <w:pPr>
        <w:spacing w:after="0" w:line="17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b w:val="1"/>
          <w:bCs w:val="1"/>
          <w:color w:val="auto"/>
        </w:rPr>
        <w:t xml:space="preserve">6.5 Prior Representations and Warranties. </w:t>
      </w:r>
      <w:r>
        <w:rPr>
          <w:rFonts w:ascii="Arial" w:cs="Arial" w:eastAsia="Arial" w:hAnsi="Arial"/>
          <w:sz w:val="20"/>
          <w:szCs w:val="20"/>
          <w:color w:val="auto"/>
        </w:rPr>
        <w:t>All representations and warranties made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in the Original Agreement are true and correct as of the date hereof.</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9"/>
          <w:szCs w:val="19"/>
          <w:b w:val="1"/>
          <w:bCs w:val="1"/>
          <w:color w:val="auto"/>
        </w:rPr>
        <w:t>Miscellaneous.</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7.1 Modification. </w:t>
      </w:r>
      <w:r>
        <w:rPr>
          <w:rFonts w:ascii="Arial" w:cs="Arial" w:eastAsia="Arial" w:hAnsi="Arial"/>
          <w:sz w:val="20"/>
          <w:szCs w:val="20"/>
          <w:color w:val="auto"/>
        </w:rPr>
        <w:t>No modification or waiver of any provision of this Amendment, and no consent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departure by Borrower therefrom, shall in any event be effective unless the same shall be in writing by the party granting such modification, waiver or consent.</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7.2 Merger and Integration. </w:t>
      </w:r>
      <w:r>
        <w:rPr>
          <w:rFonts w:ascii="Arial" w:cs="Arial" w:eastAsia="Arial" w:hAnsi="Arial"/>
          <w:sz w:val="20"/>
          <w:szCs w:val="20"/>
          <w:color w:val="auto"/>
        </w:rPr>
        <w:t>This Amendment, the Original Agreement and the matters 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by reference contain the entire agreement of the parties hereto with respect to the matters covered and the transactions contemplated hereby.</w:t>
      </w:r>
    </w:p>
    <w:p>
      <w:pPr>
        <w:spacing w:after="0" w:line="1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auto"/>
        </w:rPr>
        <w:t xml:space="preserve">7.3 Incorporation; Inconsistency with Original Agreement. </w:t>
      </w:r>
      <w:r>
        <w:rPr>
          <w:rFonts w:ascii="Arial" w:cs="Arial" w:eastAsia="Arial" w:hAnsi="Arial"/>
          <w:sz w:val="20"/>
          <w:szCs w:val="20"/>
          <w:color w:val="auto"/>
        </w:rPr>
        <w:t>Except as otherwise amended or</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herein, the terms, conditions and provisions of the Original Agreement are incorporated herein by reference as if set forth in full herein and remain in full force and effect. In the event of any conflict or inconsistency between the terms of this Amendment and the Original Agreement, the terms of this Amendment shall control.</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9"/>
          <w:szCs w:val="19"/>
          <w:b w:val="1"/>
          <w:bCs w:val="1"/>
          <w:color w:val="auto"/>
        </w:rPr>
        <w:t>GOVERNING LAW; SUBMISSION TO JURISDICTION; WAIVER OF JURY TRIAL.</w:t>
      </w:r>
    </w:p>
    <w:p>
      <w:pPr>
        <w:spacing w:after="0" w:line="204" w:lineRule="exact"/>
        <w:rPr>
          <w:sz w:val="20"/>
          <w:szCs w:val="20"/>
          <w:color w:val="auto"/>
        </w:rPr>
      </w:pPr>
    </w:p>
    <w:p>
      <w:pPr>
        <w:ind w:right="20" w:firstLine="656"/>
        <w:spacing w:after="0" w:line="257" w:lineRule="auto"/>
        <w:tabs>
          <w:tab w:leader="none" w:pos="97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PERFORMANCE AND CONSTRUCTION OF THIS AMENDMENT SHALL BE GOVERNED BY, AND CONSTRUED IN ACCORDANCE WITH, THE LAWS OF THE STATE of NEW YORK.</w:t>
      </w:r>
    </w:p>
    <w:p>
      <w:pPr>
        <w:spacing w:after="0" w:line="155" w:lineRule="exact"/>
        <w:rPr>
          <w:rFonts w:ascii="Arial" w:cs="Arial" w:eastAsia="Arial" w:hAnsi="Arial"/>
          <w:sz w:val="20"/>
          <w:szCs w:val="20"/>
          <w:color w:val="auto"/>
        </w:rPr>
      </w:pPr>
    </w:p>
    <w:p>
      <w:pPr>
        <w:jc w:val="both"/>
        <w:ind w:firstLine="656"/>
        <w:spacing w:after="0" w:line="233" w:lineRule="auto"/>
        <w:tabs>
          <w:tab w:leader="none" w:pos="97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BORROWER HEREBY SUBMITS TO THE NON-EXCLUSIVE JURISDICTION OF THE UNITED STATES COURTS LOCATED IN VIRGINIA AND OF ANY STATE COURT SO LOCATED FOR PURPOSES OF ALL LEGAL PROCEEDINGS ARISING OUT OF OR RELATING TO THIS AMENDMENT OR THE TRANSACTIONS CONTEMPLATED HEREBY. THE BORROWER IRREVOCABLY WAIVES, TO THE FULLEST EXTENT PERMITTED BY APPLICABLE LAW, ANY OBJECTIONS THAT IT MAY NOW OR HEREAFTER HAVE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ESTABLISHING OF THE VENUE OF ANY SUCH PROCEEDINGS BROUGHT IN SUCH A COURT AND ANY CLAIM THAT ANY SUCH PROCEEDING HAS BEEN BROUGHT IN AN INCONVENIENT FORUM.</w:t>
      </w:r>
    </w:p>
    <w:p>
      <w:pPr>
        <w:spacing w:after="0" w:line="155" w:lineRule="exact"/>
        <w:rPr>
          <w:sz w:val="20"/>
          <w:szCs w:val="20"/>
          <w:color w:val="auto"/>
        </w:rPr>
      </w:pPr>
    </w:p>
    <w:p>
      <w:pPr>
        <w:jc w:val="both"/>
        <w:ind w:firstLine="656"/>
        <w:spacing w:after="0" w:line="237" w:lineRule="auto"/>
        <w:tabs>
          <w:tab w:leader="none" w:pos="1041"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BORROWER AND NCSC EACH HEREBY IRREVOCABLY WAIVES, TO THE FULLEST EXTENT PERMITTED BY APPLICABLE LAW, ANY AND ALL RIGHT TO TRIAL BY JURY IN ANY LEGAL PROCEEDING ARISING OUT OF OR RELATING TO THIS AMENDMENT OR THE TRANSACTIONS CONTEMPLATED HEREBY.</w:t>
      </w:r>
    </w:p>
    <w:p>
      <w:pPr>
        <w:spacing w:after="0" w:line="17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b w:val="1"/>
          <w:bCs w:val="1"/>
          <w:color w:val="auto"/>
        </w:rPr>
        <w:t xml:space="preserve">7.5 Counterparts. </w:t>
      </w:r>
      <w:r>
        <w:rPr>
          <w:rFonts w:ascii="Arial" w:cs="Arial" w:eastAsia="Arial" w:hAnsi="Arial"/>
          <w:sz w:val="20"/>
          <w:szCs w:val="20"/>
          <w:color w:val="auto"/>
        </w:rPr>
        <w:t>This Amendment may be executed in one or more counterparts, each of which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an original and all of which together will constitute one and the same document. Signature pages may be detached from the counterparts and attached to a single copy of this Amendment to physically form one document. The Borrower and NCSC agree to electronic contracting and signatures (including DocuSign, Adobe Sign and other electronic platforms acceptable to each party) with respect to this Amendment. Delivery of an electronic signature to, or a signed copy of, this Amendment by facsimile, e-mail (e.g., “pdf” or “tif”) or other electronic transmission shall be fully binding on the parties to the same extent as the delivery of the manually signed originals and shall be admissible into evidence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750570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Amendment to be executed as of the day</w:t>
      </w:r>
      <w:r>
        <w:rPr>
          <w:rFonts w:ascii="Arial" w:cs="Arial" w:eastAsia="Arial" w:hAnsi="Arial"/>
          <w:sz w:val="20"/>
          <w:szCs w:val="20"/>
          <w:b w:val="1"/>
          <w:bCs w:val="1"/>
          <w:color w:val="auto"/>
        </w:rPr>
        <w:t xml:space="preserve"> </w:t>
      </w:r>
      <w:r>
        <w:rPr>
          <w:rFonts w:ascii="Arial" w:cs="Arial" w:eastAsia="Arial" w:hAnsi="Arial"/>
          <w:sz w:val="20"/>
          <w:szCs w:val="20"/>
          <w:color w:val="auto"/>
        </w:rPr>
        <w:t>and year first above written.</w:t>
      </w:r>
    </w:p>
    <w:p>
      <w:pPr>
        <w:spacing w:after="0" w:line="383"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ATN VI HOLDINGS, LLC</w:t>
      </w:r>
    </w:p>
    <w:p>
      <w:pPr>
        <w:spacing w:after="0" w:line="200" w:lineRule="exact"/>
        <w:rPr>
          <w:sz w:val="20"/>
          <w:szCs w:val="20"/>
          <w:color w:val="auto"/>
        </w:rPr>
      </w:pPr>
    </w:p>
    <w:p>
      <w:pPr>
        <w:spacing w:after="0" w:line="218"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Carlos R. Doglioi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23571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2357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Attest: /s/ Michele Satrowsky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5080</wp:posOffset>
            </wp:positionV>
            <wp:extent cx="2486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Title:</w:t>
        <w:tab/>
        <w:t>VP - Corporate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5080</wp:posOffset>
            </wp:positionV>
            <wp:extent cx="24860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CARIBBEAN ASSET HOLDINGS LLC</w:t>
      </w:r>
    </w:p>
    <w:p>
      <w:pPr>
        <w:spacing w:after="0" w:line="200" w:lineRule="exact"/>
        <w:rPr>
          <w:sz w:val="20"/>
          <w:szCs w:val="20"/>
          <w:color w:val="auto"/>
        </w:rPr>
      </w:pPr>
    </w:p>
    <w:p>
      <w:pPr>
        <w:spacing w:after="0" w:line="218"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Carlos R. Doglioi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23571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23571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Attest: /s/ Michele Satrowsky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5080</wp:posOffset>
            </wp:positionV>
            <wp:extent cx="24860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Title:</w:t>
        <w:tab/>
        <w:t>VP - Corporate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5080</wp:posOffset>
            </wp:positionV>
            <wp:extent cx="24860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NATIONAL COOPERATIVE SERVICES</w:t>
      </w:r>
    </w:p>
    <w:p>
      <w:pPr>
        <w:ind w:left="5320"/>
        <w:spacing w:after="0" w:line="229" w:lineRule="auto"/>
        <w:rPr>
          <w:sz w:val="20"/>
          <w:szCs w:val="20"/>
          <w:color w:val="auto"/>
        </w:rPr>
      </w:pPr>
      <w:r>
        <w:rPr>
          <w:rFonts w:ascii="Arial" w:cs="Arial" w:eastAsia="Arial" w:hAnsi="Arial"/>
          <w:sz w:val="20"/>
          <w:szCs w:val="20"/>
          <w:color w:val="auto"/>
        </w:rPr>
        <w:t>CORPORATION (successor in interest to</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Rural Telephone Finance Cooperative)</w:t>
      </w:r>
    </w:p>
    <w:p>
      <w:pPr>
        <w:spacing w:after="0" w:line="184" w:lineRule="exact"/>
        <w:rPr>
          <w:sz w:val="20"/>
          <w:szCs w:val="20"/>
          <w:color w:val="auto"/>
        </w:rPr>
      </w:pPr>
    </w:p>
    <w:p>
      <w:pPr>
        <w:ind w:left="5320"/>
        <w:spacing w:after="0"/>
        <w:tabs>
          <w:tab w:leader="none" w:pos="6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Laura Kiff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5080</wp:posOffset>
            </wp:positionV>
            <wp:extent cx="23571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0"/>
          <w:szCs w:val="20"/>
          <w:color w:val="auto"/>
        </w:rPr>
        <w:t>Assistant Secretary-Treasurer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Attest: /s/ Aamer Arshad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5080</wp:posOffset>
            </wp:positionV>
            <wp:extent cx="24860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Assistant Secretary-Treasurer</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Loan Number: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880" w:hanging="438"/>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10, 2025</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W. Martin</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880" w:hanging="438"/>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67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10, 2025</w:t>
            </w:r>
          </w:p>
        </w:tc>
        <w:tc>
          <w:tcPr>
            <w:tcW w:w="67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c>
          <w:tcPr>
            <w:tcW w:w="2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92" w:name="page93"/>
    <w:bookmarkEnd w:id="9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7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September 30, 2025 as filed with the Securities and Exchange Commission on the date hereof (the “Report”), I, Brad W. Martin,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7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57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By:/s/ Brad W. Martin</w:t>
            </w:r>
          </w:p>
        </w:tc>
      </w:tr>
      <w:tr>
        <w:trPr>
          <w:trHeight w:val="191"/>
        </w:trPr>
        <w:tc>
          <w:tcPr>
            <w:tcW w:w="3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3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259" w:firstLine="441"/>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ATN International, Inc. (the “Company”) for the period ended September 30, 2025 as filed with the Securities and Exchange Commission on the date hereof (the “Report”), I, Carlos R. Doglioli, Chief Financial Officer of the Company, certify, pursuant to 18 U.S.C. § 1350, as adopted pursuant to</w:t>
      </w:r>
    </w:p>
    <w:p>
      <w:pPr>
        <w:spacing w:after="0" w:line="2" w:lineRule="exact"/>
        <w:rPr>
          <w:sz w:val="20"/>
          <w:szCs w:val="20"/>
          <w:color w:val="auto"/>
        </w:rPr>
      </w:pPr>
    </w:p>
    <w:p>
      <w:pPr>
        <w:ind w:left="180" w:hanging="136"/>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206" w:lineRule="exact"/>
        <w:rPr>
          <w:rFonts w:ascii="Times New Roman" w:cs="Times New Roman" w:eastAsia="Times New Roman" w:hAnsi="Times New Roman"/>
          <w:sz w:val="18"/>
          <w:szCs w:val="18"/>
          <w:color w:val="auto"/>
        </w:rPr>
      </w:pPr>
    </w:p>
    <w:p>
      <w:pPr>
        <w:ind w:left="900" w:right="299" w:hanging="424"/>
        <w:spacing w:after="0" w:line="282"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5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3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0"/>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Roman"/>
      <w:start w:val="2"/>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lowerRoman"/>
      <w:start w:val="2"/>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lvl w:ilvl="1">
      <w:lvlJc w:val="left"/>
      <w:lvlText w:val="(%2)"/>
      <w:numFmt w:val="decimal"/>
      <w:start w:val="1"/>
    </w:lvl>
  </w:abstractNum>
  <w:abstractNum w:abstractNumId="18">
    <w:nsid w:val="2463B9EA"/>
    <w:multiLevelType w:val="hybridMultilevel"/>
    <w:lvl w:ilvl="0">
      <w:lvlJc w:val="left"/>
      <w:lvlText w:val="%1."/>
      <w:numFmt w:val="decimal"/>
      <w:start w:val="14"/>
    </w:lvl>
    <w:lvl w:ilvl="1">
      <w:lvlJc w:val="left"/>
      <w:lvlText w:val="%2"/>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
      <w:numFmt w:val="bullet"/>
      <w:start w:val="1"/>
    </w:lvl>
    <w:lvl w:ilvl="1">
      <w:lvlJc w:val="left"/>
      <w:lvlText w:val="%2"/>
      <w:numFmt w:val="decimal"/>
      <w:start w:val="104"/>
    </w:lvl>
  </w:abstractNum>
  <w:abstractNum w:abstractNumId="48">
    <w:nsid w:val="520EEDD1"/>
    <w:multiLevelType w:val="hybridMultilevel"/>
    <w:lvl w:ilvl="0">
      <w:lvlJc w:val="left"/>
      <w:lvlText w:val="**"/>
      <w:numFmt w:val="bullet"/>
      <w:start w:val="1"/>
    </w:lvl>
    <w:lvl w:ilvl="1">
      <w:lvlJc w:val="left"/>
      <w:lvlText w:val="%2"/>
      <w:numFmt w:val="decimal"/>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upperLetter"/>
      <w:start w:val="1"/>
    </w:lvl>
  </w:abstractNum>
  <w:abstractNum w:abstractNumId="51">
    <w:nsid w:val="23F9C13C"/>
    <w:multiLevelType w:val="hybridMultilevel"/>
    <w:lvl w:ilvl="0">
      <w:lvlJc w:val="left"/>
      <w:lvlText w:val="(%1)"/>
      <w:numFmt w:val="upperLetter"/>
      <w:start w:val="3"/>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4">
    <w:nsid w:val="3938657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5">
    <w:nsid w:val="1CF10FD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2025-11-10T15:00:39Z</dcterms:created>
  <dcterms:modified xsi:type="dcterms:W3CDTF">2025-11-10T15:00:39Z</dcterms:modified>
</cp:coreProperties>
</file>