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85090</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106680</wp:posOffset>
            </wp:positionV>
            <wp:extent cx="16344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23" w:lineRule="exact"/>
        <w:rPr>
          <w:sz w:val="24"/>
          <w:szCs w:val="24"/>
          <w:color w:val="auto"/>
        </w:rPr>
      </w:pPr>
    </w:p>
    <w:p>
      <w:pPr>
        <w:ind w:left="680" w:hanging="392"/>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quarterly period ended September 30, 2024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82" w:lineRule="exact"/>
        <w:rPr>
          <w:sz w:val="24"/>
          <w:szCs w:val="24"/>
          <w:color w:val="auto"/>
        </w:rPr>
      </w:pPr>
    </w:p>
    <w:tbl>
      <w:tblPr>
        <w:tblLayout w:type="fixed"/>
        <w:tblInd w:w="260" w:type="dxa"/>
        <w:tblCellMar>
          <w:top w:w="0" w:type="dxa"/>
          <w:left w:w="0" w:type="dxa"/>
          <w:bottom w:w="0" w:type="dxa"/>
          <w:right w:w="0" w:type="dxa"/>
        </w:tblCellMar>
      </w:tblPr>
      <w:tr>
        <w:trPr>
          <w:trHeight w:val="222"/>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highlight w:val="black"/>
              </w:rPr>
              <w:t>☐</w:t>
            </w:r>
          </w:p>
        </w:tc>
        <w:tc>
          <w:tcPr>
            <w:tcW w:w="686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r>
      <w:tr>
        <w:trPr>
          <w:trHeight w:val="174"/>
        </w:trPr>
        <w:tc>
          <w:tcPr>
            <w:tcW w:w="280" w:type="dxa"/>
            <w:vAlign w:val="bottom"/>
          </w:tcPr>
          <w:p>
            <w:pPr>
              <w:spacing w:after="0"/>
              <w:rPr>
                <w:sz w:val="15"/>
                <w:szCs w:val="15"/>
                <w:color w:val="auto"/>
              </w:rPr>
            </w:pPr>
          </w:p>
        </w:tc>
        <w:tc>
          <w:tcPr>
            <w:tcW w:w="4720" w:type="dxa"/>
            <w:vAlign w:val="bottom"/>
          </w:tcPr>
          <w:p>
            <w:pPr>
              <w:ind w:left="3260"/>
              <w:spacing w:after="0"/>
              <w:rPr>
                <w:sz w:val="20"/>
                <w:szCs w:val="20"/>
                <w:color w:val="auto"/>
              </w:rPr>
            </w:pPr>
            <w:r>
              <w:rPr>
                <w:rFonts w:ascii="Times New Roman" w:cs="Times New Roman" w:eastAsia="Times New Roman" w:hAnsi="Times New Roman"/>
                <w:sz w:val="11"/>
                <w:szCs w:val="11"/>
                <w:b w:val="1"/>
                <w:bCs w:val="1"/>
                <w:color w:val="auto"/>
              </w:rPr>
              <w:t>For the transition period from</w:t>
            </w:r>
          </w:p>
        </w:tc>
        <w:tc>
          <w:tcPr>
            <w:tcW w:w="340" w:type="dxa"/>
            <w:vAlign w:val="bottom"/>
            <w:tcBorders>
              <w:bottom w:val="single" w:sz="8" w:color="auto"/>
            </w:tcBorders>
          </w:tcPr>
          <w:p>
            <w:pPr>
              <w:spacing w:after="0"/>
              <w:rPr>
                <w:sz w:val="15"/>
                <w:szCs w:val="15"/>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to</w:t>
            </w:r>
          </w:p>
        </w:tc>
        <w:tc>
          <w:tcPr>
            <w:tcW w:w="34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r>
      <w:tr>
        <w:trPr>
          <w:trHeight w:val="237"/>
        </w:trPr>
        <w:tc>
          <w:tcPr>
            <w:tcW w:w="280" w:type="dxa"/>
            <w:vAlign w:val="bottom"/>
          </w:tcPr>
          <w:p>
            <w:pPr>
              <w:spacing w:after="0"/>
              <w:rPr>
                <w:sz w:val="20"/>
                <w:szCs w:val="20"/>
                <w:color w:val="auto"/>
              </w:rPr>
            </w:pPr>
          </w:p>
        </w:tc>
        <w:tc>
          <w:tcPr>
            <w:tcW w:w="6860" w:type="dxa"/>
            <w:vAlign w:val="bottom"/>
            <w:gridSpan w:val="5"/>
          </w:tcPr>
          <w:p>
            <w:pPr>
              <w:ind w:left="3760"/>
              <w:spacing w:after="0"/>
              <w:rPr>
                <w:sz w:val="20"/>
                <w:szCs w:val="20"/>
                <w:color w:val="auto"/>
              </w:rPr>
            </w:pPr>
            <w:r>
              <w:rPr>
                <w:rFonts w:ascii="Times New Roman" w:cs="Times New Roman" w:eastAsia="Times New Roman" w:hAnsi="Times New Roman"/>
                <w:sz w:val="11"/>
                <w:szCs w:val="11"/>
                <w:b w:val="1"/>
                <w:bCs w:val="1"/>
                <w:color w:val="auto"/>
              </w:rPr>
              <w:t>Commission File Number 001-12593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wp:posOffset>
            </wp:positionH>
            <wp:positionV relativeFrom="paragraph">
              <wp:posOffset>-385445</wp:posOffset>
            </wp:positionV>
            <wp:extent cx="22860" cy="9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60" cy="9144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111125</wp:posOffset>
            </wp:positionV>
            <wp:extent cx="16344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286" w:lineRule="exact"/>
        <w:rPr>
          <w:sz w:val="24"/>
          <w:szCs w:val="24"/>
          <w:color w:val="auto"/>
        </w:rPr>
      </w:pPr>
    </w:p>
    <w:tbl>
      <w:tblPr>
        <w:tblLayout w:type="fixed"/>
        <w:tblInd w:w="1500" w:type="dxa"/>
        <w:tblCellMar>
          <w:top w:w="0" w:type="dxa"/>
          <w:left w:w="0" w:type="dxa"/>
          <w:bottom w:w="0" w:type="dxa"/>
          <w:right w:w="0" w:type="dxa"/>
        </w:tblCellMar>
      </w:tblPr>
      <w:tr>
        <w:trPr>
          <w:trHeight w:val="265"/>
        </w:trPr>
        <w:tc>
          <w:tcPr>
            <w:tcW w:w="2020" w:type="dxa"/>
            <w:vAlign w:val="bottom"/>
          </w:tcPr>
          <w:p>
            <w:pPr>
              <w:spacing w:after="0"/>
              <w:rPr>
                <w:sz w:val="23"/>
                <w:szCs w:val="23"/>
                <w:color w:val="auto"/>
              </w:rPr>
            </w:pPr>
          </w:p>
        </w:tc>
        <w:tc>
          <w:tcPr>
            <w:tcW w:w="320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ATN INTERNATIONAL, INC.</w:t>
            </w:r>
          </w:p>
        </w:tc>
        <w:tc>
          <w:tcPr>
            <w:tcW w:w="2060" w:type="dxa"/>
            <w:vAlign w:val="bottom"/>
          </w:tcPr>
          <w:p>
            <w:pPr>
              <w:spacing w:after="0"/>
              <w:rPr>
                <w:sz w:val="23"/>
                <w:szCs w:val="23"/>
                <w:color w:val="auto"/>
              </w:rPr>
            </w:pPr>
          </w:p>
        </w:tc>
      </w:tr>
      <w:tr>
        <w:trPr>
          <w:trHeight w:val="140"/>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color w:val="auto"/>
                <w:w w:val="98"/>
              </w:rPr>
              <w:t>(Exact name of registrant as specified in its charter)</w:t>
            </w:r>
          </w:p>
        </w:tc>
        <w:tc>
          <w:tcPr>
            <w:tcW w:w="2060" w:type="dxa"/>
            <w:vAlign w:val="bottom"/>
          </w:tcPr>
          <w:p>
            <w:pPr>
              <w:spacing w:after="0"/>
              <w:rPr>
                <w:sz w:val="12"/>
                <w:szCs w:val="12"/>
                <w:color w:val="auto"/>
              </w:rPr>
            </w:pPr>
          </w:p>
        </w:tc>
      </w:tr>
      <w:tr>
        <w:trPr>
          <w:trHeight w:val="182"/>
        </w:trPr>
        <w:tc>
          <w:tcPr>
            <w:tcW w:w="2020" w:type="dxa"/>
            <w:vAlign w:val="bottom"/>
          </w:tcPr>
          <w:p>
            <w:pPr>
              <w:jc w:val="center"/>
              <w:ind w:left="77"/>
              <w:spacing w:after="0"/>
              <w:rPr>
                <w:sz w:val="20"/>
                <w:szCs w:val="20"/>
                <w:color w:val="auto"/>
              </w:rPr>
            </w:pPr>
            <w:r>
              <w:rPr>
                <w:rFonts w:ascii="Times New Roman" w:cs="Times New Roman" w:eastAsia="Times New Roman" w:hAnsi="Times New Roman"/>
                <w:sz w:val="8"/>
                <w:szCs w:val="8"/>
                <w:b w:val="1"/>
                <w:bCs w:val="1"/>
                <w:color w:val="auto"/>
              </w:rPr>
              <w:t>Delaware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right"/>
              <w:ind w:right="818"/>
              <w:spacing w:after="0"/>
              <w:rPr>
                <w:sz w:val="20"/>
                <w:szCs w:val="20"/>
                <w:color w:val="auto"/>
              </w:rPr>
            </w:pPr>
            <w:r>
              <w:rPr>
                <w:rFonts w:ascii="Times New Roman" w:cs="Times New Roman" w:eastAsia="Times New Roman" w:hAnsi="Times New Roman"/>
                <w:sz w:val="8"/>
                <w:szCs w:val="8"/>
                <w:b w:val="1"/>
                <w:bCs w:val="1"/>
                <w:color w:val="auto"/>
              </w:rPr>
              <w:t>47-0728886</w:t>
            </w:r>
          </w:p>
        </w:tc>
      </w:tr>
      <w:tr>
        <w:trPr>
          <w:trHeight w:val="90"/>
        </w:trPr>
        <w:tc>
          <w:tcPr>
            <w:tcW w:w="2020" w:type="dxa"/>
            <w:vAlign w:val="bottom"/>
          </w:tcPr>
          <w:p>
            <w:pPr>
              <w:jc w:val="center"/>
              <w:ind w:left="197"/>
              <w:spacing w:after="0" w:line="90" w:lineRule="exact"/>
              <w:rPr>
                <w:sz w:val="20"/>
                <w:szCs w:val="20"/>
                <w:color w:val="auto"/>
              </w:rPr>
            </w:pPr>
            <w:r>
              <w:rPr>
                <w:rFonts w:ascii="Times New Roman" w:cs="Times New Roman" w:eastAsia="Times New Roman" w:hAnsi="Times New Roman"/>
                <w:sz w:val="8"/>
                <w:szCs w:val="8"/>
                <w:color w:val="auto"/>
              </w:rPr>
              <w:t>(State or other jurisdiction of</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tcPr>
          <w:p>
            <w:pPr>
              <w:jc w:val="center"/>
              <w:ind w:right="18"/>
              <w:spacing w:after="0" w:line="90" w:lineRule="exact"/>
              <w:rPr>
                <w:sz w:val="20"/>
                <w:szCs w:val="20"/>
                <w:color w:val="auto"/>
              </w:rPr>
            </w:pPr>
            <w:r>
              <w:rPr>
                <w:rFonts w:ascii="Times New Roman" w:cs="Times New Roman" w:eastAsia="Times New Roman" w:hAnsi="Times New Roman"/>
                <w:sz w:val="8"/>
                <w:szCs w:val="8"/>
                <w:color w:val="auto"/>
              </w:rPr>
              <w:t>(I.R.S. Employer</w:t>
            </w:r>
          </w:p>
        </w:tc>
      </w:tr>
      <w:tr>
        <w:trPr>
          <w:trHeight w:val="88"/>
        </w:trPr>
        <w:tc>
          <w:tcPr>
            <w:tcW w:w="2020" w:type="dxa"/>
            <w:vAlign w:val="bottom"/>
          </w:tcPr>
          <w:p>
            <w:pPr>
              <w:jc w:val="center"/>
              <w:ind w:left="197"/>
              <w:spacing w:after="0" w:line="88" w:lineRule="exact"/>
              <w:rPr>
                <w:sz w:val="20"/>
                <w:szCs w:val="20"/>
                <w:color w:val="auto"/>
              </w:rPr>
            </w:pPr>
            <w:r>
              <w:rPr>
                <w:rFonts w:ascii="Times New Roman" w:cs="Times New Roman" w:eastAsia="Times New Roman" w:hAnsi="Times New Roman"/>
                <w:sz w:val="8"/>
                <w:szCs w:val="8"/>
                <w:color w:val="auto"/>
              </w:rPr>
              <w:t>incorporation or organization)</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tcPr>
          <w:p>
            <w:pPr>
              <w:jc w:val="center"/>
              <w:ind w:right="18"/>
              <w:spacing w:after="0" w:line="88" w:lineRule="exact"/>
              <w:rPr>
                <w:sz w:val="20"/>
                <w:szCs w:val="20"/>
                <w:color w:val="auto"/>
              </w:rPr>
            </w:pPr>
            <w:r>
              <w:rPr>
                <w:rFonts w:ascii="Times New Roman" w:cs="Times New Roman" w:eastAsia="Times New Roman" w:hAnsi="Times New Roman"/>
                <w:sz w:val="8"/>
                <w:szCs w:val="8"/>
                <w:color w:val="auto"/>
              </w:rPr>
              <w:t>Identification No.)</w:t>
            </w:r>
          </w:p>
        </w:tc>
      </w:tr>
      <w:tr>
        <w:trPr>
          <w:trHeight w:val="90"/>
        </w:trPr>
        <w:tc>
          <w:tcPr>
            <w:tcW w:w="2020" w:type="dxa"/>
            <w:vAlign w:val="bottom"/>
          </w:tcPr>
          <w:p>
            <w:pPr>
              <w:jc w:val="center"/>
              <w:ind w:left="77"/>
              <w:spacing w:after="0" w:line="90" w:lineRule="exact"/>
              <w:rPr>
                <w:sz w:val="20"/>
                <w:szCs w:val="20"/>
                <w:color w:val="auto"/>
              </w:rPr>
            </w:pPr>
            <w:r>
              <w:rPr>
                <w:rFonts w:ascii="Times New Roman" w:cs="Times New Roman" w:eastAsia="Times New Roman" w:hAnsi="Times New Roman"/>
                <w:sz w:val="8"/>
                <w:szCs w:val="8"/>
                <w:b w:val="1"/>
                <w:bCs w:val="1"/>
                <w:color w:val="auto"/>
              </w:rPr>
              <w:t>500 Cummings Center, Suite 2450</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92"/>
        </w:trPr>
        <w:tc>
          <w:tcPr>
            <w:tcW w:w="2020" w:type="dxa"/>
            <w:vAlign w:val="bottom"/>
          </w:tcPr>
          <w:p>
            <w:pPr>
              <w:jc w:val="center"/>
              <w:ind w:left="217"/>
              <w:spacing w:after="0"/>
              <w:rPr>
                <w:sz w:val="20"/>
                <w:szCs w:val="20"/>
                <w:color w:val="auto"/>
              </w:rPr>
            </w:pPr>
            <w:r>
              <w:rPr>
                <w:rFonts w:ascii="Times New Roman" w:cs="Times New Roman" w:eastAsia="Times New Roman" w:hAnsi="Times New Roman"/>
                <w:sz w:val="8"/>
                <w:szCs w:val="8"/>
                <w:b w:val="1"/>
                <w:bCs w:val="1"/>
                <w:color w:val="auto"/>
              </w:rPr>
              <w:t>Beverly, Massachusetts</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jc w:val="right"/>
              <w:ind w:right="918"/>
              <w:spacing w:after="0"/>
              <w:rPr>
                <w:sz w:val="20"/>
                <w:szCs w:val="20"/>
                <w:color w:val="auto"/>
              </w:rPr>
            </w:pPr>
            <w:r>
              <w:rPr>
                <w:rFonts w:ascii="Times New Roman" w:cs="Times New Roman" w:eastAsia="Times New Roman" w:hAnsi="Times New Roman"/>
                <w:sz w:val="8"/>
                <w:szCs w:val="8"/>
                <w:b w:val="1"/>
                <w:bCs w:val="1"/>
                <w:color w:val="auto"/>
              </w:rPr>
              <w:t>01915</w:t>
            </w:r>
          </w:p>
        </w:tc>
      </w:tr>
      <w:tr>
        <w:trPr>
          <w:trHeight w:val="107"/>
        </w:trPr>
        <w:tc>
          <w:tcPr>
            <w:tcW w:w="2020" w:type="dxa"/>
            <w:vAlign w:val="bottom"/>
          </w:tcPr>
          <w:p>
            <w:pPr>
              <w:jc w:val="center"/>
              <w:ind w:left="197"/>
              <w:spacing w:after="0"/>
              <w:rPr>
                <w:sz w:val="20"/>
                <w:szCs w:val="20"/>
                <w:color w:val="auto"/>
              </w:rPr>
            </w:pPr>
            <w:r>
              <w:rPr>
                <w:rFonts w:ascii="Times New Roman" w:cs="Times New Roman" w:eastAsia="Times New Roman" w:hAnsi="Times New Roman"/>
                <w:sz w:val="8"/>
                <w:szCs w:val="8"/>
                <w:color w:val="auto"/>
              </w:rPr>
              <w:t>(Address of principal executive offices)</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jc w:val="center"/>
              <w:ind w:right="18"/>
              <w:spacing w:after="0"/>
              <w:rPr>
                <w:sz w:val="20"/>
                <w:szCs w:val="20"/>
                <w:color w:val="auto"/>
              </w:rPr>
            </w:pPr>
            <w:r>
              <w:rPr>
                <w:rFonts w:ascii="Times New Roman" w:cs="Times New Roman" w:eastAsia="Times New Roman" w:hAnsi="Times New Roman"/>
                <w:sz w:val="8"/>
                <w:szCs w:val="8"/>
                <w:color w:val="auto"/>
              </w:rPr>
              <w:t>(Zip Code)</w:t>
            </w:r>
          </w:p>
        </w:tc>
      </w:tr>
      <w:tr>
        <w:trPr>
          <w:trHeight w:val="156"/>
        </w:trPr>
        <w:tc>
          <w:tcPr>
            <w:tcW w:w="2020" w:type="dxa"/>
            <w:vAlign w:val="bottom"/>
          </w:tcPr>
          <w:p>
            <w:pPr>
              <w:spacing w:after="0"/>
              <w:rPr>
                <w:sz w:val="13"/>
                <w:szCs w:val="13"/>
                <w:color w:val="auto"/>
              </w:rPr>
            </w:pPr>
          </w:p>
        </w:tc>
        <w:tc>
          <w:tcPr>
            <w:tcW w:w="2680" w:type="dxa"/>
            <w:vAlign w:val="bottom"/>
            <w:gridSpan w:val="3"/>
          </w:tcPr>
          <w:p>
            <w:pPr>
              <w:jc w:val="center"/>
              <w:ind w:left="479"/>
              <w:spacing w:after="0"/>
              <w:rPr>
                <w:sz w:val="20"/>
                <w:szCs w:val="20"/>
                <w:color w:val="auto"/>
              </w:rPr>
            </w:pPr>
            <w:r>
              <w:rPr>
                <w:rFonts w:ascii="Times New Roman" w:cs="Times New Roman" w:eastAsia="Times New Roman" w:hAnsi="Times New Roman"/>
                <w:sz w:val="11"/>
                <w:szCs w:val="11"/>
                <w:b w:val="1"/>
                <w:bCs w:val="1"/>
                <w:color w:val="auto"/>
                <w:w w:val="98"/>
              </w:rPr>
              <w:t>(978) 619-1300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40"/>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color w:val="auto"/>
                <w:w w:val="97"/>
              </w:rPr>
              <w:t>(Registrant’s telephone number, including area code)</w:t>
            </w:r>
          </w:p>
        </w:tc>
        <w:tc>
          <w:tcPr>
            <w:tcW w:w="2060" w:type="dxa"/>
            <w:vAlign w:val="bottom"/>
          </w:tcPr>
          <w:p>
            <w:pPr>
              <w:spacing w:after="0"/>
              <w:rPr>
                <w:sz w:val="12"/>
                <w:szCs w:val="12"/>
                <w:color w:val="auto"/>
              </w:rPr>
            </w:pPr>
          </w:p>
        </w:tc>
      </w:tr>
      <w:tr>
        <w:trPr>
          <w:trHeight w:val="171"/>
        </w:trPr>
        <w:tc>
          <w:tcPr>
            <w:tcW w:w="5220" w:type="dxa"/>
            <w:vAlign w:val="bottom"/>
            <w:gridSpan w:val="6"/>
          </w:tcPr>
          <w:p>
            <w:pPr>
              <w:ind w:left="66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060" w:type="dxa"/>
            <w:vAlign w:val="bottom"/>
          </w:tcPr>
          <w:p>
            <w:pPr>
              <w:spacing w:after="0"/>
              <w:rPr>
                <w:sz w:val="14"/>
                <w:szCs w:val="14"/>
                <w:color w:val="auto"/>
              </w:rPr>
            </w:pPr>
          </w:p>
        </w:tc>
      </w:tr>
      <w:tr>
        <w:trPr>
          <w:trHeight w:val="217"/>
        </w:trPr>
        <w:tc>
          <w:tcPr>
            <w:tcW w:w="2020" w:type="dxa"/>
            <w:vAlign w:val="bottom"/>
          </w:tcPr>
          <w:p>
            <w:pPr>
              <w:jc w:val="center"/>
              <w:ind w:left="197"/>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3"/>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Trading Symbol(s)</w:t>
            </w:r>
          </w:p>
        </w:tc>
        <w:tc>
          <w:tcPr>
            <w:tcW w:w="2060" w:type="dxa"/>
            <w:vAlign w:val="bottom"/>
          </w:tcPr>
          <w:p>
            <w:pPr>
              <w:jc w:val="center"/>
              <w:ind w:right="178"/>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57"/>
        </w:trPr>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r>
        <w:trPr>
          <w:trHeight w:val="148"/>
        </w:trPr>
        <w:tc>
          <w:tcPr>
            <w:tcW w:w="2020" w:type="dxa"/>
            <w:vAlign w:val="bottom"/>
          </w:tcPr>
          <w:p>
            <w:pPr>
              <w:jc w:val="center"/>
              <w:ind w:left="197"/>
              <w:spacing w:after="0"/>
              <w:rPr>
                <w:sz w:val="20"/>
                <w:szCs w:val="20"/>
                <w:color w:val="auto"/>
              </w:rPr>
            </w:pPr>
            <w:r>
              <w:rPr>
                <w:rFonts w:ascii="Times New Roman" w:cs="Times New Roman" w:eastAsia="Times New Roman" w:hAnsi="Times New Roman"/>
                <w:sz w:val="8"/>
                <w:szCs w:val="8"/>
                <w:color w:val="auto"/>
              </w:rPr>
              <w:t>Common Stock, par value $.01 per share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3"/>
          </w:tcPr>
          <w:p>
            <w:pPr>
              <w:jc w:val="center"/>
              <w:ind w:right="520"/>
              <w:spacing w:after="0"/>
              <w:rPr>
                <w:sz w:val="20"/>
                <w:szCs w:val="20"/>
                <w:color w:val="auto"/>
              </w:rPr>
            </w:pPr>
            <w:r>
              <w:rPr>
                <w:rFonts w:ascii="Times New Roman" w:cs="Times New Roman" w:eastAsia="Times New Roman" w:hAnsi="Times New Roman"/>
                <w:sz w:val="8"/>
                <w:szCs w:val="8"/>
                <w:color w:val="auto"/>
              </w:rPr>
              <w:t>ATNI</w:t>
            </w:r>
          </w:p>
        </w:tc>
        <w:tc>
          <w:tcPr>
            <w:tcW w:w="2060" w:type="dxa"/>
            <w:vAlign w:val="bottom"/>
          </w:tcPr>
          <w:p>
            <w:pPr>
              <w:jc w:val="center"/>
              <w:ind w:right="158"/>
              <w:spacing w:after="0"/>
              <w:rPr>
                <w:sz w:val="20"/>
                <w:szCs w:val="20"/>
                <w:color w:val="auto"/>
              </w:rPr>
            </w:pPr>
            <w:r>
              <w:rPr>
                <w:rFonts w:ascii="Times New Roman" w:cs="Times New Roman" w:eastAsia="Times New Roman" w:hAnsi="Times New Roman"/>
                <w:sz w:val="8"/>
                <w:szCs w:val="8"/>
                <w:color w:val="auto"/>
              </w:rPr>
              <w:t>The Nasdaq Stock Market LLC</w:t>
            </w:r>
          </w:p>
        </w:tc>
      </w:tr>
    </w:tbl>
    <w:p>
      <w:pPr>
        <w:spacing w:after="0" w:line="39" w:lineRule="exact"/>
        <w:rPr>
          <w:sz w:val="24"/>
          <w:szCs w:val="24"/>
          <w:color w:val="auto"/>
        </w:rPr>
      </w:pPr>
    </w:p>
    <w:p>
      <w:pPr>
        <w:ind w:right="160" w:firstLine="216"/>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ind w:firstLine="216"/>
        <w:spacing w:after="0" w:line="13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6120" w:type="dxa"/>
            <w:vAlign w:val="bottom"/>
          </w:tcPr>
          <w:p>
            <w:pPr>
              <w:spacing w:after="0"/>
              <w:rPr>
                <w:sz w:val="20"/>
                <w:szCs w:val="20"/>
                <w:color w:val="auto"/>
              </w:rPr>
            </w:pPr>
            <w:r>
              <w:rPr>
                <w:rFonts w:ascii="Times New Roman" w:cs="Times New Roman" w:eastAsia="Times New Roman" w:hAnsi="Times New Roman"/>
                <w:sz w:val="11"/>
                <w:szCs w:val="11"/>
                <w:color w:val="auto"/>
              </w:rPr>
              <w:t>“accelerated filer,” “smaller reporting company,” and “emerging growth company” in Rule 12b-2 of the Exchange Act.</w:t>
            </w:r>
          </w:p>
        </w:tc>
        <w:tc>
          <w:tcPr>
            <w:tcW w:w="2280" w:type="dxa"/>
            <w:vAlign w:val="bottom"/>
          </w:tcPr>
          <w:p>
            <w:pPr>
              <w:spacing w:after="0"/>
              <w:rPr>
                <w:sz w:val="12"/>
                <w:szCs w:val="12"/>
                <w:color w:val="auto"/>
              </w:rPr>
            </w:pPr>
          </w:p>
        </w:tc>
      </w:tr>
      <w:tr>
        <w:trPr>
          <w:trHeight w:val="245"/>
        </w:trPr>
        <w:tc>
          <w:tcPr>
            <w:tcW w:w="6120" w:type="dxa"/>
            <w:vAlign w:val="bottom"/>
          </w:tcPr>
          <w:p>
            <w:pPr>
              <w:jc w:val="center"/>
              <w:ind w:right="1026"/>
              <w:spacing w:after="0" w:line="148" w:lineRule="exact"/>
              <w:rPr>
                <w:sz w:val="20"/>
                <w:szCs w:val="20"/>
                <w:color w:val="auto"/>
              </w:rPr>
            </w:pPr>
            <w:r>
              <w:rPr>
                <w:rFonts w:ascii="Times New Roman" w:cs="Times New Roman" w:eastAsia="Times New Roman" w:hAnsi="Times New Roman"/>
                <w:sz w:val="11"/>
                <w:szCs w:val="11"/>
                <w:color w:val="auto"/>
                <w:w w:val="98"/>
              </w:rPr>
              <w:t xml:space="preserve">Large accelerated filer </w:t>
            </w:r>
            <w:r>
              <w:rPr>
                <w:rFonts w:ascii="Arial Unicode MS" w:cs="Arial Unicode MS" w:eastAsia="Arial Unicode MS" w:hAnsi="Arial Unicode MS"/>
                <w:sz w:val="11"/>
                <w:szCs w:val="11"/>
                <w:color w:val="auto"/>
                <w:w w:val="98"/>
              </w:rPr>
              <w:t>☐</w:t>
            </w:r>
          </w:p>
        </w:tc>
        <w:tc>
          <w:tcPr>
            <w:tcW w:w="2280" w:type="dxa"/>
            <w:vAlign w:val="bottom"/>
          </w:tcPr>
          <w:p>
            <w:pPr>
              <w:ind w:left="1200"/>
              <w:spacing w:after="0" w:line="148"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Arial Unicode MS" w:cs="Arial Unicode MS" w:eastAsia="Arial Unicode MS" w:hAnsi="Arial Unicode MS"/>
                <w:sz w:val="11"/>
                <w:szCs w:val="11"/>
                <w:color w:val="auto"/>
              </w:rPr>
              <w:t>⌧</w:t>
            </w:r>
          </w:p>
        </w:tc>
      </w:tr>
      <w:tr>
        <w:trPr>
          <w:trHeight w:val="279"/>
        </w:trPr>
        <w:tc>
          <w:tcPr>
            <w:tcW w:w="6120" w:type="dxa"/>
            <w:vAlign w:val="bottom"/>
          </w:tcPr>
          <w:p>
            <w:pPr>
              <w:jc w:val="center"/>
              <w:ind w:right="1026"/>
              <w:spacing w:after="0" w:line="148" w:lineRule="exact"/>
              <w:rPr>
                <w:sz w:val="20"/>
                <w:szCs w:val="20"/>
                <w:color w:val="auto"/>
              </w:rPr>
            </w:pPr>
            <w:r>
              <w:rPr>
                <w:rFonts w:ascii="Times New Roman" w:cs="Times New Roman" w:eastAsia="Times New Roman" w:hAnsi="Times New Roman"/>
                <w:sz w:val="11"/>
                <w:szCs w:val="11"/>
                <w:color w:val="auto"/>
                <w:w w:val="99"/>
              </w:rPr>
              <w:t xml:space="preserve">Non-accelerated filer </w:t>
            </w:r>
            <w:r>
              <w:rPr>
                <w:rFonts w:ascii="Arial Unicode MS" w:cs="Arial Unicode MS" w:eastAsia="Arial Unicode MS" w:hAnsi="Arial Unicode MS"/>
                <w:sz w:val="11"/>
                <w:szCs w:val="11"/>
                <w:color w:val="auto"/>
                <w:w w:val="99"/>
              </w:rPr>
              <w:t>☐</w:t>
            </w:r>
          </w:p>
        </w:tc>
        <w:tc>
          <w:tcPr>
            <w:tcW w:w="2280" w:type="dxa"/>
            <w:vAlign w:val="bottom"/>
          </w:tcPr>
          <w:p>
            <w:pPr>
              <w:ind w:left="980"/>
              <w:spacing w:after="0" w:line="148" w:lineRule="exact"/>
              <w:rPr>
                <w:sz w:val="20"/>
                <w:szCs w:val="20"/>
                <w:color w:val="auto"/>
              </w:rPr>
            </w:pPr>
            <w:r>
              <w:rPr>
                <w:rFonts w:ascii="Times New Roman" w:cs="Times New Roman" w:eastAsia="Times New Roman" w:hAnsi="Times New Roman"/>
                <w:sz w:val="11"/>
                <w:szCs w:val="11"/>
                <w:color w:val="auto"/>
                <w:w w:val="97"/>
              </w:rPr>
              <w:t xml:space="preserve">Smaller reporting company </w:t>
            </w:r>
            <w:r>
              <w:rPr>
                <w:rFonts w:ascii="Arial Unicode MS" w:cs="Arial Unicode MS" w:eastAsia="Arial Unicode MS" w:hAnsi="Arial Unicode MS"/>
                <w:sz w:val="11"/>
                <w:szCs w:val="11"/>
                <w:color w:val="auto"/>
                <w:w w:val="97"/>
              </w:rPr>
              <w:t>☐</w:t>
            </w:r>
          </w:p>
        </w:tc>
      </w:tr>
      <w:tr>
        <w:trPr>
          <w:trHeight w:val="279"/>
        </w:trPr>
        <w:tc>
          <w:tcPr>
            <w:tcW w:w="6120" w:type="dxa"/>
            <w:vAlign w:val="bottom"/>
          </w:tcPr>
          <w:p>
            <w:pPr>
              <w:spacing w:after="0"/>
              <w:rPr>
                <w:sz w:val="24"/>
                <w:szCs w:val="24"/>
                <w:color w:val="auto"/>
              </w:rPr>
            </w:pPr>
          </w:p>
        </w:tc>
        <w:tc>
          <w:tcPr>
            <w:tcW w:w="2280" w:type="dxa"/>
            <w:vAlign w:val="bottom"/>
          </w:tcPr>
          <w:p>
            <w:pPr>
              <w:ind w:left="980"/>
              <w:spacing w:after="0" w:line="148" w:lineRule="exact"/>
              <w:rPr>
                <w:sz w:val="20"/>
                <w:szCs w:val="20"/>
                <w:color w:val="auto"/>
              </w:rPr>
            </w:pPr>
            <w:r>
              <w:rPr>
                <w:rFonts w:ascii="Times New Roman" w:cs="Times New Roman" w:eastAsia="Times New Roman" w:hAnsi="Times New Roman"/>
                <w:sz w:val="11"/>
                <w:szCs w:val="11"/>
                <w:color w:val="auto"/>
                <w:w w:val="97"/>
              </w:rPr>
              <w:t xml:space="preserve">Emerging growth company </w:t>
            </w:r>
            <w:r>
              <w:rPr>
                <w:rFonts w:ascii="Arial Unicode MS" w:cs="Arial Unicode MS" w:eastAsia="Arial Unicode MS" w:hAnsi="Arial Unicode MS"/>
                <w:sz w:val="11"/>
                <w:szCs w:val="11"/>
                <w:color w:val="auto"/>
                <w:w w:val="97"/>
              </w:rPr>
              <w:t>☐</w:t>
            </w:r>
          </w:p>
        </w:tc>
      </w:tr>
    </w:tbl>
    <w:p>
      <w:pPr>
        <w:spacing w:after="0" w:line="114" w:lineRule="exact"/>
        <w:rPr>
          <w:sz w:val="24"/>
          <w:szCs w:val="24"/>
          <w:color w:val="auto"/>
        </w:rPr>
      </w:pPr>
    </w:p>
    <w:p>
      <w:pPr>
        <w:ind w:right="100" w:firstLine="216"/>
        <w:spacing w:after="0" w:line="14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left="220"/>
        <w:spacing w:after="0" w:line="148" w:lineRule="exact"/>
        <w:tabs>
          <w:tab w:leader="none" w:pos="552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ab/>
        <w:t xml:space="preserve">No </w:t>
      </w:r>
      <w:r>
        <w:rPr>
          <w:rFonts w:ascii="Arial Unicode MS" w:cs="Arial Unicode MS" w:eastAsia="Arial Unicode MS" w:hAnsi="Arial Unicode MS"/>
          <w:sz w:val="11"/>
          <w:szCs w:val="11"/>
          <w:color w:val="auto"/>
        </w:rPr>
        <w:t>⌧</w:t>
      </w:r>
    </w:p>
    <w:p>
      <w:pPr>
        <w:spacing w:after="0" w:line="11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1"/>
          <w:szCs w:val="11"/>
          <w:color w:val="auto"/>
        </w:rPr>
        <w:t>As of November 12, 2024, the registrant had outstanding 15,114,216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617220</wp:posOffset>
            </wp:positionV>
            <wp:extent cx="65379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653796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80010</wp:posOffset>
            </wp:positionV>
            <wp:extent cx="65379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ectPr>
          <w:pgSz w:w="11900" w:h="16838" w:orient="portrait"/>
          <w:cols w:equalWidth="0" w:num="1">
            <w:col w:w="10280"/>
          </w:cols>
          <w:pgMar w:left="800" w:top="489" w:right="81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38"/>
        </w:trPr>
        <w:tc>
          <w:tcPr>
            <w:tcW w:w="8020" w:type="dxa"/>
            <w:vAlign w:val="bottom"/>
            <w:gridSpan w:val="24"/>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940" w:type="dxa"/>
            <w:vAlign w:val="bottom"/>
          </w:tcPr>
          <w:p>
            <w:pPr>
              <w:spacing w:after="0"/>
              <w:rPr>
                <w:sz w:val="12"/>
                <w:szCs w:val="12"/>
                <w:color w:val="auto"/>
              </w:rPr>
            </w:pPr>
          </w:p>
        </w:tc>
      </w:tr>
      <w:tr>
        <w:trPr>
          <w:trHeight w:val="851"/>
        </w:trPr>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9"/>
          </w:tcPr>
          <w:p>
            <w:pPr>
              <w:jc w:val="center"/>
              <w:ind w:right="2600"/>
              <w:spacing w:after="0"/>
              <w:rPr>
                <w:sz w:val="20"/>
                <w:szCs w:val="20"/>
                <w:color w:val="auto"/>
              </w:rPr>
            </w:pPr>
            <w:r>
              <w:rPr>
                <w:rFonts w:ascii="Times New Roman" w:cs="Times New Roman" w:eastAsia="Times New Roman" w:hAnsi="Times New Roman"/>
                <w:sz w:val="12"/>
                <w:szCs w:val="12"/>
                <w:b w:val="1"/>
                <w:bCs w:val="1"/>
                <w:color w:val="auto"/>
                <w:w w:val="98"/>
              </w:rPr>
              <w:t>ATN INTERNATIONAL, INC.</w:t>
            </w:r>
          </w:p>
        </w:tc>
        <w:tc>
          <w:tcPr>
            <w:tcW w:w="940" w:type="dxa"/>
            <w:vAlign w:val="bottom"/>
          </w:tcPr>
          <w:p>
            <w:pPr>
              <w:spacing w:after="0"/>
              <w:rPr>
                <w:sz w:val="24"/>
                <w:szCs w:val="24"/>
                <w:color w:val="auto"/>
              </w:rPr>
            </w:pPr>
          </w:p>
        </w:tc>
      </w:tr>
      <w:tr>
        <w:trPr>
          <w:trHeight w:val="155"/>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0" w:type="dxa"/>
            <w:vAlign w:val="bottom"/>
            <w:gridSpan w:val="8"/>
          </w:tcPr>
          <w:p>
            <w:pPr>
              <w:jc w:val="center"/>
              <w:ind w:right="2860"/>
              <w:spacing w:after="0"/>
              <w:rPr>
                <w:sz w:val="20"/>
                <w:szCs w:val="20"/>
                <w:color w:val="auto"/>
              </w:rPr>
            </w:pPr>
            <w:r>
              <w:rPr>
                <w:rFonts w:ascii="Times New Roman" w:cs="Times New Roman" w:eastAsia="Times New Roman" w:hAnsi="Times New Roman"/>
                <w:sz w:val="12"/>
                <w:szCs w:val="12"/>
                <w:color w:val="auto"/>
              </w:rPr>
              <w:t>FORM 10-Q</w:t>
            </w:r>
          </w:p>
        </w:tc>
        <w:tc>
          <w:tcPr>
            <w:tcW w:w="940" w:type="dxa"/>
            <w:vAlign w:val="bottom"/>
          </w:tcPr>
          <w:p>
            <w:pPr>
              <w:spacing w:after="0"/>
              <w:rPr>
                <w:sz w:val="13"/>
                <w:szCs w:val="13"/>
                <w:color w:val="auto"/>
              </w:rPr>
            </w:pPr>
          </w:p>
        </w:tc>
      </w:tr>
      <w:tr>
        <w:trPr>
          <w:trHeight w:val="28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9"/>
          </w:tcPr>
          <w:p>
            <w:pPr>
              <w:jc w:val="center"/>
              <w:ind w:right="2580"/>
              <w:spacing w:after="0"/>
              <w:rPr>
                <w:sz w:val="20"/>
                <w:szCs w:val="20"/>
                <w:color w:val="auto"/>
              </w:rPr>
            </w:pPr>
            <w:r>
              <w:rPr>
                <w:rFonts w:ascii="Times New Roman" w:cs="Times New Roman" w:eastAsia="Times New Roman" w:hAnsi="Times New Roman"/>
                <w:sz w:val="12"/>
                <w:szCs w:val="12"/>
                <w:color w:val="auto"/>
              </w:rPr>
              <w:t>Quarter Ended September 30, 2024</w:t>
            </w:r>
          </w:p>
        </w:tc>
        <w:tc>
          <w:tcPr>
            <w:tcW w:w="940" w:type="dxa"/>
            <w:vAlign w:val="bottom"/>
          </w:tcPr>
          <w:p>
            <w:pPr>
              <w:spacing w:after="0"/>
              <w:rPr>
                <w:sz w:val="24"/>
                <w:szCs w:val="24"/>
                <w:color w:val="auto"/>
              </w:rPr>
            </w:pPr>
          </w:p>
        </w:tc>
      </w:tr>
      <w:tr>
        <w:trPr>
          <w:trHeight w:val="270"/>
        </w:trPr>
        <w:tc>
          <w:tcPr>
            <w:tcW w:w="42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2"/>
                <w:szCs w:val="12"/>
                <w:color w:val="0000EE"/>
                <w:w w:val="97"/>
              </w:rPr>
              <w:t>CAUTIONARY STATEMENT REGARDING FORWARD LOOKING STATEMENTS</w:t>
            </w:r>
          </w:p>
        </w:tc>
        <w:tc>
          <w:tcPr>
            <w:tcW w:w="3800" w:type="dxa"/>
            <w:vAlign w:val="bottom"/>
            <w:gridSpan w:val="7"/>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268"/>
        </w:trPr>
        <w:tc>
          <w:tcPr>
            <w:tcW w:w="8020" w:type="dxa"/>
            <w:vAlign w:val="bottom"/>
            <w:gridSpan w:val="24"/>
          </w:tcPr>
          <w:p>
            <w:pPr>
              <w:spacing w:after="0"/>
              <w:rPr>
                <w:sz w:val="20"/>
                <w:szCs w:val="20"/>
                <w:color w:val="auto"/>
              </w:rPr>
            </w:pPr>
            <w:r>
              <w:rPr>
                <w:rFonts w:ascii="Times New Roman" w:cs="Times New Roman" w:eastAsia="Times New Roman" w:hAnsi="Times New Roman"/>
                <w:sz w:val="12"/>
                <w:szCs w:val="12"/>
                <w:color w:val="0000EE"/>
              </w:rPr>
              <w:t>PART I—FINANCIAL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8"/>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0000EE"/>
                <w:w w:val="96"/>
              </w:rPr>
              <w:t>Item 1</w:t>
            </w:r>
          </w:p>
        </w:tc>
        <w:tc>
          <w:tcPr>
            <w:tcW w:w="300" w:type="dxa"/>
            <w:vAlign w:val="bottom"/>
            <w:gridSpan w:val="3"/>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Unaudited Condensed Consolidated Financial Statements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Condensed Consolidated Balance Sheets at September 30, 2024 and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Condensed Consolidated Statements of Operations for the Three and Nine Months Ended September 30, 2024 and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7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2"/>
                <w:szCs w:val="12"/>
                <w:color w:val="0000EE"/>
                <w:w w:val="99"/>
              </w:rPr>
              <w:t>Condensed Consolidated Statements of Comprehensive Income (Loss) for the Three and Nine Months Ended September 30, 2024 and 2023</w:t>
            </w:r>
          </w:p>
        </w:tc>
        <w:tc>
          <w:tcPr>
            <w:tcW w:w="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5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2"/>
                <w:szCs w:val="12"/>
                <w:color w:val="0000EE"/>
                <w:w w:val="99"/>
              </w:rPr>
              <w:t>Condensed Consolidated Statements of Equity for the Three and Nine Months Ended September 30, 2024 and 2023</w:t>
            </w:r>
          </w:p>
        </w:tc>
        <w:tc>
          <w:tcPr>
            <w:tcW w:w="1840" w:type="dxa"/>
            <w:vAlign w:val="bottom"/>
            <w:gridSpan w:val="3"/>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Condensed Consolidated Statements of Cash Flows for the Nine Months Ended September 30, 2024 and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2"/>
                <w:szCs w:val="12"/>
                <w:color w:val="0000EE"/>
                <w:w w:val="99"/>
              </w:rPr>
              <w:t>Notes to Unaudited Condensed Consolidated Financial Statements</w:t>
            </w:r>
          </w:p>
        </w:tc>
        <w:tc>
          <w:tcPr>
            <w:tcW w:w="2080" w:type="dxa"/>
            <w:vAlign w:val="bottom"/>
            <w:tcBorders>
              <w:top w:val="single" w:sz="8" w:color="0000EE"/>
            </w:tcBorders>
            <w:gridSpan w:val="4"/>
          </w:tcPr>
          <w:p>
            <w:pPr>
              <w:spacing w:after="0"/>
              <w:rPr>
                <w:sz w:val="23"/>
                <w:szCs w:val="23"/>
                <w:color w:val="auto"/>
              </w:rPr>
            </w:pPr>
          </w:p>
        </w:tc>
        <w:tc>
          <w:tcPr>
            <w:tcW w:w="2120" w:type="dxa"/>
            <w:vAlign w:val="bottom"/>
            <w:gridSpan w:val="4"/>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2</w:t>
            </w:r>
          </w:p>
        </w:tc>
        <w:tc>
          <w:tcPr>
            <w:tcW w:w="280" w:type="dxa"/>
            <w:vAlign w:val="bottom"/>
            <w:gridSpan w:val="2"/>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42-73</w:t>
            </w:r>
          </w:p>
        </w:tc>
      </w:tr>
      <w:tr>
        <w:trPr>
          <w:trHeight w:val="268"/>
        </w:trPr>
        <w:tc>
          <w:tcPr>
            <w:tcW w:w="3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rPr>
              <w:t>Item 3</w:t>
            </w:r>
          </w:p>
        </w:tc>
        <w:tc>
          <w:tcPr>
            <w:tcW w:w="280" w:type="dxa"/>
            <w:vAlign w:val="bottom"/>
            <w:gridSpan w:val="2"/>
          </w:tcPr>
          <w:p>
            <w:pPr>
              <w:spacing w:after="0"/>
              <w:rPr>
                <w:sz w:val="23"/>
                <w:szCs w:val="23"/>
                <w:color w:val="auto"/>
              </w:rPr>
            </w:pPr>
          </w:p>
        </w:tc>
        <w:tc>
          <w:tcPr>
            <w:tcW w:w="29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2"/>
                <w:szCs w:val="12"/>
                <w:color w:val="0000EE"/>
                <w:w w:val="99"/>
              </w:rPr>
              <w:t>Quantitative and Qualitative Disclosures About Market Risk</w:t>
            </w:r>
          </w:p>
        </w:tc>
        <w:tc>
          <w:tcPr>
            <w:tcW w:w="1380" w:type="dxa"/>
            <w:vAlign w:val="bottom"/>
            <w:tcBorders>
              <w:top w:val="single" w:sz="8" w:color="0000EE"/>
            </w:tcBorders>
            <w:gridSpan w:val="4"/>
          </w:tcPr>
          <w:p>
            <w:pPr>
              <w:spacing w:after="0"/>
              <w:rPr>
                <w:sz w:val="23"/>
                <w:szCs w:val="23"/>
                <w:color w:val="auto"/>
              </w:rPr>
            </w:pPr>
          </w:p>
        </w:tc>
        <w:tc>
          <w:tcPr>
            <w:tcW w:w="3100" w:type="dxa"/>
            <w:vAlign w:val="bottom"/>
            <w:gridSpan w:val="5"/>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68"/>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0000EE"/>
                <w:w w:val="96"/>
              </w:rPr>
              <w:t>Item 4</w:t>
            </w:r>
          </w:p>
        </w:tc>
        <w:tc>
          <w:tcPr>
            <w:tcW w:w="300" w:type="dxa"/>
            <w:vAlign w:val="bottom"/>
            <w:gridSpan w:val="3"/>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8"/>
        </w:trPr>
        <w:tc>
          <w:tcPr>
            <w:tcW w:w="18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2"/>
                <w:szCs w:val="12"/>
                <w:color w:val="0000EE"/>
                <w:w w:val="97"/>
              </w:rPr>
              <w:t>PART II—OTHER INFORMATION</w:t>
            </w:r>
          </w:p>
        </w:tc>
        <w:tc>
          <w:tcPr>
            <w:tcW w:w="6220" w:type="dxa"/>
            <w:vAlign w:val="bottom"/>
            <w:gridSpan w:val="13"/>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268"/>
        </w:trPr>
        <w:tc>
          <w:tcPr>
            <w:tcW w:w="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rPr>
              <w:t>Item 1</w:t>
            </w:r>
          </w:p>
        </w:tc>
        <w:tc>
          <w:tcPr>
            <w:tcW w:w="280" w:type="dxa"/>
            <w:vAlign w:val="bottom"/>
            <w:gridSpan w:val="2"/>
          </w:tcPr>
          <w:p>
            <w:pPr>
              <w:spacing w:after="0"/>
              <w:rPr>
                <w:sz w:val="23"/>
                <w:szCs w:val="23"/>
                <w:color w:val="auto"/>
              </w:rPr>
            </w:pPr>
          </w:p>
        </w:tc>
        <w:tc>
          <w:tcPr>
            <w:tcW w:w="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8"/>
              </w:rPr>
              <w:t>Legal Proceedings</w:t>
            </w:r>
          </w:p>
        </w:tc>
        <w:tc>
          <w:tcPr>
            <w:tcW w:w="6500" w:type="dxa"/>
            <w:vAlign w:val="bottom"/>
            <w:gridSpan w:val="14"/>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268"/>
        </w:trPr>
        <w:tc>
          <w:tcPr>
            <w:tcW w:w="400" w:type="dxa"/>
            <w:vAlign w:val="bottom"/>
            <w:gridSpan w:val="3"/>
          </w:tcPr>
          <w:p>
            <w:pPr>
              <w:spacing w:after="0"/>
              <w:rPr>
                <w:sz w:val="20"/>
                <w:szCs w:val="20"/>
                <w:color w:val="auto"/>
              </w:rPr>
            </w:pPr>
            <w:r>
              <w:rPr>
                <w:rFonts w:ascii="Times New Roman" w:cs="Times New Roman" w:eastAsia="Times New Roman" w:hAnsi="Times New Roman"/>
                <w:sz w:val="12"/>
                <w:szCs w:val="12"/>
                <w:color w:val="0000EE"/>
                <w:w w:val="95"/>
              </w:rPr>
              <w:t>Item 1A</w:t>
            </w:r>
          </w:p>
        </w:tc>
        <w:tc>
          <w:tcPr>
            <w:tcW w:w="220" w:type="dxa"/>
            <w:vAlign w:val="bottom"/>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Risk Factors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Unregistered Sales of Equity Securities and Use of 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268"/>
        </w:trPr>
        <w:tc>
          <w:tcPr>
            <w:tcW w:w="3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rPr>
              <w:t>Item 5</w:t>
            </w:r>
          </w:p>
        </w:tc>
        <w:tc>
          <w:tcPr>
            <w:tcW w:w="280" w:type="dxa"/>
            <w:vAlign w:val="bottom"/>
            <w:gridSpan w:val="2"/>
          </w:tcPr>
          <w:p>
            <w:pPr>
              <w:spacing w:after="0"/>
              <w:rPr>
                <w:sz w:val="23"/>
                <w:szCs w:val="23"/>
                <w:color w:val="auto"/>
              </w:rPr>
            </w:pPr>
          </w:p>
        </w:tc>
        <w:tc>
          <w:tcPr>
            <w:tcW w:w="8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8"/>
              </w:rPr>
              <w:t>Other Information</w:t>
            </w:r>
          </w:p>
        </w:tc>
        <w:tc>
          <w:tcPr>
            <w:tcW w:w="2020" w:type="dxa"/>
            <w:vAlign w:val="bottom"/>
            <w:tcBorders>
              <w:top w:val="single" w:sz="8" w:color="0000EE"/>
            </w:tcBorders>
            <w:gridSpan w:val="5"/>
          </w:tcPr>
          <w:p>
            <w:pPr>
              <w:spacing w:after="0"/>
              <w:rPr>
                <w:sz w:val="23"/>
                <w:szCs w:val="23"/>
                <w:color w:val="auto"/>
              </w:rPr>
            </w:pPr>
          </w:p>
        </w:tc>
        <w:tc>
          <w:tcPr>
            <w:tcW w:w="4500" w:type="dxa"/>
            <w:vAlign w:val="bottom"/>
            <w:gridSpan w:val="10"/>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6</w:t>
            </w:r>
          </w:p>
        </w:tc>
        <w:tc>
          <w:tcPr>
            <w:tcW w:w="280" w:type="dxa"/>
            <w:vAlign w:val="bottom"/>
            <w:gridSpan w:val="2"/>
          </w:tcPr>
          <w:p>
            <w:pPr>
              <w:spacing w:after="0"/>
              <w:rPr>
                <w:sz w:val="23"/>
                <w:szCs w:val="23"/>
                <w:color w:val="auto"/>
              </w:rPr>
            </w:pPr>
          </w:p>
        </w:tc>
        <w:tc>
          <w:tcPr>
            <w:tcW w:w="7400" w:type="dxa"/>
            <w:vAlign w:val="bottom"/>
            <w:gridSpan w:val="20"/>
          </w:tcPr>
          <w:p>
            <w:pPr>
              <w:spacing w:after="0"/>
              <w:rPr>
                <w:sz w:val="20"/>
                <w:szCs w:val="20"/>
                <w:color w:val="auto"/>
              </w:rPr>
            </w:pPr>
            <w:r>
              <w:rPr>
                <w:rFonts w:ascii="Times New Roman" w:cs="Times New Roman" w:eastAsia="Times New Roman" w:hAnsi="Times New Roman"/>
                <w:sz w:val="12"/>
                <w:szCs w:val="12"/>
                <w:color w:val="0000EE"/>
              </w:rPr>
              <w:t>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0" w:type="dxa"/>
            <w:vAlign w:val="bottom"/>
            <w:gridSpan w:val="1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8"/>
        </w:trPr>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6"/>
              </w:rPr>
              <w:t>SIGNATURES</w:t>
            </w:r>
          </w:p>
        </w:tc>
        <w:tc>
          <w:tcPr>
            <w:tcW w:w="7280" w:type="dxa"/>
            <w:vAlign w:val="bottom"/>
            <w:gridSpan w:val="19"/>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295"/>
        </w:trPr>
        <w:tc>
          <w:tcPr>
            <w:tcW w:w="802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CERTIFICATIONS</w:t>
            </w:r>
          </w:p>
        </w:tc>
        <w:tc>
          <w:tcPr>
            <w:tcW w:w="940" w:type="dxa"/>
            <w:vAlign w:val="bottom"/>
          </w:tcPr>
          <w:p>
            <w:pPr>
              <w:spacing w:after="0"/>
              <w:rPr>
                <w:sz w:val="24"/>
                <w:szCs w:val="24"/>
                <w:color w:val="auto"/>
              </w:rPr>
            </w:pPr>
          </w:p>
        </w:tc>
      </w:tr>
      <w:tr>
        <w:trPr>
          <w:trHeight w:val="1161"/>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14"/>
          </w:tcPr>
          <w:p>
            <w:pPr>
              <w:jc w:val="center"/>
              <w:ind w:left="3440"/>
              <w:spacing w:after="0"/>
              <w:rPr>
                <w:sz w:val="20"/>
                <w:szCs w:val="20"/>
                <w:color w:val="auto"/>
              </w:rPr>
            </w:pPr>
            <w:r>
              <w:rPr>
                <w:rFonts w:ascii="Times New Roman" w:cs="Times New Roman" w:eastAsia="Times New Roman" w:hAnsi="Times New Roman"/>
                <w:sz w:val="12"/>
                <w:szCs w:val="12"/>
                <w:color w:val="auto"/>
                <w:w w:val="99"/>
              </w:rPr>
              <w:t>2</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325" w:lineRule="exact"/>
        <w:rPr>
          <w:sz w:val="20"/>
          <w:szCs w:val="20"/>
          <w:color w:val="auto"/>
        </w:rPr>
      </w:pPr>
    </w:p>
    <w:p>
      <w:pPr>
        <w:jc w:val="both"/>
        <w:ind w:left="20" w:right="39" w:firstLine="432"/>
        <w:spacing w:after="0" w:line="251" w:lineRule="auto"/>
        <w:rPr>
          <w:sz w:val="20"/>
          <w:szCs w:val="20"/>
          <w:color w:val="auto"/>
        </w:rPr>
      </w:pPr>
      <w:r>
        <w:rPr>
          <w:rFonts w:ascii="Times New Roman" w:cs="Times New Roman" w:eastAsia="Times New Roman" w:hAnsi="Times New Roman"/>
          <w:sz w:val="12"/>
          <w:szCs w:val="12"/>
          <w:color w:val="auto"/>
        </w:rPr>
        <w:t>This Quarterly Report on Form 10-Q (or the “Report”) contains forward-looking statements relating to, among other matters, the Company’s future financial performance, business goals and objectives, and results of operations, expectations regarding its strategic investment plan, its future revenues, operating income, operating margin, cash flows, network and operating costs, EBITDA, Adjusted EBITDA, Net Debt, Net Debt Ratio, cost management initiatives, and capital investments; demand for the Company’s services and industry trends; the timing of revenue, the Company’s liquidity; the expansion of the Company’s customer base and networks; receipt of certain government grants and management’s plans, expectations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the Company’s operations, including operating margins, revenues, capital expenditures, the impact of cost savings initiatives, and the retention of and future growth of the Company’s subscriber base and ARPU; (2) the Company’s reliance on a limited number of key suppliers and vendors for timely supply of equipment and services relating to the Company’s network infrastructure; (3) the Company’s ability to satisfy the needs and demands of the Company’s major carrier customers; (4) the Company’s ability to realize expansion plans for its fiber markets; (5) the adequacy and expansion capabilities of the Company’s network capacity and customer service system to support the Company’s customer growth; (6) the Company’s ability to efficiently and cost-effectively upgrade the Company’s networks and information technology platforms to address rapid and significant technological changes in the telecommunications industry; (7) the Company’s continued access to capital and credit markets on terms it deems favorable; (8) government subsidy program availability and regulation of the Company’s businesses, which may impact the Company’s telecommunications licenses, the Company’s revenue and the Company’s operating costs; (9) the Company’s ability to successfully transition its US Telecom business away from wholesale mobility to other carrier and consumer-based services; (10) ongoing risk of an economic downturn, political, geopolitical and other risks and opportunities facing the Company’s operations, including those resulting from the continued inflation and other macroeconomic headwinds including increased costs and supply chain disruptions; (11) management transitions, and the loss of, or an inability to recruit skilled personnel in the Company’s various jurisdictions, including key members of management; (12) the Company’s ability to find investment or acquisition or disposition opportunities that fit the strategic goals of the Company; (13) the occurrence of weather events and natural catastrophes and the Company’s ability to secure the appropriate level of insurance coverage for these assets; and the impact of such events on the timing of project implementation and corresponding revenue, and (14) increased competition. These and other additional factors that may cause actual future events and results to differ materially from the events and results indicated in the forward-looking statements above are set forth more fully under Item 1A “Risk Factors” of the Company’s Annual Report on Form 10-K for the year ended December 31, 2023, filed with the SEC on March 15, 2024, and the other reports the Company files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w:t>
      </w:r>
    </w:p>
    <w:p>
      <w:pPr>
        <w:spacing w:after="0" w:line="164"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Item 1.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7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100" w:type="dxa"/>
            <w:vAlign w:val="bottom"/>
          </w:tcPr>
          <w:p>
            <w:pPr>
              <w:spacing w:after="0"/>
              <w:rPr>
                <w:sz w:val="7"/>
                <w:szCs w:val="7"/>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103"/>
        </w:trPr>
        <w:tc>
          <w:tcPr>
            <w:tcW w:w="71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8"/>
                <w:szCs w:val="8"/>
                <w:b w:val="1"/>
                <w:bCs w:val="1"/>
                <w:color w:val="auto"/>
              </w:rPr>
              <w:t>2024</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88"/>
        </w:trPr>
        <w:tc>
          <w:tcPr>
            <w:tcW w:w="7180" w:type="dxa"/>
            <w:vAlign w:val="bottom"/>
            <w:shd w:val="clear" w:color="auto" w:fill="CCEEFF"/>
          </w:tcPr>
          <w:p>
            <w:pPr>
              <w:ind w:left="3120"/>
              <w:spacing w:after="0" w:line="88"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r>
      <w:tr>
        <w:trPr>
          <w:trHeight w:val="99"/>
        </w:trPr>
        <w:tc>
          <w:tcPr>
            <w:tcW w:w="71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Current Assets:</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100,689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49,225</w:t>
            </w:r>
          </w:p>
        </w:tc>
      </w:tr>
      <w:tr>
        <w:trPr>
          <w:trHeight w:val="99"/>
        </w:trPr>
        <w:tc>
          <w:tcPr>
            <w:tcW w:w="71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Restricted cash</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16,075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12,942</w:t>
            </w: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Short-term investments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w:t>
            </w:r>
          </w:p>
        </w:tc>
      </w:tr>
      <w:tr>
        <w:trPr>
          <w:trHeight w:val="99"/>
        </w:trPr>
        <w:tc>
          <w:tcPr>
            <w:tcW w:w="71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receivable, net of allowances for credit losses of $15.3 million and $16.4 million, respectively</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88,706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88,030</w:t>
            </w: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Replace and remove program receivable</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35,622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50,586</w:t>
            </w:r>
          </w:p>
        </w:tc>
      </w:tr>
      <w:tr>
        <w:trPr>
          <w:trHeight w:val="99"/>
        </w:trPr>
        <w:tc>
          <w:tcPr>
            <w:tcW w:w="71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Customer receivable</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7,924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7,249</w:t>
            </w: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Inventory, materials and supplies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15,815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19,133</w:t>
            </w:r>
          </w:p>
        </w:tc>
      </w:tr>
      <w:tr>
        <w:trPr>
          <w:trHeight w:val="99"/>
        </w:trPr>
        <w:tc>
          <w:tcPr>
            <w:tcW w:w="718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60,465</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53,807</w:t>
            </w:r>
          </w:p>
        </w:tc>
      </w:tr>
      <w:tr>
        <w:trPr>
          <w:trHeight w:val="88"/>
        </w:trPr>
        <w:tc>
          <w:tcPr>
            <w:tcW w:w="718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current assets</w:t>
            </w:r>
          </w:p>
        </w:tc>
        <w:tc>
          <w:tcPr>
            <w:tcW w:w="10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325,606</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281,272</w:t>
            </w:r>
          </w:p>
        </w:tc>
      </w:tr>
      <w:tr>
        <w:trPr>
          <w:trHeight w:val="88"/>
        </w:trPr>
        <w:tc>
          <w:tcPr>
            <w:tcW w:w="7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99"/>
        </w:trPr>
        <w:tc>
          <w:tcPr>
            <w:tcW w:w="71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Fixed Assets, net</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1,049,002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1,080,659</w:t>
            </w:r>
          </w:p>
        </w:tc>
      </w:tr>
      <w:tr>
        <w:trPr>
          <w:trHeight w:val="99"/>
        </w:trPr>
        <w:tc>
          <w:tcPr>
            <w:tcW w:w="71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Telecommunication licenses, net</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113,319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113,319</w:t>
            </w:r>
          </w:p>
        </w:tc>
      </w:tr>
      <w:tr>
        <w:trPr>
          <w:trHeight w:val="99"/>
        </w:trPr>
        <w:tc>
          <w:tcPr>
            <w:tcW w:w="71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4,835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40,104</w:t>
            </w:r>
          </w:p>
        </w:tc>
      </w:tr>
      <w:tr>
        <w:trPr>
          <w:trHeight w:val="99"/>
        </w:trPr>
        <w:tc>
          <w:tcPr>
            <w:tcW w:w="71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Intangible assets, net</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13,889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19,585</w:t>
            </w:r>
          </w:p>
        </w:tc>
      </w:tr>
      <w:tr>
        <w:trPr>
          <w:trHeight w:val="99"/>
        </w:trPr>
        <w:tc>
          <w:tcPr>
            <w:tcW w:w="71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Operating lease right-of-use assets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99,231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99,335</w:t>
            </w:r>
          </w:p>
        </w:tc>
      </w:tr>
      <w:tr>
        <w:trPr>
          <w:trHeight w:val="99"/>
        </w:trPr>
        <w:tc>
          <w:tcPr>
            <w:tcW w:w="71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Customer receivable - long term</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41,925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45,676</w:t>
            </w:r>
          </w:p>
        </w:tc>
      </w:tr>
      <w:tr>
        <w:trPr>
          <w:trHeight w:val="99"/>
        </w:trPr>
        <w:tc>
          <w:tcPr>
            <w:tcW w:w="71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Other assets</w:t>
            </w:r>
          </w:p>
        </w:tc>
        <w:tc>
          <w:tcPr>
            <w:tcW w:w="10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103,574</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103,764</w:t>
            </w:r>
          </w:p>
        </w:tc>
      </w:tr>
      <w:tr>
        <w:trPr>
          <w:trHeight w:val="95"/>
        </w:trPr>
        <w:tc>
          <w:tcPr>
            <w:tcW w:w="718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assets</w:t>
            </w:r>
          </w:p>
        </w:tc>
        <w:tc>
          <w:tcPr>
            <w:tcW w:w="1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1,751,381</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1,783,714</w:t>
            </w:r>
          </w:p>
        </w:tc>
      </w:tr>
      <w:tr>
        <w:trPr>
          <w:trHeight w:val="99"/>
        </w:trPr>
        <w:tc>
          <w:tcPr>
            <w:tcW w:w="7180" w:type="dxa"/>
            <w:vAlign w:val="bottom"/>
            <w:shd w:val="clear" w:color="auto" w:fill="CCEEFF"/>
          </w:tcPr>
          <w:p>
            <w:pPr>
              <w:ind w:left="1540"/>
              <w:spacing w:after="0" w:line="99" w:lineRule="exact"/>
              <w:rPr>
                <w:sz w:val="20"/>
                <w:szCs w:val="20"/>
                <w:color w:val="auto"/>
              </w:rPr>
            </w:pPr>
            <w:r>
              <w:rPr>
                <w:rFonts w:ascii="Times New Roman" w:cs="Times New Roman" w:eastAsia="Times New Roman" w:hAnsi="Times New Roman"/>
                <w:sz w:val="10"/>
                <w:szCs w:val="10"/>
                <w:b w:val="1"/>
                <w:bCs w:val="1"/>
                <w:color w:val="auto"/>
              </w:rPr>
              <w:t>LIABILITIES, REDEEMABLE NONCONTROLLING INTERESTS AND EQUITY</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r>
      <w:tr>
        <w:trPr>
          <w:trHeight w:val="99"/>
        </w:trPr>
        <w:tc>
          <w:tcPr>
            <w:tcW w:w="71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Current Liabilities:</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7,413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24,290</w:t>
            </w:r>
          </w:p>
        </w:tc>
      </w:tr>
      <w:tr>
        <w:trPr>
          <w:trHeight w:val="99"/>
        </w:trPr>
        <w:tc>
          <w:tcPr>
            <w:tcW w:w="71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customer receivable credit facility</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7,935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7,110</w:t>
            </w: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payable and accrued liabilities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175,741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182,069</w:t>
            </w:r>
          </w:p>
        </w:tc>
      </w:tr>
      <w:tr>
        <w:trPr>
          <w:trHeight w:val="99"/>
        </w:trPr>
        <w:tc>
          <w:tcPr>
            <w:tcW w:w="71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Dividends payable</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3,627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3,701</w:t>
            </w: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Accrued taxes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10,685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10,876</w:t>
            </w:r>
          </w:p>
        </w:tc>
      </w:tr>
      <w:tr>
        <w:trPr>
          <w:trHeight w:val="99"/>
        </w:trPr>
        <w:tc>
          <w:tcPr>
            <w:tcW w:w="71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lease liabilities</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15,310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15,164</w:t>
            </w: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Advance payments and deposits</w:t>
            </w:r>
          </w:p>
        </w:tc>
        <w:tc>
          <w:tcPr>
            <w:tcW w:w="10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47,719</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49,984</w:t>
            </w:r>
          </w:p>
        </w:tc>
      </w:tr>
      <w:tr>
        <w:trPr>
          <w:trHeight w:val="88"/>
        </w:trPr>
        <w:tc>
          <w:tcPr>
            <w:tcW w:w="718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current liabilities</w:t>
            </w: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268,430</w:t>
            </w: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293,194</w:t>
            </w:r>
          </w:p>
        </w:tc>
      </w:tr>
      <w:tr>
        <w:trPr>
          <w:trHeight w:val="88"/>
        </w:trPr>
        <w:tc>
          <w:tcPr>
            <w:tcW w:w="71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Deferred income taxes</w:t>
            </w: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1,878</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19,775</w:t>
            </w:r>
          </w:p>
        </w:tc>
      </w:tr>
      <w:tr>
        <w:trPr>
          <w:trHeight w:val="99"/>
        </w:trPr>
        <w:tc>
          <w:tcPr>
            <w:tcW w:w="71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Lease liabilities, excluding current portion</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77,033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76,936</w:t>
            </w:r>
          </w:p>
        </w:tc>
      </w:tr>
      <w:tr>
        <w:trPr>
          <w:trHeight w:val="99"/>
        </w:trPr>
        <w:tc>
          <w:tcPr>
            <w:tcW w:w="71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Deferred revenue, long-term</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57,088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64,035</w:t>
            </w:r>
          </w:p>
        </w:tc>
      </w:tr>
      <w:tr>
        <w:trPr>
          <w:trHeight w:val="99"/>
        </w:trPr>
        <w:tc>
          <w:tcPr>
            <w:tcW w:w="71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Other liabilities</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77,979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74,531</w:t>
            </w:r>
          </w:p>
        </w:tc>
      </w:tr>
      <w:tr>
        <w:trPr>
          <w:trHeight w:val="99"/>
        </w:trPr>
        <w:tc>
          <w:tcPr>
            <w:tcW w:w="71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Customer receivable credit facility, net of current portion</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38,274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38,943</w:t>
            </w:r>
          </w:p>
        </w:tc>
      </w:tr>
      <w:tr>
        <w:trPr>
          <w:trHeight w:val="99"/>
        </w:trPr>
        <w:tc>
          <w:tcPr>
            <w:tcW w:w="718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10"/>
                <w:szCs w:val="10"/>
                <w:color w:val="auto"/>
              </w:rPr>
              <w:t>Long-term debt, excluding current portion</w:t>
            </w: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561,493</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492,580</w:t>
            </w:r>
          </w:p>
        </w:tc>
      </w:tr>
      <w:tr>
        <w:trPr>
          <w:trHeight w:val="88"/>
        </w:trPr>
        <w:tc>
          <w:tcPr>
            <w:tcW w:w="718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liabilities</w:t>
            </w:r>
          </w:p>
        </w:tc>
        <w:tc>
          <w:tcPr>
            <w:tcW w:w="10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1,082,175</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1,059,994</w:t>
            </w:r>
          </w:p>
        </w:tc>
      </w:tr>
      <w:tr>
        <w:trPr>
          <w:trHeight w:val="88"/>
        </w:trPr>
        <w:tc>
          <w:tcPr>
            <w:tcW w:w="718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Redeemable noncontrolling interests:</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Preferred redeemable noncontrolling interests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64,248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60,094</w:t>
            </w:r>
          </w:p>
        </w:tc>
      </w:tr>
      <w:tr>
        <w:trPr>
          <w:trHeight w:val="99"/>
        </w:trPr>
        <w:tc>
          <w:tcPr>
            <w:tcW w:w="718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Common redeemable noncontrolling interests</w:t>
            </w: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10,835</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25,823</w:t>
            </w:r>
          </w:p>
        </w:tc>
      </w:tr>
      <w:tr>
        <w:trPr>
          <w:trHeight w:val="88"/>
        </w:trPr>
        <w:tc>
          <w:tcPr>
            <w:tcW w:w="718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redeemable noncontrolling interests</w:t>
            </w:r>
          </w:p>
        </w:tc>
        <w:tc>
          <w:tcPr>
            <w:tcW w:w="10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75,083</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85,917</w:t>
            </w:r>
          </w:p>
        </w:tc>
      </w:tr>
      <w:tr>
        <w:trPr>
          <w:trHeight w:val="88"/>
        </w:trPr>
        <w:tc>
          <w:tcPr>
            <w:tcW w:w="718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ATN International, Inc. Stockholders’ Equity:</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Preferred stock, $0.01 par value per share; 10,000,000 shares authorized, none issued and outstanding</w:t>
            </w:r>
          </w:p>
        </w:tc>
        <w:tc>
          <w:tcPr>
            <w:tcW w:w="1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85"/>
        </w:trPr>
        <w:tc>
          <w:tcPr>
            <w:tcW w:w="7180" w:type="dxa"/>
            <w:vAlign w:val="bottom"/>
          </w:tcPr>
          <w:p>
            <w:pPr>
              <w:ind w:left="140"/>
              <w:spacing w:after="0" w:line="85" w:lineRule="exact"/>
              <w:rPr>
                <w:sz w:val="20"/>
                <w:szCs w:val="20"/>
                <w:color w:val="auto"/>
              </w:rPr>
            </w:pPr>
            <w:r>
              <w:rPr>
                <w:rFonts w:ascii="Times New Roman" w:cs="Times New Roman" w:eastAsia="Times New Roman" w:hAnsi="Times New Roman"/>
                <w:sz w:val="8"/>
                <w:szCs w:val="8"/>
                <w:color w:val="auto"/>
              </w:rPr>
              <w:t>Common stock, $0.01 par value per share; 50,000,000 shares authorized; 17,879,110 and 17,702,476 shares issued, respectively, 15,114,216 and 15,421,481 shares</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13"/>
        </w:trPr>
        <w:tc>
          <w:tcPr>
            <w:tcW w:w="7180" w:type="dxa"/>
            <w:vAlign w:val="bottom"/>
          </w:tcPr>
          <w:p>
            <w:pPr>
              <w:ind w:left="140"/>
              <w:spacing w:after="0" w:line="114" w:lineRule="exact"/>
              <w:rPr>
                <w:sz w:val="20"/>
                <w:szCs w:val="20"/>
                <w:color w:val="auto"/>
              </w:rPr>
            </w:pPr>
            <w:r>
              <w:rPr>
                <w:rFonts w:ascii="Times New Roman" w:cs="Times New Roman" w:eastAsia="Times New Roman" w:hAnsi="Times New Roman"/>
                <w:sz w:val="10"/>
                <w:szCs w:val="10"/>
                <w:color w:val="auto"/>
              </w:rPr>
              <w:t>outstanding, respectively</w:t>
            </w:r>
          </w:p>
        </w:tc>
        <w:tc>
          <w:tcPr>
            <w:tcW w:w="10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173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173</w:t>
            </w: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Treasury stock, at cost; 2,764,894 and 2,280,995 shares, respectively</w:t>
            </w:r>
          </w:p>
        </w:tc>
        <w:tc>
          <w:tcPr>
            <w:tcW w:w="1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(102,379)</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(90,447)</w:t>
            </w:r>
          </w:p>
        </w:tc>
      </w:tr>
      <w:tr>
        <w:trPr>
          <w:trHeight w:val="99"/>
        </w:trPr>
        <w:tc>
          <w:tcPr>
            <w:tcW w:w="71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Additional paid-in capital</w:t>
            </w:r>
          </w:p>
        </w:tc>
        <w:tc>
          <w:tcPr>
            <w:tcW w:w="10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211,401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205,797</w:t>
            </w:r>
          </w:p>
        </w:tc>
      </w:tr>
      <w:tr>
        <w:trPr>
          <w:trHeight w:val="99"/>
        </w:trPr>
        <w:tc>
          <w:tcPr>
            <w:tcW w:w="71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Retained earnings</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373,022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417,282</w:t>
            </w:r>
          </w:p>
        </w:tc>
      </w:tr>
      <w:tr>
        <w:trPr>
          <w:trHeight w:val="99"/>
        </w:trPr>
        <w:tc>
          <w:tcPr>
            <w:tcW w:w="718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Accumulated other comprehensive income</w:t>
            </w: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8,578</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8,268</w:t>
            </w:r>
          </w:p>
        </w:tc>
      </w:tr>
      <w:tr>
        <w:trPr>
          <w:trHeight w:val="88"/>
        </w:trPr>
        <w:tc>
          <w:tcPr>
            <w:tcW w:w="718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ATN International, Inc. stockholders’ equity</w:t>
            </w:r>
          </w:p>
        </w:tc>
        <w:tc>
          <w:tcPr>
            <w:tcW w:w="10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490,795</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541,073</w:t>
            </w:r>
          </w:p>
        </w:tc>
      </w:tr>
      <w:tr>
        <w:trPr>
          <w:trHeight w:val="88"/>
        </w:trPr>
        <w:tc>
          <w:tcPr>
            <w:tcW w:w="718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color w:val="auto"/>
              </w:rPr>
              <w:t>Noncontrolling interests</w:t>
            </w: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103,328</w:t>
            </w: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96,730</w:t>
            </w:r>
          </w:p>
        </w:tc>
      </w:tr>
      <w:tr>
        <w:trPr>
          <w:trHeight w:val="88"/>
        </w:trPr>
        <w:tc>
          <w:tcPr>
            <w:tcW w:w="71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Total equity</w:t>
            </w:r>
          </w:p>
        </w:tc>
        <w:tc>
          <w:tcPr>
            <w:tcW w:w="10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594,123</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637,803</w:t>
            </w:r>
          </w:p>
        </w:tc>
      </w:tr>
      <w:tr>
        <w:trPr>
          <w:trHeight w:val="95"/>
        </w:trPr>
        <w:tc>
          <w:tcPr>
            <w:tcW w:w="718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Total liabilities, redeemable noncontrolling interests and equity</w:t>
            </w:r>
          </w:p>
        </w:tc>
        <w:tc>
          <w:tcPr>
            <w:tcW w:w="1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1,751,381</w:t>
            </w:r>
          </w:p>
        </w:tc>
        <w:tc>
          <w:tcPr>
            <w:tcW w:w="120" w:type="dxa"/>
            <w:vAlign w:val="bottom"/>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1,783,714</w:t>
            </w: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r>
        <w:rPr>
          <w:rFonts w:ascii="Times New Roman" w:cs="Times New Roman" w:eastAsia="Times New Roman" w:hAnsi="Times New Roman"/>
          <w:sz w:val="9"/>
          <w:szCs w:val="9"/>
          <w:color w:val="auto"/>
        </w:rPr>
        <w: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AND NINE MONTHS ENDED SEPTEMBER 30, 2024 AND 2023</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5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8"/>
                <w:szCs w:val="8"/>
                <w:b w:val="1"/>
                <w:bCs w:val="1"/>
                <w:color w:val="auto"/>
              </w:rPr>
              <w:t>Three months ended September 30,</w:t>
            </w:r>
          </w:p>
        </w:tc>
        <w:tc>
          <w:tcPr>
            <w:tcW w:w="140" w:type="dxa"/>
            <w:vAlign w:val="bottom"/>
          </w:tcPr>
          <w:p>
            <w:pPr>
              <w:spacing w:after="0"/>
              <w:rPr>
                <w:sz w:val="8"/>
                <w:szCs w:val="8"/>
                <w:color w:val="auto"/>
              </w:rPr>
            </w:pP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Nine months ended September 30,</w:t>
            </w:r>
          </w:p>
        </w:tc>
      </w:tr>
      <w:tr>
        <w:trPr>
          <w:trHeight w:val="79"/>
        </w:trPr>
        <w:tc>
          <w:tcPr>
            <w:tcW w:w="5280" w:type="dxa"/>
            <w:vAlign w:val="bottom"/>
            <w:tcBorders>
              <w:bottom w:val="single" w:sz="8" w:color="CCEEFF"/>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jc w:val="right"/>
              <w:ind w:right="253"/>
              <w:spacing w:after="0" w:line="79" w:lineRule="exact"/>
              <w:rPr>
                <w:sz w:val="20"/>
                <w:szCs w:val="20"/>
                <w:color w:val="auto"/>
              </w:rPr>
            </w:pPr>
            <w:r>
              <w:rPr>
                <w:rFonts w:ascii="Times New Roman" w:cs="Times New Roman" w:eastAsia="Times New Roman" w:hAnsi="Times New Roman"/>
                <w:sz w:val="8"/>
                <w:szCs w:val="8"/>
                <w:b w:val="1"/>
                <w:bCs w:val="1"/>
                <w:color w:val="auto"/>
              </w:rPr>
              <w:t>2024</w:t>
            </w:r>
          </w:p>
        </w:tc>
        <w:tc>
          <w:tcPr>
            <w:tcW w:w="120" w:type="dxa"/>
            <w:vAlign w:val="bottom"/>
            <w:tcBorders>
              <w:top w:val="single" w:sz="8" w:color="auto"/>
              <w:bottom w:val="single" w:sz="8" w:color="CCEEFF"/>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20" w:type="dxa"/>
            <w:vAlign w:val="bottom"/>
            <w:tcBorders>
              <w:top w:val="single" w:sz="8" w:color="auto"/>
              <w:bottom w:val="single" w:sz="8" w:color="auto"/>
            </w:tcBorders>
          </w:tcPr>
          <w:p>
            <w:pPr>
              <w:jc w:val="right"/>
              <w:ind w:right="272"/>
              <w:spacing w:after="0" w:line="79" w:lineRule="exact"/>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bottom w:val="single" w:sz="8" w:color="CCEEFF"/>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jc w:val="right"/>
              <w:ind w:right="273"/>
              <w:spacing w:after="0" w:line="79" w:lineRule="exact"/>
              <w:rPr>
                <w:sz w:val="20"/>
                <w:szCs w:val="20"/>
                <w:color w:val="auto"/>
              </w:rPr>
            </w:pPr>
            <w:r>
              <w:rPr>
                <w:rFonts w:ascii="Times New Roman" w:cs="Times New Roman" w:eastAsia="Times New Roman" w:hAnsi="Times New Roman"/>
                <w:sz w:val="8"/>
                <w:szCs w:val="8"/>
                <w:b w:val="1"/>
                <w:bCs w:val="1"/>
                <w:color w:val="auto"/>
              </w:rPr>
              <w:t>2024</w:t>
            </w:r>
          </w:p>
        </w:tc>
        <w:tc>
          <w:tcPr>
            <w:tcW w:w="120" w:type="dxa"/>
            <w:vAlign w:val="bottom"/>
            <w:tcBorders>
              <w:top w:val="single" w:sz="8" w:color="auto"/>
              <w:bottom w:val="single" w:sz="8" w:color="CCEEFF"/>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jc w:val="right"/>
              <w:ind w:right="232"/>
              <w:spacing w:after="0" w:line="79" w:lineRule="exact"/>
              <w:rPr>
                <w:sz w:val="20"/>
                <w:szCs w:val="20"/>
                <w:color w:val="auto"/>
              </w:rPr>
            </w:pPr>
            <w:r>
              <w:rPr>
                <w:rFonts w:ascii="Times New Roman" w:cs="Times New Roman" w:eastAsia="Times New Roman" w:hAnsi="Times New Roman"/>
                <w:sz w:val="8"/>
                <w:szCs w:val="8"/>
                <w:b w:val="1"/>
                <w:bCs w:val="1"/>
                <w:color w:val="auto"/>
              </w:rPr>
              <w:t>2023</w:t>
            </w:r>
          </w:p>
        </w:tc>
        <w:tc>
          <w:tcPr>
            <w:tcW w:w="180" w:type="dxa"/>
            <w:vAlign w:val="bottom"/>
            <w:tcBorders>
              <w:bottom w:val="single" w:sz="8" w:color="CCEEFF"/>
            </w:tcBorders>
          </w:tcPr>
          <w:p>
            <w:pPr>
              <w:spacing w:after="0"/>
              <w:rPr>
                <w:sz w:val="6"/>
                <w:szCs w:val="6"/>
                <w:color w:val="auto"/>
              </w:rPr>
            </w:pPr>
          </w:p>
        </w:tc>
      </w:tr>
      <w:tr>
        <w:trPr>
          <w:trHeight w:val="88"/>
        </w:trPr>
        <w:tc>
          <w:tcPr>
            <w:tcW w:w="52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REVENUE:</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r>
      <w:tr>
        <w:trPr>
          <w:trHeight w:val="99"/>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Communication services</w:t>
            </w:r>
          </w:p>
        </w:tc>
        <w:tc>
          <w:tcPr>
            <w:tcW w:w="140" w:type="dxa"/>
            <w:vAlign w:val="bottom"/>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174,422</w:t>
            </w:r>
          </w:p>
        </w:tc>
        <w:tc>
          <w:tcPr>
            <w:tcW w:w="120" w:type="dxa"/>
            <w:vAlign w:val="bottom"/>
          </w:tcPr>
          <w:p>
            <w:pPr>
              <w:spacing w:after="0"/>
              <w:rPr>
                <w:sz w:val="8"/>
                <w:szCs w:val="8"/>
                <w:color w:val="auto"/>
              </w:rPr>
            </w:pPr>
          </w:p>
        </w:tc>
        <w:tc>
          <w:tcPr>
            <w:tcW w:w="20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184,601</w:t>
            </w:r>
          </w:p>
        </w:tc>
        <w:tc>
          <w:tcPr>
            <w:tcW w:w="120" w:type="dxa"/>
            <w:vAlign w:val="bottom"/>
          </w:tcPr>
          <w:p>
            <w:pPr>
              <w:spacing w:after="0"/>
              <w:rPr>
                <w:sz w:val="8"/>
                <w:szCs w:val="8"/>
                <w:color w:val="auto"/>
              </w:rPr>
            </w:pPr>
          </w:p>
        </w:tc>
        <w:tc>
          <w:tcPr>
            <w:tcW w:w="140" w:type="dxa"/>
            <w:vAlign w:val="bottom"/>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533,055</w:t>
            </w:r>
          </w:p>
        </w:tc>
        <w:tc>
          <w:tcPr>
            <w:tcW w:w="120" w:type="dxa"/>
            <w:vAlign w:val="bottom"/>
          </w:tcPr>
          <w:p>
            <w:pPr>
              <w:spacing w:after="0"/>
              <w:rPr>
                <w:sz w:val="8"/>
                <w:szCs w:val="8"/>
                <w:color w:val="auto"/>
              </w:rPr>
            </w:pP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547,484</w:t>
            </w:r>
          </w:p>
        </w:tc>
        <w:tc>
          <w:tcPr>
            <w:tcW w:w="180" w:type="dxa"/>
            <w:vAlign w:val="bottom"/>
          </w:tcPr>
          <w:p>
            <w:pPr>
              <w:spacing w:after="0"/>
              <w:rPr>
                <w:sz w:val="8"/>
                <w:szCs w:val="8"/>
                <w:color w:val="auto"/>
              </w:rPr>
            </w:pPr>
          </w:p>
        </w:tc>
      </w:tr>
      <w:tr>
        <w:trPr>
          <w:trHeight w:val="99"/>
        </w:trPr>
        <w:tc>
          <w:tcPr>
            <w:tcW w:w="5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Construction</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203</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2,038</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2,609</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3,648</w:t>
            </w:r>
          </w:p>
        </w:tc>
        <w:tc>
          <w:tcPr>
            <w:tcW w:w="180" w:type="dxa"/>
            <w:vAlign w:val="bottom"/>
            <w:shd w:val="clear" w:color="auto" w:fill="CCEEFF"/>
          </w:tcPr>
          <w:p>
            <w:pPr>
              <w:spacing w:after="0"/>
              <w:rPr>
                <w:sz w:val="8"/>
                <w:szCs w:val="8"/>
                <w:color w:val="auto"/>
              </w:rPr>
            </w:pPr>
          </w:p>
        </w:tc>
      </w:tr>
      <w:tr>
        <w:trPr>
          <w:trHeight w:val="99"/>
        </w:trPr>
        <w:tc>
          <w:tcPr>
            <w:tcW w:w="528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w:t>
            </w: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3,826</w:t>
            </w: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4,397</w:t>
            </w: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12,863</w:t>
            </w: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12,118</w:t>
            </w:r>
          </w:p>
        </w:tc>
        <w:tc>
          <w:tcPr>
            <w:tcW w:w="180" w:type="dxa"/>
            <w:vAlign w:val="bottom"/>
            <w:tcBorders>
              <w:bottom w:val="single" w:sz="8" w:color="CCEEFF"/>
            </w:tcBorders>
          </w:tcPr>
          <w:p>
            <w:pPr>
              <w:spacing w:after="0"/>
              <w:rPr>
                <w:sz w:val="8"/>
                <w:szCs w:val="8"/>
                <w:color w:val="auto"/>
              </w:rPr>
            </w:pPr>
          </w:p>
        </w:tc>
      </w:tr>
      <w:tr>
        <w:trPr>
          <w:trHeight w:val="88"/>
        </w:trPr>
        <w:tc>
          <w:tcPr>
            <w:tcW w:w="5280" w:type="dxa"/>
            <w:vAlign w:val="bottom"/>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Total revenue</w:t>
            </w:r>
          </w:p>
        </w:tc>
        <w:tc>
          <w:tcPr>
            <w:tcW w:w="14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178,451</w:t>
            </w:r>
          </w:p>
        </w:tc>
        <w:tc>
          <w:tcPr>
            <w:tcW w:w="12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191,036</w:t>
            </w: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548,527</w:t>
            </w:r>
          </w:p>
        </w:tc>
        <w:tc>
          <w:tcPr>
            <w:tcW w:w="1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563,250</w:t>
            </w:r>
          </w:p>
        </w:tc>
        <w:tc>
          <w:tcPr>
            <w:tcW w:w="180" w:type="dxa"/>
            <w:vAlign w:val="bottom"/>
            <w:shd w:val="clear" w:color="auto" w:fill="CCEEFF"/>
          </w:tcPr>
          <w:p>
            <w:pPr>
              <w:spacing w:after="0"/>
              <w:rPr>
                <w:sz w:val="7"/>
                <w:szCs w:val="7"/>
                <w:color w:val="auto"/>
              </w:rPr>
            </w:pPr>
          </w:p>
        </w:tc>
      </w:tr>
      <w:tr>
        <w:trPr>
          <w:trHeight w:val="88"/>
        </w:trPr>
        <w:tc>
          <w:tcPr>
            <w:tcW w:w="528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OPERATING EXPENSES </w:t>
            </w:r>
            <w:r>
              <w:rPr>
                <w:rFonts w:ascii="Times New Roman" w:cs="Times New Roman" w:eastAsia="Times New Roman" w:hAnsi="Times New Roman"/>
                <w:sz w:val="10"/>
                <w:szCs w:val="10"/>
                <w:i w:val="1"/>
                <w:iCs w:val="1"/>
                <w:color w:val="auto"/>
              </w:rPr>
              <w:t>(excluding depreciation and amortization unless otherwise indicated)</w:t>
            </w:r>
            <w:r>
              <w:rPr>
                <w:rFonts w:ascii="Times New Roman" w:cs="Times New Roman" w:eastAsia="Times New Roman" w:hAnsi="Times New Roman"/>
                <w:sz w:val="10"/>
                <w:szCs w:val="10"/>
                <w:b w:val="1"/>
                <w:bCs w:val="1"/>
                <w:color w:val="auto"/>
              </w:rPr>
              <w:t>:</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99"/>
        </w:trPr>
        <w:tc>
          <w:tcPr>
            <w:tcW w:w="5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Cost of communication services and other</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78,973</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80,367</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235,499</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237,125</w:t>
            </w:r>
          </w:p>
        </w:tc>
        <w:tc>
          <w:tcPr>
            <w:tcW w:w="180" w:type="dxa"/>
            <w:vAlign w:val="bottom"/>
            <w:shd w:val="clear" w:color="auto" w:fill="CCEEFF"/>
          </w:tcPr>
          <w:p>
            <w:pPr>
              <w:spacing w:after="0"/>
              <w:rPr>
                <w:sz w:val="8"/>
                <w:szCs w:val="8"/>
                <w:color w:val="auto"/>
              </w:rPr>
            </w:pPr>
          </w:p>
        </w:tc>
      </w:tr>
      <w:tr>
        <w:trPr>
          <w:trHeight w:val="99"/>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Cost of construction revenue</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205</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2,031</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2,588</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3,635</w:t>
            </w:r>
          </w:p>
        </w:tc>
        <w:tc>
          <w:tcPr>
            <w:tcW w:w="180" w:type="dxa"/>
            <w:vAlign w:val="bottom"/>
          </w:tcPr>
          <w:p>
            <w:pPr>
              <w:spacing w:after="0"/>
              <w:rPr>
                <w:sz w:val="8"/>
                <w:szCs w:val="8"/>
                <w:color w:val="auto"/>
              </w:rPr>
            </w:pPr>
          </w:p>
        </w:tc>
      </w:tr>
      <w:tr>
        <w:trPr>
          <w:trHeight w:val="99"/>
        </w:trPr>
        <w:tc>
          <w:tcPr>
            <w:tcW w:w="5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Selling, general and administrative</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53,601</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60,792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172,580</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184,055</w:t>
            </w:r>
          </w:p>
        </w:tc>
        <w:tc>
          <w:tcPr>
            <w:tcW w:w="180" w:type="dxa"/>
            <w:vAlign w:val="bottom"/>
            <w:shd w:val="clear" w:color="auto" w:fill="CCEEFF"/>
          </w:tcPr>
          <w:p>
            <w:pPr>
              <w:spacing w:after="0"/>
              <w:rPr>
                <w:sz w:val="8"/>
                <w:szCs w:val="8"/>
                <w:color w:val="auto"/>
              </w:rPr>
            </w:pPr>
          </w:p>
        </w:tc>
      </w:tr>
      <w:tr>
        <w:trPr>
          <w:trHeight w:val="99"/>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1,831</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1,956</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6,521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6,473</w:t>
            </w:r>
          </w:p>
        </w:tc>
        <w:tc>
          <w:tcPr>
            <w:tcW w:w="180" w:type="dxa"/>
            <w:vAlign w:val="bottom"/>
          </w:tcPr>
          <w:p>
            <w:pPr>
              <w:spacing w:after="0"/>
              <w:rPr>
                <w:sz w:val="8"/>
                <w:szCs w:val="8"/>
                <w:color w:val="auto"/>
              </w:rPr>
            </w:pPr>
          </w:p>
        </w:tc>
      </w:tr>
      <w:tr>
        <w:trPr>
          <w:trHeight w:val="99"/>
        </w:trPr>
        <w:tc>
          <w:tcPr>
            <w:tcW w:w="5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Transaction-related charges</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3,791</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45</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3,809</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496</w:t>
            </w:r>
          </w:p>
        </w:tc>
        <w:tc>
          <w:tcPr>
            <w:tcW w:w="180" w:type="dxa"/>
            <w:vAlign w:val="bottom"/>
            <w:shd w:val="clear" w:color="auto" w:fill="CCEEFF"/>
          </w:tcPr>
          <w:p>
            <w:pPr>
              <w:spacing w:after="0"/>
              <w:rPr>
                <w:sz w:val="8"/>
                <w:szCs w:val="8"/>
                <w:color w:val="auto"/>
              </w:rPr>
            </w:pPr>
          </w:p>
        </w:tc>
      </w:tr>
      <w:tr>
        <w:trPr>
          <w:trHeight w:val="99"/>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Restructuring and reorganization expenses</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2,345</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1,383</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3,535</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4,640</w:t>
            </w:r>
          </w:p>
        </w:tc>
        <w:tc>
          <w:tcPr>
            <w:tcW w:w="180" w:type="dxa"/>
            <w:vAlign w:val="bottom"/>
          </w:tcPr>
          <w:p>
            <w:pPr>
              <w:spacing w:after="0"/>
              <w:rPr>
                <w:sz w:val="8"/>
                <w:szCs w:val="8"/>
                <w:color w:val="auto"/>
              </w:rPr>
            </w:pPr>
          </w:p>
        </w:tc>
      </w:tr>
      <w:tr>
        <w:trPr>
          <w:trHeight w:val="99"/>
        </w:trPr>
        <w:tc>
          <w:tcPr>
            <w:tcW w:w="5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37,299</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34,370</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107,196</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106,991</w:t>
            </w:r>
          </w:p>
        </w:tc>
        <w:tc>
          <w:tcPr>
            <w:tcW w:w="180" w:type="dxa"/>
            <w:vAlign w:val="bottom"/>
            <w:shd w:val="clear" w:color="auto" w:fill="CCEEFF"/>
          </w:tcPr>
          <w:p>
            <w:pPr>
              <w:spacing w:after="0"/>
              <w:rPr>
                <w:sz w:val="8"/>
                <w:szCs w:val="8"/>
                <w:color w:val="auto"/>
              </w:rPr>
            </w:pPr>
          </w:p>
        </w:tc>
      </w:tr>
      <w:tr>
        <w:trPr>
          <w:trHeight w:val="99"/>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Amortization of intangibles from acquisitions</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1,991</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3,124</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5,916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9,514</w:t>
            </w:r>
          </w:p>
        </w:tc>
        <w:tc>
          <w:tcPr>
            <w:tcW w:w="180" w:type="dxa"/>
            <w:vAlign w:val="bottom"/>
          </w:tcPr>
          <w:p>
            <w:pPr>
              <w:spacing w:after="0"/>
              <w:rPr>
                <w:sz w:val="8"/>
                <w:szCs w:val="8"/>
                <w:color w:val="auto"/>
              </w:rPr>
            </w:pPr>
          </w:p>
        </w:tc>
      </w:tr>
      <w:tr>
        <w:trPr>
          <w:trHeight w:val="99"/>
        </w:trPr>
        <w:tc>
          <w:tcPr>
            <w:tcW w:w="5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(Gain) loss on disposition of assets and transfers</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1,504</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(14,919)</w:t>
            </w: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410</w:t>
            </w:r>
          </w:p>
        </w:tc>
        <w:tc>
          <w:tcPr>
            <w:tcW w:w="180" w:type="dxa"/>
            <w:vAlign w:val="bottom"/>
            <w:shd w:val="clear" w:color="auto" w:fill="CCEEFF"/>
          </w:tcPr>
          <w:p>
            <w:pPr>
              <w:spacing w:after="0"/>
              <w:rPr>
                <w:sz w:val="8"/>
                <w:szCs w:val="8"/>
                <w:color w:val="auto"/>
              </w:rPr>
            </w:pPr>
          </w:p>
        </w:tc>
      </w:tr>
      <w:tr>
        <w:trPr>
          <w:trHeight w:val="99"/>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Goodwill impairment</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35,269</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35,269</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88"/>
        </w:trPr>
        <w:tc>
          <w:tcPr>
            <w:tcW w:w="5280" w:type="dxa"/>
            <w:vAlign w:val="bottom"/>
            <w:tcBorders>
              <w:top w:val="single" w:sz="8" w:color="CCEEFF"/>
            </w:tcBorders>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216,809</w:t>
            </w: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184,200</w:t>
            </w: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6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557,994</w:t>
            </w: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553,339</w:t>
            </w:r>
          </w:p>
        </w:tc>
        <w:tc>
          <w:tcPr>
            <w:tcW w:w="180" w:type="dxa"/>
            <w:vAlign w:val="bottom"/>
            <w:tcBorders>
              <w:top w:val="single" w:sz="8" w:color="CCEEFF"/>
            </w:tcBorders>
            <w:shd w:val="clear" w:color="auto" w:fill="CCEEFF"/>
          </w:tcPr>
          <w:p>
            <w:pPr>
              <w:spacing w:after="0"/>
              <w:rPr>
                <w:sz w:val="7"/>
                <w:szCs w:val="7"/>
                <w:color w:val="auto"/>
              </w:rPr>
            </w:pPr>
          </w:p>
        </w:tc>
      </w:tr>
      <w:tr>
        <w:trPr>
          <w:trHeight w:val="88"/>
        </w:trPr>
        <w:tc>
          <w:tcPr>
            <w:tcW w:w="5280" w:type="dxa"/>
            <w:vAlign w:val="bottom"/>
            <w:tcBorders>
              <w:bottom w:val="single" w:sz="8" w:color="CCEEFF"/>
            </w:tcBorders>
          </w:tcPr>
          <w:p>
            <w:pPr>
              <w:ind w:left="220"/>
              <w:spacing w:after="0" w:line="88" w:lineRule="exact"/>
              <w:rPr>
                <w:sz w:val="20"/>
                <w:szCs w:val="20"/>
                <w:color w:val="auto"/>
              </w:rPr>
            </w:pPr>
            <w:r>
              <w:rPr>
                <w:rFonts w:ascii="Times New Roman" w:cs="Times New Roman" w:eastAsia="Times New Roman" w:hAnsi="Times New Roman"/>
                <w:sz w:val="10"/>
                <w:szCs w:val="10"/>
                <w:color w:val="auto"/>
              </w:rPr>
              <w:t>Income from operations</w:t>
            </w: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(38,358)</w:t>
            </w: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6,836</w:t>
            </w: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(9,467)</w:t>
            </w: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9,911</w:t>
            </w:r>
          </w:p>
        </w:tc>
        <w:tc>
          <w:tcPr>
            <w:tcW w:w="180" w:type="dxa"/>
            <w:vAlign w:val="bottom"/>
            <w:tcBorders>
              <w:bottom w:val="single" w:sz="8" w:color="CCEEFF"/>
            </w:tcBorders>
          </w:tcPr>
          <w:p>
            <w:pPr>
              <w:spacing w:after="0"/>
              <w:rPr>
                <w:sz w:val="7"/>
                <w:szCs w:val="7"/>
                <w:color w:val="auto"/>
              </w:rPr>
            </w:pPr>
          </w:p>
        </w:tc>
      </w:tr>
      <w:tr>
        <w:trPr>
          <w:trHeight w:val="88"/>
        </w:trPr>
        <w:tc>
          <w:tcPr>
            <w:tcW w:w="52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OTHER INCOME (EXPENSE)</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r>
      <w:tr>
        <w:trPr>
          <w:trHeight w:val="99"/>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 income</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212</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136</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799</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362</w:t>
            </w:r>
          </w:p>
        </w:tc>
        <w:tc>
          <w:tcPr>
            <w:tcW w:w="180" w:type="dxa"/>
            <w:vAlign w:val="bottom"/>
          </w:tcPr>
          <w:p>
            <w:pPr>
              <w:spacing w:after="0"/>
              <w:rPr>
                <w:sz w:val="8"/>
                <w:szCs w:val="8"/>
                <w:color w:val="auto"/>
              </w:rPr>
            </w:pPr>
          </w:p>
        </w:tc>
      </w:tr>
      <w:tr>
        <w:trPr>
          <w:trHeight w:val="99"/>
        </w:trPr>
        <w:tc>
          <w:tcPr>
            <w:tcW w:w="5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 expense</w:t>
            </w:r>
          </w:p>
        </w:tc>
        <w:tc>
          <w:tcPr>
            <w:tcW w:w="1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(12,695)</w:t>
            </w:r>
          </w:p>
        </w:tc>
        <w:tc>
          <w:tcPr>
            <w:tcW w:w="2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(11,445)</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(36,552)</w:t>
            </w:r>
          </w:p>
        </w:tc>
        <w:tc>
          <w:tcPr>
            <w:tcW w:w="1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(30,700)</w:t>
            </w:r>
          </w:p>
        </w:tc>
      </w:tr>
      <w:tr>
        <w:trPr>
          <w:trHeight w:val="99"/>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 income (expense)</w:t>
            </w:r>
          </w:p>
        </w:tc>
        <w:tc>
          <w:tcPr>
            <w:tcW w:w="140" w:type="dxa"/>
            <w:vAlign w:val="bottom"/>
          </w:tcPr>
          <w:p>
            <w:pPr>
              <w:spacing w:after="0"/>
              <w:rPr>
                <w:sz w:val="8"/>
                <w:szCs w:val="8"/>
                <w:color w:val="auto"/>
              </w:rPr>
            </w:pPr>
          </w:p>
        </w:tc>
        <w:tc>
          <w:tcPr>
            <w:tcW w:w="7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(645)</w:t>
            </w:r>
          </w:p>
        </w:tc>
        <w:tc>
          <w:tcPr>
            <w:tcW w:w="20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213</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(1,052)</w:t>
            </w:r>
          </w:p>
        </w:tc>
        <w:tc>
          <w:tcPr>
            <w:tcW w:w="16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2,623</w:t>
            </w:r>
          </w:p>
        </w:tc>
        <w:tc>
          <w:tcPr>
            <w:tcW w:w="180" w:type="dxa"/>
            <w:vAlign w:val="bottom"/>
          </w:tcPr>
          <w:p>
            <w:pPr>
              <w:spacing w:after="0"/>
              <w:rPr>
                <w:sz w:val="8"/>
                <w:szCs w:val="8"/>
                <w:color w:val="auto"/>
              </w:rPr>
            </w:pPr>
          </w:p>
        </w:tc>
      </w:tr>
      <w:tr>
        <w:trPr>
          <w:trHeight w:val="88"/>
        </w:trPr>
        <w:tc>
          <w:tcPr>
            <w:tcW w:w="5280" w:type="dxa"/>
            <w:vAlign w:val="bottom"/>
            <w:tcBorders>
              <w:top w:val="single" w:sz="8" w:color="CCEEFF"/>
            </w:tcBorders>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Other (expense)</w:t>
            </w: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(13,128)</w:t>
            </w: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(11,096)</w:t>
            </w: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6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(36,805)</w:t>
            </w: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(27,715)</w:t>
            </w:r>
          </w:p>
        </w:tc>
        <w:tc>
          <w:tcPr>
            <w:tcW w:w="180" w:type="dxa"/>
            <w:vAlign w:val="bottom"/>
            <w:tcBorders>
              <w:top w:val="single" w:sz="8" w:color="CCEEFF"/>
            </w:tcBorders>
            <w:shd w:val="clear" w:color="auto" w:fill="CCEEFF"/>
          </w:tcPr>
          <w:p>
            <w:pPr>
              <w:spacing w:after="0"/>
              <w:rPr>
                <w:sz w:val="7"/>
                <w:szCs w:val="7"/>
                <w:color w:val="auto"/>
              </w:rPr>
            </w:pPr>
          </w:p>
        </w:tc>
      </w:tr>
      <w:tr>
        <w:trPr>
          <w:trHeight w:val="88"/>
        </w:trPr>
        <w:tc>
          <w:tcPr>
            <w:tcW w:w="528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LOSS BEFORE INCOME TAXES</w:t>
            </w:r>
          </w:p>
        </w:tc>
        <w:tc>
          <w:tcPr>
            <w:tcW w:w="140" w:type="dxa"/>
            <w:vAlign w:val="bottom"/>
          </w:tcPr>
          <w:p>
            <w:pPr>
              <w:spacing w:after="0"/>
              <w:rPr>
                <w:sz w:val="7"/>
                <w:szCs w:val="7"/>
                <w:color w:val="auto"/>
              </w:rPr>
            </w:pPr>
          </w:p>
        </w:tc>
        <w:tc>
          <w:tcPr>
            <w:tcW w:w="6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(51,486)</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(4,260)</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(46,272)</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(17,804)</w:t>
            </w:r>
          </w:p>
        </w:tc>
        <w:tc>
          <w:tcPr>
            <w:tcW w:w="180" w:type="dxa"/>
            <w:vAlign w:val="bottom"/>
          </w:tcPr>
          <w:p>
            <w:pPr>
              <w:spacing w:after="0"/>
              <w:rPr>
                <w:sz w:val="7"/>
                <w:szCs w:val="7"/>
                <w:color w:val="auto"/>
              </w:rPr>
            </w:pPr>
          </w:p>
        </w:tc>
      </w:tr>
      <w:tr>
        <w:trPr>
          <w:trHeight w:val="99"/>
        </w:trPr>
        <w:tc>
          <w:tcPr>
            <w:tcW w:w="5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Income tax benefit</w:t>
            </w:r>
          </w:p>
        </w:tc>
        <w:tc>
          <w:tcPr>
            <w:tcW w:w="1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(12,035)</w:t>
            </w:r>
          </w:p>
        </w:tc>
        <w:tc>
          <w:tcPr>
            <w:tcW w:w="2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(542)</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(10,213)</w:t>
            </w:r>
          </w:p>
        </w:tc>
        <w:tc>
          <w:tcPr>
            <w:tcW w:w="1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(6,369)</w:t>
            </w:r>
          </w:p>
        </w:tc>
      </w:tr>
      <w:tr>
        <w:trPr>
          <w:trHeight w:val="88"/>
        </w:trPr>
        <w:tc>
          <w:tcPr>
            <w:tcW w:w="528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(39,451)</w:t>
            </w: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(3,718)</w:t>
            </w: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(36,059)</w:t>
            </w:r>
          </w:p>
        </w:tc>
        <w:tc>
          <w:tcPr>
            <w:tcW w:w="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(11,435)</w:t>
            </w:r>
          </w:p>
        </w:tc>
        <w:tc>
          <w:tcPr>
            <w:tcW w:w="180" w:type="dxa"/>
            <w:vAlign w:val="bottom"/>
          </w:tcPr>
          <w:p>
            <w:pPr>
              <w:spacing w:after="0"/>
              <w:rPr>
                <w:sz w:val="7"/>
                <w:szCs w:val="7"/>
                <w:color w:val="auto"/>
              </w:rPr>
            </w:pPr>
          </w:p>
        </w:tc>
      </w:tr>
      <w:tr>
        <w:trPr>
          <w:trHeight w:val="85"/>
        </w:trPr>
        <w:tc>
          <w:tcPr>
            <w:tcW w:w="5280" w:type="dxa"/>
            <w:vAlign w:val="bottom"/>
            <w:shd w:val="clear" w:color="auto" w:fill="CCEEFF"/>
          </w:tcPr>
          <w:p>
            <w:pPr>
              <w:ind w:left="140"/>
              <w:spacing w:after="0" w:line="85" w:lineRule="exact"/>
              <w:rPr>
                <w:sz w:val="20"/>
                <w:szCs w:val="20"/>
                <w:color w:val="auto"/>
              </w:rPr>
            </w:pPr>
            <w:r>
              <w:rPr>
                <w:rFonts w:ascii="Times New Roman" w:cs="Times New Roman" w:eastAsia="Times New Roman" w:hAnsi="Times New Roman"/>
                <w:sz w:val="8"/>
                <w:szCs w:val="8"/>
                <w:color w:val="auto"/>
              </w:rPr>
              <w:t>Net loss attributable to noncontrolling interests, net of tax (benefit) expense of $(0.9) million, $(0.6) million, $(1.0) million and</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r>
      <w:tr>
        <w:trPr>
          <w:trHeight w:val="113"/>
        </w:trPr>
        <w:tc>
          <w:tcPr>
            <w:tcW w:w="5280" w:type="dxa"/>
            <w:vAlign w:val="bottom"/>
            <w:shd w:val="clear" w:color="auto" w:fill="CCEEFF"/>
          </w:tcPr>
          <w:p>
            <w:pPr>
              <w:ind w:left="140"/>
              <w:spacing w:after="0" w:line="114" w:lineRule="exact"/>
              <w:rPr>
                <w:sz w:val="20"/>
                <w:szCs w:val="20"/>
                <w:color w:val="auto"/>
              </w:rPr>
            </w:pPr>
            <w:r>
              <w:rPr>
                <w:rFonts w:ascii="Times New Roman" w:cs="Times New Roman" w:eastAsia="Times New Roman" w:hAnsi="Times New Roman"/>
                <w:sz w:val="10"/>
                <w:szCs w:val="10"/>
                <w:color w:val="auto"/>
              </w:rPr>
              <w:t>$(1.8) million respectively</w:t>
            </w:r>
          </w:p>
        </w:tc>
        <w:tc>
          <w:tcPr>
            <w:tcW w:w="14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6,760</w:t>
            </w:r>
          </w:p>
        </w:tc>
        <w:tc>
          <w:tcPr>
            <w:tcW w:w="12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134</w:t>
            </w:r>
          </w:p>
        </w:tc>
        <w:tc>
          <w:tcPr>
            <w:tcW w:w="1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6,059</w:t>
            </w:r>
          </w:p>
        </w:tc>
        <w:tc>
          <w:tcPr>
            <w:tcW w:w="12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2,733</w:t>
            </w:r>
          </w:p>
        </w:tc>
        <w:tc>
          <w:tcPr>
            <w:tcW w:w="180" w:type="dxa"/>
            <w:vAlign w:val="bottom"/>
            <w:shd w:val="clear" w:color="auto" w:fill="CCEEFF"/>
          </w:tcPr>
          <w:p>
            <w:pPr>
              <w:spacing w:after="0"/>
              <w:rPr>
                <w:sz w:val="9"/>
                <w:szCs w:val="9"/>
                <w:color w:val="auto"/>
              </w:rPr>
            </w:pPr>
          </w:p>
        </w:tc>
      </w:tr>
      <w:tr>
        <w:trPr>
          <w:trHeight w:val="95"/>
        </w:trPr>
        <w:tc>
          <w:tcPr>
            <w:tcW w:w="528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LOSS ATTRIBUTABLE TO ATN INTERNATIONAL, INC. STOCKHOLDERS</w:t>
            </w:r>
          </w:p>
        </w:tc>
        <w:tc>
          <w:tcPr>
            <w:tcW w:w="140" w:type="dxa"/>
            <w:vAlign w:val="bottom"/>
            <w:tcBorders>
              <w:bottom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(32,691)</w:t>
            </w: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jc w:val="right"/>
              <w:ind w:right="9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(3,584)</w:t>
            </w: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(30,000)</w:t>
            </w: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(8,702)</w:t>
            </w:r>
          </w:p>
        </w:tc>
        <w:tc>
          <w:tcPr>
            <w:tcW w:w="180" w:type="dxa"/>
            <w:vAlign w:val="bottom"/>
            <w:tcBorders>
              <w:bottom w:val="single" w:sz="8" w:color="CCEEFF"/>
            </w:tcBorders>
          </w:tcPr>
          <w:p>
            <w:pPr>
              <w:spacing w:after="0"/>
              <w:rPr>
                <w:sz w:val="8"/>
                <w:szCs w:val="8"/>
                <w:color w:val="auto"/>
              </w:rPr>
            </w:pPr>
          </w:p>
        </w:tc>
      </w:tr>
      <w:tr>
        <w:trPr>
          <w:trHeight w:val="65"/>
        </w:trPr>
        <w:tc>
          <w:tcPr>
            <w:tcW w:w="5280" w:type="dxa"/>
            <w:vAlign w:val="bottom"/>
            <w:shd w:val="clear" w:color="auto" w:fill="CCEEFF"/>
          </w:tcPr>
          <w:p>
            <w:pPr>
              <w:spacing w:after="0" w:line="65" w:lineRule="exact"/>
              <w:rPr>
                <w:sz w:val="20"/>
                <w:szCs w:val="20"/>
                <w:color w:val="auto"/>
              </w:rPr>
            </w:pPr>
            <w:r>
              <w:rPr>
                <w:rFonts w:ascii="Times New Roman" w:cs="Times New Roman" w:eastAsia="Times New Roman" w:hAnsi="Times New Roman"/>
                <w:sz w:val="7"/>
                <w:szCs w:val="7"/>
                <w:b w:val="1"/>
                <w:bCs w:val="1"/>
                <w:color w:val="auto"/>
              </w:rPr>
              <w:t>NET LOSS PER WEIGHTED AVERAGE SHARE ATTRIBUTABLE TO ATN INTERNATIONAL, INC.</w:t>
            </w: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r>
      <w:tr>
        <w:trPr>
          <w:trHeight w:val="1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06"/>
        </w:trPr>
        <w:tc>
          <w:tcPr>
            <w:tcW w:w="528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Basic</w:t>
            </w:r>
          </w:p>
        </w:tc>
        <w:tc>
          <w:tcPr>
            <w:tcW w:w="140" w:type="dxa"/>
            <w:vAlign w:val="bottom"/>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(2.26)</w:t>
            </w:r>
          </w:p>
        </w:tc>
        <w:tc>
          <w:tcPr>
            <w:tcW w:w="20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(0.31)</w:t>
            </w:r>
          </w:p>
        </w:tc>
        <w:tc>
          <w:tcPr>
            <w:tcW w:w="140" w:type="dxa"/>
            <w:vAlign w:val="bottom"/>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(2.24)</w:t>
            </w: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(0.80)</w:t>
            </w:r>
          </w:p>
        </w:tc>
      </w:tr>
      <w:tr>
        <w:trPr>
          <w:trHeight w:val="119"/>
        </w:trPr>
        <w:tc>
          <w:tcPr>
            <w:tcW w:w="5280" w:type="dxa"/>
            <w:vAlign w:val="bottom"/>
            <w:tcBorders>
              <w:top w:val="single" w:sz="8" w:color="CCEEFF"/>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Diluted</w:t>
            </w:r>
          </w:p>
        </w:tc>
        <w:tc>
          <w:tcPr>
            <w:tcW w:w="140" w:type="dxa"/>
            <w:vAlign w:val="bottom"/>
            <w:tcBorders>
              <w:top w:val="single" w:sz="8" w:color="auto"/>
              <w:bottom w:val="single" w:sz="8" w:color="auto"/>
            </w:tcBorders>
            <w:shd w:val="clear" w:color="auto" w:fill="CCEEFF"/>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(0.31)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(0.80)</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86"/>
        </w:trPr>
        <w:tc>
          <w:tcPr>
            <w:tcW w:w="5280" w:type="dxa"/>
            <w:vAlign w:val="bottom"/>
          </w:tcPr>
          <w:p>
            <w:pPr>
              <w:spacing w:after="0" w:line="86" w:lineRule="exact"/>
              <w:rPr>
                <w:sz w:val="20"/>
                <w:szCs w:val="20"/>
                <w:color w:val="auto"/>
              </w:rPr>
            </w:pPr>
            <w:r>
              <w:rPr>
                <w:rFonts w:ascii="Times New Roman" w:cs="Times New Roman" w:eastAsia="Times New Roman" w:hAnsi="Times New Roman"/>
                <w:sz w:val="8"/>
                <w:szCs w:val="8"/>
                <w:b w:val="1"/>
                <w:bCs w:val="1"/>
                <w:color w:val="auto"/>
              </w:rPr>
              <w:t>WEIGHTED AVERAGE COMMON SHARES OUTSTANDING:</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19"/>
        </w:trPr>
        <w:tc>
          <w:tcPr>
            <w:tcW w:w="528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Basic</w:t>
            </w:r>
          </w:p>
        </w:tc>
        <w:tc>
          <w:tcPr>
            <w:tcW w:w="1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15,114</w:t>
            </w: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15,601</w:t>
            </w: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15,268</w:t>
            </w: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15,666</w:t>
            </w:r>
          </w:p>
        </w:tc>
        <w:tc>
          <w:tcPr>
            <w:tcW w:w="180" w:type="dxa"/>
            <w:vAlign w:val="bottom"/>
            <w:tcBorders>
              <w:bottom w:val="single" w:sz="8" w:color="CCEEFF"/>
            </w:tcBorders>
            <w:shd w:val="clear" w:color="auto" w:fill="CCEEFF"/>
          </w:tcPr>
          <w:p>
            <w:pPr>
              <w:spacing w:after="0"/>
              <w:rPr>
                <w:sz w:val="10"/>
                <w:szCs w:val="10"/>
                <w:color w:val="auto"/>
              </w:rPr>
            </w:pPr>
          </w:p>
        </w:tc>
      </w:tr>
      <w:tr>
        <w:trPr>
          <w:trHeight w:val="93"/>
        </w:trPr>
        <w:tc>
          <w:tcPr>
            <w:tcW w:w="5280" w:type="dxa"/>
            <w:vAlign w:val="bottom"/>
            <w:tcBorders>
              <w:bottom w:val="single" w:sz="8" w:color="CCEEFF"/>
            </w:tcBorders>
          </w:tcPr>
          <w:p>
            <w:pPr>
              <w:ind w:left="140"/>
              <w:spacing w:after="0" w:line="86" w:lineRule="exact"/>
              <w:rPr>
                <w:sz w:val="20"/>
                <w:szCs w:val="20"/>
                <w:color w:val="auto"/>
              </w:rPr>
            </w:pPr>
            <w:r>
              <w:rPr>
                <w:rFonts w:ascii="Times New Roman" w:cs="Times New Roman" w:eastAsia="Times New Roman" w:hAnsi="Times New Roman"/>
                <w:sz w:val="8"/>
                <w:szCs w:val="8"/>
                <w:color w:val="auto"/>
              </w:rPr>
              <w:t>Diluted</w:t>
            </w: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15,114</w:t>
            </w: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15,601</w:t>
            </w: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15,268</w:t>
            </w: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15,666</w:t>
            </w:r>
          </w:p>
        </w:tc>
        <w:tc>
          <w:tcPr>
            <w:tcW w:w="180" w:type="dxa"/>
            <w:vAlign w:val="bottom"/>
            <w:tcBorders>
              <w:bottom w:val="single" w:sz="8" w:color="CCEEFF"/>
            </w:tcBorders>
          </w:tcPr>
          <w:p>
            <w:pPr>
              <w:spacing w:after="0"/>
              <w:rPr>
                <w:sz w:val="8"/>
                <w:szCs w:val="8"/>
                <w:color w:val="auto"/>
              </w:rPr>
            </w:pPr>
          </w:p>
        </w:tc>
      </w:tr>
      <w:tr>
        <w:trPr>
          <w:trHeight w:val="106"/>
        </w:trPr>
        <w:tc>
          <w:tcPr>
            <w:tcW w:w="5280" w:type="dxa"/>
            <w:vAlign w:val="bottom"/>
            <w:tcBorders>
              <w:bottom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DIVIDENDS PER SHARE APPLICABLE TO COMMON STOCK</w:t>
            </w:r>
          </w:p>
        </w:tc>
        <w:tc>
          <w:tcPr>
            <w:tcW w:w="140" w:type="dxa"/>
            <w:vAlign w:val="bottom"/>
            <w:tcBorders>
              <w:bottom w:val="single" w:sz="8" w:color="auto"/>
            </w:tcBorders>
            <w:shd w:val="clear" w:color="auto" w:fill="CCEEFF"/>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0.24</w:t>
            </w:r>
          </w:p>
        </w:tc>
        <w:tc>
          <w:tcPr>
            <w:tcW w:w="1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0.21</w:t>
            </w:r>
          </w:p>
        </w:tc>
        <w:tc>
          <w:tcPr>
            <w:tcW w:w="1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0.72</w:t>
            </w:r>
          </w:p>
        </w:tc>
        <w:tc>
          <w:tcPr>
            <w:tcW w:w="1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0.63</w:t>
            </w:r>
          </w:p>
        </w:tc>
        <w:tc>
          <w:tcPr>
            <w:tcW w:w="180" w:type="dxa"/>
            <w:vAlign w:val="bottom"/>
            <w:tcBorders>
              <w:bottom w:val="single" w:sz="8" w:color="CCEEFF"/>
            </w:tcBorders>
            <w:shd w:val="clear" w:color="auto" w:fill="CCEEFF"/>
          </w:tcPr>
          <w:p>
            <w:pPr>
              <w:spacing w:after="0"/>
              <w:rPr>
                <w:sz w:val="9"/>
                <w:szCs w:val="9"/>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AND NINE MONTHS ENDED SEPTEMBER 30, 2024 AND 2023</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60" w:type="dxa"/>
            <w:vAlign w:val="bottom"/>
          </w:tcPr>
          <w:p>
            <w:pPr>
              <w:spacing w:after="0"/>
              <w:rPr>
                <w:sz w:val="10"/>
                <w:szCs w:val="10"/>
                <w:color w:val="auto"/>
              </w:rPr>
            </w:pPr>
          </w:p>
        </w:tc>
        <w:tc>
          <w:tcPr>
            <w:tcW w:w="1520" w:type="dxa"/>
            <w:vAlign w:val="bottom"/>
            <w:gridSpan w:val="4"/>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15"/>
        </w:trPr>
        <w:tc>
          <w:tcPr>
            <w:tcW w:w="55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520" w:type="dxa"/>
            <w:vAlign w:val="bottom"/>
            <w:tcBorders>
              <w:bottom w:val="single" w:sz="8" w:color="auto"/>
            </w:tcBorders>
          </w:tcPr>
          <w:p>
            <w:pPr>
              <w:spacing w:after="0"/>
              <w:rPr>
                <w:sz w:val="10"/>
                <w:szCs w:val="10"/>
                <w:color w:val="auto"/>
              </w:rPr>
            </w:pPr>
          </w:p>
        </w:tc>
      </w:tr>
      <w:tr>
        <w:trPr>
          <w:trHeight w:val="88"/>
        </w:trPr>
        <w:tc>
          <w:tcPr>
            <w:tcW w:w="55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4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81"/>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1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2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22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(39,451)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(3,718)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(36,059)</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(11,435)</w:t>
            </w: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r>
      <w:tr>
        <w:trPr>
          <w:trHeight w:val="144"/>
        </w:trPr>
        <w:tc>
          <w:tcPr>
            <w:tcW w:w="5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Reclassification of foreign currency losses on investment</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w:t>
            </w:r>
          </w:p>
        </w:tc>
      </w:tr>
      <w:tr>
        <w:trPr>
          <w:trHeight w:val="14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Reclassification of loss on pension settlement, net of $(0.2) million of tax</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r>
      <w:tr>
        <w:trPr>
          <w:trHeight w:val="144"/>
        </w:trPr>
        <w:tc>
          <w:tcPr>
            <w:tcW w:w="5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Unrealized gain (loss) on derivatives, net of tax expense of $0.5 million and $(0.1) million</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(1,412)</w:t>
            </w:r>
          </w:p>
        </w:tc>
        <w:tc>
          <w:tcPr>
            <w:tcW w:w="2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(loss), net of tax</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(1,412)</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1,349</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310</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1,773</w:t>
            </w:r>
          </w:p>
        </w:tc>
      </w:tr>
      <w:tr>
        <w:trPr>
          <w:trHeight w:val="133"/>
        </w:trPr>
        <w:tc>
          <w:tcPr>
            <w:tcW w:w="5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Comprehensive loss</w:t>
            </w:r>
          </w:p>
        </w:tc>
        <w:tc>
          <w:tcPr>
            <w:tcW w:w="18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(40,863)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(2,369)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(35,749)</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(9,662)</w:t>
            </w: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Comprehensive loss attributable to noncontrolling interests</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6,059</w:t>
            </w: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2,733</w:t>
            </w:r>
          </w:p>
        </w:tc>
      </w:tr>
      <w:tr>
        <w:trPr>
          <w:trHeight w:val="140"/>
        </w:trPr>
        <w:tc>
          <w:tcPr>
            <w:tcW w:w="5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Comprehensive loss attributable to ATN International, Inc.</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(34,103)</w:t>
            </w: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(2,235)</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(29,689)</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(6,929)</w:t>
            </w: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ATN INTERNATIONAL, INC. AND SUBSIDIARIES</w:t>
      </w:r>
    </w:p>
    <w:p>
      <w:pPr>
        <w:spacing w:after="0" w:line="3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0"/>
          <w:szCs w:val="10"/>
          <w:b w:val="1"/>
          <w:bCs w:val="1"/>
          <w:color w:val="auto"/>
        </w:rPr>
        <w:t>CONDENSED CONSOLIDATED STATEMENTS OF EQUITY</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0"/>
          <w:szCs w:val="10"/>
          <w:b w:val="1"/>
          <w:bCs w:val="1"/>
          <w:color w:val="auto"/>
        </w:rPr>
        <w:t>FOR THE THREE MONTHS ENDED SEPTEMBER 30, 2024 AND 2023</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0"/>
          <w:szCs w:val="10"/>
          <w:b w:val="1"/>
          <w:bCs w:val="1"/>
          <w:color w:val="auto"/>
        </w:rPr>
        <w:t>(Unaudited)</w:t>
      </w:r>
    </w:p>
    <w:p>
      <w:pPr>
        <w:jc w:val="center"/>
        <w:ind w:right="19"/>
        <w:spacing w:after="0" w:line="236" w:lineRule="auto"/>
        <w:rPr>
          <w:sz w:val="20"/>
          <w:szCs w:val="20"/>
          <w:color w:val="auto"/>
        </w:rPr>
      </w:pPr>
      <w:r>
        <w:rPr>
          <w:rFonts w:ascii="Times New Roman" w:cs="Times New Roman" w:eastAsia="Times New Roman" w:hAnsi="Times New Roman"/>
          <w:sz w:val="10"/>
          <w:szCs w:val="10"/>
          <w:b w:val="1"/>
          <w:bCs w:val="1"/>
          <w:color w:val="auto"/>
        </w:rPr>
        <w:t>(In Thousands, Except Per Share Data)</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9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Total Equity</w:t>
            </w: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77"/>
        </w:trPr>
        <w:tc>
          <w:tcPr>
            <w:tcW w:w="2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jc w:val="right"/>
              <w:ind w:right="207"/>
              <w:spacing w:after="0" w:line="78" w:lineRule="exact"/>
              <w:rPr>
                <w:sz w:val="20"/>
                <w:szCs w:val="20"/>
                <w:color w:val="auto"/>
              </w:rPr>
            </w:pPr>
            <w:r>
              <w:rPr>
                <w:rFonts w:ascii="Times New Roman" w:cs="Times New Roman" w:eastAsia="Times New Roman" w:hAnsi="Times New Roman"/>
                <w:sz w:val="7"/>
                <w:szCs w:val="7"/>
                <w:b w:val="1"/>
                <w:bCs w:val="1"/>
                <w:color w:val="auto"/>
              </w:rPr>
              <w:t>Treasury</w:t>
            </w:r>
          </w:p>
        </w:tc>
        <w:tc>
          <w:tcPr>
            <w:tcW w:w="52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Other</w:t>
            </w:r>
          </w:p>
        </w:tc>
        <w:tc>
          <w:tcPr>
            <w:tcW w:w="180" w:type="dxa"/>
            <w:vAlign w:val="bottom"/>
          </w:tcPr>
          <w:p>
            <w:pPr>
              <w:spacing w:after="0"/>
              <w:rPr>
                <w:sz w:val="6"/>
                <w:szCs w:val="6"/>
                <w:color w:val="auto"/>
              </w:rPr>
            </w:pPr>
          </w:p>
        </w:tc>
        <w:tc>
          <w:tcPr>
            <w:tcW w:w="54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ATNI</w:t>
            </w:r>
          </w:p>
        </w:tc>
        <w:tc>
          <w:tcPr>
            <w:tcW w:w="400" w:type="dxa"/>
            <w:vAlign w:val="bottom"/>
          </w:tcPr>
          <w:p>
            <w:pPr>
              <w:spacing w:after="0"/>
              <w:rPr>
                <w:sz w:val="6"/>
                <w:szCs w:val="6"/>
                <w:color w:val="auto"/>
              </w:rPr>
            </w:pPr>
          </w:p>
        </w:tc>
        <w:tc>
          <w:tcPr>
            <w:tcW w:w="70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Non-</w:t>
            </w: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81"/>
        </w:trPr>
        <w:tc>
          <w:tcPr>
            <w:tcW w:w="2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Common</w:t>
            </w:r>
          </w:p>
        </w:tc>
        <w:tc>
          <w:tcPr>
            <w:tcW w:w="260" w:type="dxa"/>
            <w:vAlign w:val="bottom"/>
          </w:tcPr>
          <w:p>
            <w:pPr>
              <w:spacing w:after="0"/>
              <w:rPr>
                <w:sz w:val="7"/>
                <w:szCs w:val="7"/>
                <w:color w:val="auto"/>
              </w:rPr>
            </w:pP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7"/>
                <w:szCs w:val="7"/>
                <w:b w:val="1"/>
                <w:bCs w:val="1"/>
                <w:color w:val="auto"/>
              </w:rPr>
              <w:t>Stock,</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Paid In</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Retained</w:t>
            </w:r>
          </w:p>
        </w:tc>
        <w:tc>
          <w:tcPr>
            <w:tcW w:w="180" w:type="dxa"/>
            <w:vAlign w:val="bottom"/>
          </w:tcPr>
          <w:p>
            <w:pPr>
              <w:spacing w:after="0"/>
              <w:rPr>
                <w:sz w:val="7"/>
                <w:szCs w:val="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Comprehensive</w:t>
            </w:r>
          </w:p>
        </w:tc>
        <w:tc>
          <w:tcPr>
            <w:tcW w:w="1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Stockholders’</w:t>
            </w:r>
          </w:p>
        </w:tc>
        <w:tc>
          <w:tcPr>
            <w:tcW w:w="4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Controlling</w:t>
            </w:r>
          </w:p>
        </w:tc>
        <w:tc>
          <w:tcPr>
            <w:tcW w:w="200" w:type="dxa"/>
            <w:vAlign w:val="bottom"/>
          </w:tcPr>
          <w:p>
            <w:pPr>
              <w:spacing w:after="0"/>
              <w:rPr>
                <w:sz w:val="7"/>
                <w:szCs w:val="7"/>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7"/>
                <w:szCs w:val="7"/>
                <w:b w:val="1"/>
                <w:bCs w:val="1"/>
                <w:color w:val="auto"/>
              </w:rPr>
              <w:t>Total</w:t>
            </w:r>
          </w:p>
        </w:tc>
      </w:tr>
      <w:tr>
        <w:trPr>
          <w:trHeight w:val="85"/>
        </w:trPr>
        <w:tc>
          <w:tcPr>
            <w:tcW w:w="2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Stock</w:t>
            </w:r>
          </w:p>
        </w:tc>
        <w:tc>
          <w:tcPr>
            <w:tcW w:w="260" w:type="dxa"/>
            <w:vAlign w:val="bottom"/>
          </w:tcPr>
          <w:p>
            <w:pPr>
              <w:spacing w:after="0"/>
              <w:rPr>
                <w:sz w:val="7"/>
                <w:szCs w:val="7"/>
                <w:color w:val="auto"/>
              </w:rPr>
            </w:pP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7"/>
                <w:szCs w:val="7"/>
                <w:b w:val="1"/>
                <w:bCs w:val="1"/>
                <w:color w:val="auto"/>
              </w:rPr>
              <w:t>at cost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Capital</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Earnings</w:t>
            </w:r>
          </w:p>
        </w:tc>
        <w:tc>
          <w:tcPr>
            <w:tcW w:w="180" w:type="dxa"/>
            <w:vAlign w:val="bottom"/>
          </w:tcPr>
          <w:p>
            <w:pPr>
              <w:spacing w:after="0"/>
              <w:rPr>
                <w:sz w:val="7"/>
                <w:szCs w:val="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Income/(Loss)</w:t>
            </w:r>
          </w:p>
        </w:tc>
        <w:tc>
          <w:tcPr>
            <w:tcW w:w="1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Equity</w:t>
            </w:r>
          </w:p>
        </w:tc>
        <w:tc>
          <w:tcPr>
            <w:tcW w:w="4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Interests</w:t>
            </w:r>
          </w:p>
        </w:tc>
        <w:tc>
          <w:tcPr>
            <w:tcW w:w="200" w:type="dxa"/>
            <w:vAlign w:val="bottom"/>
          </w:tcPr>
          <w:p>
            <w:pPr>
              <w:spacing w:after="0"/>
              <w:rPr>
                <w:sz w:val="7"/>
                <w:szCs w:val="7"/>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7"/>
                <w:szCs w:val="7"/>
                <w:b w:val="1"/>
                <w:bCs w:val="1"/>
                <w:color w:val="auto"/>
              </w:rPr>
              <w:t>Equity</w:t>
            </w:r>
          </w:p>
        </w:tc>
      </w:tr>
      <w:tr>
        <w:trPr>
          <w:trHeight w:val="70"/>
        </w:trPr>
        <w:tc>
          <w:tcPr>
            <w:tcW w:w="2980" w:type="dxa"/>
            <w:vAlign w:val="bottom"/>
            <w:tcBorders>
              <w:top w:val="single" w:sz="8" w:color="CCEEFF"/>
              <w:right w:val="single" w:sz="8" w:color="auto"/>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Balance, June 30, 2024</w:t>
            </w:r>
          </w:p>
        </w:tc>
        <w:tc>
          <w:tcPr>
            <w:tcW w:w="1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173</w:t>
            </w:r>
          </w:p>
        </w:tc>
        <w:tc>
          <w:tcPr>
            <w:tcW w:w="2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ind w:right="167"/>
              <w:spacing w:after="0" w:line="70" w:lineRule="exact"/>
              <w:rPr>
                <w:sz w:val="20"/>
                <w:szCs w:val="20"/>
                <w:color w:val="auto"/>
              </w:rPr>
            </w:pPr>
            <w:r>
              <w:rPr>
                <w:rFonts w:ascii="Times New Roman" w:cs="Times New Roman" w:eastAsia="Times New Roman" w:hAnsi="Times New Roman"/>
                <w:sz w:val="7"/>
                <w:szCs w:val="7"/>
                <w:color w:val="auto"/>
              </w:rPr>
              <w:t>(102,379)$</w:t>
            </w:r>
          </w:p>
        </w:tc>
        <w:tc>
          <w:tcPr>
            <w:tcW w:w="52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209,944</w:t>
            </w:r>
          </w:p>
        </w:tc>
        <w:tc>
          <w:tcPr>
            <w:tcW w:w="28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409,043</w:t>
            </w:r>
          </w:p>
        </w:tc>
        <w:tc>
          <w:tcPr>
            <w:tcW w:w="180" w:type="dxa"/>
            <w:vAlign w:val="bottom"/>
            <w:tcBorders>
              <w:top w:val="single" w:sz="8" w:color="auto"/>
              <w:bottom w:val="single" w:sz="8" w:color="auto"/>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w:t>
            </w:r>
          </w:p>
        </w:tc>
        <w:tc>
          <w:tcPr>
            <w:tcW w:w="60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9,990</w:t>
            </w: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526,771</w:t>
            </w:r>
          </w:p>
        </w:tc>
        <w:tc>
          <w:tcPr>
            <w:tcW w:w="40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
                <w:szCs w:val="1"/>
                <w:color w:val="auto"/>
                <w:w w:val="4294967286"/>
              </w:rPr>
              <w:t>$</w:t>
            </w:r>
          </w:p>
        </w:tc>
        <w:tc>
          <w:tcPr>
            <w:tcW w:w="70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101,994</w:t>
            </w:r>
          </w:p>
        </w:tc>
        <w:tc>
          <w:tcPr>
            <w:tcW w:w="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628,765</w:t>
            </w:r>
          </w:p>
        </w:tc>
        <w:tc>
          <w:tcPr>
            <w:tcW w:w="20" w:type="dxa"/>
            <w:vAlign w:val="bottom"/>
          </w:tcPr>
          <w:p>
            <w:pPr>
              <w:spacing w:after="0"/>
              <w:rPr>
                <w:sz w:val="6"/>
                <w:szCs w:val="6"/>
                <w:color w:val="auto"/>
              </w:rPr>
            </w:pPr>
          </w:p>
        </w:tc>
      </w:tr>
      <w:tr>
        <w:trPr>
          <w:trHeight w:val="70"/>
        </w:trPr>
        <w:tc>
          <w:tcPr>
            <w:tcW w:w="2980" w:type="dxa"/>
            <w:vAlign w:val="bottom"/>
            <w:tcBorders>
              <w:right w:val="single" w:sz="8" w:color="auto"/>
            </w:tcBorders>
          </w:tcPr>
          <w:p>
            <w:pPr>
              <w:spacing w:after="0" w:line="70" w:lineRule="exact"/>
              <w:rPr>
                <w:sz w:val="20"/>
                <w:szCs w:val="20"/>
                <w:color w:val="auto"/>
              </w:rPr>
            </w:pPr>
            <w:r>
              <w:rPr>
                <w:rFonts w:ascii="Times New Roman" w:cs="Times New Roman" w:eastAsia="Times New Roman" w:hAnsi="Times New Roman"/>
                <w:sz w:val="7"/>
                <w:szCs w:val="7"/>
                <w:color w:val="auto"/>
              </w:rPr>
              <w:t>Excise tax paid on shares repurchased</w:t>
            </w:r>
          </w:p>
        </w:tc>
        <w:tc>
          <w:tcPr>
            <w:tcW w:w="140" w:type="dxa"/>
            <w:vAlign w:val="bottom"/>
          </w:tcPr>
          <w:p>
            <w:pPr>
              <w:spacing w:after="0"/>
              <w:rPr>
                <w:sz w:val="6"/>
                <w:szCs w:val="6"/>
                <w:color w:val="auto"/>
              </w:rPr>
            </w:pPr>
          </w:p>
        </w:tc>
        <w:tc>
          <w:tcPr>
            <w:tcW w:w="3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6"/>
                <w:szCs w:val="6"/>
                <w:color w:val="auto"/>
              </w:rPr>
            </w:pPr>
          </w:p>
        </w:tc>
        <w:tc>
          <w:tcPr>
            <w:tcW w:w="700" w:type="dxa"/>
            <w:vAlign w:val="bottom"/>
          </w:tcPr>
          <w:p>
            <w:pPr>
              <w:jc w:val="right"/>
              <w:ind w:right="207"/>
              <w:spacing w:after="0" w:line="70"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(115)</w:t>
            </w:r>
          </w:p>
        </w:tc>
        <w:tc>
          <w:tcPr>
            <w:tcW w:w="280" w:type="dxa"/>
            <w:vAlign w:val="bottom"/>
          </w:tcPr>
          <w:p>
            <w:pPr>
              <w:spacing w:after="0"/>
              <w:rPr>
                <w:sz w:val="6"/>
                <w:szCs w:val="6"/>
                <w:color w:val="auto"/>
              </w:rPr>
            </w:pP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6"/>
                <w:szCs w:val="6"/>
                <w:color w:val="auto"/>
              </w:rPr>
            </w:pPr>
          </w:p>
        </w:tc>
        <w:tc>
          <w:tcPr>
            <w:tcW w:w="6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6"/>
                <w:szCs w:val="6"/>
                <w:color w:val="auto"/>
              </w:rPr>
            </w:pPr>
          </w:p>
        </w:tc>
        <w:tc>
          <w:tcPr>
            <w:tcW w:w="54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(115)</w:t>
            </w:r>
          </w:p>
        </w:tc>
        <w:tc>
          <w:tcPr>
            <w:tcW w:w="400" w:type="dxa"/>
            <w:vAlign w:val="bottom"/>
          </w:tcPr>
          <w:p>
            <w:pPr>
              <w:spacing w:after="0"/>
              <w:rPr>
                <w:sz w:val="6"/>
                <w:szCs w:val="6"/>
                <w:color w:val="auto"/>
              </w:rPr>
            </w:pPr>
          </w:p>
        </w:tc>
        <w:tc>
          <w:tcPr>
            <w:tcW w:w="7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6"/>
                <w:szCs w:val="6"/>
                <w:color w:val="auto"/>
              </w:rPr>
            </w:pPr>
          </w:p>
        </w:tc>
        <w:tc>
          <w:tcPr>
            <w:tcW w:w="3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(115)</w:t>
            </w:r>
          </w:p>
        </w:tc>
        <w:tc>
          <w:tcPr>
            <w:tcW w:w="20" w:type="dxa"/>
            <w:vAlign w:val="bottom"/>
          </w:tcPr>
          <w:p>
            <w:pPr>
              <w:spacing w:after="0"/>
              <w:rPr>
                <w:sz w:val="6"/>
                <w:szCs w:val="6"/>
                <w:color w:val="auto"/>
              </w:rPr>
            </w:pPr>
          </w:p>
        </w:tc>
      </w:tr>
      <w:tr>
        <w:trPr>
          <w:trHeight w:val="81"/>
        </w:trPr>
        <w:tc>
          <w:tcPr>
            <w:tcW w:w="29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1,572</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1,572</w:t>
            </w: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259</w:t>
            </w: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1,831</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7"/>
                <w:szCs w:val="7"/>
                <w:color w:val="auto"/>
              </w:rPr>
              <w:t>Dividends declared on common stock ($0.24 per common share)</w:t>
            </w:r>
          </w:p>
        </w:tc>
        <w:tc>
          <w:tcPr>
            <w:tcW w:w="14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7"/>
                <w:szCs w:val="7"/>
                <w:color w:val="auto"/>
              </w:rPr>
            </w:pP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(3,628)</w:t>
            </w:r>
          </w:p>
        </w:tc>
        <w:tc>
          <w:tcPr>
            <w:tcW w:w="180" w:type="dxa"/>
            <w:vAlign w:val="bottom"/>
          </w:tcPr>
          <w:p>
            <w:pPr>
              <w:spacing w:after="0"/>
              <w:rPr>
                <w:sz w:val="7"/>
                <w:szCs w:val="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(3,628)</w:t>
            </w:r>
          </w:p>
        </w:tc>
        <w:tc>
          <w:tcPr>
            <w:tcW w:w="4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(110)</w:t>
            </w:r>
          </w:p>
        </w:tc>
        <w:tc>
          <w:tcPr>
            <w:tcW w:w="20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(3,738)</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Accrued dividend - redeemable preferred units</w:t>
            </w: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(1,426)</w:t>
            </w: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(1,426)</w:t>
            </w: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(1,426)</w:t>
            </w:r>
          </w:p>
        </w:tc>
      </w:tr>
      <w:tr>
        <w:trPr>
          <w:trHeight w:val="81"/>
        </w:trPr>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7"/>
                <w:szCs w:val="7"/>
                <w:color w:val="auto"/>
              </w:rPr>
              <w:t>Deemed dividend - redeemable common units</w:t>
            </w:r>
          </w:p>
        </w:tc>
        <w:tc>
          <w:tcPr>
            <w:tcW w:w="14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7"/>
                <w:szCs w:val="7"/>
                <w:color w:val="auto"/>
              </w:rPr>
            </w:pP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1,724</w:t>
            </w:r>
          </w:p>
        </w:tc>
        <w:tc>
          <w:tcPr>
            <w:tcW w:w="180" w:type="dxa"/>
            <w:vAlign w:val="bottom"/>
          </w:tcPr>
          <w:p>
            <w:pPr>
              <w:spacing w:after="0"/>
              <w:rPr>
                <w:sz w:val="7"/>
                <w:szCs w:val="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1,724</w:t>
            </w:r>
          </w:p>
        </w:tc>
        <w:tc>
          <w:tcPr>
            <w:tcW w:w="4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7,945</w:t>
            </w:r>
          </w:p>
        </w:tc>
        <w:tc>
          <w:tcPr>
            <w:tcW w:w="20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9,669</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i w:val="1"/>
                <w:iCs w:val="1"/>
                <w:color w:val="auto"/>
              </w:rPr>
              <w:t>Comprehensive income:</w:t>
            </w: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7"/>
                <w:szCs w:val="7"/>
                <w:color w:val="auto"/>
              </w:rPr>
              <w:t>Net income</w:t>
            </w:r>
          </w:p>
        </w:tc>
        <w:tc>
          <w:tcPr>
            <w:tcW w:w="14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7"/>
                <w:szCs w:val="7"/>
                <w:color w:val="auto"/>
              </w:rPr>
            </w:pP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(32,691)</w:t>
            </w:r>
          </w:p>
        </w:tc>
        <w:tc>
          <w:tcPr>
            <w:tcW w:w="180" w:type="dxa"/>
            <w:vAlign w:val="bottom"/>
          </w:tcPr>
          <w:p>
            <w:pPr>
              <w:spacing w:after="0"/>
              <w:rPr>
                <w:sz w:val="7"/>
                <w:szCs w:val="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(32,691)</w:t>
            </w:r>
          </w:p>
        </w:tc>
        <w:tc>
          <w:tcPr>
            <w:tcW w:w="4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(6,760)</w:t>
            </w:r>
          </w:p>
        </w:tc>
        <w:tc>
          <w:tcPr>
            <w:tcW w:w="20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(39,451)</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7"/>
                <w:szCs w:val="7"/>
                <w:color w:val="auto"/>
              </w:rPr>
              <w:t>Other comprehensive income</w:t>
            </w: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(1,412)</w:t>
            </w: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(1,412)</w:t>
            </w: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(1,412)</w:t>
            </w:r>
          </w:p>
        </w:tc>
      </w:tr>
      <w:tr>
        <w:trPr>
          <w:trHeight w:val="70"/>
        </w:trPr>
        <w:tc>
          <w:tcPr>
            <w:tcW w:w="2980" w:type="dxa"/>
            <w:vAlign w:val="bottom"/>
            <w:tcBorders>
              <w:bottom w:val="single" w:sz="8" w:color="CCEEFF"/>
              <w:right w:val="single" w:sz="8" w:color="auto"/>
            </w:tcBorders>
          </w:tcPr>
          <w:p>
            <w:pPr>
              <w:spacing w:after="0" w:line="70" w:lineRule="exact"/>
              <w:rPr>
                <w:sz w:val="20"/>
                <w:szCs w:val="20"/>
                <w:color w:val="auto"/>
              </w:rPr>
            </w:pPr>
            <w:r>
              <w:rPr>
                <w:rFonts w:ascii="Times New Roman" w:cs="Times New Roman" w:eastAsia="Times New Roman" w:hAnsi="Times New Roman"/>
                <w:sz w:val="7"/>
                <w:szCs w:val="7"/>
                <w:color w:val="auto"/>
              </w:rPr>
              <w:t>Total comprehensive income</w:t>
            </w:r>
          </w:p>
        </w:tc>
        <w:tc>
          <w:tcPr>
            <w:tcW w:w="14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top w:val="single" w:sz="8" w:color="auto"/>
              <w:bottom w:val="single" w:sz="8" w:color="auto"/>
            </w:tcBorders>
          </w:tcPr>
          <w:p>
            <w:pPr>
              <w:spacing w:after="0"/>
              <w:rPr>
                <w:sz w:val="6"/>
                <w:szCs w:val="6"/>
                <w:color w:val="auto"/>
              </w:rPr>
            </w:pPr>
          </w:p>
        </w:tc>
        <w:tc>
          <w:tcPr>
            <w:tcW w:w="700" w:type="dxa"/>
            <w:vAlign w:val="bottom"/>
            <w:tcBorders>
              <w:top w:val="single" w:sz="8" w:color="auto"/>
              <w:bottom w:val="single" w:sz="8" w:color="auto"/>
            </w:tcBorders>
          </w:tcPr>
          <w:p>
            <w:pPr>
              <w:jc w:val="right"/>
              <w:ind w:right="207"/>
              <w:spacing w:after="0" w:line="70"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Borders>
              <w:top w:val="single" w:sz="8" w:color="auto"/>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top w:val="single" w:sz="8" w:color="auto"/>
              <w:bottom w:val="single" w:sz="8" w:color="auto"/>
            </w:tcBorders>
          </w:tcPr>
          <w:p>
            <w:pPr>
              <w:spacing w:after="0"/>
              <w:rPr>
                <w:sz w:val="6"/>
                <w:szCs w:val="6"/>
                <w:color w:val="auto"/>
              </w:rPr>
            </w:pPr>
          </w:p>
        </w:tc>
        <w:tc>
          <w:tcPr>
            <w:tcW w:w="520" w:type="dxa"/>
            <w:vAlign w:val="bottom"/>
            <w:tcBorders>
              <w:top w:val="single" w:sz="8" w:color="auto"/>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(32,691)</w:t>
            </w:r>
          </w:p>
        </w:tc>
        <w:tc>
          <w:tcPr>
            <w:tcW w:w="18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(1,412)</w:t>
            </w:r>
          </w:p>
        </w:tc>
        <w:tc>
          <w:tcPr>
            <w:tcW w:w="18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(34,103)</w:t>
            </w:r>
          </w:p>
        </w:tc>
        <w:tc>
          <w:tcPr>
            <w:tcW w:w="400" w:type="dxa"/>
            <w:vAlign w:val="bottom"/>
            <w:tcBorders>
              <w:top w:val="single" w:sz="8" w:color="auto"/>
              <w:bottom w:val="single" w:sz="8" w:color="auto"/>
            </w:tcBorders>
          </w:tcPr>
          <w:p>
            <w:pPr>
              <w:spacing w:after="0"/>
              <w:rPr>
                <w:sz w:val="6"/>
                <w:szCs w:val="6"/>
                <w:color w:val="auto"/>
              </w:rPr>
            </w:pPr>
          </w:p>
        </w:tc>
        <w:tc>
          <w:tcPr>
            <w:tcW w:w="700" w:type="dxa"/>
            <w:vAlign w:val="bottom"/>
            <w:tcBorders>
              <w:top w:val="single" w:sz="8" w:color="auto"/>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(6,760)</w:t>
            </w:r>
          </w:p>
        </w:tc>
        <w:tc>
          <w:tcPr>
            <w:tcW w:w="20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(40,863)</w:t>
            </w:r>
          </w:p>
        </w:tc>
        <w:tc>
          <w:tcPr>
            <w:tcW w:w="20" w:type="dxa"/>
            <w:vAlign w:val="bottom"/>
          </w:tcPr>
          <w:p>
            <w:pPr>
              <w:spacing w:after="0"/>
              <w:rPr>
                <w:sz w:val="6"/>
                <w:szCs w:val="6"/>
                <w:color w:val="auto"/>
              </w:rPr>
            </w:pPr>
          </w:p>
        </w:tc>
      </w:tr>
      <w:tr>
        <w:trPr>
          <w:trHeight w:val="77"/>
        </w:trPr>
        <w:tc>
          <w:tcPr>
            <w:tcW w:w="2980" w:type="dxa"/>
            <w:vAlign w:val="bottom"/>
            <w:tcBorders>
              <w:bottom w:val="single" w:sz="8" w:color="CCEEFF"/>
              <w:right w:val="single" w:sz="8" w:color="auto"/>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Balance, September 30, 2024</w:t>
            </w:r>
          </w:p>
        </w:tc>
        <w:tc>
          <w:tcPr>
            <w:tcW w:w="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173</w:t>
            </w:r>
          </w:p>
        </w:tc>
        <w:tc>
          <w:tcPr>
            <w:tcW w:w="2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ind w:right="167"/>
              <w:spacing w:after="0" w:line="70" w:lineRule="exact"/>
              <w:rPr>
                <w:sz w:val="20"/>
                <w:szCs w:val="20"/>
                <w:color w:val="auto"/>
              </w:rPr>
            </w:pPr>
            <w:r>
              <w:rPr>
                <w:rFonts w:ascii="Times New Roman" w:cs="Times New Roman" w:eastAsia="Times New Roman" w:hAnsi="Times New Roman"/>
                <w:sz w:val="7"/>
                <w:szCs w:val="7"/>
                <w:color w:val="auto"/>
              </w:rPr>
              <w:t>(102,379)$</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211,401</w:t>
            </w:r>
          </w:p>
        </w:tc>
        <w:tc>
          <w:tcPr>
            <w:tcW w:w="2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373,022</w:t>
            </w:r>
          </w:p>
        </w:tc>
        <w:tc>
          <w:tcPr>
            <w:tcW w:w="180" w:type="dxa"/>
            <w:vAlign w:val="bottom"/>
            <w:tcBorders>
              <w:bottom w:val="single" w:sz="8" w:color="auto"/>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8,578</w:t>
            </w: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490,795</w:t>
            </w:r>
          </w:p>
        </w:tc>
        <w:tc>
          <w:tcPr>
            <w:tcW w:w="40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
                <w:szCs w:val="1"/>
                <w:color w:val="auto"/>
                <w:w w:val="4294967286"/>
              </w:rPr>
              <w:t>$</w:t>
            </w:r>
          </w:p>
        </w:tc>
        <w:tc>
          <w:tcPr>
            <w:tcW w:w="7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103,328</w:t>
            </w: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594,123</w:t>
            </w:r>
          </w:p>
        </w:tc>
        <w:tc>
          <w:tcPr>
            <w:tcW w:w="20" w:type="dxa"/>
            <w:vAlign w:val="bottom"/>
          </w:tcPr>
          <w:p>
            <w:pPr>
              <w:spacing w:after="0"/>
              <w:rPr>
                <w:sz w:val="6"/>
                <w:szCs w:val="6"/>
                <w:color w:val="auto"/>
              </w:rPr>
            </w:pPr>
          </w:p>
        </w:tc>
      </w:tr>
      <w:tr>
        <w:trPr>
          <w:trHeight w:val="81"/>
        </w:trPr>
        <w:tc>
          <w:tcPr>
            <w:tcW w:w="29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Balance, June 30, 2023</w:t>
            </w:r>
          </w:p>
        </w:tc>
        <w:tc>
          <w:tcPr>
            <w:tcW w:w="1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173</w:t>
            </w:r>
          </w:p>
        </w:tc>
        <w:tc>
          <w:tcPr>
            <w:tcW w:w="2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(82,086)$</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202,623</w:t>
            </w:r>
          </w:p>
        </w:tc>
        <w:tc>
          <w:tcPr>
            <w:tcW w:w="2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429,909</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6,634</w:t>
            </w: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557,253</w:t>
            </w:r>
          </w:p>
        </w:tc>
        <w:tc>
          <w:tcPr>
            <w:tcW w:w="40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
                <w:szCs w:val="1"/>
                <w:color w:val="auto"/>
                <w:w w:val="429496728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97,723</w:t>
            </w: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654,976</w:t>
            </w:r>
          </w:p>
        </w:tc>
        <w:tc>
          <w:tcPr>
            <w:tcW w:w="20" w:type="dxa"/>
            <w:vAlign w:val="bottom"/>
          </w:tcPr>
          <w:p>
            <w:pPr>
              <w:spacing w:after="0"/>
              <w:rPr>
                <w:sz w:val="7"/>
                <w:szCs w:val="7"/>
                <w:color w:val="auto"/>
              </w:rPr>
            </w:pPr>
          </w:p>
        </w:tc>
      </w:tr>
      <w:tr>
        <w:trPr>
          <w:trHeight w:val="70"/>
        </w:trPr>
        <w:tc>
          <w:tcPr>
            <w:tcW w:w="2980" w:type="dxa"/>
            <w:vAlign w:val="bottom"/>
            <w:tcBorders>
              <w:right w:val="single" w:sz="8" w:color="auto"/>
            </w:tcBorders>
          </w:tcPr>
          <w:p>
            <w:pPr>
              <w:spacing w:after="0" w:line="70" w:lineRule="exact"/>
              <w:rPr>
                <w:sz w:val="20"/>
                <w:szCs w:val="20"/>
                <w:color w:val="auto"/>
              </w:rPr>
            </w:pPr>
            <w:r>
              <w:rPr>
                <w:rFonts w:ascii="Times New Roman" w:cs="Times New Roman" w:eastAsia="Times New Roman" w:hAnsi="Times New Roman"/>
                <w:sz w:val="7"/>
                <w:szCs w:val="7"/>
                <w:color w:val="auto"/>
              </w:rPr>
              <w:t>Purchase of 141,923 shares of common stock</w:t>
            </w:r>
          </w:p>
        </w:tc>
        <w:tc>
          <w:tcPr>
            <w:tcW w:w="140" w:type="dxa"/>
            <w:vAlign w:val="bottom"/>
          </w:tcPr>
          <w:p>
            <w:pPr>
              <w:spacing w:after="0"/>
              <w:rPr>
                <w:sz w:val="6"/>
                <w:szCs w:val="6"/>
                <w:color w:val="auto"/>
              </w:rPr>
            </w:pPr>
          </w:p>
        </w:tc>
        <w:tc>
          <w:tcPr>
            <w:tcW w:w="3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6"/>
                <w:szCs w:val="6"/>
                <w:color w:val="auto"/>
              </w:rPr>
            </w:pPr>
          </w:p>
        </w:tc>
        <w:tc>
          <w:tcPr>
            <w:tcW w:w="700" w:type="dxa"/>
            <w:vAlign w:val="bottom"/>
          </w:tcPr>
          <w:p>
            <w:pPr>
              <w:jc w:val="right"/>
              <w:ind w:right="187"/>
              <w:spacing w:after="0" w:line="70" w:lineRule="exact"/>
              <w:rPr>
                <w:sz w:val="20"/>
                <w:szCs w:val="20"/>
                <w:color w:val="auto"/>
              </w:rPr>
            </w:pPr>
            <w:r>
              <w:rPr>
                <w:rFonts w:ascii="Times New Roman" w:cs="Times New Roman" w:eastAsia="Times New Roman" w:hAnsi="Times New Roman"/>
                <w:sz w:val="7"/>
                <w:szCs w:val="7"/>
                <w:color w:val="auto"/>
              </w:rPr>
              <w:t>(4,891)</w:t>
            </w: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6"/>
                <w:szCs w:val="6"/>
                <w:color w:val="auto"/>
              </w:rPr>
            </w:pP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6"/>
                <w:szCs w:val="6"/>
                <w:color w:val="auto"/>
              </w:rPr>
            </w:pPr>
          </w:p>
        </w:tc>
        <w:tc>
          <w:tcPr>
            <w:tcW w:w="6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6"/>
                <w:szCs w:val="6"/>
                <w:color w:val="auto"/>
              </w:rPr>
            </w:pPr>
          </w:p>
        </w:tc>
        <w:tc>
          <w:tcPr>
            <w:tcW w:w="54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(4,891)</w:t>
            </w:r>
          </w:p>
        </w:tc>
        <w:tc>
          <w:tcPr>
            <w:tcW w:w="400" w:type="dxa"/>
            <w:vAlign w:val="bottom"/>
          </w:tcPr>
          <w:p>
            <w:pPr>
              <w:spacing w:after="0"/>
              <w:rPr>
                <w:sz w:val="6"/>
                <w:szCs w:val="6"/>
                <w:color w:val="auto"/>
              </w:rPr>
            </w:pPr>
          </w:p>
        </w:tc>
        <w:tc>
          <w:tcPr>
            <w:tcW w:w="7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6"/>
                <w:szCs w:val="6"/>
                <w:color w:val="auto"/>
              </w:rPr>
            </w:pPr>
          </w:p>
        </w:tc>
        <w:tc>
          <w:tcPr>
            <w:tcW w:w="3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(4,891)</w:t>
            </w:r>
          </w:p>
        </w:tc>
        <w:tc>
          <w:tcPr>
            <w:tcW w:w="20" w:type="dxa"/>
            <w:vAlign w:val="bottom"/>
          </w:tcPr>
          <w:p>
            <w:pPr>
              <w:spacing w:after="0"/>
              <w:rPr>
                <w:sz w:val="6"/>
                <w:szCs w:val="6"/>
                <w:color w:val="auto"/>
              </w:rPr>
            </w:pPr>
          </w:p>
        </w:tc>
      </w:tr>
      <w:tr>
        <w:trPr>
          <w:trHeight w:val="81"/>
        </w:trPr>
        <w:tc>
          <w:tcPr>
            <w:tcW w:w="29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1,802</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1,802</w:t>
            </w: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154</w:t>
            </w: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1,956</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7"/>
                <w:szCs w:val="7"/>
                <w:color w:val="auto"/>
              </w:rPr>
              <w:t>Dividends declared on common stock ($0.21 per common share)</w:t>
            </w:r>
          </w:p>
        </w:tc>
        <w:tc>
          <w:tcPr>
            <w:tcW w:w="14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7"/>
                <w:szCs w:val="7"/>
                <w:color w:val="auto"/>
              </w:rPr>
            </w:pP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(3,260)</w:t>
            </w:r>
          </w:p>
        </w:tc>
        <w:tc>
          <w:tcPr>
            <w:tcW w:w="180" w:type="dxa"/>
            <w:vAlign w:val="bottom"/>
          </w:tcPr>
          <w:p>
            <w:pPr>
              <w:spacing w:after="0"/>
              <w:rPr>
                <w:sz w:val="7"/>
                <w:szCs w:val="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(3,260)</w:t>
            </w:r>
          </w:p>
        </w:tc>
        <w:tc>
          <w:tcPr>
            <w:tcW w:w="4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(3,260)</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Repurchase of noncontrolling interests</w:t>
            </w: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w:t>
            </w: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7"/>
                <w:szCs w:val="7"/>
                <w:color w:val="auto"/>
              </w:rPr>
              <w:t>Accrued dividend - redeemable preferred units</w:t>
            </w:r>
          </w:p>
        </w:tc>
        <w:tc>
          <w:tcPr>
            <w:tcW w:w="14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7"/>
                <w:szCs w:val="7"/>
                <w:color w:val="auto"/>
              </w:rPr>
            </w:pP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(1,303)</w:t>
            </w:r>
          </w:p>
        </w:tc>
        <w:tc>
          <w:tcPr>
            <w:tcW w:w="180" w:type="dxa"/>
            <w:vAlign w:val="bottom"/>
          </w:tcPr>
          <w:p>
            <w:pPr>
              <w:spacing w:after="0"/>
              <w:rPr>
                <w:sz w:val="7"/>
                <w:szCs w:val="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(1,303)</w:t>
            </w:r>
          </w:p>
        </w:tc>
        <w:tc>
          <w:tcPr>
            <w:tcW w:w="4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(1,303)</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Deemed dividend - redeemable common units</w:t>
            </w: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(1,612)</w:t>
            </w: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(1,612)</w:t>
            </w: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1,612</w:t>
            </w: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7"/>
                <w:szCs w:val="7"/>
                <w:i w:val="1"/>
                <w:iCs w:val="1"/>
                <w:color w:val="auto"/>
              </w:rPr>
              <w:t>Comprehensive income:</w:t>
            </w: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298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7"/>
                <w:szCs w:val="7"/>
                <w:color w:val="auto"/>
              </w:rPr>
              <w:t>Net income (loss)</w:t>
            </w: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(3,584)</w:t>
            </w: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(3,584)</w:t>
            </w:r>
          </w:p>
        </w:tc>
        <w:tc>
          <w:tcPr>
            <w:tcW w:w="4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(134)</w:t>
            </w: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(3,718)</w:t>
            </w:r>
          </w:p>
        </w:tc>
        <w:tc>
          <w:tcPr>
            <w:tcW w:w="20" w:type="dxa"/>
            <w:vAlign w:val="bottom"/>
          </w:tcPr>
          <w:p>
            <w:pPr>
              <w:spacing w:after="0"/>
              <w:rPr>
                <w:sz w:val="7"/>
                <w:szCs w:val="7"/>
                <w:color w:val="auto"/>
              </w:rPr>
            </w:pPr>
          </w:p>
        </w:tc>
      </w:tr>
      <w:tr>
        <w:trPr>
          <w:trHeight w:val="81"/>
        </w:trPr>
        <w:tc>
          <w:tcPr>
            <w:tcW w:w="2980" w:type="dxa"/>
            <w:vAlign w:val="bottom"/>
            <w:tcBorders>
              <w:bottom w:val="single" w:sz="8" w:color="CCEEFF"/>
              <w:right w:val="single" w:sz="8" w:color="auto"/>
            </w:tcBorders>
          </w:tcPr>
          <w:p>
            <w:pPr>
              <w:ind w:left="140"/>
              <w:spacing w:after="0"/>
              <w:rPr>
                <w:sz w:val="20"/>
                <w:szCs w:val="20"/>
                <w:color w:val="auto"/>
              </w:rPr>
            </w:pPr>
            <w:r>
              <w:rPr>
                <w:rFonts w:ascii="Times New Roman" w:cs="Times New Roman" w:eastAsia="Times New Roman" w:hAnsi="Times New Roman"/>
                <w:sz w:val="7"/>
                <w:szCs w:val="7"/>
                <w:color w:val="auto"/>
              </w:rPr>
              <w:t>Other comprehensive loss</w:t>
            </w: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1,349</w:t>
            </w: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1,349</w:t>
            </w:r>
          </w:p>
        </w:tc>
        <w:tc>
          <w:tcPr>
            <w:tcW w:w="4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1,349</w:t>
            </w:r>
          </w:p>
        </w:tc>
        <w:tc>
          <w:tcPr>
            <w:tcW w:w="20" w:type="dxa"/>
            <w:vAlign w:val="bottom"/>
          </w:tcPr>
          <w:p>
            <w:pPr>
              <w:spacing w:after="0"/>
              <w:rPr>
                <w:sz w:val="7"/>
                <w:szCs w:val="7"/>
                <w:color w:val="auto"/>
              </w:rPr>
            </w:pPr>
          </w:p>
        </w:tc>
      </w:tr>
      <w:tr>
        <w:trPr>
          <w:trHeight w:val="70"/>
        </w:trPr>
        <w:tc>
          <w:tcPr>
            <w:tcW w:w="2980" w:type="dxa"/>
            <w:vAlign w:val="bottom"/>
            <w:tcBorders>
              <w:right w:val="single" w:sz="8" w:color="auto"/>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Total comprehensive income (loss)</w:t>
            </w:r>
          </w:p>
        </w:tc>
        <w:tc>
          <w:tcPr>
            <w:tcW w:w="14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jc w:val="right"/>
              <w:ind w:right="207"/>
              <w:spacing w:after="0" w:line="70"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(3,584)</w:t>
            </w:r>
          </w:p>
        </w:tc>
        <w:tc>
          <w:tcPr>
            <w:tcW w:w="18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1,349</w:t>
            </w:r>
          </w:p>
        </w:tc>
        <w:tc>
          <w:tcPr>
            <w:tcW w:w="18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(2,235)</w:t>
            </w:r>
          </w:p>
        </w:tc>
        <w:tc>
          <w:tcPr>
            <w:tcW w:w="4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(134)</w:t>
            </w:r>
          </w:p>
        </w:tc>
        <w:tc>
          <w:tcPr>
            <w:tcW w:w="20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(2,369)</w:t>
            </w:r>
          </w:p>
        </w:tc>
        <w:tc>
          <w:tcPr>
            <w:tcW w:w="20" w:type="dxa"/>
            <w:vAlign w:val="bottom"/>
          </w:tcPr>
          <w:p>
            <w:pPr>
              <w:spacing w:after="0"/>
              <w:rPr>
                <w:sz w:val="6"/>
                <w:szCs w:val="6"/>
                <w:color w:val="auto"/>
              </w:rPr>
            </w:pPr>
          </w:p>
        </w:tc>
      </w:tr>
      <w:tr>
        <w:trPr>
          <w:trHeight w:val="77"/>
        </w:trPr>
        <w:tc>
          <w:tcPr>
            <w:tcW w:w="2980" w:type="dxa"/>
            <w:vAlign w:val="bottom"/>
            <w:tcBorders>
              <w:right w:val="single" w:sz="8" w:color="auto"/>
            </w:tcBorders>
          </w:tcPr>
          <w:p>
            <w:pPr>
              <w:spacing w:after="0" w:line="70" w:lineRule="exact"/>
              <w:rPr>
                <w:sz w:val="20"/>
                <w:szCs w:val="20"/>
                <w:color w:val="auto"/>
              </w:rPr>
            </w:pPr>
            <w:r>
              <w:rPr>
                <w:rFonts w:ascii="Times New Roman" w:cs="Times New Roman" w:eastAsia="Times New Roman" w:hAnsi="Times New Roman"/>
                <w:sz w:val="7"/>
                <w:szCs w:val="7"/>
                <w:color w:val="auto"/>
              </w:rPr>
              <w:t>Balance, September 30, 2023</w:t>
            </w:r>
          </w:p>
        </w:tc>
        <w:tc>
          <w:tcPr>
            <w:tcW w:w="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173</w:t>
            </w:r>
          </w:p>
        </w:tc>
        <w:tc>
          <w:tcPr>
            <w:tcW w:w="2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ind w:right="167"/>
              <w:spacing w:after="0" w:line="70" w:lineRule="exact"/>
              <w:rPr>
                <w:sz w:val="20"/>
                <w:szCs w:val="20"/>
                <w:color w:val="auto"/>
              </w:rPr>
            </w:pPr>
            <w:r>
              <w:rPr>
                <w:rFonts w:ascii="Times New Roman" w:cs="Times New Roman" w:eastAsia="Times New Roman" w:hAnsi="Times New Roman"/>
                <w:sz w:val="7"/>
                <w:szCs w:val="7"/>
                <w:color w:val="auto"/>
              </w:rPr>
              <w:t>(86,977)$</w:t>
            </w: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204,425</w:t>
            </w:r>
          </w:p>
        </w:tc>
        <w:tc>
          <w:tcPr>
            <w:tcW w:w="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420,150</w:t>
            </w:r>
          </w:p>
        </w:tc>
        <w:tc>
          <w:tcPr>
            <w:tcW w:w="180" w:type="dxa"/>
            <w:vAlign w:val="bottom"/>
            <w:tcBorders>
              <w:bottom w:val="single" w:sz="8" w:color="auto"/>
            </w:tcBorders>
          </w:tcPr>
          <w:p>
            <w:pPr>
              <w:spacing w:after="0" w:line="70" w:lineRule="exact"/>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7,983</w:t>
            </w: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545,754</w:t>
            </w:r>
          </w:p>
        </w:tc>
        <w:tc>
          <w:tcPr>
            <w:tcW w:w="4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
                <w:szCs w:val="1"/>
                <w:color w:val="auto"/>
                <w:w w:val="4294967286"/>
              </w:rPr>
              <w:t>$</w:t>
            </w:r>
          </w:p>
        </w:tc>
        <w:tc>
          <w:tcPr>
            <w:tcW w:w="7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99,359</w:t>
            </w:r>
          </w:p>
        </w:tc>
        <w:tc>
          <w:tcPr>
            <w:tcW w:w="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645,113</w:t>
            </w:r>
          </w:p>
        </w:tc>
        <w:tc>
          <w:tcPr>
            <w:tcW w:w="20" w:type="dxa"/>
            <w:vAlign w:val="bottom"/>
          </w:tcPr>
          <w:p>
            <w:pPr>
              <w:spacing w:after="0"/>
              <w:rPr>
                <w:sz w:val="6"/>
                <w:szCs w:val="6"/>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ATN INTERNATIONAL, INC. AND SUBSIDIARIES</w:t>
      </w:r>
    </w:p>
    <w:p>
      <w:pPr>
        <w:spacing w:after="0" w:line="3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0"/>
          <w:szCs w:val="10"/>
          <w:b w:val="1"/>
          <w:bCs w:val="1"/>
          <w:color w:val="auto"/>
        </w:rPr>
        <w:t>CONDENSED CONSOLIDATED STATEMENTS OF EQUITY</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NINE MONTHS ENDED SEPTEMBER 30, 2024 AND 2023</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7"/>
                <w:szCs w:val="7"/>
                <w:b w:val="1"/>
                <w:bCs w:val="1"/>
                <w:color w:val="auto"/>
              </w:rPr>
              <w:t>Total Equity</w:t>
            </w: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jc w:val="right"/>
              <w:ind w:right="207"/>
              <w:spacing w:after="0" w:line="78" w:lineRule="exact"/>
              <w:rPr>
                <w:sz w:val="20"/>
                <w:szCs w:val="20"/>
                <w:color w:val="auto"/>
              </w:rPr>
            </w:pPr>
            <w:r>
              <w:rPr>
                <w:rFonts w:ascii="Times New Roman" w:cs="Times New Roman" w:eastAsia="Times New Roman" w:hAnsi="Times New Roman"/>
                <w:sz w:val="7"/>
                <w:szCs w:val="7"/>
                <w:b w:val="1"/>
                <w:bCs w:val="1"/>
                <w:color w:val="auto"/>
              </w:rPr>
              <w:t>Treasury</w:t>
            </w:r>
          </w:p>
        </w:tc>
        <w:tc>
          <w:tcPr>
            <w:tcW w:w="52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Other</w:t>
            </w:r>
          </w:p>
        </w:tc>
        <w:tc>
          <w:tcPr>
            <w:tcW w:w="280" w:type="dxa"/>
            <w:vAlign w:val="bottom"/>
          </w:tcPr>
          <w:p>
            <w:pPr>
              <w:spacing w:after="0"/>
              <w:rPr>
                <w:sz w:val="6"/>
                <w:szCs w:val="6"/>
                <w:color w:val="auto"/>
              </w:rPr>
            </w:pPr>
          </w:p>
        </w:tc>
        <w:tc>
          <w:tcPr>
            <w:tcW w:w="66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ATNI</w:t>
            </w:r>
          </w:p>
        </w:tc>
        <w:tc>
          <w:tcPr>
            <w:tcW w:w="240" w:type="dxa"/>
            <w:vAlign w:val="bottom"/>
          </w:tcPr>
          <w:p>
            <w:pPr>
              <w:spacing w:after="0"/>
              <w:rPr>
                <w:sz w:val="6"/>
                <w:szCs w:val="6"/>
                <w:color w:val="auto"/>
              </w:rPr>
            </w:pPr>
          </w:p>
        </w:tc>
        <w:tc>
          <w:tcPr>
            <w:tcW w:w="56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Non-</w:t>
            </w: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Common</w:t>
            </w:r>
          </w:p>
        </w:tc>
        <w:tc>
          <w:tcPr>
            <w:tcW w:w="220" w:type="dxa"/>
            <w:vAlign w:val="bottom"/>
          </w:tcPr>
          <w:p>
            <w:pPr>
              <w:spacing w:after="0"/>
              <w:rPr>
                <w:sz w:val="7"/>
                <w:szCs w:val="7"/>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7"/>
                <w:szCs w:val="7"/>
                <w:b w:val="1"/>
                <w:bCs w:val="1"/>
                <w:color w:val="auto"/>
              </w:rPr>
              <w:t>Stock,</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Paid In</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Retained</w:t>
            </w:r>
          </w:p>
        </w:tc>
        <w:tc>
          <w:tcPr>
            <w:tcW w:w="100" w:type="dxa"/>
            <w:vAlign w:val="bottom"/>
          </w:tcPr>
          <w:p>
            <w:pPr>
              <w:spacing w:after="0"/>
              <w:rPr>
                <w:sz w:val="7"/>
                <w:szCs w:val="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Comprehensive</w:t>
            </w:r>
          </w:p>
        </w:tc>
        <w:tc>
          <w:tcPr>
            <w:tcW w:w="2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Stockholders’</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Controlling</w:t>
            </w:r>
          </w:p>
        </w:tc>
        <w:tc>
          <w:tcPr>
            <w:tcW w:w="18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9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Stock</w:t>
            </w: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7"/>
                <w:szCs w:val="7"/>
                <w:b w:val="1"/>
                <w:bCs w:val="1"/>
                <w:color w:val="auto"/>
              </w:rPr>
              <w:t>at cost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Capital</w:t>
            </w: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Earnings</w:t>
            </w: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Income/(Loss)</w:t>
            </w: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Equity</w:t>
            </w: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Interests</w:t>
            </w: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Equity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940" w:type="dxa"/>
            <w:vAlign w:val="bottom"/>
            <w:tcBorders>
              <w:right w:val="single" w:sz="8" w:color="auto"/>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Balance, December 31, 2023</w:t>
            </w:r>
          </w:p>
        </w:tc>
        <w:tc>
          <w:tcPr>
            <w:tcW w:w="2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173</w:t>
            </w:r>
          </w:p>
        </w:tc>
        <w:tc>
          <w:tcPr>
            <w:tcW w:w="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ind w:right="147"/>
              <w:spacing w:after="0" w:line="70" w:lineRule="exact"/>
              <w:rPr>
                <w:sz w:val="20"/>
                <w:szCs w:val="20"/>
                <w:color w:val="auto"/>
              </w:rPr>
            </w:pPr>
            <w:r>
              <w:rPr>
                <w:rFonts w:ascii="Times New Roman" w:cs="Times New Roman" w:eastAsia="Times New Roman" w:hAnsi="Times New Roman"/>
                <w:sz w:val="7"/>
                <w:szCs w:val="7"/>
                <w:color w:val="auto"/>
              </w:rPr>
              <w:t>(90,447)$</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205,797</w:t>
            </w: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417,282</w:t>
            </w: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8,268</w:t>
            </w:r>
          </w:p>
        </w:tc>
        <w:tc>
          <w:tcPr>
            <w:tcW w:w="2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541,073</w:t>
            </w:r>
          </w:p>
        </w:tc>
        <w:tc>
          <w:tcPr>
            <w:tcW w:w="24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96,730</w:t>
            </w:r>
          </w:p>
        </w:tc>
        <w:tc>
          <w:tcPr>
            <w:tcW w:w="1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
                <w:szCs w:val="1"/>
                <w:color w:val="auto"/>
                <w:w w:val="4294967286"/>
              </w:rPr>
              <w:t>$</w:t>
            </w:r>
          </w:p>
        </w:tc>
        <w:tc>
          <w:tcPr>
            <w:tcW w:w="4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637,803</w:t>
            </w:r>
          </w:p>
        </w:tc>
        <w:tc>
          <w:tcPr>
            <w:tcW w:w="0" w:type="dxa"/>
            <w:vAlign w:val="bottom"/>
          </w:tcPr>
          <w:p>
            <w:pPr>
              <w:spacing w:after="0"/>
              <w:rPr>
                <w:sz w:val="1"/>
                <w:szCs w:val="1"/>
                <w:color w:val="auto"/>
              </w:rPr>
            </w:pPr>
          </w:p>
        </w:tc>
      </w:tr>
      <w:tr>
        <w:trPr>
          <w:trHeight w:val="70"/>
        </w:trPr>
        <w:tc>
          <w:tcPr>
            <w:tcW w:w="2960" w:type="dxa"/>
            <w:vAlign w:val="bottom"/>
            <w:tcBorders>
              <w:right w:val="single" w:sz="8" w:color="auto"/>
            </w:tcBorders>
            <w:gridSpan w:val="2"/>
          </w:tcPr>
          <w:p>
            <w:pPr>
              <w:spacing w:after="0" w:line="70" w:lineRule="exact"/>
              <w:rPr>
                <w:sz w:val="20"/>
                <w:szCs w:val="20"/>
                <w:color w:val="auto"/>
              </w:rPr>
            </w:pPr>
            <w:r>
              <w:rPr>
                <w:rFonts w:ascii="Times New Roman" w:cs="Times New Roman" w:eastAsia="Times New Roman" w:hAnsi="Times New Roman"/>
                <w:sz w:val="7"/>
                <w:szCs w:val="7"/>
                <w:color w:val="auto"/>
              </w:rPr>
              <w:t>Purchase of 483,899 shares of common stock</w:t>
            </w:r>
          </w:p>
        </w:tc>
        <w:tc>
          <w:tcPr>
            <w:tcW w:w="200" w:type="dxa"/>
            <w:vAlign w:val="bottom"/>
          </w:tcPr>
          <w:p>
            <w:pPr>
              <w:spacing w:after="0"/>
              <w:rPr>
                <w:sz w:val="6"/>
                <w:szCs w:val="6"/>
                <w:color w:val="auto"/>
              </w:rPr>
            </w:pPr>
          </w:p>
        </w:tc>
        <w:tc>
          <w:tcPr>
            <w:tcW w:w="4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6"/>
                <w:szCs w:val="6"/>
                <w:color w:val="auto"/>
              </w:rPr>
            </w:pPr>
          </w:p>
        </w:tc>
        <w:tc>
          <w:tcPr>
            <w:tcW w:w="660" w:type="dxa"/>
            <w:vAlign w:val="bottom"/>
          </w:tcPr>
          <w:p>
            <w:pPr>
              <w:jc w:val="right"/>
              <w:ind w:right="187"/>
              <w:spacing w:after="0" w:line="70" w:lineRule="exact"/>
              <w:rPr>
                <w:sz w:val="20"/>
                <w:szCs w:val="20"/>
                <w:color w:val="auto"/>
              </w:rPr>
            </w:pPr>
            <w:r>
              <w:rPr>
                <w:rFonts w:ascii="Times New Roman" w:cs="Times New Roman" w:eastAsia="Times New Roman" w:hAnsi="Times New Roman"/>
                <w:sz w:val="7"/>
                <w:szCs w:val="7"/>
                <w:color w:val="auto"/>
              </w:rPr>
              <w:t>(11,932)</w:t>
            </w: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(115)</w:t>
            </w:r>
          </w:p>
        </w:tc>
        <w:tc>
          <w:tcPr>
            <w:tcW w:w="200" w:type="dxa"/>
            <w:vAlign w:val="bottom"/>
          </w:tcPr>
          <w:p>
            <w:pPr>
              <w:spacing w:after="0"/>
              <w:rPr>
                <w:sz w:val="6"/>
                <w:szCs w:val="6"/>
                <w:color w:val="auto"/>
              </w:rPr>
            </w:pPr>
          </w:p>
        </w:tc>
        <w:tc>
          <w:tcPr>
            <w:tcW w:w="44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9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6"/>
                <w:szCs w:val="6"/>
                <w:color w:val="auto"/>
              </w:rPr>
            </w:pPr>
          </w:p>
        </w:tc>
        <w:tc>
          <w:tcPr>
            <w:tcW w:w="6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(12,047)</w:t>
            </w:r>
          </w:p>
        </w:tc>
        <w:tc>
          <w:tcPr>
            <w:tcW w:w="240" w:type="dxa"/>
            <w:vAlign w:val="bottom"/>
          </w:tcPr>
          <w:p>
            <w:pPr>
              <w:spacing w:after="0"/>
              <w:rPr>
                <w:sz w:val="6"/>
                <w:szCs w:val="6"/>
                <w:color w:val="auto"/>
              </w:rPr>
            </w:pPr>
          </w:p>
        </w:tc>
        <w:tc>
          <w:tcPr>
            <w:tcW w:w="5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6"/>
                <w:szCs w:val="6"/>
                <w:color w:val="auto"/>
              </w:rPr>
            </w:pPr>
          </w:p>
        </w:tc>
        <w:tc>
          <w:tcPr>
            <w:tcW w:w="4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(12,047)</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5,719</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5,719</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802</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6,521</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7"/>
                <w:szCs w:val="7"/>
                <w:color w:val="auto"/>
              </w:rPr>
              <w:t>Dividends declared on common stock ($0.72 per common share)</w:t>
            </w:r>
          </w:p>
        </w:tc>
        <w:tc>
          <w:tcPr>
            <w:tcW w:w="2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(10,973)</w:t>
            </w:r>
          </w:p>
        </w:tc>
        <w:tc>
          <w:tcPr>
            <w:tcW w:w="100" w:type="dxa"/>
            <w:vAlign w:val="bottom"/>
          </w:tcPr>
          <w:p>
            <w:pPr>
              <w:spacing w:after="0"/>
              <w:rPr>
                <w:sz w:val="7"/>
                <w:szCs w:val="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(10,973)</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(2,266)</w:t>
            </w:r>
          </w:p>
        </w:tc>
        <w:tc>
          <w:tcPr>
            <w:tcW w:w="18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(13,239)</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Accrued dividend - redeemable preferred units</w:t>
            </w: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(4,154)</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(4,154)</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(4,154)</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7"/>
                <w:szCs w:val="7"/>
                <w:color w:val="auto"/>
              </w:rPr>
              <w:t>Deemed dividend - redeemable common units</w:t>
            </w:r>
          </w:p>
        </w:tc>
        <w:tc>
          <w:tcPr>
            <w:tcW w:w="2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867</w:t>
            </w:r>
          </w:p>
        </w:tc>
        <w:tc>
          <w:tcPr>
            <w:tcW w:w="100" w:type="dxa"/>
            <w:vAlign w:val="bottom"/>
          </w:tcPr>
          <w:p>
            <w:pPr>
              <w:spacing w:after="0"/>
              <w:rPr>
                <w:sz w:val="7"/>
                <w:szCs w:val="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867</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14,121</w:t>
            </w:r>
          </w:p>
        </w:tc>
        <w:tc>
          <w:tcPr>
            <w:tcW w:w="18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14,988</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i w:val="1"/>
                <w:iCs w:val="1"/>
                <w:color w:val="auto"/>
              </w:rPr>
              <w:t>Comprehensive income:</w:t>
            </w: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7"/>
                <w:szCs w:val="7"/>
                <w:color w:val="auto"/>
              </w:rPr>
              <w:t>Net income</w:t>
            </w:r>
          </w:p>
        </w:tc>
        <w:tc>
          <w:tcPr>
            <w:tcW w:w="2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(30,000)</w:t>
            </w:r>
          </w:p>
        </w:tc>
        <w:tc>
          <w:tcPr>
            <w:tcW w:w="100" w:type="dxa"/>
            <w:vAlign w:val="bottom"/>
          </w:tcPr>
          <w:p>
            <w:pPr>
              <w:spacing w:after="0"/>
              <w:rPr>
                <w:sz w:val="7"/>
                <w:szCs w:val="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(30,000)</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(6,059)</w:t>
            </w:r>
          </w:p>
        </w:tc>
        <w:tc>
          <w:tcPr>
            <w:tcW w:w="18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(36,059)</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7"/>
                <w:szCs w:val="7"/>
                <w:color w:val="auto"/>
              </w:rPr>
              <w:t>Other comprehensive income</w:t>
            </w:r>
          </w:p>
        </w:tc>
        <w:tc>
          <w:tcPr>
            <w:tcW w:w="20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310</w:t>
            </w:r>
          </w:p>
        </w:tc>
        <w:tc>
          <w:tcPr>
            <w:tcW w:w="28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310</w:t>
            </w:r>
          </w:p>
        </w:tc>
        <w:tc>
          <w:tcPr>
            <w:tcW w:w="24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310</w:t>
            </w:r>
          </w:p>
        </w:tc>
        <w:tc>
          <w:tcPr>
            <w:tcW w:w="0" w:type="dxa"/>
            <w:vAlign w:val="bottom"/>
          </w:tcPr>
          <w:p>
            <w:pPr>
              <w:spacing w:after="0"/>
              <w:rPr>
                <w:sz w:val="1"/>
                <w:szCs w:val="1"/>
                <w:color w:val="auto"/>
              </w:rPr>
            </w:pPr>
          </w:p>
        </w:tc>
      </w:tr>
      <w:tr>
        <w:trPr>
          <w:trHeight w:val="70"/>
        </w:trPr>
        <w:tc>
          <w:tcPr>
            <w:tcW w:w="2960" w:type="dxa"/>
            <w:vAlign w:val="bottom"/>
            <w:tcBorders>
              <w:bottom w:val="single" w:sz="8" w:color="CCEEFF"/>
              <w:right w:val="single" w:sz="8" w:color="auto"/>
            </w:tcBorders>
            <w:gridSpan w:val="2"/>
          </w:tcPr>
          <w:p>
            <w:pPr>
              <w:spacing w:after="0" w:line="70" w:lineRule="exact"/>
              <w:rPr>
                <w:sz w:val="20"/>
                <w:szCs w:val="20"/>
                <w:color w:val="auto"/>
              </w:rPr>
            </w:pPr>
            <w:r>
              <w:rPr>
                <w:rFonts w:ascii="Times New Roman" w:cs="Times New Roman" w:eastAsia="Times New Roman" w:hAnsi="Times New Roman"/>
                <w:sz w:val="7"/>
                <w:szCs w:val="7"/>
                <w:color w:val="auto"/>
              </w:rPr>
              <w:t>Total comprehensive income</w:t>
            </w:r>
          </w:p>
        </w:tc>
        <w:tc>
          <w:tcPr>
            <w:tcW w:w="2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jc w:val="right"/>
              <w:ind w:right="207"/>
              <w:spacing w:after="0" w:line="70"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(30,000)</w:t>
            </w: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310</w:t>
            </w:r>
          </w:p>
        </w:tc>
        <w:tc>
          <w:tcPr>
            <w:tcW w:w="2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(29,690)</w:t>
            </w:r>
          </w:p>
        </w:tc>
        <w:tc>
          <w:tcPr>
            <w:tcW w:w="2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(6,059)</w:t>
            </w:r>
          </w:p>
        </w:tc>
        <w:tc>
          <w:tcPr>
            <w:tcW w:w="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(35,749)</w:t>
            </w:r>
          </w:p>
        </w:tc>
        <w:tc>
          <w:tcPr>
            <w:tcW w:w="0" w:type="dxa"/>
            <w:vAlign w:val="bottom"/>
          </w:tcPr>
          <w:p>
            <w:pPr>
              <w:spacing w:after="0"/>
              <w:rPr>
                <w:sz w:val="1"/>
                <w:szCs w:val="1"/>
                <w:color w:val="auto"/>
              </w:rPr>
            </w:pPr>
          </w:p>
        </w:tc>
      </w:tr>
      <w:tr>
        <w:trPr>
          <w:trHeight w:val="77"/>
        </w:trPr>
        <w:tc>
          <w:tcPr>
            <w:tcW w:w="2960" w:type="dxa"/>
            <w:vAlign w:val="bottom"/>
            <w:tcBorders>
              <w:bottom w:val="single" w:sz="8" w:color="CCEEFF"/>
              <w:right w:val="single" w:sz="8" w:color="auto"/>
            </w:tcBorders>
            <w:gridSpan w:val="2"/>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Balance, September 30, 2024</w:t>
            </w:r>
          </w:p>
        </w:tc>
        <w:tc>
          <w:tcPr>
            <w:tcW w:w="2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173</w:t>
            </w:r>
          </w:p>
        </w:tc>
        <w:tc>
          <w:tcPr>
            <w:tcW w:w="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ind w:right="147"/>
              <w:spacing w:after="0" w:line="70" w:lineRule="exact"/>
              <w:rPr>
                <w:sz w:val="20"/>
                <w:szCs w:val="20"/>
                <w:color w:val="auto"/>
              </w:rPr>
            </w:pPr>
            <w:r>
              <w:rPr>
                <w:rFonts w:ascii="Times New Roman" w:cs="Times New Roman" w:eastAsia="Times New Roman" w:hAnsi="Times New Roman"/>
                <w:sz w:val="7"/>
                <w:szCs w:val="7"/>
                <w:color w:val="auto"/>
              </w:rPr>
              <w:t>(102,379)$</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211,401</w:t>
            </w: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373,022</w:t>
            </w: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8,578</w:t>
            </w:r>
          </w:p>
        </w:tc>
        <w:tc>
          <w:tcPr>
            <w:tcW w:w="2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490,795</w:t>
            </w:r>
          </w:p>
        </w:tc>
        <w:tc>
          <w:tcPr>
            <w:tcW w:w="24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103,328</w:t>
            </w:r>
          </w:p>
        </w:tc>
        <w:tc>
          <w:tcPr>
            <w:tcW w:w="1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
                <w:szCs w:val="1"/>
                <w:color w:val="auto"/>
                <w:w w:val="4294967286"/>
              </w:rPr>
              <w:t>$</w:t>
            </w:r>
          </w:p>
        </w:tc>
        <w:tc>
          <w:tcPr>
            <w:tcW w:w="4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594,123</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294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vMerge w:val="continue"/>
          </w:tcPr>
          <w:p>
            <w:pPr>
              <w:spacing w:after="0"/>
              <w:rPr>
                <w:sz w:val="7"/>
                <w:szCs w:val="7"/>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Balance, December 31, 2022</w:t>
            </w:r>
          </w:p>
        </w:tc>
        <w:tc>
          <w:tcPr>
            <w:tcW w:w="2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173</w:t>
            </w:r>
          </w:p>
        </w:tc>
        <w:tc>
          <w:tcPr>
            <w:tcW w:w="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7"/>
                <w:szCs w:val="7"/>
                <w:color w:val="auto"/>
              </w:rPr>
              <w:t>(73,825)$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198,449</w:t>
            </w: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449,806</w:t>
            </w: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6,210</w:t>
            </w:r>
          </w:p>
        </w:tc>
        <w:tc>
          <w:tcPr>
            <w:tcW w:w="2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580,813</w:t>
            </w:r>
          </w:p>
        </w:tc>
        <w:tc>
          <w:tcPr>
            <w:tcW w:w="24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96,016</w:t>
            </w:r>
          </w:p>
        </w:tc>
        <w:tc>
          <w:tcPr>
            <w:tcW w:w="1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
                <w:szCs w:val="1"/>
                <w:color w:val="auto"/>
                <w:w w:val="429496728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676,829</w:t>
            </w:r>
          </w:p>
        </w:tc>
        <w:tc>
          <w:tcPr>
            <w:tcW w:w="0" w:type="dxa"/>
            <w:vAlign w:val="bottom"/>
          </w:tcPr>
          <w:p>
            <w:pPr>
              <w:spacing w:after="0"/>
              <w:rPr>
                <w:sz w:val="1"/>
                <w:szCs w:val="1"/>
                <w:color w:val="auto"/>
              </w:rPr>
            </w:pPr>
          </w:p>
        </w:tc>
      </w:tr>
      <w:tr>
        <w:trPr>
          <w:trHeight w:val="70"/>
        </w:trPr>
        <w:tc>
          <w:tcPr>
            <w:tcW w:w="2960" w:type="dxa"/>
            <w:vAlign w:val="bottom"/>
            <w:tcBorders>
              <w:right w:val="single" w:sz="8" w:color="auto"/>
            </w:tcBorders>
            <w:gridSpan w:val="2"/>
          </w:tcPr>
          <w:p>
            <w:pPr>
              <w:spacing w:after="0" w:line="70" w:lineRule="exact"/>
              <w:rPr>
                <w:sz w:val="20"/>
                <w:szCs w:val="20"/>
                <w:color w:val="auto"/>
              </w:rPr>
            </w:pPr>
            <w:r>
              <w:rPr>
                <w:rFonts w:ascii="Times New Roman" w:cs="Times New Roman" w:eastAsia="Times New Roman" w:hAnsi="Times New Roman"/>
                <w:sz w:val="7"/>
                <w:szCs w:val="7"/>
                <w:color w:val="auto"/>
              </w:rPr>
              <w:t>Purchase of 359,620 shares of common stock</w:t>
            </w:r>
          </w:p>
        </w:tc>
        <w:tc>
          <w:tcPr>
            <w:tcW w:w="200" w:type="dxa"/>
            <w:vAlign w:val="bottom"/>
          </w:tcPr>
          <w:p>
            <w:pPr>
              <w:spacing w:after="0"/>
              <w:rPr>
                <w:sz w:val="6"/>
                <w:szCs w:val="6"/>
                <w:color w:val="auto"/>
              </w:rPr>
            </w:pPr>
          </w:p>
        </w:tc>
        <w:tc>
          <w:tcPr>
            <w:tcW w:w="4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6"/>
                <w:szCs w:val="6"/>
                <w:color w:val="auto"/>
              </w:rPr>
            </w:pPr>
          </w:p>
        </w:tc>
        <w:tc>
          <w:tcPr>
            <w:tcW w:w="660" w:type="dxa"/>
            <w:vAlign w:val="bottom"/>
          </w:tcPr>
          <w:p>
            <w:pPr>
              <w:jc w:val="right"/>
              <w:ind w:right="187"/>
              <w:spacing w:after="0" w:line="70" w:lineRule="exact"/>
              <w:rPr>
                <w:sz w:val="20"/>
                <w:szCs w:val="20"/>
                <w:color w:val="auto"/>
              </w:rPr>
            </w:pPr>
            <w:r>
              <w:rPr>
                <w:rFonts w:ascii="Times New Roman" w:cs="Times New Roman" w:eastAsia="Times New Roman" w:hAnsi="Times New Roman"/>
                <w:sz w:val="7"/>
                <w:szCs w:val="7"/>
                <w:color w:val="auto"/>
              </w:rPr>
              <w:t>(13,152)</w:t>
            </w: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6"/>
                <w:szCs w:val="6"/>
                <w:color w:val="auto"/>
              </w:rPr>
            </w:pPr>
          </w:p>
        </w:tc>
        <w:tc>
          <w:tcPr>
            <w:tcW w:w="44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9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6"/>
                <w:szCs w:val="6"/>
                <w:color w:val="auto"/>
              </w:rPr>
            </w:pPr>
          </w:p>
        </w:tc>
        <w:tc>
          <w:tcPr>
            <w:tcW w:w="6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(13,152)</w:t>
            </w:r>
          </w:p>
        </w:tc>
        <w:tc>
          <w:tcPr>
            <w:tcW w:w="240" w:type="dxa"/>
            <w:vAlign w:val="bottom"/>
          </w:tcPr>
          <w:p>
            <w:pPr>
              <w:spacing w:after="0"/>
              <w:rPr>
                <w:sz w:val="6"/>
                <w:szCs w:val="6"/>
                <w:color w:val="auto"/>
              </w:rPr>
            </w:pPr>
          </w:p>
        </w:tc>
        <w:tc>
          <w:tcPr>
            <w:tcW w:w="56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6"/>
                <w:szCs w:val="6"/>
                <w:color w:val="auto"/>
              </w:rPr>
            </w:pPr>
          </w:p>
        </w:tc>
        <w:tc>
          <w:tcPr>
            <w:tcW w:w="4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(13,152)</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6,057</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6,057</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416</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6,473</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7"/>
                <w:szCs w:val="7"/>
                <w:color w:val="auto"/>
              </w:rPr>
              <w:t>Dividends declared on common stock ($0.63 per common share)</w:t>
            </w:r>
          </w:p>
        </w:tc>
        <w:tc>
          <w:tcPr>
            <w:tcW w:w="2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(9,864)</w:t>
            </w:r>
          </w:p>
        </w:tc>
        <w:tc>
          <w:tcPr>
            <w:tcW w:w="100" w:type="dxa"/>
            <w:vAlign w:val="bottom"/>
          </w:tcPr>
          <w:p>
            <w:pPr>
              <w:spacing w:after="0"/>
              <w:rPr>
                <w:sz w:val="7"/>
                <w:szCs w:val="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(9,864)</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(1,447)</w:t>
            </w:r>
          </w:p>
        </w:tc>
        <w:tc>
          <w:tcPr>
            <w:tcW w:w="18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(11,311)</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Repurchase of noncontrolling interests</w:t>
            </w: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(81)</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(81)</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(681)</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(762)</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7"/>
                <w:szCs w:val="7"/>
                <w:color w:val="auto"/>
              </w:rPr>
              <w:t>Accrued dividend - redeemable preferred units</w:t>
            </w:r>
          </w:p>
        </w:tc>
        <w:tc>
          <w:tcPr>
            <w:tcW w:w="2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(3,593)</w:t>
            </w:r>
          </w:p>
        </w:tc>
        <w:tc>
          <w:tcPr>
            <w:tcW w:w="100" w:type="dxa"/>
            <w:vAlign w:val="bottom"/>
          </w:tcPr>
          <w:p>
            <w:pPr>
              <w:spacing w:after="0"/>
              <w:rPr>
                <w:sz w:val="7"/>
                <w:szCs w:val="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(3,593)</w:t>
            </w:r>
          </w:p>
        </w:tc>
        <w:tc>
          <w:tcPr>
            <w:tcW w:w="24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(3,593)</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7"/>
                <w:szCs w:val="7"/>
                <w:color w:val="auto"/>
              </w:rPr>
              <w:t>Deemed dividend - redeemable common units</w:t>
            </w: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(7,497)</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(7,497)</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7,788</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291</w:t>
            </w:r>
          </w:p>
        </w:tc>
        <w:tc>
          <w:tcPr>
            <w:tcW w:w="0" w:type="dxa"/>
            <w:vAlign w:val="bottom"/>
          </w:tcPr>
          <w:p>
            <w:pPr>
              <w:spacing w:after="0"/>
              <w:rPr>
                <w:sz w:val="1"/>
                <w:szCs w:val="1"/>
                <w:color w:val="auto"/>
              </w:rPr>
            </w:pPr>
          </w:p>
        </w:tc>
      </w:tr>
      <w:tr>
        <w:trPr>
          <w:trHeight w:val="81"/>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7"/>
                <w:szCs w:val="7"/>
                <w:i w:val="1"/>
                <w:iCs w:val="1"/>
                <w:color w:val="auto"/>
              </w:rPr>
              <w:t>Comprehensive income:</w:t>
            </w: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7"/>
                <w:szCs w:val="7"/>
                <w:color w:val="auto"/>
              </w:rPr>
              <w:t>Net loss</w:t>
            </w: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(8,702)</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(8,702)</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(2,733)</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(11,435)</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40" w:type="dxa"/>
            <w:vAlign w:val="bottom"/>
            <w:tcBorders>
              <w:bottom w:val="single" w:sz="8" w:color="CCEEFF"/>
              <w:right w:val="single" w:sz="8" w:color="auto"/>
            </w:tcBorders>
          </w:tcPr>
          <w:p>
            <w:pPr>
              <w:ind w:left="120"/>
              <w:spacing w:after="0"/>
              <w:rPr>
                <w:sz w:val="20"/>
                <w:szCs w:val="20"/>
                <w:color w:val="auto"/>
              </w:rPr>
            </w:pPr>
            <w:r>
              <w:rPr>
                <w:rFonts w:ascii="Times New Roman" w:cs="Times New Roman" w:eastAsia="Times New Roman" w:hAnsi="Times New Roman"/>
                <w:sz w:val="7"/>
                <w:szCs w:val="7"/>
                <w:color w:val="auto"/>
              </w:rPr>
              <w:t>Other comprehensive income</w:t>
            </w: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1,773</w:t>
            </w: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1,773</w:t>
            </w: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1,773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940" w:type="dxa"/>
            <w:vAlign w:val="bottom"/>
            <w:tcBorders>
              <w:right w:val="single" w:sz="8" w:color="auto"/>
            </w:tcBorders>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Total comprehensive income (loss)</w:t>
            </w:r>
          </w:p>
        </w:tc>
        <w:tc>
          <w:tcPr>
            <w:tcW w:w="2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jc w:val="right"/>
              <w:ind w:right="207"/>
              <w:spacing w:after="0" w:line="70"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(8,702)</w:t>
            </w: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1,773</w:t>
            </w:r>
          </w:p>
        </w:tc>
        <w:tc>
          <w:tcPr>
            <w:tcW w:w="28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(6,929)</w:t>
            </w:r>
          </w:p>
        </w:tc>
        <w:tc>
          <w:tcPr>
            <w:tcW w:w="2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(2,733)</w:t>
            </w:r>
          </w:p>
        </w:tc>
        <w:tc>
          <w:tcPr>
            <w:tcW w:w="18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(9,662)</w:t>
            </w:r>
          </w:p>
        </w:tc>
        <w:tc>
          <w:tcPr>
            <w:tcW w:w="0" w:type="dxa"/>
            <w:vAlign w:val="bottom"/>
          </w:tcPr>
          <w:p>
            <w:pPr>
              <w:spacing w:after="0"/>
              <w:rPr>
                <w:sz w:val="1"/>
                <w:szCs w:val="1"/>
                <w:color w:val="auto"/>
              </w:rPr>
            </w:pPr>
          </w:p>
        </w:tc>
      </w:tr>
      <w:tr>
        <w:trPr>
          <w:trHeight w:val="77"/>
        </w:trPr>
        <w:tc>
          <w:tcPr>
            <w:tcW w:w="2960" w:type="dxa"/>
            <w:vAlign w:val="bottom"/>
            <w:tcBorders>
              <w:right w:val="single" w:sz="8" w:color="auto"/>
            </w:tcBorders>
            <w:gridSpan w:val="2"/>
          </w:tcPr>
          <w:p>
            <w:pPr>
              <w:spacing w:after="0" w:line="70" w:lineRule="exact"/>
              <w:rPr>
                <w:sz w:val="20"/>
                <w:szCs w:val="20"/>
                <w:color w:val="auto"/>
              </w:rPr>
            </w:pPr>
            <w:r>
              <w:rPr>
                <w:rFonts w:ascii="Times New Roman" w:cs="Times New Roman" w:eastAsia="Times New Roman" w:hAnsi="Times New Roman"/>
                <w:sz w:val="7"/>
                <w:szCs w:val="7"/>
                <w:color w:val="auto"/>
              </w:rPr>
              <w:t>Balance, September 30, 2023</w:t>
            </w:r>
          </w:p>
        </w:tc>
        <w:tc>
          <w:tcPr>
            <w:tcW w:w="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4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173</w:t>
            </w:r>
          </w:p>
        </w:tc>
        <w:tc>
          <w:tcPr>
            <w:tcW w:w="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ind w:right="147"/>
              <w:spacing w:after="0" w:line="70" w:lineRule="exact"/>
              <w:rPr>
                <w:sz w:val="20"/>
                <w:szCs w:val="20"/>
                <w:color w:val="auto"/>
              </w:rPr>
            </w:pPr>
            <w:r>
              <w:rPr>
                <w:rFonts w:ascii="Times New Roman" w:cs="Times New Roman" w:eastAsia="Times New Roman" w:hAnsi="Times New Roman"/>
                <w:sz w:val="7"/>
                <w:szCs w:val="7"/>
                <w:color w:val="auto"/>
              </w:rPr>
              <w:t>(86,977)$</w:t>
            </w: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204,425</w:t>
            </w:r>
          </w:p>
        </w:tc>
        <w:tc>
          <w:tcPr>
            <w:tcW w:w="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420,150</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7,983</w:t>
            </w:r>
          </w:p>
        </w:tc>
        <w:tc>
          <w:tcPr>
            <w:tcW w:w="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545,754</w:t>
            </w:r>
          </w:p>
        </w:tc>
        <w:tc>
          <w:tcPr>
            <w:tcW w:w="2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99,359</w:t>
            </w:r>
          </w:p>
        </w:tc>
        <w:tc>
          <w:tcPr>
            <w:tcW w:w="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
                <w:szCs w:val="1"/>
                <w:color w:val="auto"/>
                <w:w w:val="4294967286"/>
              </w:rPr>
              <w:t>$</w:t>
            </w:r>
          </w:p>
        </w:tc>
        <w:tc>
          <w:tcPr>
            <w:tcW w:w="4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645,113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r>
        <w:rPr>
          <w:rFonts w:ascii="Times New Roman" w:cs="Times New Roman" w:eastAsia="Times New Roman" w:hAnsi="Times New Roman"/>
          <w:sz w:val="9"/>
          <w:szCs w:val="9"/>
          <w:b w:val="1"/>
          <w:bCs w:val="1"/>
          <w:color w:val="auto"/>
        </w:rPr>
        <w: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2024 AND 2023</w:t>
      </w:r>
    </w:p>
    <w:p>
      <w:pPr>
        <w:jc w:val="center"/>
        <w:ind w:right="19"/>
        <w:spacing w:after="0" w:line="209" w:lineRule="auto"/>
        <w:rPr>
          <w:sz w:val="20"/>
          <w:szCs w:val="20"/>
          <w:color w:val="auto"/>
        </w:rPr>
      </w:pPr>
      <w:r>
        <w:rPr>
          <w:rFonts w:ascii="Times New Roman" w:cs="Times New Roman" w:eastAsia="Times New Roman" w:hAnsi="Times New Roman"/>
          <w:sz w:val="10"/>
          <w:szCs w:val="10"/>
          <w:b w:val="1"/>
          <w:bCs w:val="1"/>
          <w:color w:val="auto"/>
        </w:rPr>
        <w:t>(Unaudited)</w:t>
      </w:r>
    </w:p>
    <w:p>
      <w:pPr>
        <w:jc w:val="center"/>
        <w:ind w:right="19"/>
        <w:spacing w:after="0" w:line="237" w:lineRule="auto"/>
        <w:rPr>
          <w:sz w:val="20"/>
          <w:szCs w:val="20"/>
          <w:color w:val="auto"/>
        </w:rPr>
      </w:pPr>
      <w:r>
        <w:rPr>
          <w:rFonts w:ascii="Times New Roman" w:cs="Times New Roman" w:eastAsia="Times New Roman" w:hAnsi="Times New Roman"/>
          <w:sz w:val="10"/>
          <w:szCs w:val="10"/>
          <w:b w:val="1"/>
          <w:bCs w:val="1"/>
          <w:color w:val="auto"/>
        </w:rPr>
        <w:t>(In Thousands)</w:t>
      </w:r>
    </w:p>
    <w:tbl>
      <w:tblPr>
        <w:tblLayout w:type="fixed"/>
        <w:tblInd w:w="20" w:type="dxa"/>
        <w:tblCellMar>
          <w:top w:w="0" w:type="dxa"/>
          <w:left w:w="0" w:type="dxa"/>
          <w:bottom w:w="0" w:type="dxa"/>
          <w:right w:w="0" w:type="dxa"/>
        </w:tblCellMar>
      </w:tblPr>
      <w:tr>
        <w:trPr>
          <w:trHeight w:val="89"/>
        </w:trPr>
        <w:tc>
          <w:tcPr>
            <w:tcW w:w="6840" w:type="dxa"/>
            <w:vAlign w:val="bottom"/>
          </w:tcPr>
          <w:p>
            <w:pPr>
              <w:spacing w:after="0"/>
              <w:rPr>
                <w:sz w:val="7"/>
                <w:szCs w:val="7"/>
                <w:color w:val="auto"/>
              </w:rPr>
            </w:pPr>
          </w:p>
        </w:tc>
        <w:tc>
          <w:tcPr>
            <w:tcW w:w="17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7"/>
                <w:szCs w:val="7"/>
                <w:b w:val="1"/>
                <w:bCs w:val="1"/>
                <w:color w:val="auto"/>
              </w:rPr>
              <w:t>Nine Months Ended September 30,</w:t>
            </w:r>
          </w:p>
        </w:tc>
        <w:tc>
          <w:tcPr>
            <w:tcW w:w="360" w:type="dxa"/>
            <w:vAlign w:val="bottom"/>
            <w:tcBorders>
              <w:bottom w:val="single" w:sz="8" w:color="auto"/>
            </w:tcBorders>
          </w:tcPr>
          <w:p>
            <w:pPr>
              <w:spacing w:after="0"/>
              <w:rPr>
                <w:sz w:val="7"/>
                <w:szCs w:val="7"/>
                <w:color w:val="auto"/>
              </w:rPr>
            </w:pPr>
          </w:p>
        </w:tc>
      </w:tr>
      <w:tr>
        <w:trPr>
          <w:trHeight w:val="70"/>
        </w:trPr>
        <w:tc>
          <w:tcPr>
            <w:tcW w:w="684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jc w:val="right"/>
              <w:ind w:right="32"/>
              <w:spacing w:after="0" w:line="70" w:lineRule="exact"/>
              <w:rPr>
                <w:sz w:val="20"/>
                <w:szCs w:val="20"/>
                <w:color w:val="auto"/>
              </w:rPr>
            </w:pPr>
            <w:r>
              <w:rPr>
                <w:rFonts w:ascii="Times New Roman" w:cs="Times New Roman" w:eastAsia="Times New Roman" w:hAnsi="Times New Roman"/>
                <w:sz w:val="7"/>
                <w:szCs w:val="7"/>
                <w:b w:val="1"/>
                <w:bCs w:val="1"/>
                <w:color w:val="auto"/>
              </w:rPr>
              <w:t>2024</w:t>
            </w: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jc w:val="right"/>
              <w:ind w:right="33"/>
              <w:spacing w:after="0" w:line="70" w:lineRule="exact"/>
              <w:rPr>
                <w:sz w:val="20"/>
                <w:szCs w:val="20"/>
                <w:color w:val="auto"/>
              </w:rPr>
            </w:pPr>
            <w:r>
              <w:rPr>
                <w:rFonts w:ascii="Times New Roman" w:cs="Times New Roman" w:eastAsia="Times New Roman" w:hAnsi="Times New Roman"/>
                <w:sz w:val="7"/>
                <w:szCs w:val="7"/>
                <w:b w:val="1"/>
                <w:bCs w:val="1"/>
                <w:color w:val="auto"/>
              </w:rPr>
              <w:t>2023</w:t>
            </w:r>
          </w:p>
        </w:tc>
        <w:tc>
          <w:tcPr>
            <w:tcW w:w="360" w:type="dxa"/>
            <w:vAlign w:val="bottom"/>
            <w:tcBorders>
              <w:bottom w:val="single" w:sz="8" w:color="auto"/>
            </w:tcBorders>
          </w:tcPr>
          <w:p>
            <w:pPr>
              <w:spacing w:after="0"/>
              <w:rPr>
                <w:sz w:val="6"/>
                <w:szCs w:val="6"/>
                <w:color w:val="auto"/>
              </w:rPr>
            </w:pPr>
          </w:p>
        </w:tc>
      </w:tr>
      <w:tr>
        <w:trPr>
          <w:trHeight w:val="79"/>
        </w:trPr>
        <w:tc>
          <w:tcPr>
            <w:tcW w:w="684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operating activities:</w:t>
            </w:r>
          </w:p>
        </w:tc>
        <w:tc>
          <w:tcPr>
            <w:tcW w:w="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Net income (loss)</w:t>
            </w:r>
          </w:p>
        </w:tc>
        <w:tc>
          <w:tcPr>
            <w:tcW w:w="620" w:type="dxa"/>
            <w:vAlign w:val="bottom"/>
          </w:tcPr>
          <w:p>
            <w:pPr>
              <w:jc w:val="right"/>
              <w:ind w:right="552"/>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(36,059)</w:t>
            </w:r>
          </w:p>
        </w:tc>
        <w:tc>
          <w:tcPr>
            <w:tcW w:w="620" w:type="dxa"/>
            <w:vAlign w:val="bottom"/>
          </w:tcPr>
          <w:p>
            <w:pPr>
              <w:jc w:val="right"/>
              <w:ind w:right="553"/>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(11,435)</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Adjustments to reconcile net loss to net cash flows provided by operating activities:</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Depreciation and amortization</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107,196</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106,991</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Amortization of intangibles from acquisitions</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5,916</w:t>
            </w: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9,514</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Provision for doubtful accounts</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4,209</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4,014</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Amortization of debt issuance costs</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1,915</w:t>
            </w: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1,806</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(Gain) loss on disposition of assets and contingent consideration</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(14,919)</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410</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Stock-based compensation</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6,521</w:t>
            </w: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6,473</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Deferred income taxes</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(14,409)</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(9,452)</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Loss on pension settlement</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369</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Loss on extinguishment of debt</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760</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Gain on investments</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(484)</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(2,752)</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Goodwill impairment</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35,269</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Changes in operating assets and liabilities, excluding the effects of acquisitions and dispositions:</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90"/>
        </w:trPr>
        <w:tc>
          <w:tcPr>
            <w:tcW w:w="684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Accounts receivable and replace and remove program receivable</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8,958</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(2,881)</w:t>
            </w:r>
          </w:p>
        </w:tc>
      </w:tr>
      <w:tr>
        <w:trPr>
          <w:trHeight w:val="90"/>
        </w:trPr>
        <w:tc>
          <w:tcPr>
            <w:tcW w:w="684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Customer receivable</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3,076</w:t>
            </w: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1,185</w:t>
            </w:r>
          </w:p>
        </w:tc>
      </w:tr>
      <w:tr>
        <w:trPr>
          <w:trHeight w:val="90"/>
        </w:trPr>
        <w:tc>
          <w:tcPr>
            <w:tcW w:w="684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Prepaid income taxes</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23</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739</w:t>
            </w:r>
          </w:p>
        </w:tc>
      </w:tr>
      <w:tr>
        <w:trPr>
          <w:trHeight w:val="90"/>
        </w:trPr>
        <w:tc>
          <w:tcPr>
            <w:tcW w:w="684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Accrued taxes</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(3,187)</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2,863</w:t>
            </w:r>
          </w:p>
        </w:tc>
      </w:tr>
      <w:tr>
        <w:trPr>
          <w:trHeight w:val="90"/>
        </w:trPr>
        <w:tc>
          <w:tcPr>
            <w:tcW w:w="684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Materials and supplies, prepayments, and other current assets</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(893)</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424</w:t>
            </w:r>
          </w:p>
        </w:tc>
      </w:tr>
      <w:tr>
        <w:trPr>
          <w:trHeight w:val="90"/>
        </w:trPr>
        <w:tc>
          <w:tcPr>
            <w:tcW w:w="684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Accounts payable and accrued liabilities and advance payments and deposits</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(1,163)</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(6,769)</w:t>
            </w:r>
          </w:p>
        </w:tc>
      </w:tr>
      <w:tr>
        <w:trPr>
          <w:trHeight w:val="90"/>
        </w:trPr>
        <w:tc>
          <w:tcPr>
            <w:tcW w:w="684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Other assets</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288</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(4,683)</w:t>
            </w:r>
          </w:p>
        </w:tc>
      </w:tr>
      <w:tr>
        <w:trPr>
          <w:trHeight w:val="90"/>
        </w:trPr>
        <w:tc>
          <w:tcPr>
            <w:tcW w:w="684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Other liabilities</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(5,591)</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(7,332)</w:t>
            </w:r>
          </w:p>
        </w:tc>
      </w:tr>
      <w:tr>
        <w:trPr>
          <w:trHeight w:val="79"/>
        </w:trPr>
        <w:tc>
          <w:tcPr>
            <w:tcW w:w="6840" w:type="dxa"/>
            <w:vAlign w:val="bottom"/>
            <w:tcBorders>
              <w:bottom w:val="single" w:sz="8" w:color="CCEEFF"/>
            </w:tcBorders>
          </w:tcPr>
          <w:p>
            <w:pPr>
              <w:ind w:left="220"/>
              <w:spacing w:after="0" w:line="79" w:lineRule="exact"/>
              <w:rPr>
                <w:sz w:val="20"/>
                <w:szCs w:val="20"/>
                <w:color w:val="auto"/>
              </w:rPr>
            </w:pPr>
            <w:r>
              <w:rPr>
                <w:rFonts w:ascii="Times New Roman" w:cs="Times New Roman" w:eastAsia="Times New Roman" w:hAnsi="Times New Roman"/>
                <w:sz w:val="8"/>
                <w:szCs w:val="8"/>
                <w:color w:val="auto"/>
              </w:rPr>
              <w:t>Net cash provided by operating activities</w:t>
            </w:r>
          </w:p>
        </w:tc>
        <w:tc>
          <w:tcPr>
            <w:tcW w:w="620" w:type="dxa"/>
            <w:vAlign w:val="bottom"/>
            <w:tcBorders>
              <w:top w:val="single" w:sz="8" w:color="auto"/>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97,426</w:t>
            </w:r>
          </w:p>
        </w:tc>
        <w:tc>
          <w:tcPr>
            <w:tcW w:w="160" w:type="dxa"/>
            <w:vAlign w:val="bottom"/>
            <w:tcBorders>
              <w:bottom w:val="single" w:sz="8" w:color="CCEEFF"/>
            </w:tcBorders>
          </w:tcPr>
          <w:p>
            <w:pPr>
              <w:spacing w:after="0"/>
              <w:rPr>
                <w:sz w:val="6"/>
                <w:szCs w:val="6"/>
                <w:color w:val="auto"/>
              </w:rPr>
            </w:pPr>
          </w:p>
        </w:tc>
        <w:tc>
          <w:tcPr>
            <w:tcW w:w="620" w:type="dxa"/>
            <w:vAlign w:val="bottom"/>
            <w:tcBorders>
              <w:top w:val="single" w:sz="8" w:color="auto"/>
              <w:bottom w:val="single" w:sz="8" w:color="auto"/>
            </w:tcBorders>
          </w:tcPr>
          <w:p>
            <w:pPr>
              <w:spacing w:after="0"/>
              <w:rPr>
                <w:sz w:val="6"/>
                <w:szCs w:val="6"/>
                <w:color w:val="auto"/>
              </w:rPr>
            </w:pPr>
          </w:p>
        </w:tc>
        <w:tc>
          <w:tcPr>
            <w:tcW w:w="36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89,484</w:t>
            </w:r>
          </w:p>
        </w:tc>
      </w:tr>
      <w:tr>
        <w:trPr>
          <w:trHeight w:val="79"/>
        </w:trPr>
        <w:tc>
          <w:tcPr>
            <w:tcW w:w="684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investing activities:</w:t>
            </w:r>
          </w:p>
        </w:tc>
        <w:tc>
          <w:tcPr>
            <w:tcW w:w="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Capital expenditures</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(85,672)</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(126,640)</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Government capital programs</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90"/>
        </w:trPr>
        <w:tc>
          <w:tcPr>
            <w:tcW w:w="684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Amounts disbursed</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(71,849)</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(14,261)</w:t>
            </w:r>
          </w:p>
        </w:tc>
      </w:tr>
      <w:tr>
        <w:trPr>
          <w:trHeight w:val="90"/>
        </w:trPr>
        <w:tc>
          <w:tcPr>
            <w:tcW w:w="684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Amounts received</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72,531</w:t>
            </w: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16,065</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and sales of strategic investments</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790</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(1,055)</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Acquisition of business</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1,314</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 of intangible assets</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(573)</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 of investments - employee benefit plan</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(55)</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investments - employee benefit plan</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560</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sale of assets</w:t>
            </w:r>
          </w:p>
        </w:tc>
        <w:tc>
          <w:tcPr>
            <w:tcW w:w="62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17,910</w:t>
            </w:r>
          </w:p>
        </w:tc>
        <w:tc>
          <w:tcPr>
            <w:tcW w:w="16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79"/>
        </w:trPr>
        <w:tc>
          <w:tcPr>
            <w:tcW w:w="6840" w:type="dxa"/>
            <w:vAlign w:val="bottom"/>
            <w:tcBorders>
              <w:bottom w:val="single" w:sz="8" w:color="CCEEFF"/>
            </w:tcBorders>
          </w:tcPr>
          <w:p>
            <w:pPr>
              <w:ind w:left="140"/>
              <w:spacing w:after="0" w:line="79" w:lineRule="exact"/>
              <w:rPr>
                <w:sz w:val="20"/>
                <w:szCs w:val="20"/>
                <w:color w:val="auto"/>
              </w:rPr>
            </w:pPr>
            <w:r>
              <w:rPr>
                <w:rFonts w:ascii="Times New Roman" w:cs="Times New Roman" w:eastAsia="Times New Roman" w:hAnsi="Times New Roman"/>
                <w:sz w:val="8"/>
                <w:szCs w:val="8"/>
                <w:color w:val="auto"/>
              </w:rPr>
              <w:t>Net cash used in investing activities</w:t>
            </w:r>
          </w:p>
        </w:tc>
        <w:tc>
          <w:tcPr>
            <w:tcW w:w="6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(66,358)</w:t>
            </w:r>
          </w:p>
        </w:tc>
        <w:tc>
          <w:tcPr>
            <w:tcW w:w="16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(124,577)</w:t>
            </w:r>
          </w:p>
        </w:tc>
      </w:tr>
      <w:tr>
        <w:trPr>
          <w:trHeight w:val="79"/>
        </w:trPr>
        <w:tc>
          <w:tcPr>
            <w:tcW w:w="684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financing activities:</w:t>
            </w:r>
          </w:p>
        </w:tc>
        <w:tc>
          <w:tcPr>
            <w:tcW w:w="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Dividends paid on common stock</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(11,047)</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(9,918)</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Distributions to noncontrolling interests</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(2,226)</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(1,447)</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Payment of debt issuance costs</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(6,548)</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(3,708)</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Finance lease payments</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(1,357)</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(932)</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Term loan - repayments</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(239,430)</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(3,532)</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Term loan - borrowings</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300,000</w:t>
            </w: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130,000</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Revolving credit facility – borrowings</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90,000</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126,893</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Revolving credit facility – repayments</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(94,002)</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(174,292)</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customer receivable credit facility</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5,740</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4,300</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Repayment of customer receivable credit facility</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(5,669)</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(4,998)</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common stock – stock- based compensation</w:t>
            </w:r>
          </w:p>
        </w:tc>
        <w:tc>
          <w:tcPr>
            <w:tcW w:w="620" w:type="dxa"/>
            <w:vAlign w:val="bottom"/>
          </w:tcPr>
          <w:p>
            <w:pPr>
              <w:spacing w:after="0"/>
              <w:rPr>
                <w:sz w:val="7"/>
                <w:szCs w:val="7"/>
                <w:color w:val="auto"/>
              </w:rPr>
            </w:pPr>
          </w:p>
        </w:tc>
        <w:tc>
          <w:tcPr>
            <w:tcW w:w="5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(1,932)</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(1,473)</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common stock – share repurchase plan</w:t>
            </w:r>
          </w:p>
        </w:tc>
        <w:tc>
          <w:tcPr>
            <w:tcW w:w="6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(10,000)</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(11,679)</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Repurchases of noncontrolling interests</w:t>
            </w:r>
          </w:p>
        </w:tc>
        <w:tc>
          <w:tcPr>
            <w:tcW w:w="620" w:type="dxa"/>
            <w:vAlign w:val="bottom"/>
          </w:tcPr>
          <w:p>
            <w:pPr>
              <w:spacing w:after="0"/>
              <w:rPr>
                <w:sz w:val="7"/>
                <w:szCs w:val="7"/>
                <w:color w:val="auto"/>
              </w:rPr>
            </w:pPr>
          </w:p>
        </w:tc>
        <w:tc>
          <w:tcPr>
            <w:tcW w:w="520" w:type="dxa"/>
            <w:vAlign w:val="bottom"/>
            <w:gridSpan w:val="2"/>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(762)</w:t>
            </w:r>
          </w:p>
        </w:tc>
      </w:tr>
      <w:tr>
        <w:trPr>
          <w:trHeight w:val="79"/>
        </w:trPr>
        <w:tc>
          <w:tcPr>
            <w:tcW w:w="6840" w:type="dxa"/>
            <w:vAlign w:val="bottom"/>
            <w:tcBorders>
              <w:top w:val="single" w:sz="8" w:color="CCEEFF"/>
            </w:tcBorders>
            <w:shd w:val="clear" w:color="auto" w:fill="CCEEFF"/>
          </w:tcPr>
          <w:p>
            <w:pPr>
              <w:ind w:left="140"/>
              <w:spacing w:after="0" w:line="79" w:lineRule="exact"/>
              <w:rPr>
                <w:sz w:val="20"/>
                <w:szCs w:val="20"/>
                <w:color w:val="auto"/>
              </w:rPr>
            </w:pPr>
            <w:r>
              <w:rPr>
                <w:rFonts w:ascii="Times New Roman" w:cs="Times New Roman" w:eastAsia="Times New Roman" w:hAnsi="Times New Roman"/>
                <w:sz w:val="8"/>
                <w:szCs w:val="8"/>
                <w:color w:val="auto"/>
              </w:rPr>
              <w:t>Net cash (used in) provided by financing activities</w:t>
            </w:r>
          </w:p>
        </w:tc>
        <w:tc>
          <w:tcPr>
            <w:tcW w:w="620" w:type="dxa"/>
            <w:vAlign w:val="bottom"/>
            <w:tcBorders>
              <w:top w:val="single" w:sz="8" w:color="auto"/>
              <w:bottom w:val="single" w:sz="8" w:color="auto"/>
            </w:tcBorders>
            <w:shd w:val="clear" w:color="auto" w:fill="CCEEFF"/>
          </w:tcPr>
          <w:p>
            <w:pPr>
              <w:spacing w:after="0"/>
              <w:rPr>
                <w:sz w:val="6"/>
                <w:szCs w:val="6"/>
                <w:color w:val="auto"/>
              </w:rPr>
            </w:pPr>
          </w:p>
        </w:tc>
        <w:tc>
          <w:tcPr>
            <w:tcW w:w="3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23,529</w:t>
            </w:r>
          </w:p>
        </w:tc>
        <w:tc>
          <w:tcPr>
            <w:tcW w:w="1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bottom w:val="single" w:sz="8" w:color="auto"/>
            </w:tcBorders>
            <w:shd w:val="clear" w:color="auto" w:fill="CCEEFF"/>
          </w:tcPr>
          <w:p>
            <w:pPr>
              <w:spacing w:after="0"/>
              <w:rPr>
                <w:sz w:val="6"/>
                <w:szCs w:val="6"/>
                <w:color w:val="auto"/>
              </w:rPr>
            </w:pPr>
          </w:p>
        </w:tc>
        <w:tc>
          <w:tcPr>
            <w:tcW w:w="3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48,452</w:t>
            </w:r>
          </w:p>
        </w:tc>
      </w:tr>
      <w:tr>
        <w:trPr>
          <w:trHeight w:val="79"/>
        </w:trPr>
        <w:tc>
          <w:tcPr>
            <w:tcW w:w="684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Net change in cash, cash equivalents, and restricted cash</w:t>
            </w:r>
          </w:p>
        </w:tc>
        <w:tc>
          <w:tcPr>
            <w:tcW w:w="620" w:type="dxa"/>
            <w:vAlign w:val="bottom"/>
          </w:tcPr>
          <w:p>
            <w:pPr>
              <w:spacing w:after="0"/>
              <w:rPr>
                <w:sz w:val="6"/>
                <w:szCs w:val="6"/>
                <w:color w:val="auto"/>
              </w:rPr>
            </w:pPr>
          </w:p>
        </w:tc>
        <w:tc>
          <w:tcPr>
            <w:tcW w:w="36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54,597</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13,359</w:t>
            </w:r>
          </w:p>
        </w:tc>
      </w:tr>
      <w:tr>
        <w:trPr>
          <w:trHeight w:val="90"/>
        </w:trPr>
        <w:tc>
          <w:tcPr>
            <w:tcW w:w="684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Total cash, cash equivalents, and restricted cash, beginning of period</w:t>
            </w:r>
          </w:p>
        </w:tc>
        <w:tc>
          <w:tcPr>
            <w:tcW w:w="62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62,167</w:t>
            </w:r>
          </w:p>
        </w:tc>
        <w:tc>
          <w:tcPr>
            <w:tcW w:w="160" w:type="dxa"/>
            <w:vAlign w:val="bottom"/>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59,728</w:t>
            </w:r>
          </w:p>
        </w:tc>
      </w:tr>
      <w:tr>
        <w:trPr>
          <w:trHeight w:val="86"/>
        </w:trPr>
        <w:tc>
          <w:tcPr>
            <w:tcW w:w="6840" w:type="dxa"/>
            <w:vAlign w:val="bottom"/>
            <w:tcBorders>
              <w:bottom w:val="single" w:sz="8" w:color="CCEEFF"/>
            </w:tcBorders>
          </w:tcPr>
          <w:p>
            <w:pPr>
              <w:spacing w:after="0" w:line="79" w:lineRule="exact"/>
              <w:rPr>
                <w:sz w:val="20"/>
                <w:szCs w:val="20"/>
                <w:color w:val="auto"/>
              </w:rPr>
            </w:pPr>
            <w:r>
              <w:rPr>
                <w:rFonts w:ascii="Times New Roman" w:cs="Times New Roman" w:eastAsia="Times New Roman" w:hAnsi="Times New Roman"/>
                <w:sz w:val="8"/>
                <w:szCs w:val="8"/>
                <w:color w:val="auto"/>
              </w:rPr>
              <w:t>Total cash, cash equivalents, and restricted cash, end of period</w:t>
            </w:r>
          </w:p>
        </w:tc>
        <w:tc>
          <w:tcPr>
            <w:tcW w:w="6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116,764</w:t>
            </w:r>
          </w:p>
        </w:tc>
        <w:tc>
          <w:tcPr>
            <w:tcW w:w="160" w:type="dxa"/>
            <w:vAlign w:val="bottom"/>
            <w:tcBorders>
              <w:bottom w:val="single" w:sz="8" w:color="CCEEFF"/>
            </w:tcBorders>
          </w:tcPr>
          <w:p>
            <w:pPr>
              <w:spacing w:after="0"/>
              <w:rPr>
                <w:sz w:val="7"/>
                <w:szCs w:val="7"/>
                <w:color w:val="auto"/>
              </w:rPr>
            </w:pPr>
          </w:p>
        </w:tc>
        <w:tc>
          <w:tcPr>
            <w:tcW w:w="6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73,087</w:t>
            </w:r>
          </w:p>
        </w:tc>
      </w:tr>
      <w:tr>
        <w:trPr>
          <w:trHeight w:val="90"/>
        </w:trPr>
        <w:tc>
          <w:tcPr>
            <w:tcW w:w="68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Supplemental cash flow information:</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Interest paid</w:t>
            </w:r>
          </w:p>
        </w:tc>
        <w:tc>
          <w:tcPr>
            <w:tcW w:w="620" w:type="dxa"/>
            <w:vAlign w:val="bottom"/>
          </w:tcPr>
          <w:p>
            <w:pPr>
              <w:jc w:val="right"/>
              <w:ind w:right="552"/>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34,757</w:t>
            </w:r>
          </w:p>
        </w:tc>
        <w:tc>
          <w:tcPr>
            <w:tcW w:w="160" w:type="dxa"/>
            <w:vAlign w:val="bottom"/>
          </w:tcPr>
          <w:p>
            <w:pPr>
              <w:spacing w:after="0"/>
              <w:rPr>
                <w:sz w:val="7"/>
                <w:szCs w:val="7"/>
                <w:color w:val="auto"/>
              </w:rPr>
            </w:pPr>
          </w:p>
        </w:tc>
        <w:tc>
          <w:tcPr>
            <w:tcW w:w="620" w:type="dxa"/>
            <w:vAlign w:val="bottom"/>
          </w:tcPr>
          <w:p>
            <w:pPr>
              <w:jc w:val="right"/>
              <w:ind w:right="553"/>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26,390</w:t>
            </w:r>
          </w:p>
        </w:tc>
      </w:tr>
      <w:tr>
        <w:trPr>
          <w:trHeight w:val="90"/>
        </w:trPr>
        <w:tc>
          <w:tcPr>
            <w:tcW w:w="684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Taxes paid</w:t>
            </w:r>
          </w:p>
        </w:tc>
        <w:tc>
          <w:tcPr>
            <w:tcW w:w="6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5,739</w:t>
            </w: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2,765</w:t>
            </w: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Dividends declared, not paid</w:t>
            </w:r>
          </w:p>
        </w:tc>
        <w:tc>
          <w:tcPr>
            <w:tcW w:w="620" w:type="dxa"/>
            <w:vAlign w:val="bottom"/>
          </w:tcPr>
          <w:p>
            <w:pPr>
              <w:jc w:val="right"/>
              <w:ind w:right="552"/>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3,627</w:t>
            </w:r>
          </w:p>
        </w:tc>
        <w:tc>
          <w:tcPr>
            <w:tcW w:w="160" w:type="dxa"/>
            <w:vAlign w:val="bottom"/>
          </w:tcPr>
          <w:p>
            <w:pPr>
              <w:spacing w:after="0"/>
              <w:rPr>
                <w:sz w:val="7"/>
                <w:szCs w:val="7"/>
                <w:color w:val="auto"/>
              </w:rPr>
            </w:pPr>
          </w:p>
        </w:tc>
        <w:tc>
          <w:tcPr>
            <w:tcW w:w="620" w:type="dxa"/>
            <w:vAlign w:val="bottom"/>
          </w:tcPr>
          <w:p>
            <w:pPr>
              <w:jc w:val="right"/>
              <w:ind w:right="553"/>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3,260</w:t>
            </w:r>
          </w:p>
        </w:tc>
      </w:tr>
      <w:tr>
        <w:trPr>
          <w:trHeight w:val="90"/>
        </w:trPr>
        <w:tc>
          <w:tcPr>
            <w:tcW w:w="684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Noncash investing activity:</w:t>
            </w: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90"/>
        </w:trPr>
        <w:tc>
          <w:tcPr>
            <w:tcW w:w="684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property, plant and equipment included in accounts payable and accrued expenses</w:t>
            </w: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90"/>
        </w:trPr>
        <w:tc>
          <w:tcPr>
            <w:tcW w:w="6840" w:type="dxa"/>
            <w:vAlign w:val="bottom"/>
            <w:shd w:val="clear" w:color="auto" w:fill="CCEEFF"/>
          </w:tcPr>
          <w:p>
            <w:pPr>
              <w:ind w:left="320"/>
              <w:spacing w:after="0" w:line="90" w:lineRule="exact"/>
              <w:rPr>
                <w:sz w:val="20"/>
                <w:szCs w:val="20"/>
                <w:color w:val="auto"/>
              </w:rPr>
            </w:pPr>
            <w:r>
              <w:rPr>
                <w:rFonts w:ascii="Times New Roman" w:cs="Times New Roman" w:eastAsia="Times New Roman" w:hAnsi="Times New Roman"/>
                <w:sz w:val="8"/>
                <w:szCs w:val="8"/>
                <w:color w:val="auto"/>
              </w:rPr>
              <w:t>Amounts accrued for reimbursable capital expenditures from government capital programs</w:t>
            </w:r>
          </w:p>
        </w:tc>
        <w:tc>
          <w:tcPr>
            <w:tcW w:w="6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32,467</w:t>
            </w: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25,244</w:t>
            </w:r>
          </w:p>
        </w:tc>
      </w:tr>
      <w:tr>
        <w:trPr>
          <w:trHeight w:val="99"/>
        </w:trPr>
        <w:tc>
          <w:tcPr>
            <w:tcW w:w="6840" w:type="dxa"/>
            <w:vAlign w:val="bottom"/>
          </w:tcPr>
          <w:p>
            <w:pPr>
              <w:ind w:left="320"/>
              <w:spacing w:after="0"/>
              <w:rPr>
                <w:sz w:val="20"/>
                <w:szCs w:val="20"/>
                <w:color w:val="auto"/>
              </w:rPr>
            </w:pPr>
            <w:r>
              <w:rPr>
                <w:rFonts w:ascii="Times New Roman" w:cs="Times New Roman" w:eastAsia="Times New Roman" w:hAnsi="Times New Roman"/>
                <w:sz w:val="8"/>
                <w:szCs w:val="8"/>
                <w:color w:val="auto"/>
              </w:rPr>
              <w:t>Amounts accrued for non-reimbursable capital expenditures</w:t>
            </w:r>
          </w:p>
        </w:tc>
        <w:tc>
          <w:tcPr>
            <w:tcW w:w="620" w:type="dxa"/>
            <w:vAlign w:val="bottom"/>
          </w:tcPr>
          <w:p>
            <w:pPr>
              <w:jc w:val="right"/>
              <w:ind w:right="552"/>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14,031</w:t>
            </w:r>
          </w:p>
        </w:tc>
        <w:tc>
          <w:tcPr>
            <w:tcW w:w="160" w:type="dxa"/>
            <w:vAlign w:val="bottom"/>
          </w:tcPr>
          <w:p>
            <w:pPr>
              <w:spacing w:after="0"/>
              <w:rPr>
                <w:sz w:val="8"/>
                <w:szCs w:val="8"/>
                <w:color w:val="auto"/>
              </w:rPr>
            </w:pPr>
          </w:p>
        </w:tc>
        <w:tc>
          <w:tcPr>
            <w:tcW w:w="620" w:type="dxa"/>
            <w:vAlign w:val="bottom"/>
          </w:tcPr>
          <w:p>
            <w:pPr>
              <w:jc w:val="right"/>
              <w:ind w:right="553"/>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19,107</w:t>
            </w:r>
          </w:p>
        </w:tc>
      </w:tr>
    </w:tbl>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 ORGANIZATION AND BUSINESS OPERATIONS</w:t>
      </w:r>
    </w:p>
    <w:p>
      <w:pPr>
        <w:spacing w:after="0" w:line="181" w:lineRule="exact"/>
        <w:rPr>
          <w:sz w:val="20"/>
          <w:szCs w:val="20"/>
          <w:color w:val="auto"/>
        </w:rPr>
      </w:pPr>
    </w:p>
    <w:p>
      <w:pPr>
        <w:ind w:left="40" w:right="99" w:firstLine="317"/>
        <w:spacing w:after="0" w:line="279" w:lineRule="auto"/>
        <w:rPr>
          <w:sz w:val="20"/>
          <w:szCs w:val="20"/>
          <w:color w:val="auto"/>
        </w:rPr>
      </w:pPr>
      <w:r>
        <w:rPr>
          <w:rFonts w:ascii="Times New Roman" w:cs="Times New Roman" w:eastAsia="Times New Roman" w:hAnsi="Times New Roman"/>
          <w:sz w:val="12"/>
          <w:szCs w:val="12"/>
          <w:color w:val="auto"/>
        </w:rPr>
        <w:t>The Company is a leading provider of digital infrastructure and communications services with a focus on rural and remote markets in the United States, and internationally, including Bermuda and the Caribbean region.</w:t>
      </w:r>
    </w:p>
    <w:p>
      <w:pPr>
        <w:spacing w:after="0" w:line="129" w:lineRule="exact"/>
        <w:rPr>
          <w:sz w:val="20"/>
          <w:szCs w:val="20"/>
          <w:color w:val="auto"/>
        </w:rPr>
      </w:pPr>
    </w:p>
    <w:p>
      <w:pPr>
        <w:jc w:val="both"/>
        <w:ind w:left="40" w:right="179" w:firstLine="317"/>
        <w:spacing w:after="0" w:line="254" w:lineRule="auto"/>
        <w:rPr>
          <w:sz w:val="20"/>
          <w:szCs w:val="20"/>
          <w:color w:val="auto"/>
        </w:rPr>
      </w:pPr>
      <w:r>
        <w:rPr>
          <w:rFonts w:ascii="Times New Roman" w:cs="Times New Roman" w:eastAsia="Times New Roman" w:hAnsi="Times New Roman"/>
          <w:sz w:val="12"/>
          <w:szCs w:val="12"/>
          <w:color w:val="auto"/>
        </w:rPr>
        <w:t>The Company has developed significant operational expertise and resources that it uses to augment its capabilities in its local markets. With this support, the Company’s operating subsidiaries are able to improve their quality of service with greater economies of scale and expertise than would typically be available in the size markets they operate in. The Company provides management, technical, financial, regulatory, and marketing services to its operating subsidiaries and typically receives a management fee calculated as a percentage of their revenues, which is eliminated in consolidation. The Company also actively evaluates investment opportunities and other strategic transactions, both domestic and international, and generally looks for those that it believes fit the Company’s profile of telecommunications businesses and have the potential to complement the Company’s “First-to-Fiber” and “Glass &amp; Steel™” approach in markets while keeping a focus on generating excess operating cash flows over extended periods of time. The Company uses the cash generated from its operations to maintain an appropriate ratio of debt and cash on hand to fund growth, capital expenditures, return cash to its stockholders through dividends or stock repurchases, and make strategic investments or acquisitions.</w:t>
      </w:r>
    </w:p>
    <w:p>
      <w:pPr>
        <w:spacing w:after="0" w:line="155"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For further information about the Company’s financial segments and geographical information about its operating revenues and assets, see Notes 1 and 13 to the Consolidated Financial Statements included in this Report.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the Company offered the following types of services to its customers:</w:t>
      </w:r>
    </w:p>
    <w:p>
      <w:pPr>
        <w:spacing w:after="0" w:line="146" w:lineRule="exact"/>
        <w:rPr>
          <w:sz w:val="20"/>
          <w:szCs w:val="20"/>
          <w:color w:val="auto"/>
        </w:rPr>
      </w:pPr>
    </w:p>
    <w:p>
      <w:pPr>
        <w:ind w:left="800" w:right="99" w:hanging="211"/>
        <w:spacing w:after="0" w:line="286" w:lineRule="auto"/>
        <w:tabs>
          <w:tab w:leader="none" w:pos="8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Mobile Telecommunications Services</w:t>
      </w:r>
      <w:r>
        <w:rPr>
          <w:rFonts w:ascii="Times New Roman" w:cs="Times New Roman" w:eastAsia="Times New Roman" w:hAnsi="Times New Roman"/>
          <w:sz w:val="12"/>
          <w:szCs w:val="12"/>
          <w:color w:val="auto"/>
        </w:rPr>
        <w:t>. The Company offers mobile communications services over its wireless networks and related equipment, such as handsets, to both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business and consumer customers.</w:t>
      </w:r>
    </w:p>
    <w:p>
      <w:pPr>
        <w:spacing w:after="0" w:line="103" w:lineRule="exact"/>
        <w:rPr>
          <w:rFonts w:ascii="Times New Roman" w:cs="Times New Roman" w:eastAsia="Times New Roman" w:hAnsi="Times New Roman"/>
          <w:sz w:val="12"/>
          <w:szCs w:val="12"/>
          <w:color w:val="auto"/>
        </w:rPr>
      </w:pPr>
    </w:p>
    <w:p>
      <w:pPr>
        <w:jc w:val="both"/>
        <w:ind w:left="800" w:right="99" w:hanging="211"/>
        <w:spacing w:after="0" w:line="268" w:lineRule="auto"/>
        <w:tabs>
          <w:tab w:leader="none" w:pos="8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The Company provides fixed data and voice telecommunications services and related equipment, such as modems, to business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customers. These services include consumer broadband and high-speed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The Company delivers services to other telecommunications providers including the leasing of critical network infrastructure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as tower and transport facilities, wholesale roaming and long distance voice services,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299" w:hanging="211"/>
        <w:spacing w:after="0" w:line="286" w:lineRule="auto"/>
        <w:tabs>
          <w:tab w:leader="none" w:pos="8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The Company provides information technology services such as network, application, infrastructure and hosting services to both its business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customers to complement its fixed services in its existing markets.</w:t>
      </w:r>
    </w:p>
    <w:p>
      <w:pPr>
        <w:spacing w:after="0" w:line="107"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Through September 30, 2024, the Company identified two operating segments to manage and review its operations and to facilitate investor presentations of its results. These two operating segments are as follows:</w:t>
      </w:r>
    </w:p>
    <w:p>
      <w:pPr>
        <w:spacing w:after="0" w:line="107" w:lineRule="exact"/>
        <w:rPr>
          <w:sz w:val="20"/>
          <w:szCs w:val="20"/>
          <w:color w:val="auto"/>
        </w:rPr>
      </w:pPr>
    </w:p>
    <w:p>
      <w:pPr>
        <w:ind w:left="820" w:right="479" w:hanging="222"/>
        <w:spacing w:after="0" w:line="286" w:lineRule="auto"/>
        <w:tabs>
          <w:tab w:leader="none" w:pos="8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International Telecom. </w:t>
      </w:r>
      <w:r>
        <w:rPr>
          <w:rFonts w:ascii="Times New Roman" w:cs="Times New Roman" w:eastAsia="Times New Roman" w:hAnsi="Times New Roman"/>
          <w:sz w:val="12"/>
          <w:szCs w:val="12"/>
          <w:color w:val="auto"/>
        </w:rPr>
        <w:t>In the Company’s international markets, it offers fixed services, mobility services, carrier services and managed services to customers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Bermuda, the Cayman Islands, Guyana and the US Virgin Islands.</w:t>
      </w:r>
    </w:p>
    <w:p>
      <w:pPr>
        <w:spacing w:after="0" w:line="103" w:lineRule="exact"/>
        <w:rPr>
          <w:rFonts w:ascii="Times New Roman" w:cs="Times New Roman" w:eastAsia="Times New Roman" w:hAnsi="Times New Roman"/>
          <w:sz w:val="12"/>
          <w:szCs w:val="12"/>
          <w:color w:val="auto"/>
        </w:rPr>
      </w:pPr>
    </w:p>
    <w:p>
      <w:pPr>
        <w:ind w:left="820" w:hanging="222"/>
        <w:spacing w:after="0"/>
        <w:tabs>
          <w:tab w:leader="none" w:pos="8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US Telecom. </w:t>
      </w:r>
      <w:r>
        <w:rPr>
          <w:rFonts w:ascii="Times New Roman" w:cs="Times New Roman" w:eastAsia="Times New Roman" w:hAnsi="Times New Roman"/>
          <w:sz w:val="12"/>
          <w:szCs w:val="12"/>
          <w:color w:val="auto"/>
        </w:rPr>
        <w:t>In the United States, the Company offers fixed services, carrier services, and managed</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right="319"/>
        <w:spacing w:after="0" w:line="279" w:lineRule="auto"/>
        <w:rPr>
          <w:sz w:val="20"/>
          <w:szCs w:val="20"/>
          <w:color w:val="auto"/>
        </w:rPr>
      </w:pPr>
      <w:r>
        <w:rPr>
          <w:rFonts w:ascii="Times New Roman" w:cs="Times New Roman" w:eastAsia="Times New Roman" w:hAnsi="Times New Roman"/>
          <w:sz w:val="12"/>
          <w:szCs w:val="12"/>
          <w:color w:val="auto"/>
        </w:rPr>
        <w:t>services to business customers and consumers in Alaska and the western United States. As of September 30, 2024, the Company provided mobility services to retail customers in the western United States.</w:t>
      </w:r>
    </w:p>
    <w:p>
      <w:pPr>
        <w:spacing w:after="0" w:line="111"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following chart summarizes the operating activities of the Company’s principal subsidiaries, the segments in which it reports its revenue and the markets it served during the three months ended September 30, 2024:</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3"/>
          </w:tcPr>
          <w:p>
            <w:pPr>
              <w:ind w:left="620"/>
              <w:spacing w:after="0"/>
              <w:rPr>
                <w:sz w:val="20"/>
                <w:szCs w:val="20"/>
                <w:color w:val="auto"/>
              </w:rPr>
            </w:pPr>
            <w:r>
              <w:rPr>
                <w:rFonts w:ascii="Times New Roman" w:cs="Times New Roman" w:eastAsia="Times New Roman" w:hAnsi="Times New Roman"/>
                <w:sz w:val="12"/>
                <w:szCs w:val="12"/>
                <w:b w:val="1"/>
                <w:bCs w:val="1"/>
                <w:color w:val="auto"/>
              </w:rPr>
              <w:t>International Telecom</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US Telecom</w:t>
            </w:r>
          </w:p>
        </w:tc>
      </w:tr>
      <w:tr>
        <w:trPr>
          <w:trHeight w:val="88"/>
        </w:trPr>
        <w:tc>
          <w:tcPr>
            <w:tcW w:w="820" w:type="dxa"/>
            <w:vAlign w:val="bottom"/>
            <w:tcBorders>
              <w:bottom w:val="single" w:sz="8" w:color="auto"/>
            </w:tcBorders>
          </w:tcPr>
          <w:p>
            <w:pPr>
              <w:ind w:left="240"/>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80" w:type="dxa"/>
            <w:vAlign w:val="bottom"/>
            <w:tcBorders>
              <w:bottom w:val="single" w:sz="8" w:color="CCEEFF"/>
            </w:tcBorders>
          </w:tcPr>
          <w:p>
            <w:pPr>
              <w:spacing w:after="0"/>
              <w:rPr>
                <w:sz w:val="7"/>
                <w:szCs w:val="7"/>
                <w:color w:val="auto"/>
              </w:rPr>
            </w:pPr>
          </w:p>
        </w:tc>
        <w:tc>
          <w:tcPr>
            <w:tcW w:w="1500" w:type="dxa"/>
            <w:vAlign w:val="bottom"/>
            <w:tcBorders>
              <w:bottom w:val="single" w:sz="8" w:color="auto"/>
            </w:tcBorders>
          </w:tcPr>
          <w:p>
            <w:pPr>
              <w:ind w:left="580"/>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20" w:type="dxa"/>
            <w:vAlign w:val="bottom"/>
            <w:tcBorders>
              <w:bottom w:val="single" w:sz="8" w:color="CCEEFF"/>
            </w:tcBorders>
          </w:tcPr>
          <w:p>
            <w:pPr>
              <w:spacing w:after="0"/>
              <w:rPr>
                <w:sz w:val="7"/>
                <w:szCs w:val="7"/>
                <w:color w:val="auto"/>
              </w:rPr>
            </w:pPr>
          </w:p>
        </w:tc>
        <w:tc>
          <w:tcPr>
            <w:tcW w:w="1760" w:type="dxa"/>
            <w:vAlign w:val="bottom"/>
            <w:tcBorders>
              <w:bottom w:val="single" w:sz="8" w:color="auto"/>
              <w:right w:val="single" w:sz="8" w:color="auto"/>
            </w:tcBorders>
          </w:tcPr>
          <w:p>
            <w:pPr>
              <w:ind w:left="620"/>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c>
          <w:tcPr>
            <w:tcW w:w="680" w:type="dxa"/>
            <w:vAlign w:val="bottom"/>
            <w:tcBorders>
              <w:bottom w:val="single" w:sz="8" w:color="auto"/>
            </w:tcBorders>
          </w:tcPr>
          <w:p>
            <w:pPr>
              <w:ind w:left="160"/>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20" w:type="dxa"/>
            <w:vAlign w:val="bottom"/>
            <w:tcBorders>
              <w:bottom w:val="single" w:sz="8" w:color="CCEEFF"/>
            </w:tcBorders>
          </w:tcPr>
          <w:p>
            <w:pPr>
              <w:spacing w:after="0"/>
              <w:rPr>
                <w:sz w:val="7"/>
                <w:szCs w:val="7"/>
                <w:color w:val="auto"/>
              </w:rPr>
            </w:pPr>
          </w:p>
        </w:tc>
        <w:tc>
          <w:tcPr>
            <w:tcW w:w="1160" w:type="dxa"/>
            <w:vAlign w:val="bottom"/>
            <w:tcBorders>
              <w:bottom w:val="single" w:sz="8" w:color="auto"/>
            </w:tcBorders>
          </w:tcPr>
          <w:p>
            <w:pPr>
              <w:ind w:left="420"/>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120" w:type="dxa"/>
            <w:vAlign w:val="bottom"/>
            <w:tcBorders>
              <w:bottom w:val="single" w:sz="8" w:color="CCEEFF"/>
            </w:tcBorders>
          </w:tcPr>
          <w:p>
            <w:pPr>
              <w:spacing w:after="0"/>
              <w:rPr>
                <w:sz w:val="7"/>
                <w:szCs w:val="7"/>
                <w:color w:val="auto"/>
              </w:rPr>
            </w:pPr>
          </w:p>
        </w:tc>
        <w:tc>
          <w:tcPr>
            <w:tcW w:w="2700" w:type="dxa"/>
            <w:vAlign w:val="bottom"/>
            <w:tcBorders>
              <w:bottom w:val="single" w:sz="8" w:color="auto"/>
            </w:tcBorders>
          </w:tcPr>
          <w:p>
            <w:pPr>
              <w:ind w:left="1100"/>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r>
      <w:tr>
        <w:trPr>
          <w:trHeight w:val="122"/>
        </w:trPr>
        <w:tc>
          <w:tcPr>
            <w:tcW w:w="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w:t>
            </w: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Bermuda, Guyana, US Virgin</w:t>
            </w:r>
          </w:p>
        </w:tc>
        <w:tc>
          <w:tcPr>
            <w:tcW w:w="20" w:type="dxa"/>
            <w:vAlign w:val="bottom"/>
            <w:shd w:val="clear" w:color="auto" w:fill="CCEEFF"/>
          </w:tcPr>
          <w:p>
            <w:pPr>
              <w:spacing w:after="0"/>
              <w:rPr>
                <w:sz w:val="10"/>
                <w:szCs w:val="10"/>
                <w:color w:val="auto"/>
              </w:rPr>
            </w:pPr>
          </w:p>
        </w:tc>
        <w:tc>
          <w:tcPr>
            <w:tcW w:w="1760" w:type="dxa"/>
            <w:vAlign w:val="bottom"/>
            <w:tcBorders>
              <w:right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One, GTT, Viya, Brava</w:t>
            </w:r>
          </w:p>
        </w:tc>
        <w:tc>
          <w:tcPr>
            <w:tcW w:w="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w:t>
            </w: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w:t>
            </w:r>
          </w:p>
        </w:tc>
        <w:tc>
          <w:tcPr>
            <w:tcW w:w="12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rPr>
                <w:sz w:val="10"/>
                <w:szCs w:val="10"/>
                <w:color w:val="auto"/>
              </w:rPr>
            </w:pPr>
          </w:p>
        </w:tc>
      </w:tr>
      <w:tr>
        <w:trPr>
          <w:trHeight w:val="155"/>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Services</w:t>
            </w:r>
          </w:p>
        </w:tc>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Islands</w:t>
            </w:r>
          </w:p>
        </w:tc>
        <w:tc>
          <w:tcPr>
            <w:tcW w:w="20" w:type="dxa"/>
            <w:vAlign w:val="bottom"/>
            <w:shd w:val="clear" w:color="auto" w:fill="CCEEFF"/>
          </w:tcPr>
          <w:p>
            <w:pPr>
              <w:spacing w:after="0"/>
              <w:rPr>
                <w:sz w:val="13"/>
                <w:szCs w:val="13"/>
                <w:color w:val="auto"/>
              </w:rPr>
            </w:pPr>
          </w:p>
        </w:tc>
        <w:tc>
          <w:tcPr>
            <w:tcW w:w="176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Services</w:t>
            </w:r>
          </w:p>
        </w:tc>
        <w:tc>
          <w:tcPr>
            <w:tcW w:w="1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markets)</w:t>
            </w: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33"/>
        </w:trPr>
        <w:tc>
          <w:tcPr>
            <w:tcW w:w="8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58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Bermuda, Cayman Islands,</w:t>
            </w:r>
          </w:p>
        </w:tc>
        <w:tc>
          <w:tcPr>
            <w:tcW w:w="1780" w:type="dxa"/>
            <w:vAlign w:val="bottom"/>
            <w:tcBorders>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One, Logic, GTT, Viya, Brava</w:t>
            </w:r>
          </w:p>
        </w:tc>
        <w:tc>
          <w:tcPr>
            <w:tcW w:w="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Fixed</w:t>
            </w:r>
          </w:p>
        </w:tc>
        <w:tc>
          <w:tcPr>
            <w:tcW w:w="12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2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Alaska Communications, Commnet, Choice, Choice</w:t>
            </w:r>
          </w:p>
        </w:tc>
      </w:tr>
      <w:tr>
        <w:trPr>
          <w:trHeight w:val="144"/>
        </w:trPr>
        <w:tc>
          <w:tcPr>
            <w:tcW w:w="820" w:type="dxa"/>
            <w:vAlign w:val="bottom"/>
          </w:tcPr>
          <w:p>
            <w:pPr>
              <w:spacing w:after="0"/>
              <w:rPr>
                <w:sz w:val="12"/>
                <w:szCs w:val="12"/>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Guyana, US Virgin Islands</w:t>
            </w:r>
          </w:p>
        </w:tc>
        <w:tc>
          <w:tcPr>
            <w:tcW w:w="20" w:type="dxa"/>
            <w:vAlign w:val="bottom"/>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Services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9"/>
              </w:rPr>
              <w:t>NTUA Wireless, Sacred Wind Communications, Ethos,</w:t>
            </w:r>
          </w:p>
        </w:tc>
      </w:tr>
      <w:tr>
        <w:trPr>
          <w:trHeight w:val="155"/>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Deploycom</w:t>
            </w:r>
          </w:p>
        </w:tc>
      </w:tr>
      <w:tr>
        <w:trPr>
          <w:trHeight w:val="133"/>
        </w:trPr>
        <w:tc>
          <w:tcPr>
            <w:tcW w:w="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58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Bermuda, Guyana, US Virgin</w:t>
            </w:r>
          </w:p>
        </w:tc>
        <w:tc>
          <w:tcPr>
            <w:tcW w:w="1780" w:type="dxa"/>
            <w:vAlign w:val="bottom"/>
            <w:tcBorders>
              <w:right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One, Essextel, GTT, Viya</w:t>
            </w:r>
          </w:p>
        </w:tc>
        <w:tc>
          <w:tcPr>
            <w:tcW w:w="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w:t>
            </w:r>
          </w:p>
        </w:tc>
        <w:tc>
          <w:tcPr>
            <w:tcW w:w="128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282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Alaska Communications, Commnet, Sacred Wind</w:t>
            </w:r>
          </w:p>
        </w:tc>
      </w:tr>
      <w:tr>
        <w:trPr>
          <w:trHeight w:val="155"/>
        </w:trPr>
        <w:tc>
          <w:tcPr>
            <w:tcW w:w="8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Islands</w:t>
            </w:r>
          </w:p>
        </w:tc>
        <w:tc>
          <w:tcPr>
            <w:tcW w:w="20" w:type="dxa"/>
            <w:vAlign w:val="bottom"/>
            <w:shd w:val="clear" w:color="auto" w:fill="CCEEFF"/>
          </w:tcPr>
          <w:p>
            <w:pPr>
              <w:spacing w:after="0"/>
              <w:rPr>
                <w:sz w:val="13"/>
                <w:szCs w:val="13"/>
                <w:color w:val="auto"/>
              </w:rPr>
            </w:pPr>
          </w:p>
        </w:tc>
        <w:tc>
          <w:tcPr>
            <w:tcW w:w="176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Services</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Communications</w:t>
            </w:r>
          </w:p>
        </w:tc>
      </w:tr>
      <w:tr>
        <w:trPr>
          <w:trHeight w:val="133"/>
        </w:trPr>
        <w:tc>
          <w:tcPr>
            <w:tcW w:w="8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Managed</w:t>
            </w:r>
          </w:p>
        </w:tc>
        <w:tc>
          <w:tcPr>
            <w:tcW w:w="3360" w:type="dxa"/>
            <w:vAlign w:val="bottom"/>
            <w:tcBorders>
              <w:right w:val="single" w:sz="8" w:color="auto"/>
            </w:tcBorders>
            <w:gridSpan w:val="4"/>
          </w:tcPr>
          <w:p>
            <w:pPr>
              <w:ind w:left="80"/>
              <w:spacing w:after="0" w:line="133" w:lineRule="exact"/>
              <w:rPr>
                <w:sz w:val="20"/>
                <w:szCs w:val="20"/>
                <w:color w:val="auto"/>
              </w:rPr>
            </w:pPr>
            <w:r>
              <w:rPr>
                <w:rFonts w:ascii="Times New Roman" w:cs="Times New Roman" w:eastAsia="Times New Roman" w:hAnsi="Times New Roman"/>
                <w:sz w:val="12"/>
                <w:szCs w:val="12"/>
                <w:color w:val="auto"/>
              </w:rPr>
              <w:t>Bermuda, Cayman Islands, US Fireminds, One, Logic, GTT, Viya,</w:t>
            </w:r>
          </w:p>
        </w:tc>
        <w:tc>
          <w:tcPr>
            <w:tcW w:w="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Managed</w:t>
            </w:r>
          </w:p>
        </w:tc>
        <w:tc>
          <w:tcPr>
            <w:tcW w:w="12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2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Alaska Communications, Choice</w:t>
            </w:r>
          </w:p>
        </w:tc>
      </w:tr>
      <w:tr>
        <w:trPr>
          <w:trHeight w:val="155"/>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Services</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Virgin Islands, Guyana</w:t>
            </w: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Brava</w:t>
            </w:r>
          </w:p>
        </w:tc>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Services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bl>
    <w:p>
      <w:pPr>
        <w:spacing w:after="0" w:line="304"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In September 2024, the Company undertook a rebranding of its retail services in its International Telecom segment to “One Communications” in Guyana, and is scheduled to implement that brand in the Cayman Islands and U.S. Virgin Islands in the first half of 2025. The Company intends to utilize the GTT and Viya brands for legacy voice services in certain markets for a period of time.</w:t>
      </w:r>
    </w:p>
    <w:p>
      <w:pPr>
        <w:spacing w:after="0" w:line="146"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Restructuring and reorganization expense</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2023 Restructuring</w:t>
      </w:r>
    </w:p>
    <w:p>
      <w:pPr>
        <w:spacing w:after="0" w:line="179"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In order to reduce the Company’s US Telecom and International Telecom segments’ cost structure, the Company has incurred certain network termination and reduction in force costs totaling $12.4 million during the restructuring program which began in the first quarter of 2023 and ended March 31, 2024. Of this amount, $1.2 million and $4.6 million were recorded during the nine months ended September 30, 2024 and 2023, respectively. A summary of the costs is below (in thousands):</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125"/>
        </w:trPr>
        <w:tc>
          <w:tcPr>
            <w:tcW w:w="3420" w:type="dxa"/>
            <w:vAlign w:val="bottom"/>
          </w:tcPr>
          <w:p>
            <w:pPr>
              <w:spacing w:after="0"/>
              <w:rPr>
                <w:sz w:val="10"/>
                <w:szCs w:val="10"/>
                <w:color w:val="auto"/>
              </w:rPr>
            </w:pP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US</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52"/>
        </w:trPr>
        <w:tc>
          <w:tcPr>
            <w:tcW w:w="3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40" w:type="dxa"/>
            <w:vAlign w:val="bottom"/>
          </w:tcPr>
          <w:p>
            <w:pPr>
              <w:spacing w:after="0"/>
              <w:rPr>
                <w:sz w:val="13"/>
                <w:szCs w:val="13"/>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2"/>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termination benefits</w:t>
            </w:r>
          </w:p>
        </w:tc>
        <w:tc>
          <w:tcPr>
            <w:tcW w:w="920" w:type="dxa"/>
            <w:vAlign w:val="bottom"/>
            <w:tcBorders>
              <w:top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1,960</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4,681</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6,641</w:t>
            </w:r>
          </w:p>
        </w:tc>
      </w:tr>
      <w:tr>
        <w:trPr>
          <w:trHeight w:val="162"/>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Contract termination costs</w:t>
            </w:r>
          </w:p>
        </w:tc>
        <w:tc>
          <w:tcPr>
            <w:tcW w:w="9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5,777</w:t>
            </w:r>
          </w:p>
        </w:tc>
      </w:tr>
      <w:tr>
        <w:trPr>
          <w:trHeight w:val="140"/>
        </w:trPr>
        <w:tc>
          <w:tcPr>
            <w:tcW w:w="34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2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7,737</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4,681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12,418</w:t>
            </w:r>
          </w:p>
        </w:tc>
      </w:tr>
    </w:tbl>
    <w:p>
      <w:pPr>
        <w:spacing w:after="0" w:line="304"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The charge is recorded in Restructuring and reorganization expenses on the Company’s Consolidated Statements of Operations. During the nine months ended September 30, 2024, the Company paid $5.7 million of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39"/>
        <w:spacing w:after="0" w:line="265" w:lineRule="auto"/>
        <w:rPr>
          <w:sz w:val="20"/>
          <w:szCs w:val="20"/>
          <w:color w:val="auto"/>
        </w:rPr>
      </w:pPr>
      <w:r>
        <w:rPr>
          <w:rFonts w:ascii="Times New Roman" w:cs="Times New Roman" w:eastAsia="Times New Roman" w:hAnsi="Times New Roman"/>
          <w:sz w:val="12"/>
          <w:szCs w:val="12"/>
          <w:color w:val="auto"/>
        </w:rPr>
        <w:t>restructuring costs. In total, since the first quarter of 2023 and through September 30, 2024, the Company paid $11.4 million, recorded a gain of $0.3 million on lease termination, and $1.3 million of the restructuring costs remain accrued. In conjunction with the restructuring, the Company terminated certain leases and removed $5.6 million of lease right of use assets and $5.9 million of lease liabilities from its balance sheet.</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2024 Reorganization</w:t>
      </w:r>
    </w:p>
    <w:p>
      <w:pPr>
        <w:spacing w:after="0" w:line="179"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In our efforts to advance our cost management actions to drive higher operating margins, the Company initiated a corporate reorganization to reduce operating expenses. Under this initiative, the Company incurred $2.3 million of employee severance costs and termination costs during the three months ended September 30, 2024. Of this $2.3 million, $0.7 million was paid with the remaining $1.6 million being accrued for as of September 30, 2024.</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Asset Dispositions and Transfers</w:t>
      </w:r>
    </w:p>
    <w:p>
      <w:pPr>
        <w:spacing w:after="0" w:line="179" w:lineRule="exact"/>
        <w:rPr>
          <w:sz w:val="20"/>
          <w:szCs w:val="20"/>
          <w:color w:val="auto"/>
        </w:rPr>
      </w:pPr>
    </w:p>
    <w:p>
      <w:pPr>
        <w:ind w:left="20" w:right="159" w:firstLine="432"/>
        <w:spacing w:after="0" w:line="327" w:lineRule="auto"/>
        <w:rPr>
          <w:sz w:val="20"/>
          <w:szCs w:val="20"/>
          <w:color w:val="auto"/>
        </w:rPr>
      </w:pPr>
      <w:r>
        <w:rPr>
          <w:rFonts w:ascii="Times New Roman" w:cs="Times New Roman" w:eastAsia="Times New Roman" w:hAnsi="Times New Roman"/>
          <w:sz w:val="11"/>
          <w:szCs w:val="11"/>
          <w:color w:val="auto"/>
        </w:rPr>
        <w:t>During the nine months ended September 30, 2024, the Company’s International Telecom segment disposed of a non-core fixed asset of real property recording a gain of $15.7 million on the transaction. The Company received cash proceeds of $17.8 million which was offset by the asset’s book value of $0.5 million and $1.6 million of transaction costs.</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2. BASIS OF PRESENTATION</w:t>
      </w:r>
    </w:p>
    <w:p>
      <w:pPr>
        <w:spacing w:after="0" w:line="172" w:lineRule="exact"/>
        <w:rPr>
          <w:sz w:val="20"/>
          <w:szCs w:val="20"/>
          <w:color w:val="auto"/>
        </w:rPr>
      </w:pPr>
    </w:p>
    <w:p>
      <w:pPr>
        <w:ind w:left="20" w:right="219" w:firstLine="432"/>
        <w:spacing w:after="0" w:line="255"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2023, filed with the SEC on March 15, 2024.</w:t>
      </w:r>
    </w:p>
    <w:p>
      <w:pPr>
        <w:spacing w:after="0" w:line="153" w:lineRule="exact"/>
        <w:rPr>
          <w:sz w:val="20"/>
          <w:szCs w:val="20"/>
          <w:color w:val="auto"/>
        </w:rPr>
      </w:pPr>
    </w:p>
    <w:p>
      <w:pPr>
        <w:ind w:left="20" w:right="319" w:firstLine="432"/>
        <w:spacing w:after="0" w:line="265" w:lineRule="auto"/>
        <w:rPr>
          <w:sz w:val="20"/>
          <w:szCs w:val="20"/>
          <w:color w:val="auto"/>
        </w:rPr>
      </w:pPr>
      <w:r>
        <w:rPr>
          <w:rFonts w:ascii="Times New Roman" w:cs="Times New Roman" w:eastAsia="Times New Roman" w:hAnsi="Times New Roman"/>
          <w:sz w:val="12"/>
          <w:szCs w:val="12"/>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72"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In December 2023, the FASB released ASU 2023-09, titled "Enhancements to Income Tax Disclosures,"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has chosen not to adopt this standard early and is currently assessing its potential impact on our consolidated financial statements and accompanying disclosures.</w:t>
      </w:r>
    </w:p>
    <w:p>
      <w:pPr>
        <w:spacing w:after="0" w:line="149"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November 2023, the FASB issued ASU No. 2023-07, “Segment Reporting (Topic 280): Improvements to Reportable Segment Disclosures” (ASU 2023-07), which requires that a public entity disclose, on an interim and annual basis, significant segment expense categories and amounts that are regularly provided to its chief operating decision maker (CODM) and included in each reported measure of segment profit or loss. An entity must also disclose, by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reportable segment, the amount and composition of other expenses. The standard requires an entity to disclose the title and position of its CODM and explain how the CODM uses these reported measures in assessing segment performance and determining how to allocate resources. ASU 2023-07 will be effective for annual periods beginning after December 15, 2023, and interim periods beginning after December 31, 2024, with retrospective application. The Company will adopt the standard on January 1, 2025 and is currently evaluating the disclosure impacts of adoption.</w:t>
      </w:r>
    </w:p>
    <w:p>
      <w:pPr>
        <w:spacing w:after="0" w:line="149"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In November 2024, the FASB issued ASU No. 2024-03, “Disaggregation of Income Statements Expenses (DISE)” (ASU 2024-03), which requires that a public entity provide additional disclosure of the nature of expenses included in the income statement. The new standard requires disclosures about specific types of expenses included in the expense captions presented on the face of the income statement as well as disclosures about selling expenses. ASU 2024-03 will be effective for annual periods beginning after December 15, 2026, and interim periods beginning after December 15, 2027, with retrospective application. The standard allows early adoption of these requirements and the Company is currently evaluating the disclosure impacts of adoption.</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3. REVENUE RECOGNITION AND RECEIVABLES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Accounted for in Accordance with Other Guidance</w:t>
      </w:r>
    </w:p>
    <w:p>
      <w:pPr>
        <w:spacing w:after="0" w:line="179"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8.</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Timing of Revenue Recognition</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Revenue accounted for in accordance with ASC 606 consisted of the following for the periods presented below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Three months ended September 30, 2024</w:t>
            </w: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11"/>
          </w:tcPr>
          <w:p>
            <w:pPr>
              <w:ind w:left="440"/>
              <w:spacing w:after="0"/>
              <w:rPr>
                <w:sz w:val="20"/>
                <w:szCs w:val="20"/>
                <w:color w:val="auto"/>
              </w:rPr>
            </w:pPr>
            <w:r>
              <w:rPr>
                <w:rFonts w:ascii="Times New Roman" w:cs="Times New Roman" w:eastAsia="Times New Roman" w:hAnsi="Times New Roman"/>
                <w:sz w:val="10"/>
                <w:szCs w:val="10"/>
                <w:b w:val="1"/>
                <w:bCs w:val="1"/>
                <w:color w:val="auto"/>
              </w:rPr>
              <w:t>Three months ended September 30, 2023</w:t>
            </w:r>
          </w:p>
        </w:tc>
        <w:tc>
          <w:tcPr>
            <w:tcW w:w="0" w:type="dxa"/>
            <w:vAlign w:val="bottom"/>
          </w:tcPr>
          <w:p>
            <w:pPr>
              <w:spacing w:after="0"/>
              <w:rPr>
                <w:sz w:val="1"/>
                <w:szCs w:val="1"/>
                <w:color w:val="auto"/>
              </w:rPr>
            </w:pPr>
          </w:p>
        </w:tc>
      </w:tr>
      <w:tr>
        <w:trPr>
          <w:trHeight w:val="143"/>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Services transferred over time</w:t>
            </w:r>
          </w:p>
        </w:tc>
        <w:tc>
          <w:tcPr>
            <w:tcW w:w="6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89,139</w:t>
            </w:r>
          </w:p>
        </w:tc>
        <w:tc>
          <w:tcPr>
            <w:tcW w:w="240" w:type="dxa"/>
            <w:vAlign w:val="bottom"/>
            <w:tcBorders>
              <w:top w:val="single" w:sz="8" w:color="auto"/>
            </w:tcBorders>
            <w:gridSpan w:val="4"/>
            <w:shd w:val="clear" w:color="auto" w:fill="CCEEFF"/>
          </w:tcPr>
          <w:p>
            <w:pPr>
              <w:jc w:val="right"/>
              <w:ind w:right="26"/>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69,856</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158,995</w:t>
            </w: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87,657</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81,459</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169,116</w:t>
            </w:r>
          </w:p>
        </w:tc>
        <w:tc>
          <w:tcPr>
            <w:tcW w:w="0" w:type="dxa"/>
            <w:vAlign w:val="bottom"/>
          </w:tcPr>
          <w:p>
            <w:pPr>
              <w:spacing w:after="0"/>
              <w:rPr>
                <w:sz w:val="1"/>
                <w:szCs w:val="1"/>
                <w:color w:val="auto"/>
              </w:rPr>
            </w:pPr>
          </w:p>
        </w:tc>
      </w:tr>
      <w:tr>
        <w:trPr>
          <w:trHeight w:val="144"/>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Goods and services transferred at a point in time</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3,591</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2,016</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5,607</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4,752</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4,111</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8,863</w:t>
            </w:r>
          </w:p>
        </w:tc>
        <w:tc>
          <w:tcPr>
            <w:tcW w:w="0" w:type="dxa"/>
            <w:vAlign w:val="bottom"/>
          </w:tcPr>
          <w:p>
            <w:pPr>
              <w:spacing w:after="0"/>
              <w:rPr>
                <w:sz w:val="1"/>
                <w:szCs w:val="1"/>
                <w:color w:val="auto"/>
              </w:rPr>
            </w:pPr>
          </w:p>
        </w:tc>
      </w:tr>
      <w:tr>
        <w:trPr>
          <w:trHeight w:val="153"/>
        </w:trPr>
        <w:tc>
          <w:tcPr>
            <w:tcW w:w="296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revenue accounted for under ASC 606</w:t>
            </w: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92,730</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71,872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164,602</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92,409</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85,570</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177,979</w:t>
            </w:r>
          </w:p>
        </w:tc>
        <w:tc>
          <w:tcPr>
            <w:tcW w:w="0" w:type="dxa"/>
            <w:vAlign w:val="bottom"/>
          </w:tcPr>
          <w:p>
            <w:pPr>
              <w:spacing w:after="0"/>
              <w:rPr>
                <w:sz w:val="1"/>
                <w:szCs w:val="1"/>
                <w:color w:val="auto"/>
              </w:rPr>
            </w:pPr>
          </w:p>
        </w:tc>
      </w:tr>
      <w:tr>
        <w:trPr>
          <w:trHeight w:val="131"/>
        </w:trPr>
        <w:tc>
          <w:tcPr>
            <w:tcW w:w="29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Operating lease income</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157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1,918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2,075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72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1,876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1,948</w:t>
            </w:r>
          </w:p>
        </w:tc>
        <w:tc>
          <w:tcPr>
            <w:tcW w:w="0" w:type="dxa"/>
            <w:vAlign w:val="bottom"/>
          </w:tcPr>
          <w:p>
            <w:pPr>
              <w:spacing w:after="0"/>
              <w:rPr>
                <w:sz w:val="1"/>
                <w:szCs w:val="1"/>
                <w:color w:val="auto"/>
              </w:rPr>
            </w:pPr>
          </w:p>
        </w:tc>
      </w:tr>
      <w:tr>
        <w:trPr>
          <w:trHeight w:val="1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Government grant revenue (1)</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1,394</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10,380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11,774</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1,397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11,109</w:t>
            </w:r>
          </w:p>
        </w:tc>
        <w:tc>
          <w:tcPr>
            <w:tcW w:w="0" w:type="dxa"/>
            <w:vAlign w:val="bottom"/>
          </w:tcPr>
          <w:p>
            <w:pPr>
              <w:spacing w:after="0"/>
              <w:rPr>
                <w:sz w:val="1"/>
                <w:szCs w:val="1"/>
                <w:color w:val="auto"/>
              </w:rPr>
            </w:pPr>
          </w:p>
        </w:tc>
      </w:tr>
      <w:tr>
        <w:trPr>
          <w:trHeight w:val="140"/>
        </w:trPr>
        <w:tc>
          <w:tcPr>
            <w:tcW w:w="29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94,281</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84,170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178,451</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93,878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97,158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191,036</w:t>
            </w:r>
          </w:p>
        </w:tc>
        <w:tc>
          <w:tcPr>
            <w:tcW w:w="0" w:type="dxa"/>
            <w:vAlign w:val="bottom"/>
          </w:tcPr>
          <w:p>
            <w:pPr>
              <w:spacing w:after="0"/>
              <w:rPr>
                <w:sz w:val="1"/>
                <w:szCs w:val="1"/>
                <w:color w:val="auto"/>
              </w:rPr>
            </w:pPr>
          </w:p>
        </w:tc>
      </w:tr>
      <w:tr>
        <w:trPr>
          <w:trHeight w:val="297"/>
        </w:trPr>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Nine months ended September 30, 2024</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1"/>
          </w:tcPr>
          <w:p>
            <w:pPr>
              <w:ind w:left="440"/>
              <w:spacing w:after="0"/>
              <w:rPr>
                <w:sz w:val="20"/>
                <w:szCs w:val="20"/>
                <w:color w:val="auto"/>
              </w:rPr>
            </w:pPr>
            <w:r>
              <w:rPr>
                <w:rFonts w:ascii="Times New Roman" w:cs="Times New Roman" w:eastAsia="Times New Roman" w:hAnsi="Times New Roman"/>
                <w:sz w:val="10"/>
                <w:szCs w:val="10"/>
                <w:b w:val="1"/>
                <w:bCs w:val="1"/>
                <w:color w:val="auto"/>
              </w:rPr>
              <w:t>Nine months ended September 30, 2023</w:t>
            </w:r>
          </w:p>
        </w:tc>
        <w:tc>
          <w:tcPr>
            <w:tcW w:w="0" w:type="dxa"/>
            <w:vAlign w:val="bottom"/>
          </w:tcPr>
          <w:p>
            <w:pPr>
              <w:spacing w:after="0"/>
              <w:rPr>
                <w:sz w:val="1"/>
                <w:szCs w:val="1"/>
                <w:color w:val="auto"/>
              </w:rPr>
            </w:pPr>
          </w:p>
        </w:tc>
      </w:tr>
      <w:tr>
        <w:trPr>
          <w:trHeight w:val="143"/>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Services transferred over time</w:t>
            </w: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267,970</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219,728</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487,698</w:t>
            </w:r>
          </w:p>
        </w:tc>
        <w:tc>
          <w:tcPr>
            <w:tcW w:w="140" w:type="dxa"/>
            <w:vAlign w:val="bottom"/>
            <w:tcBorders>
              <w:top w:val="single" w:sz="8" w:color="auto"/>
            </w:tcBorders>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260,066</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242,862</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502,928</w:t>
            </w:r>
          </w:p>
        </w:tc>
        <w:tc>
          <w:tcPr>
            <w:tcW w:w="0" w:type="dxa"/>
            <w:vAlign w:val="bottom"/>
          </w:tcPr>
          <w:p>
            <w:pPr>
              <w:spacing w:after="0"/>
              <w:rPr>
                <w:sz w:val="1"/>
                <w:szCs w:val="1"/>
                <w:color w:val="auto"/>
              </w:rPr>
            </w:pPr>
          </w:p>
        </w:tc>
      </w:tr>
      <w:tr>
        <w:trPr>
          <w:trHeight w:val="144"/>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Goods and services transferred at a point in time</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10,243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8,935</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19,178</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11,792</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9,255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21,047</w:t>
            </w:r>
          </w:p>
        </w:tc>
        <w:tc>
          <w:tcPr>
            <w:tcW w:w="0" w:type="dxa"/>
            <w:vAlign w:val="bottom"/>
          </w:tcPr>
          <w:p>
            <w:pPr>
              <w:spacing w:after="0"/>
              <w:rPr>
                <w:sz w:val="1"/>
                <w:szCs w:val="1"/>
                <w:color w:val="auto"/>
              </w:rPr>
            </w:pPr>
          </w:p>
        </w:tc>
      </w:tr>
      <w:tr>
        <w:trPr>
          <w:trHeight w:val="153"/>
        </w:trPr>
        <w:tc>
          <w:tcPr>
            <w:tcW w:w="296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revenue accounted for under ASC 606</w:t>
            </w: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278,213</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228,663</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506,876</w:t>
            </w:r>
          </w:p>
        </w:tc>
        <w:tc>
          <w:tcPr>
            <w:tcW w:w="140" w:type="dxa"/>
            <w:vAlign w:val="bottom"/>
            <w:tcBorders>
              <w:bottom w:val="single" w:sz="8" w:color="auto"/>
            </w:tcBorders>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271,858</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252,117</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523,975</w:t>
            </w:r>
          </w:p>
        </w:tc>
        <w:tc>
          <w:tcPr>
            <w:tcW w:w="0" w:type="dxa"/>
            <w:vAlign w:val="bottom"/>
          </w:tcPr>
          <w:p>
            <w:pPr>
              <w:spacing w:after="0"/>
              <w:rPr>
                <w:sz w:val="1"/>
                <w:szCs w:val="1"/>
                <w:color w:val="auto"/>
              </w:rPr>
            </w:pPr>
          </w:p>
        </w:tc>
      </w:tr>
      <w:tr>
        <w:trPr>
          <w:trHeight w:val="131"/>
        </w:trPr>
        <w:tc>
          <w:tcPr>
            <w:tcW w:w="29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Operating lease income</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304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5,989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6,293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217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5,593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5,810</w:t>
            </w:r>
          </w:p>
        </w:tc>
        <w:tc>
          <w:tcPr>
            <w:tcW w:w="0" w:type="dxa"/>
            <w:vAlign w:val="bottom"/>
          </w:tcPr>
          <w:p>
            <w:pPr>
              <w:spacing w:after="0"/>
              <w:rPr>
                <w:sz w:val="1"/>
                <w:szCs w:val="1"/>
                <w:color w:val="auto"/>
              </w:rPr>
            </w:pPr>
          </w:p>
        </w:tc>
      </w:tr>
      <w:tr>
        <w:trPr>
          <w:trHeight w:val="1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Government grant revenue (1)</w:t>
            </w:r>
          </w:p>
        </w:tc>
        <w:tc>
          <w:tcPr>
            <w:tcW w:w="6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31,178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35,358</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29,273</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33,465</w:t>
            </w:r>
          </w:p>
        </w:tc>
        <w:tc>
          <w:tcPr>
            <w:tcW w:w="0" w:type="dxa"/>
            <w:vAlign w:val="bottom"/>
          </w:tcPr>
          <w:p>
            <w:pPr>
              <w:spacing w:after="0"/>
              <w:rPr>
                <w:sz w:val="1"/>
                <w:szCs w:val="1"/>
                <w:color w:val="auto"/>
              </w:rPr>
            </w:pPr>
          </w:p>
        </w:tc>
      </w:tr>
      <w:tr>
        <w:trPr>
          <w:trHeight w:val="140"/>
        </w:trPr>
        <w:tc>
          <w:tcPr>
            <w:tcW w:w="29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40" w:type="dxa"/>
            <w:vAlign w:val="bottom"/>
          </w:tcPr>
          <w:p>
            <w:pPr>
              <w:spacing w:after="0"/>
              <w:rPr>
                <w:sz w:val="12"/>
                <w:szCs w:val="12"/>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282,697</w:t>
            </w:r>
          </w:p>
        </w:tc>
        <w:tc>
          <w:tcPr>
            <w:tcW w:w="80" w:type="dxa"/>
            <w:vAlign w:val="bottom"/>
            <w:gridSpan w:val="2"/>
          </w:tcPr>
          <w:p>
            <w:pPr>
              <w:spacing w:after="0"/>
              <w:rPr>
                <w:sz w:val="12"/>
                <w:szCs w:val="12"/>
                <w:color w:val="auto"/>
              </w:rPr>
            </w:pPr>
          </w:p>
        </w:tc>
        <w:tc>
          <w:tcPr>
            <w:tcW w:w="160" w:type="dxa"/>
            <w:vAlign w:val="bottom"/>
            <w:tcBorders>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265,830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548,527</w:t>
            </w:r>
          </w:p>
        </w:tc>
        <w:tc>
          <w:tcPr>
            <w:tcW w:w="14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276,267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286,983</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563,250</w:t>
            </w:r>
          </w:p>
        </w:tc>
        <w:tc>
          <w:tcPr>
            <w:tcW w:w="0" w:type="dxa"/>
            <w:vAlign w:val="bottom"/>
          </w:tcPr>
          <w:p>
            <w:pPr>
              <w:spacing w:after="0"/>
              <w:rPr>
                <w:sz w:val="1"/>
                <w:szCs w:val="1"/>
                <w:color w:val="auto"/>
              </w:rPr>
            </w:pPr>
          </w:p>
        </w:tc>
      </w:tr>
      <w:tr>
        <w:trPr>
          <w:trHeight w:val="432"/>
        </w:trPr>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gridSpan w:val="4"/>
          </w:tcPr>
          <w:p>
            <w:pPr>
              <w:jc w:val="right"/>
              <w:ind w:right="66"/>
              <w:spacing w:after="0"/>
              <w:rPr>
                <w:sz w:val="20"/>
                <w:szCs w:val="20"/>
                <w:color w:val="auto"/>
              </w:rPr>
            </w:pPr>
            <w:r>
              <w:rPr>
                <w:rFonts w:ascii="Times New Roman" w:cs="Times New Roman" w:eastAsia="Times New Roman" w:hAnsi="Times New Roman"/>
                <w:sz w:val="12"/>
                <w:szCs w:val="12"/>
                <w:color w:val="auto"/>
                <w:w w:val="82"/>
              </w:rPr>
              <w:t>13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(1) Revenue recognized from CAF II, USF and RDOF programs. Refer to Note 8.</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Assets and Liabilities</w:t>
      </w:r>
    </w:p>
    <w:p>
      <w:pPr>
        <w:spacing w:after="0" w:line="17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137" w:lineRule="exact"/>
        <w:rPr>
          <w:sz w:val="20"/>
          <w:szCs w:val="20"/>
          <w:color w:val="auto"/>
        </w:rPr>
      </w:pPr>
    </w:p>
    <w:p>
      <w:pPr>
        <w:ind w:left="20" w:right="139" w:firstLine="432"/>
        <w:spacing w:after="0" w:line="257" w:lineRule="auto"/>
        <w:rPr>
          <w:sz w:val="20"/>
          <w:szCs w:val="20"/>
          <w:color w:val="auto"/>
        </w:rPr>
      </w:pPr>
      <w:r>
        <w:rPr>
          <w:rFonts w:ascii="Times New Roman" w:cs="Times New Roman" w:eastAsia="Times New Roman" w:hAnsi="Times New Roman"/>
          <w:sz w:val="12"/>
          <w:szCs w:val="12"/>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also include certain long term fixed business and carrier service customer contracts. The current portion of contract liabilities are recorded in advanced payments and deposits and the noncurrent portion is included in deferred revenue, long-term on the Company’s balance sheets.</w:t>
      </w:r>
    </w:p>
    <w:p>
      <w:pPr>
        <w:spacing w:after="0" w:line="152"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In July 2019, the Company entered into a Network Build and Maintenance Agreement with AT&amp;T Mobility, LLC (“AT&amp;T”) that was subsequently amended through December 31, 2023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current portion of receivables under this agreement is recorded in customer receivable and the long-term portion is recorded in customer receivable long-term on the Company’s balance sheet.</w:t>
      </w:r>
    </w:p>
    <w:p>
      <w:pPr>
        <w:spacing w:after="0" w:line="152"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In May 2023, the Company amended its current roaming agreement and entered into a carrier management services agreement with Verizon Wireless (the “Verizon CMS Agreement”). The transaction includes service performance obligations under which revenue is recognized over time. The Company allocates the transaction price of these agreements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Contract assets and liabilities consisted of the following (amounts in thousands):</w:t>
      </w:r>
    </w:p>
    <w:p>
      <w:pPr>
        <w:spacing w:after="0" w:line="10"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5"/>
              </w:rPr>
              <w:t>September 30, 2024</w:t>
            </w:r>
          </w:p>
        </w:tc>
        <w:tc>
          <w:tcPr>
            <w:tcW w:w="60" w:type="dxa"/>
            <w:vAlign w:val="bottom"/>
          </w:tcPr>
          <w:p>
            <w:pPr>
              <w:spacing w:after="0"/>
              <w:rPr>
                <w:sz w:val="10"/>
                <w:szCs w:val="1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3"/>
              </w:rPr>
              <w:t>December 31, 2023</w:t>
            </w:r>
          </w:p>
        </w:tc>
        <w:tc>
          <w:tcPr>
            <w:tcW w:w="14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33"/>
        </w:trPr>
        <w:tc>
          <w:tcPr>
            <w:tcW w:w="33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Contract asset – current</w:t>
            </w:r>
          </w:p>
        </w:tc>
        <w:tc>
          <w:tcPr>
            <w:tcW w:w="26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3,616</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xml:space="preserve">1.1 </w:t>
            </w:r>
            <w:r>
              <w:rPr>
                <w:rFonts w:ascii="Arial" w:cs="Arial" w:eastAsia="Arial" w:hAnsi="Arial"/>
                <w:sz w:val="12"/>
                <w:szCs w:val="12"/>
                <w:color w:val="auto"/>
              </w:rPr>
              <w:t>%</w:t>
            </w: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Contract asset – noncurrent</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(663)</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r>
              <w:rPr>
                <w:rFonts w:ascii="Arial" w:cs="Arial" w:eastAsia="Arial" w:hAnsi="Arial"/>
                <w:sz w:val="12"/>
                <w:szCs w:val="12"/>
                <w:color w:val="auto"/>
              </w:rPr>
              <w:t>%</w:t>
            </w: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liability – current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(30,319)</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(30,990)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r>
              <w:rPr>
                <w:rFonts w:ascii="Arial" w:cs="Arial" w:eastAsia="Arial" w:hAnsi="Arial"/>
                <w:sz w:val="12"/>
                <w:szCs w:val="12"/>
                <w:color w:val="auto"/>
              </w:rPr>
              <w:t>%</w:t>
            </w: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liability – noncurrent</w:t>
            </w:r>
          </w:p>
        </w:tc>
        <w:tc>
          <w:tcPr>
            <w:tcW w:w="2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(57,177)</w:t>
            </w:r>
          </w:p>
        </w:tc>
        <w:tc>
          <w:tcPr>
            <w:tcW w:w="6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(64,035)</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6,858</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r>
              <w:rPr>
                <w:rFonts w:ascii="Arial" w:cs="Arial" w:eastAsia="Arial" w:hAnsi="Arial"/>
                <w:sz w:val="12"/>
                <w:szCs w:val="12"/>
                <w:color w:val="auto"/>
              </w:rPr>
              <w:t>%</w:t>
            </w:r>
          </w:p>
        </w:tc>
      </w:tr>
      <w:tr>
        <w:trPr>
          <w:trHeight w:val="140"/>
        </w:trPr>
        <w:tc>
          <w:tcPr>
            <w:tcW w:w="33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contract liability</w:t>
            </w:r>
          </w:p>
        </w:tc>
        <w:tc>
          <w:tcPr>
            <w:tcW w:w="26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(78,993)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(85,900)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6,907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(8.0)%</w:t>
            </w:r>
          </w:p>
        </w:tc>
      </w:tr>
    </w:tbl>
    <w:p>
      <w:pPr>
        <w:spacing w:after="0" w:line="160"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decrease in the Company’s net contract liability was due to the timing of customer prepayments, contract billings, and recognition of deferred revenue. During the nine months ended September 30, 2024, the Company recognized revenue of $26.2 million related to its December 31, 2023 contract liability and amortized $3.7 million of the December 31, 2023 contract asset to revenue.</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Acquisition Costs</w:t>
      </w:r>
    </w:p>
    <w:p>
      <w:pPr>
        <w:spacing w:after="0" w:line="179" w:lineRule="exact"/>
        <w:rPr>
          <w:sz w:val="20"/>
          <w:szCs w:val="20"/>
          <w:color w:val="auto"/>
        </w:rPr>
      </w:pPr>
    </w:p>
    <w:p>
      <w:pPr>
        <w:jc w:val="both"/>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The September 30, 2024 and December 31, 2023 balance sheets include contract acquisition costs of $10.9 million and $11.3 million, respectively, in other assets. During the three and nine months ended September 30, 2024, the Company amortized $1.7 million and $4.9 million, respectively, of contract acquisition costs. During the three and nine months ended September 30, 2023, the Company amortized $1.4 million and $4.1 million, respectively, of contract acquisition costs.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Remaining Performance Obligations</w:t>
      </w:r>
    </w:p>
    <w:p>
      <w:pPr>
        <w:spacing w:after="0" w:line="170" w:lineRule="exact"/>
        <w:rPr>
          <w:sz w:val="20"/>
          <w:szCs w:val="20"/>
          <w:color w:val="auto"/>
        </w:rPr>
      </w:pPr>
    </w:p>
    <w:p>
      <w:pPr>
        <w:ind w:left="20" w:right="99" w:firstLine="432"/>
        <w:spacing w:after="0" w:line="257" w:lineRule="auto"/>
        <w:rPr>
          <w:sz w:val="20"/>
          <w:szCs w:val="20"/>
          <w:color w:val="auto"/>
        </w:rPr>
      </w:pPr>
      <w:r>
        <w:rPr>
          <w:rFonts w:ascii="Times New Roman" w:cs="Times New Roman" w:eastAsia="Times New Roman" w:hAnsi="Times New Roman"/>
          <w:sz w:val="12"/>
          <w:szCs w:val="12"/>
          <w:color w:val="auto"/>
        </w:rPr>
        <w:t>Remaining performance obligations represent the transaction price allocated to unsatisfied performance obligations of certain multiyear Mobility and Fixed communication services contracts, Managed Services contracts, and the Company’s Carrier Services construction and service contracts. The transaction price allocated to unsatisfied performance obligations was $605 million at September 30, 2024. The Company expects to satisfy approximately 41% of the remaining performance obligations and recognize the transaction price within 24 months and approximately $60 million annually from 2026 through 2031. The Company has elected the practical expedient to exclude revenue related to contracts of less than one year, generally month-to-month contracts, and contracts with a fixed per-unit price and variable quantity, from the remaining performance obligation estimate.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Disaggregation</w:t>
      </w:r>
    </w:p>
    <w:p>
      <w:pPr>
        <w:spacing w:after="0" w:line="179" w:lineRule="exact"/>
        <w:rPr>
          <w:sz w:val="20"/>
          <w:szCs w:val="20"/>
          <w:color w:val="auto"/>
        </w:rPr>
      </w:pPr>
    </w:p>
    <w:p>
      <w:pPr>
        <w:ind w:left="20" w:right="159" w:firstLine="432"/>
        <w:spacing w:after="0" w:line="260" w:lineRule="auto"/>
        <w:rPr>
          <w:sz w:val="20"/>
          <w:szCs w:val="20"/>
          <w:color w:val="auto"/>
        </w:rPr>
      </w:pPr>
      <w:r>
        <w:rPr>
          <w:rFonts w:ascii="Times New Roman" w:cs="Times New Roman" w:eastAsia="Times New Roman" w:hAnsi="Times New Roman"/>
          <w:sz w:val="12"/>
          <w:szCs w:val="12"/>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Receivables</w:t>
      </w:r>
    </w:p>
    <w:p>
      <w:pPr>
        <w:spacing w:after="0" w:line="179" w:lineRule="exact"/>
        <w:rPr>
          <w:sz w:val="20"/>
          <w:szCs w:val="20"/>
          <w:color w:val="auto"/>
        </w:rPr>
      </w:pPr>
    </w:p>
    <w:p>
      <w:pPr>
        <w:jc w:val="both"/>
        <w:ind w:left="20" w:right="459" w:firstLine="432"/>
        <w:spacing w:after="0" w:line="265" w:lineRule="auto"/>
        <w:rPr>
          <w:sz w:val="20"/>
          <w:szCs w:val="20"/>
          <w:color w:val="auto"/>
        </w:rPr>
      </w:pPr>
      <w:r>
        <w:rPr>
          <w:rFonts w:ascii="Times New Roman" w:cs="Times New Roman" w:eastAsia="Times New Roman" w:hAnsi="Times New Roman"/>
          <w:sz w:val="12"/>
          <w:szCs w:val="12"/>
          <w:color w:val="auto"/>
        </w:rPr>
        <w:t>The Company records an estimate of future credit losses in conjunction with revenue transactions based on the information available including historical experience and management’s expectations of future conditions. Those estimates are updated as additional information becomes available. The Company’s allowance for uncollectible accounts receivable is based on management’s assessment of the collectability of assets pooled together with similar risk characteristics.</w:t>
      </w:r>
    </w:p>
    <w:p>
      <w:pPr>
        <w:spacing w:after="0" w:line="146"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The Company had gross accounts receivable of $104.0 million and an allowance for credit losses of $15.3 million as of September 30, 2024. In addition, the Company had receivables under the FirstNet Agreement totaling $49.8 million, of which $41.9 million was long-term. At December 31, 2023, the Company had gross accounts receivable of $104.4 million and an allowance for credit losses of $16.4 million and a receivable under the FirstNet Agreement totaling $52.9 million, of which $45.7 million was long-term. The Company monitors receivables through the use of historical operating data adjusted for the expectation of future performance as appropriate. Activity in the allowance for credit losses is below (in thousands):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88"/>
        </w:trPr>
        <w:tc>
          <w:tcPr>
            <w:tcW w:w="6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w w:val="98"/>
              </w:rPr>
              <w:t>September 30, 2023</w:t>
            </w:r>
          </w:p>
        </w:tc>
        <w:tc>
          <w:tcPr>
            <w:tcW w:w="660" w:type="dxa"/>
            <w:vAlign w:val="bottom"/>
          </w:tcPr>
          <w:p>
            <w:pPr>
              <w:spacing w:after="0"/>
              <w:rPr>
                <w:sz w:val="7"/>
                <w:szCs w:val="7"/>
                <w:color w:val="auto"/>
              </w:rPr>
            </w:pPr>
          </w:p>
        </w:tc>
      </w:tr>
      <w:tr>
        <w:trPr>
          <w:trHeight w:val="88"/>
        </w:trPr>
        <w:tc>
          <w:tcPr>
            <w:tcW w:w="6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r>
      <w:tr>
        <w:trPr>
          <w:trHeight w:val="144"/>
        </w:trPr>
        <w:tc>
          <w:tcPr>
            <w:tcW w:w="680" w:type="dxa"/>
            <w:vAlign w:val="bottom"/>
          </w:tcPr>
          <w:p>
            <w:pPr>
              <w:spacing w:after="0"/>
              <w:rPr>
                <w:sz w:val="12"/>
                <w:szCs w:val="12"/>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15,171</w:t>
            </w:r>
          </w:p>
        </w:tc>
        <w:tc>
          <w:tcPr>
            <w:tcW w:w="66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Current period provision for expected losses</w:t>
            </w: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4,014</w:t>
            </w:r>
          </w:p>
        </w:tc>
        <w:tc>
          <w:tcPr>
            <w:tcW w:w="66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Write-offs charged against the allowance</w:t>
            </w:r>
          </w:p>
        </w:tc>
        <w:tc>
          <w:tcPr>
            <w:tcW w:w="2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(5,511)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(3,017)</w:t>
            </w:r>
          </w:p>
        </w:tc>
        <w:tc>
          <w:tcPr>
            <w:tcW w:w="66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Recoveries collected</w:t>
            </w:r>
          </w:p>
        </w:tc>
        <w:tc>
          <w:tcPr>
            <w:tcW w:w="2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660" w:type="dxa"/>
            <w:vAlign w:val="bottom"/>
          </w:tcPr>
          <w:p>
            <w:pPr>
              <w:spacing w:after="0"/>
              <w:rPr>
                <w:sz w:val="12"/>
                <w:szCs w:val="12"/>
                <w:color w:val="auto"/>
              </w:rPr>
            </w:pPr>
          </w:p>
        </w:tc>
      </w:tr>
      <w:tr>
        <w:trPr>
          <w:trHeight w:val="153"/>
        </w:trPr>
        <w:tc>
          <w:tcPr>
            <w:tcW w:w="680" w:type="dxa"/>
            <w:vAlign w:val="bottom"/>
          </w:tcPr>
          <w:p>
            <w:pPr>
              <w:spacing w:after="0"/>
              <w:rPr>
                <w:sz w:val="13"/>
                <w:szCs w:val="13"/>
                <w:color w:val="auto"/>
              </w:rPr>
            </w:pPr>
          </w:p>
        </w:tc>
        <w:tc>
          <w:tcPr>
            <w:tcW w:w="29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2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15,315</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16,582</w:t>
            </w:r>
          </w:p>
        </w:tc>
        <w:tc>
          <w:tcPr>
            <w:tcW w:w="660" w:type="dxa"/>
            <w:vAlign w:val="bottom"/>
          </w:tcPr>
          <w:p>
            <w:pPr>
              <w:spacing w:after="0"/>
              <w:rPr>
                <w:sz w:val="13"/>
                <w:szCs w:val="13"/>
                <w:color w:val="auto"/>
              </w:rPr>
            </w:pPr>
          </w:p>
        </w:tc>
      </w:tr>
      <w:tr>
        <w:trPr>
          <w:trHeight w:val="428"/>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20" w:type="dxa"/>
            <w:vAlign w:val="bottom"/>
          </w:tcPr>
          <w:p>
            <w:pPr>
              <w:jc w:val="right"/>
              <w:ind w:right="1440"/>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0"/>
        </w:trPr>
        <w:tc>
          <w:tcPr>
            <w:tcW w:w="6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4. LEASES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Lessee Disclosure</w:t>
      </w:r>
    </w:p>
    <w:p>
      <w:pPr>
        <w:spacing w:after="0" w:line="179"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Supplemental lease information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components of lease expense were as follows (in thousands):</w:t>
      </w:r>
    </w:p>
    <w:p>
      <w:pPr>
        <w:spacing w:after="0" w:line="10"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ind w:left="5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10"/>
                <w:szCs w:val="10"/>
                <w:color w:val="auto"/>
              </w:rPr>
            </w:pPr>
          </w:p>
        </w:tc>
        <w:tc>
          <w:tcPr>
            <w:tcW w:w="1980" w:type="dxa"/>
            <w:vAlign w:val="bottom"/>
            <w:gridSpan w:val="4"/>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88"/>
        </w:trPr>
        <w:tc>
          <w:tcPr>
            <w:tcW w:w="2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right"/>
              <w:ind w:right="21"/>
              <w:spacing w:after="0" w:line="88" w:lineRule="exact"/>
              <w:rPr>
                <w:sz w:val="20"/>
                <w:szCs w:val="20"/>
                <w:color w:val="auto"/>
              </w:rPr>
            </w:pPr>
            <w:r>
              <w:rPr>
                <w:rFonts w:ascii="Times New Roman" w:cs="Times New Roman" w:eastAsia="Times New Roman" w:hAnsi="Times New Roman"/>
                <w:sz w:val="10"/>
                <w:szCs w:val="10"/>
                <w:b w:val="1"/>
                <w:bCs w:val="1"/>
                <w:color w:val="auto"/>
                <w:w w:val="95"/>
              </w:rPr>
              <w:t>September 30, 2023</w:t>
            </w: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right"/>
              <w:ind w:right="21"/>
              <w:spacing w:after="0" w:line="88" w:lineRule="exact"/>
              <w:rPr>
                <w:sz w:val="20"/>
                <w:szCs w:val="20"/>
                <w:color w:val="auto"/>
              </w:rPr>
            </w:pPr>
            <w:r>
              <w:rPr>
                <w:rFonts w:ascii="Times New Roman" w:cs="Times New Roman" w:eastAsia="Times New Roman" w:hAnsi="Times New Roman"/>
                <w:sz w:val="10"/>
                <w:szCs w:val="10"/>
                <w:b w:val="1"/>
                <w:bCs w:val="1"/>
                <w:color w:val="auto"/>
                <w:w w:val="95"/>
              </w:rPr>
              <w:t>September 30, 2023</w:t>
            </w:r>
          </w:p>
        </w:tc>
      </w:tr>
      <w:tr>
        <w:trPr>
          <w:trHeight w:val="133"/>
        </w:trPr>
        <w:tc>
          <w:tcPr>
            <w:tcW w:w="29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lease cost:</w:t>
            </w: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r>
      <w:tr>
        <w:trPr>
          <w:trHeight w:val="144"/>
        </w:trPr>
        <w:tc>
          <w:tcPr>
            <w:tcW w:w="2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Operating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5,884</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5,975</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16,989</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17,719</w:t>
            </w:r>
          </w:p>
        </w:tc>
      </w:tr>
      <w:tr>
        <w:trPr>
          <w:trHeight w:val="144"/>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Short-term lease cost</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w:t>
            </w:r>
          </w:p>
        </w:tc>
      </w:tr>
      <w:tr>
        <w:trPr>
          <w:trHeight w:val="144"/>
        </w:trPr>
        <w:tc>
          <w:tcPr>
            <w:tcW w:w="2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Variable lease cost</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4,539</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3,311</w:t>
            </w:r>
          </w:p>
        </w:tc>
      </w:tr>
      <w:tr>
        <w:trPr>
          <w:trHeight w:val="140"/>
        </w:trPr>
        <w:tc>
          <w:tcPr>
            <w:tcW w:w="29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7,956</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7,896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23,633</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22,988</w:t>
            </w:r>
          </w:p>
        </w:tc>
      </w:tr>
      <w:tr>
        <w:trPr>
          <w:trHeight w:val="144"/>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cost:</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4"/>
        </w:trPr>
        <w:tc>
          <w:tcPr>
            <w:tcW w:w="2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Amortization of right-of-use asset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1,647</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3,235</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2,239</w:t>
            </w:r>
          </w:p>
        </w:tc>
      </w:tr>
      <w:tr>
        <w:trPr>
          <w:trHeight w:val="144"/>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Variable costs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r>
      <w:tr>
        <w:trPr>
          <w:trHeight w:val="144"/>
        </w:trPr>
        <w:tc>
          <w:tcPr>
            <w:tcW w:w="2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Interest costs</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w:t>
            </w:r>
          </w:p>
        </w:tc>
      </w:tr>
      <w:tr>
        <w:trPr>
          <w:trHeight w:val="140"/>
        </w:trPr>
        <w:tc>
          <w:tcPr>
            <w:tcW w:w="29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finance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1,904</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1,049</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4,060</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3,145</w:t>
            </w:r>
          </w:p>
        </w:tc>
      </w:tr>
    </w:tbl>
    <w:p>
      <w:pPr>
        <w:spacing w:after="0" w:line="133"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During the nine months ended September 30, 2024 and 2023, the Company paid $14.8 million and $14.6 million, respectively, for operating lease liabilities. During the nine months ended September 30, 2024 and 2023, the Company recorded $11.5 million and $15.8 million, respectively, of operating lease liabilities arising from right of use assets. During the nine months ended September 30, 2023, in conjunction with the restructuring activities the Company terminated certain leases and removed $5.6 million of lease right of use assets and $5.9 million of lease liabilities from its balance sheet, resulting in the recording of a gain of $0.3 million in the restructuring expense line of its statement of operations.</w:t>
      </w:r>
    </w:p>
    <w:p>
      <w:pPr>
        <w:spacing w:after="0" w:line="149"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At September 30, 2024, finance leases with a cost of $32.3 million and accumulated amortization of $19.5 million were included in fixed assets, net. During the nine months ended September 30, 2024, the Company paid $1.4 million of financing cash flows and $0.3 million of operating cash flows for finance lease liabilities. During the nine months ended September 30, 2023, the Company paid $0.9 million of financing cash flows, $3.5 million of investing cash flows and $0.3 million of operating cash flows for finance lease liabilities. At September 30, 2024, finance leases had a lease liability of $4.8 million, of which $1.6 million was current.</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At December 31, 2023, finance leases with a cost of $31.7 million and accumulated amortization of $16.4 million were included in fixed assets, net.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The weighted average remaining lease terms and discount rates as of September 30, 2024 and December 31, 2023 are noted in the table below:</w:t>
      </w:r>
    </w:p>
    <w:p>
      <w:pPr>
        <w:sectPr>
          <w:pgSz w:w="11900" w:h="16838" w:orient="portrait"/>
          <w:cols w:equalWidth="0" w:num="1">
            <w:col w:w="9019"/>
          </w:cols>
          <w:pgMar w:left="1440" w:top="390" w:right="1440" w:bottom="1440" w:gutter="0" w:footer="0" w:header="0"/>
        </w:sectPr>
      </w:pPr>
    </w:p>
    <w:p>
      <w:pPr>
        <w:spacing w:after="0" w:line="3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49140" cy="108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49140" cy="108585"/>
                    </a:xfrm>
                    <a:prstGeom prst="rect">
                      <a:avLst/>
                    </a:prstGeom>
                    <a:noFill/>
                  </pic:spPr>
                </pic:pic>
              </a:graphicData>
            </a:graphic>
          </wp:anchor>
        </w:drawing>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Operating leases</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4914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49140" cy="102870"/>
                    </a:xfrm>
                    <a:prstGeom prst="rect">
                      <a:avLst/>
                    </a:prstGeom>
                    <a:noFill/>
                  </pic:spPr>
                </pic:pic>
              </a:graphicData>
            </a:graphic>
          </wp:anchor>
        </w:drawing>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4914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9140" cy="10287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Operating leases</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4914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49140" cy="102870"/>
                    </a:xfrm>
                    <a:prstGeom prst="rect">
                      <a:avLst/>
                    </a:prstGeom>
                    <a:noFill/>
                  </pic:spPr>
                </pic:pic>
              </a:graphicData>
            </a:graphic>
          </wp:anchor>
        </w:drawing>
      </w:r>
    </w:p>
    <w:p>
      <w:pPr>
        <w:spacing w:after="0" w:line="1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1"/>
          <w:szCs w:val="11"/>
          <w:color w:val="auto"/>
        </w:rPr>
        <w:t>Maturities of lease liabilities as of September 30, 2024 were as follows (in thousands):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1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220" w:type="dxa"/>
            <w:vAlign w:val="bottom"/>
          </w:tcPr>
          <w:p>
            <w:pPr>
              <w:spacing w:after="0"/>
              <w:rPr>
                <w:sz w:val="11"/>
                <w:szCs w:val="11"/>
                <w:color w:val="auto"/>
              </w:rPr>
            </w:pPr>
          </w:p>
        </w:tc>
        <w:tc>
          <w:tcPr>
            <w:tcW w:w="1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321"/>
        </w:trPr>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12.6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 years</w:t>
            </w:r>
          </w:p>
        </w:tc>
      </w:tr>
      <w:tr>
        <w:trPr>
          <w:trHeight w:val="162"/>
        </w:trPr>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4.8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 years</w:t>
            </w:r>
          </w:p>
        </w:tc>
      </w:tr>
      <w:tr>
        <w:trPr>
          <w:trHeight w:val="486"/>
        </w:trPr>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62"/>
        </w:trPr>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bl>
    <w:p>
      <w:pPr>
        <w:spacing w:after="0" w:line="442" w:lineRule="exact"/>
        <w:rPr>
          <w:sz w:val="20"/>
          <w:szCs w:val="20"/>
          <w:color w:val="auto"/>
        </w:rPr>
      </w:pPr>
    </w:p>
    <w:p>
      <w:pPr>
        <w:sectPr>
          <w:pgSz w:w="11900" w:h="16838" w:orient="portrait"/>
          <w:cols w:equalWidth="0" w:num="2">
            <w:col w:w="4600" w:space="420"/>
            <w:col w:w="3999"/>
          </w:cols>
          <w:pgMar w:left="1440" w:top="390" w:right="1440" w:bottom="1440" w:gutter="0" w:footer="0" w:header="0"/>
          <w:type w:val="continuous"/>
        </w:sectPr>
      </w:pPr>
    </w:p>
    <w:tbl>
      <w:tblPr>
        <w:tblLayout w:type="fixed"/>
        <w:tblInd w:w="460" w:type="dxa"/>
        <w:tblCellMar>
          <w:top w:w="0" w:type="dxa"/>
          <w:left w:w="0" w:type="dxa"/>
          <w:bottom w:w="0" w:type="dxa"/>
          <w:right w:w="0" w:type="dxa"/>
        </w:tblCellMar>
      </w:tblPr>
      <w:tr>
        <w:trPr>
          <w:trHeight w:val="134"/>
        </w:trPr>
        <w:tc>
          <w:tcPr>
            <w:tcW w:w="4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Operating Leases</w:t>
            </w:r>
          </w:p>
        </w:tc>
        <w:tc>
          <w:tcPr>
            <w:tcW w:w="200" w:type="dxa"/>
            <w:vAlign w:val="bottom"/>
          </w:tcPr>
          <w:p>
            <w:pPr>
              <w:spacing w:after="0"/>
              <w:rPr>
                <w:sz w:val="11"/>
                <w:szCs w:val="11"/>
                <w:color w:val="auto"/>
              </w:rPr>
            </w:pP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Financing Leases</w:t>
            </w:r>
          </w:p>
        </w:tc>
      </w:tr>
      <w:tr>
        <w:trPr>
          <w:trHeight w:val="142"/>
        </w:trPr>
        <w:tc>
          <w:tcPr>
            <w:tcW w:w="46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 (excluding the nine months ended September 30, 2024)</w:t>
            </w: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w:t>
            </w:r>
          </w:p>
        </w:tc>
      </w:tr>
      <w:tr>
        <w:trPr>
          <w:trHeight w:val="144"/>
        </w:trPr>
        <w:tc>
          <w:tcPr>
            <w:tcW w:w="4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18,858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w:t>
            </w:r>
          </w:p>
        </w:tc>
      </w:tr>
      <w:tr>
        <w:trPr>
          <w:trHeight w:val="144"/>
        </w:trPr>
        <w:tc>
          <w:tcPr>
            <w:tcW w:w="4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w:t>
            </w:r>
          </w:p>
        </w:tc>
      </w:tr>
      <w:tr>
        <w:trPr>
          <w:trHeight w:val="144"/>
        </w:trPr>
        <w:tc>
          <w:tcPr>
            <w:tcW w:w="4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w:t>
            </w:r>
          </w:p>
        </w:tc>
      </w:tr>
      <w:tr>
        <w:trPr>
          <w:trHeight w:val="144"/>
        </w:trPr>
        <w:tc>
          <w:tcPr>
            <w:tcW w:w="4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w:t>
            </w:r>
          </w:p>
        </w:tc>
      </w:tr>
      <w:tr>
        <w:trPr>
          <w:trHeight w:val="144"/>
        </w:trPr>
        <w:tc>
          <w:tcPr>
            <w:tcW w:w="460" w:type="dxa"/>
            <w:vAlign w:val="bottom"/>
          </w:tcPr>
          <w:p>
            <w:pPr>
              <w:spacing w:after="0"/>
              <w:rPr>
                <w:sz w:val="12"/>
                <w:szCs w:val="12"/>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84,025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2,145</w:t>
            </w:r>
          </w:p>
        </w:tc>
      </w:tr>
      <w:tr>
        <w:trPr>
          <w:trHeight w:val="133"/>
        </w:trPr>
        <w:tc>
          <w:tcPr>
            <w:tcW w:w="460" w:type="dxa"/>
            <w:vAlign w:val="bottom"/>
          </w:tcPr>
          <w:p>
            <w:pPr>
              <w:spacing w:after="0"/>
              <w:rPr>
                <w:sz w:val="11"/>
                <w:szCs w:val="11"/>
                <w:color w:val="auto"/>
              </w:rPr>
            </w:pPr>
          </w:p>
        </w:tc>
        <w:tc>
          <w:tcPr>
            <w:tcW w:w="4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144,279</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6,189</w:t>
            </w:r>
          </w:p>
        </w:tc>
      </w:tr>
      <w:tr>
        <w:trPr>
          <w:trHeight w:val="144"/>
        </w:trPr>
        <w:tc>
          <w:tcPr>
            <w:tcW w:w="4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20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(56,694)</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(1,431)</w:t>
            </w:r>
          </w:p>
        </w:tc>
      </w:tr>
      <w:tr>
        <w:trPr>
          <w:trHeight w:val="153"/>
        </w:trPr>
        <w:tc>
          <w:tcPr>
            <w:tcW w:w="460" w:type="dxa"/>
            <w:vAlign w:val="bottom"/>
          </w:tcPr>
          <w:p>
            <w:pPr>
              <w:spacing w:after="0"/>
              <w:rPr>
                <w:sz w:val="13"/>
                <w:szCs w:val="13"/>
                <w:color w:val="auto"/>
              </w:rPr>
            </w:pPr>
          </w:p>
        </w:tc>
        <w:tc>
          <w:tcPr>
            <w:tcW w:w="41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87,585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4,758</w:t>
            </w:r>
          </w:p>
        </w:tc>
      </w:tr>
      <w:tr>
        <w:trPr>
          <w:trHeight w:val="275"/>
        </w:trPr>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Maturities of lease liabilities as of December 31, 2023 were as follows (in thousands):</w:t>
            </w: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6"/>
        </w:trPr>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Operating Leases</w:t>
            </w:r>
          </w:p>
        </w:tc>
        <w:tc>
          <w:tcPr>
            <w:tcW w:w="200" w:type="dxa"/>
            <w:vAlign w:val="bottom"/>
          </w:tcPr>
          <w:p>
            <w:pPr>
              <w:spacing w:after="0"/>
              <w:rPr>
                <w:sz w:val="24"/>
                <w:szCs w:val="24"/>
                <w:color w:val="auto"/>
              </w:rPr>
            </w:pP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Financing Leases</w:t>
            </w:r>
          </w:p>
        </w:tc>
      </w:tr>
      <w:tr>
        <w:trPr>
          <w:trHeight w:val="144"/>
        </w:trPr>
        <w:tc>
          <w:tcPr>
            <w:tcW w:w="46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18,048</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2,030</w:t>
            </w:r>
          </w:p>
        </w:tc>
      </w:tr>
      <w:tr>
        <w:trPr>
          <w:trHeight w:val="144"/>
        </w:trPr>
        <w:tc>
          <w:tcPr>
            <w:tcW w:w="4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16,022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1,488</w:t>
            </w:r>
          </w:p>
        </w:tc>
      </w:tr>
      <w:tr>
        <w:trPr>
          <w:trHeight w:val="144"/>
        </w:trPr>
        <w:tc>
          <w:tcPr>
            <w:tcW w:w="4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w:t>
            </w:r>
          </w:p>
        </w:tc>
      </w:tr>
      <w:tr>
        <w:trPr>
          <w:trHeight w:val="144"/>
        </w:trPr>
        <w:tc>
          <w:tcPr>
            <w:tcW w:w="4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9,327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w:t>
            </w:r>
          </w:p>
        </w:tc>
      </w:tr>
      <w:tr>
        <w:trPr>
          <w:trHeight w:val="144"/>
        </w:trPr>
        <w:tc>
          <w:tcPr>
            <w:tcW w:w="4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r>
      <w:tr>
        <w:trPr>
          <w:trHeight w:val="144"/>
        </w:trPr>
        <w:tc>
          <w:tcPr>
            <w:tcW w:w="460" w:type="dxa"/>
            <w:vAlign w:val="bottom"/>
          </w:tcPr>
          <w:p>
            <w:pPr>
              <w:spacing w:after="0"/>
              <w:rPr>
                <w:sz w:val="12"/>
                <w:szCs w:val="12"/>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80,637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2,145</w:t>
            </w:r>
          </w:p>
        </w:tc>
      </w:tr>
      <w:tr>
        <w:trPr>
          <w:trHeight w:val="133"/>
        </w:trPr>
        <w:tc>
          <w:tcPr>
            <w:tcW w:w="460" w:type="dxa"/>
            <w:vAlign w:val="bottom"/>
          </w:tcPr>
          <w:p>
            <w:pPr>
              <w:spacing w:after="0"/>
              <w:rPr>
                <w:sz w:val="11"/>
                <w:szCs w:val="11"/>
                <w:color w:val="auto"/>
              </w:rPr>
            </w:pPr>
          </w:p>
        </w:tc>
        <w:tc>
          <w:tcPr>
            <w:tcW w:w="4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143,596</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7,303</w:t>
            </w:r>
          </w:p>
        </w:tc>
      </w:tr>
      <w:tr>
        <w:trPr>
          <w:trHeight w:val="162"/>
        </w:trPr>
        <w:tc>
          <w:tcPr>
            <w:tcW w:w="46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(57,133)</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w:t>
            </w:r>
          </w:p>
        </w:tc>
      </w:tr>
      <w:tr>
        <w:trPr>
          <w:trHeight w:val="140"/>
        </w:trPr>
        <w:tc>
          <w:tcPr>
            <w:tcW w:w="460" w:type="dxa"/>
            <w:vAlign w:val="bottom"/>
          </w:tcPr>
          <w:p>
            <w:pPr>
              <w:spacing w:after="0"/>
              <w:rPr>
                <w:sz w:val="12"/>
                <w:szCs w:val="12"/>
                <w:color w:val="auto"/>
              </w:rPr>
            </w:pPr>
          </w:p>
        </w:tc>
        <w:tc>
          <w:tcPr>
            <w:tcW w:w="41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86,463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5,641</w:t>
            </w:r>
          </w:p>
        </w:tc>
      </w:tr>
    </w:tbl>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the Company did not have any material operating or finance leases that have not yet commenced.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Lessor Disclosure</w:t>
      </w:r>
    </w:p>
    <w:p>
      <w:pPr>
        <w:spacing w:after="0" w:line="170"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The Company is the lessor in agreements to lease the use of its network assets including its wireless cell sites and buildings. For the nine months ended September 30, 2024 and 2023, the Company recorded $6.3 million and $5.8 million, respectively, of lease income from agreements in which the Company is the lessor. For the three months ended September 30, 2024 and 2023, the Company recorded $2.1 million and $1.9 million, respectively, of lease income from agreements in which the Company is the lessor. Lease income is classified as Carrier Services revenue in the statement of operations.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presents the maturities of future undiscounted lease payments for the periods indicated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 (excluding the nine months ended September 30, 2024)</w:t>
            </w:r>
          </w:p>
        </w:tc>
        <w:tc>
          <w:tcPr>
            <w:tcW w:w="78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1,837</w:t>
            </w: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7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7,178</w:t>
            </w: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6,848</w:t>
            </w: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7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5,624</w:t>
            </w: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5,228</w:t>
            </w:r>
          </w:p>
        </w:tc>
      </w:tr>
      <w:tr>
        <w:trPr>
          <w:trHeight w:val="144"/>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13,568</w:t>
            </w:r>
          </w:p>
        </w:tc>
      </w:tr>
      <w:tr>
        <w:trPr>
          <w:trHeight w:val="140"/>
        </w:trPr>
        <w:tc>
          <w:tcPr>
            <w:tcW w:w="53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future lease payments</w:t>
            </w:r>
          </w:p>
        </w:tc>
        <w:tc>
          <w:tcPr>
            <w:tcW w:w="780" w:type="dxa"/>
            <w:vAlign w:val="bottom"/>
            <w:tcBorders>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40,283</w:t>
            </w:r>
          </w:p>
        </w:tc>
      </w:tr>
    </w:tbl>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5. USE OF ESTIMATES</w:t>
      </w:r>
    </w:p>
    <w:p>
      <w:pPr>
        <w:spacing w:after="0" w:line="181" w:lineRule="exact"/>
        <w:rPr>
          <w:sz w:val="20"/>
          <w:szCs w:val="20"/>
          <w:color w:val="auto"/>
        </w:rPr>
      </w:pPr>
    </w:p>
    <w:p>
      <w:pPr>
        <w:ind w:left="20" w:right="99" w:firstLine="432"/>
        <w:spacing w:after="0" w:line="257"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6. FAIR VALUE MEASUREMENTS AND INVESTMENTS</w:t>
      </w:r>
    </w:p>
    <w:p>
      <w:pPr>
        <w:spacing w:after="0" w:line="181" w:lineRule="exact"/>
        <w:rPr>
          <w:sz w:val="20"/>
          <w:szCs w:val="20"/>
          <w:color w:val="auto"/>
        </w:rPr>
      </w:pPr>
    </w:p>
    <w:p>
      <w:pPr>
        <w:ind w:left="20" w:right="319" w:firstLine="432"/>
        <w:spacing w:after="0" w:line="327" w:lineRule="auto"/>
        <w:rPr>
          <w:sz w:val="20"/>
          <w:szCs w:val="20"/>
          <w:color w:val="auto"/>
        </w:rPr>
      </w:pPr>
      <w:r>
        <w:rPr>
          <w:rFonts w:ascii="Times New Roman" w:cs="Times New Roman" w:eastAsia="Times New Roman" w:hAnsi="Times New Roman"/>
          <w:sz w:val="11"/>
          <w:szCs w:val="11"/>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05"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20" w:lineRule="exact"/>
        <w:rPr>
          <w:sz w:val="20"/>
          <w:szCs w:val="20"/>
          <w:color w:val="auto"/>
        </w:rPr>
      </w:pPr>
    </w:p>
    <w:p>
      <w:pPr>
        <w:ind w:left="1560" w:right="1699" w:hanging="674"/>
        <w:spacing w:after="0" w:line="260" w:lineRule="auto"/>
        <w:tabs>
          <w:tab w:leader="none" w:pos="1540" w:val="left"/>
        </w:tabs>
        <w:rPr>
          <w:sz w:val="20"/>
          <w:szCs w:val="20"/>
          <w:color w:val="auto"/>
        </w:rPr>
      </w:pPr>
      <w:r>
        <w:rPr>
          <w:rFonts w:ascii="Times New Roman" w:cs="Times New Roman" w:eastAsia="Times New Roman" w:hAnsi="Times New Roman"/>
          <w:sz w:val="12"/>
          <w:szCs w:val="12"/>
          <w:color w:val="auto"/>
        </w:rPr>
        <w:t>Level 1</w:t>
      </w:r>
      <w:r>
        <w:rPr>
          <w:sz w:val="20"/>
          <w:szCs w:val="20"/>
          <w:color w:val="auto"/>
        </w:rPr>
        <w:tab/>
      </w:r>
      <w:r>
        <w:rPr>
          <w:rFonts w:ascii="Times New Roman" w:cs="Times New Roman" w:eastAsia="Times New Roman" w:hAnsi="Times New Roman"/>
          <w:sz w:val="12"/>
          <w:szCs w:val="12"/>
          <w:color w:val="auto"/>
        </w:rPr>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66" w:lineRule="exact"/>
        <w:rPr>
          <w:sz w:val="20"/>
          <w:szCs w:val="20"/>
          <w:color w:val="auto"/>
        </w:rPr>
      </w:pPr>
    </w:p>
    <w:p>
      <w:pPr>
        <w:ind w:left="1560" w:right="1659" w:hanging="674"/>
        <w:spacing w:after="0" w:line="255" w:lineRule="auto"/>
        <w:tabs>
          <w:tab w:leader="none" w:pos="1540" w:val="left"/>
        </w:tabs>
        <w:rPr>
          <w:sz w:val="20"/>
          <w:szCs w:val="20"/>
          <w:color w:val="auto"/>
        </w:rPr>
      </w:pPr>
      <w:r>
        <w:rPr>
          <w:rFonts w:ascii="Times New Roman" w:cs="Times New Roman" w:eastAsia="Times New Roman" w:hAnsi="Times New Roman"/>
          <w:sz w:val="12"/>
          <w:szCs w:val="12"/>
          <w:color w:val="auto"/>
        </w:rPr>
        <w:t>Level 2</w:t>
      </w:r>
      <w:r>
        <w:rPr>
          <w:sz w:val="20"/>
          <w:szCs w:val="20"/>
          <w:color w:val="auto"/>
        </w:rPr>
        <w:tab/>
      </w:r>
      <w:r>
        <w:rPr>
          <w:rFonts w:ascii="Times New Roman" w:cs="Times New Roman" w:eastAsia="Times New Roman" w:hAnsi="Times New Roman"/>
          <w:sz w:val="12"/>
          <w:szCs w:val="12"/>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 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560" w:right="1659" w:hanging="674"/>
        <w:spacing w:after="0" w:line="291" w:lineRule="auto"/>
        <w:tabs>
          <w:tab w:leader="none" w:pos="1540" w:val="left"/>
        </w:tabs>
        <w:rPr>
          <w:sz w:val="20"/>
          <w:szCs w:val="20"/>
          <w:color w:val="auto"/>
        </w:rPr>
      </w:pPr>
      <w:r>
        <w:rPr>
          <w:rFonts w:ascii="Times New Roman" w:cs="Times New Roman" w:eastAsia="Times New Roman" w:hAnsi="Times New Roman"/>
          <w:sz w:val="12"/>
          <w:szCs w:val="12"/>
          <w:color w:val="auto"/>
        </w:rPr>
        <w:t>Level 3</w:t>
      </w:r>
      <w:r>
        <w:rPr>
          <w:sz w:val="20"/>
          <w:szCs w:val="20"/>
          <w:color w:val="auto"/>
        </w:rPr>
        <w:tab/>
      </w:r>
      <w:r>
        <w:rPr>
          <w:rFonts w:ascii="Times New Roman" w:cs="Times New Roman" w:eastAsia="Times New Roman" w:hAnsi="Times New Roman"/>
          <w:sz w:val="11"/>
          <w:szCs w:val="11"/>
          <w:color w:val="auto"/>
        </w:rPr>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Assets and liabilities of the Company measured at fair value on a recurring basis as of September 30, 2024 and December 31, 2023 are summarized as follows (in thousands):</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4"/>
          </w:tcPr>
          <w:p>
            <w:pPr>
              <w:jc w:val="center"/>
              <w:ind w:right="383"/>
              <w:spacing w:after="0"/>
              <w:rPr>
                <w:sz w:val="20"/>
                <w:szCs w:val="20"/>
                <w:color w:val="auto"/>
              </w:rPr>
            </w:pPr>
            <w:r>
              <w:rPr>
                <w:rFonts w:ascii="Times New Roman" w:cs="Times New Roman" w:eastAsia="Times New Roman" w:hAnsi="Times New Roman"/>
                <w:sz w:val="10"/>
                <w:szCs w:val="10"/>
                <w:b w:val="1"/>
                <w:bCs w:val="1"/>
                <w:color w:val="auto"/>
                <w:w w:val="95"/>
              </w:rPr>
              <w:t>September 30, 2024</w:t>
            </w: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jc w:val="center"/>
              <w:ind w:left="325"/>
              <w:spacing w:after="0"/>
              <w:rPr>
                <w:sz w:val="20"/>
                <w:szCs w:val="20"/>
                <w:color w:val="auto"/>
              </w:rPr>
            </w:pPr>
            <w:r>
              <w:rPr>
                <w:rFonts w:ascii="Times New Roman" w:cs="Times New Roman" w:eastAsia="Times New Roman" w:hAnsi="Times New Roman"/>
                <w:sz w:val="10"/>
                <w:szCs w:val="10"/>
                <w:b w:val="1"/>
                <w:bCs w:val="1"/>
                <w:color w:val="auto"/>
                <w:w w:val="94"/>
              </w:rPr>
              <w:t>Significant Other</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63"/>
              <w:spacing w:after="0" w:line="110" w:lineRule="exact"/>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105"/>
              <w:spacing w:after="0" w:line="110" w:lineRule="exact"/>
              <w:rPr>
                <w:sz w:val="20"/>
                <w:szCs w:val="20"/>
                <w:color w:val="auto"/>
              </w:rPr>
            </w:pPr>
            <w:r>
              <w:rPr>
                <w:rFonts w:ascii="Times New Roman" w:cs="Times New Roman" w:eastAsia="Times New Roman" w:hAnsi="Times New Roman"/>
                <w:sz w:val="10"/>
                <w:szCs w:val="10"/>
                <w:b w:val="1"/>
                <w:bCs w:val="1"/>
                <w:color w:val="auto"/>
                <w:w w:val="93"/>
              </w:rPr>
              <w:t>Observable</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right="163"/>
              <w:spacing w:after="0" w:line="110" w:lineRule="exact"/>
              <w:rPr>
                <w:sz w:val="20"/>
                <w:szCs w:val="20"/>
                <w:color w:val="auto"/>
              </w:rPr>
            </w:pPr>
            <w:r>
              <w:rPr>
                <w:rFonts w:ascii="Times New Roman" w:cs="Times New Roman" w:eastAsia="Times New Roman" w:hAnsi="Times New Roman"/>
                <w:sz w:val="10"/>
                <w:szCs w:val="10"/>
                <w:b w:val="1"/>
                <w:bCs w:val="1"/>
                <w:color w:val="auto"/>
                <w:w w:val="98"/>
              </w:rPr>
              <w:t>Unobservable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jc w:val="center"/>
              <w:ind w:right="63"/>
              <w:spacing w:after="0" w:line="99" w:lineRule="exact"/>
              <w:rPr>
                <w:sz w:val="20"/>
                <w:szCs w:val="20"/>
                <w:color w:val="auto"/>
              </w:rPr>
            </w:pPr>
            <w:r>
              <w:rPr>
                <w:rFonts w:ascii="Times New Roman" w:cs="Times New Roman" w:eastAsia="Times New Roman" w:hAnsi="Times New Roman"/>
                <w:sz w:val="10"/>
                <w:szCs w:val="10"/>
                <w:b w:val="1"/>
                <w:bCs w:val="1"/>
                <w:color w:val="auto"/>
                <w:w w:val="97"/>
              </w:rPr>
              <w:t>Active Markets</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center"/>
              <w:ind w:right="105"/>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right="163"/>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restart"/>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90"/>
              </w:rPr>
              <w:t>(Level 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ind w:right="163"/>
              <w:spacing w:after="0"/>
              <w:rPr>
                <w:sz w:val="20"/>
                <w:szCs w:val="20"/>
                <w:color w:val="auto"/>
              </w:rPr>
            </w:pPr>
            <w:r>
              <w:rPr>
                <w:rFonts w:ascii="Times New Roman" w:cs="Times New Roman" w:eastAsia="Times New Roman" w:hAnsi="Times New Roman"/>
                <w:sz w:val="10"/>
                <w:szCs w:val="10"/>
                <w:b w:val="1"/>
                <w:bCs w:val="1"/>
                <w:color w:val="auto"/>
                <w:w w:val="90"/>
              </w:rPr>
              <w:t>(Level 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Short term investments</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Employee benefit plan investments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Alaska Communications redeemable common 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Alloy redeemable common units (1)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Warrants on Alaska Communications redeemable common units</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 and liabilities measured at fair value</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3,110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(11,083)</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(9,935)</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center"/>
              <w:ind w:right="363"/>
              <w:spacing w:after="0"/>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restart"/>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3"/>
          </w:tcPr>
          <w:p>
            <w:pPr>
              <w:jc w:val="center"/>
              <w:ind w:left="325"/>
              <w:spacing w:after="0" w:line="72" w:lineRule="exact"/>
              <w:rPr>
                <w:sz w:val="20"/>
                <w:szCs w:val="20"/>
                <w:color w:val="auto"/>
              </w:rPr>
            </w:pPr>
            <w:r>
              <w:rPr>
                <w:rFonts w:ascii="Times New Roman" w:cs="Times New Roman" w:eastAsia="Times New Roman" w:hAnsi="Times New Roman"/>
                <w:sz w:val="8"/>
                <w:szCs w:val="8"/>
                <w:b w:val="1"/>
                <w:bCs w:val="1"/>
                <w:color w:val="auto"/>
              </w:rPr>
              <w:t>Significant Other</w:t>
            </w:r>
          </w:p>
        </w:tc>
        <w:tc>
          <w:tcPr>
            <w:tcW w:w="800" w:type="dxa"/>
            <w:vAlign w:val="bottom"/>
            <w:vMerge w:val="restart"/>
          </w:tcPr>
          <w:p>
            <w:pPr>
              <w:jc w:val="center"/>
              <w:ind w:right="163"/>
              <w:spacing w:after="0"/>
              <w:rPr>
                <w:sz w:val="20"/>
                <w:szCs w:val="20"/>
                <w:color w:val="auto"/>
              </w:rPr>
            </w:pPr>
            <w:r>
              <w:rPr>
                <w:rFonts w:ascii="Times New Roman" w:cs="Times New Roman" w:eastAsia="Times New Roman" w:hAnsi="Times New Roman"/>
                <w:sz w:val="10"/>
                <w:szCs w:val="10"/>
                <w:b w:val="1"/>
                <w:bCs w:val="1"/>
                <w:color w:val="auto"/>
                <w:w w:val="98"/>
              </w:rPr>
              <w:t>Unobservable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center"/>
              <w:ind w:right="105"/>
              <w:spacing w:after="0" w:line="99" w:lineRule="exact"/>
              <w:rPr>
                <w:sz w:val="20"/>
                <w:szCs w:val="20"/>
                <w:color w:val="auto"/>
              </w:rPr>
            </w:pPr>
            <w:r>
              <w:rPr>
                <w:rFonts w:ascii="Times New Roman" w:cs="Times New Roman" w:eastAsia="Times New Roman" w:hAnsi="Times New Roman"/>
                <w:sz w:val="10"/>
                <w:szCs w:val="10"/>
                <w:b w:val="1"/>
                <w:bCs w:val="1"/>
                <w:color w:val="auto"/>
                <w:w w:val="93"/>
              </w:rPr>
              <w:t>Observable</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jc w:val="center"/>
              <w:ind w:right="63"/>
              <w:spacing w:after="0" w:line="99" w:lineRule="exact"/>
              <w:rPr>
                <w:sz w:val="20"/>
                <w:szCs w:val="20"/>
                <w:color w:val="auto"/>
              </w:rPr>
            </w:pPr>
            <w:r>
              <w:rPr>
                <w:rFonts w:ascii="Times New Roman" w:cs="Times New Roman" w:eastAsia="Times New Roman" w:hAnsi="Times New Roman"/>
                <w:sz w:val="10"/>
                <w:szCs w:val="10"/>
                <w:b w:val="1"/>
                <w:bCs w:val="1"/>
                <w:color w:val="auto"/>
                <w:w w:val="97"/>
              </w:rPr>
              <w:t>Active Markets</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center"/>
              <w:ind w:right="105"/>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right="163"/>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restart"/>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90"/>
              </w:rPr>
              <w:t>(Level 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ind w:right="163"/>
              <w:spacing w:after="0"/>
              <w:rPr>
                <w:sz w:val="20"/>
                <w:szCs w:val="20"/>
                <w:color w:val="auto"/>
              </w:rPr>
            </w:pPr>
            <w:r>
              <w:rPr>
                <w:rFonts w:ascii="Times New Roman" w:cs="Times New Roman" w:eastAsia="Times New Roman" w:hAnsi="Times New Roman"/>
                <w:sz w:val="10"/>
                <w:szCs w:val="10"/>
                <w:b w:val="1"/>
                <w:bCs w:val="1"/>
                <w:color w:val="auto"/>
                <w:w w:val="90"/>
              </w:rPr>
              <w:t>(Level 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Short term investments</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investments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Employee benefit plan investments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Alaska Communications redeemable common units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(11,063)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Alloy redeemable common units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Warrants on Alaska Communications redeemable common units</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0" w:type="dxa"/>
            <w:vAlign w:val="bottom"/>
          </w:tcPr>
          <w:p>
            <w:pPr>
              <w:spacing w:after="0"/>
              <w:rPr>
                <w:sz w:val="1"/>
                <w:szCs w:val="1"/>
                <w:color w:val="auto"/>
              </w:rPr>
            </w:pPr>
          </w:p>
        </w:tc>
      </w:tr>
      <w:tr>
        <w:trPr>
          <w:trHeight w:val="140"/>
        </w:trPr>
        <w:tc>
          <w:tcPr>
            <w:tcW w:w="39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 and liabilities measured at fair value</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3,314</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(1,750)</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(24,875)</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(23,311)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redeemable common units in Alloy, Inc. (“Alloy”), the parent company of our operations in the western United States.</w:t>
      </w:r>
    </w:p>
    <w:p>
      <w:pPr>
        <w:spacing w:after="0" w:line="200" w:lineRule="exact"/>
        <w:rPr>
          <w:rFonts w:ascii="Times New Roman" w:cs="Times New Roman" w:eastAsia="Times New Roman" w:hAnsi="Times New Roman"/>
          <w:sz w:val="12"/>
          <w:szCs w:val="12"/>
          <w:color w:val="auto"/>
        </w:rPr>
      </w:pPr>
    </w:p>
    <w:p>
      <w:pPr>
        <w:spacing w:after="0" w:line="238"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Other Investments</w:t>
      </w:r>
    </w:p>
    <w:p>
      <w:pPr>
        <w:spacing w:after="0" w:line="179" w:lineRule="exact"/>
        <w:rPr>
          <w:sz w:val="20"/>
          <w:szCs w:val="20"/>
          <w:color w:val="auto"/>
        </w:rPr>
      </w:pPr>
    </w:p>
    <w:p>
      <w:pPr>
        <w:ind w:left="20" w:right="199" w:firstLine="432"/>
        <w:spacing w:after="0" w:line="260" w:lineRule="auto"/>
        <w:rPr>
          <w:sz w:val="20"/>
          <w:szCs w:val="20"/>
          <w:color w:val="auto"/>
        </w:rPr>
      </w:pPr>
      <w:r>
        <w:rPr>
          <w:rFonts w:ascii="Times New Roman" w:cs="Times New Roman" w:eastAsia="Times New Roman" w:hAnsi="Times New Roman"/>
          <w:sz w:val="12"/>
          <w:szCs w:val="12"/>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 (in thousands):</w:t>
      </w:r>
    </w:p>
    <w:p>
      <w:pPr>
        <w:spacing w:after="0" w:line="334"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Investments without</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 readily</w:t>
            </w:r>
          </w:p>
        </w:tc>
        <w:tc>
          <w:tcPr>
            <w:tcW w:w="120" w:type="dxa"/>
            <w:vAlign w:val="bottom"/>
          </w:tcPr>
          <w:p>
            <w:pPr>
              <w:spacing w:after="0"/>
              <w:rPr>
                <w:sz w:val="8"/>
                <w:szCs w:val="8"/>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Pr>
          <w:p>
            <w:pPr>
              <w:spacing w:after="0"/>
              <w:rPr>
                <w:sz w:val="8"/>
                <w:szCs w:val="8"/>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Equity method</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determinable fair</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120" w:type="dxa"/>
            <w:vAlign w:val="bottom"/>
          </w:tcPr>
          <w:p>
            <w:pPr>
              <w:spacing w:after="0"/>
              <w:rPr>
                <w:sz w:val="10"/>
                <w:szCs w:val="1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investments</w:t>
            </w: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investments</w:t>
            </w: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4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2023</w:t>
            </w: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41,710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42,907</w:t>
            </w:r>
          </w:p>
        </w:tc>
        <w:tc>
          <w:tcPr>
            <w:tcW w:w="0" w:type="dxa"/>
            <w:vAlign w:val="bottom"/>
          </w:tcPr>
          <w:p>
            <w:pPr>
              <w:spacing w:after="0"/>
              <w:rPr>
                <w:sz w:val="1"/>
                <w:szCs w:val="1"/>
                <w:color w:val="auto"/>
              </w:rPr>
            </w:pPr>
          </w:p>
        </w:tc>
      </w:tr>
      <w:tr>
        <w:trPr>
          <w:trHeight w:val="144"/>
        </w:trPr>
        <w:tc>
          <w:tcPr>
            <w:tcW w:w="3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recognized</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Distributions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(602)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0" w:type="dxa"/>
            <w:vAlign w:val="bottom"/>
          </w:tcPr>
          <w:p>
            <w:pPr>
              <w:spacing w:after="0"/>
              <w:rPr>
                <w:sz w:val="1"/>
                <w:szCs w:val="1"/>
                <w:color w:val="auto"/>
              </w:rPr>
            </w:pPr>
          </w:p>
        </w:tc>
      </w:tr>
      <w:tr>
        <w:trPr>
          <w:trHeight w:val="144"/>
        </w:trPr>
        <w:tc>
          <w:tcPr>
            <w:tcW w:w="3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Sale of investment</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(790)</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0" w:type="dxa"/>
            <w:vAlign w:val="bottom"/>
          </w:tcPr>
          <w:p>
            <w:pPr>
              <w:spacing w:after="0"/>
              <w:rPr>
                <w:sz w:val="1"/>
                <w:szCs w:val="1"/>
                <w:color w:val="auto"/>
              </w:rPr>
            </w:pPr>
          </w:p>
        </w:tc>
      </w:tr>
      <w:tr>
        <w:trPr>
          <w:trHeight w:val="140"/>
        </w:trPr>
        <w:tc>
          <w:tcPr>
            <w:tcW w:w="34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September 30, 2024</w:t>
            </w:r>
          </w:p>
        </w:tc>
        <w:tc>
          <w:tcPr>
            <w:tcW w:w="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41,757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41,757</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December 31,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38,169</w:t>
            </w:r>
          </w:p>
        </w:tc>
        <w:tc>
          <w:tcPr>
            <w:tcW w:w="0" w:type="dxa"/>
            <w:vAlign w:val="bottom"/>
          </w:tcPr>
          <w:p>
            <w:pPr>
              <w:spacing w:after="0"/>
              <w:rPr>
                <w:sz w:val="1"/>
                <w:szCs w:val="1"/>
                <w:color w:val="auto"/>
              </w:rPr>
            </w:pPr>
          </w:p>
        </w:tc>
      </w:tr>
      <w:tr>
        <w:trPr>
          <w:trHeight w:val="144"/>
        </w:trPr>
        <w:tc>
          <w:tcPr>
            <w:tcW w:w="3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recognized</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2,752</w:t>
            </w: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Contributions / (distributions)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(567)</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w:t>
            </w:r>
          </w:p>
        </w:tc>
        <w:tc>
          <w:tcPr>
            <w:tcW w:w="0" w:type="dxa"/>
            <w:vAlign w:val="bottom"/>
          </w:tcPr>
          <w:p>
            <w:pPr>
              <w:spacing w:after="0"/>
              <w:rPr>
                <w:sz w:val="1"/>
                <w:szCs w:val="1"/>
                <w:color w:val="auto"/>
              </w:rPr>
            </w:pPr>
          </w:p>
        </w:tc>
      </w:tr>
      <w:tr>
        <w:trPr>
          <w:trHeight w:val="144"/>
        </w:trPr>
        <w:tc>
          <w:tcPr>
            <w:tcW w:w="3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currency gain</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Reclassification of foreign currency losses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0" w:type="dxa"/>
            <w:vAlign w:val="bottom"/>
          </w:tcPr>
          <w:p>
            <w:pPr>
              <w:spacing w:after="0"/>
              <w:rPr>
                <w:sz w:val="1"/>
                <w:szCs w:val="1"/>
                <w:color w:val="auto"/>
              </w:rPr>
            </w:pPr>
          </w:p>
        </w:tc>
      </w:tr>
      <w:tr>
        <w:trPr>
          <w:trHeight w:val="144"/>
        </w:trPr>
        <w:tc>
          <w:tcPr>
            <w:tcW w:w="34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Transfers</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16,264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(16,264)</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34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September 30, 2023</w:t>
            </w:r>
          </w:p>
        </w:tc>
        <w:tc>
          <w:tcPr>
            <w:tcW w:w="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41,709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42,987</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2023, the Company lost the ability to exert significant influence over its India solar investment. As a result, the Company transferred $16.3 million from equity method investments to investments without a readily determinable fair value and the accounting for the investment changed to the cost method from the equity method of accounting.</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These investments are included with other assets on the consolidated balance sheets.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Redeemable Common Units and Warrants</w:t>
      </w:r>
    </w:p>
    <w:p>
      <w:pPr>
        <w:spacing w:after="0" w:line="172" w:lineRule="exact"/>
        <w:rPr>
          <w:sz w:val="20"/>
          <w:szCs w:val="20"/>
          <w:color w:val="auto"/>
        </w:rPr>
      </w:pPr>
    </w:p>
    <w:p>
      <w:pPr>
        <w:ind w:left="20" w:right="239" w:firstLine="432"/>
        <w:spacing w:after="0" w:line="257" w:lineRule="auto"/>
        <w:rPr>
          <w:sz w:val="20"/>
          <w:szCs w:val="20"/>
          <w:color w:val="auto"/>
        </w:rPr>
      </w:pPr>
      <w:r>
        <w:rPr>
          <w:rFonts w:ascii="Times New Roman" w:cs="Times New Roman" w:eastAsia="Times New Roman" w:hAnsi="Times New Roman"/>
          <w:sz w:val="12"/>
          <w:szCs w:val="12"/>
          <w:color w:val="auto"/>
        </w:rPr>
        <w:t>The Company has issued redeemable common units, and warrants to purchase additional common units, in consolidated subsidiaries of the Company.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 in November 2026. The put options for the Alaska Communications redeemable common units begin the earlier of a public offering or July 2028. The Company calculates the fair value of the instruments using a combination of market and discounted cash flows approaches with Level 3 inputs.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Fair Value Disclosures</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fair value of long-term debt is estimated using Level 2 inputs. At September 30, 2024, the fair value of long-term debt, including the current portion, was $575.6 million and its book value was $568.9 million. At December 31, 2023, the fair value of long-term debt, including the current portion, was $525.1 million and its book value was $516.9 million.</w:t>
      </w:r>
    </w:p>
    <w:p>
      <w:pPr>
        <w:spacing w:after="0" w:line="138" w:lineRule="exact"/>
        <w:rPr>
          <w:sz w:val="20"/>
          <w:szCs w:val="20"/>
          <w:color w:val="auto"/>
        </w:rPr>
      </w:pPr>
    </w:p>
    <w:p>
      <w:pPr>
        <w:ind w:left="20" w:right="379" w:firstLine="432"/>
        <w:spacing w:after="0" w:line="265" w:lineRule="auto"/>
        <w:rPr>
          <w:sz w:val="20"/>
          <w:szCs w:val="20"/>
          <w:color w:val="auto"/>
        </w:rPr>
      </w:pPr>
      <w:r>
        <w:rPr>
          <w:rFonts w:ascii="Times New Roman" w:cs="Times New Roman" w:eastAsia="Times New Roman" w:hAnsi="Times New Roman"/>
          <w:sz w:val="12"/>
          <w:szCs w:val="12"/>
          <w:color w:val="auto"/>
        </w:rPr>
        <w:t>The fair value of the customer receivable credit facility is estimated using Level 2 inputs. At September 30, 2024, the fair value of the customer receivable credit facility, including the current portion, was $45.3 million and its book value was $46.2 million. At December 31, 2023, the fair value of the customer receivable credit facility, including the current portion, was $46.5 million and its book value was $46.1 million.</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7. LONG-TERM DEBT</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2023 CoBank Credit Facility</w:t>
      </w:r>
    </w:p>
    <w:p>
      <w:pPr>
        <w:spacing w:after="0" w:line="181"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On July 13, 2023, the Company, along with certain of its subsidiaries as guarantors, entered into a new Credit Agreement with CoBank, ACB and a syndicate of other lenders (as may be amended from time to time, the “2023 CoBank Credit Facility”). On July 10, 2024, the Company amended its credit facility to add certain subsidiaries as guarantors and to provide further flexibility for the Company to take on certain grant and government program obligations.</w:t>
      </w:r>
    </w:p>
    <w:p>
      <w:pPr>
        <w:spacing w:after="0" w:line="146"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Credit Facility for letters of credit, and (ii) up to $20 million under a swingline sub-facility. Upon the closing of the 2023 CoBank Credit Facility, the Company drew all of the 2023 CoBank Term Loan and approximately $13.6 million of the 2023 CoBank Revolving Loan. These borrowings were used to repay $139.5 million of debt outstanding under the 2019 CoBank Credit Facility at close.</w:t>
      </w:r>
    </w:p>
    <w:p>
      <w:pPr>
        <w:spacing w:after="0" w:line="140"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19" w:lineRule="exact"/>
        <w:rPr>
          <w:sz w:val="20"/>
          <w:szCs w:val="20"/>
          <w:color w:val="auto"/>
        </w:rPr>
      </w:pPr>
    </w:p>
    <w:tbl>
      <w:tblPr>
        <w:tblLayout w:type="fixed"/>
        <w:tblInd w:w="710" w:type="dxa"/>
        <w:tblCellMar>
          <w:top w:w="0" w:type="dxa"/>
          <w:left w:w="0" w:type="dxa"/>
          <w:bottom w:w="0" w:type="dxa"/>
          <w:right w:w="0" w:type="dxa"/>
        </w:tblCellMar>
      </w:tblPr>
      <w:tr>
        <w:trPr>
          <w:trHeight w:val="153"/>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 CoBank Term Loan Quarterly Payment Dates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2023 CoBank Term Loan Quarterly Repayments</w:t>
            </w:r>
          </w:p>
        </w:tc>
      </w:tr>
      <w:tr>
        <w:trPr>
          <w:trHeight w:val="142"/>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December 31, 2023 – June 30, 2025</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$812,500 (2.5% per annum)</w:t>
            </w:r>
          </w:p>
        </w:tc>
      </w:tr>
      <w:tr>
        <w:trPr>
          <w:trHeight w:val="142"/>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September 30, 2025 – June 30, 2026</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$1,625,000 (5% per annum)</w:t>
            </w:r>
          </w:p>
        </w:tc>
      </w:tr>
      <w:tr>
        <w:trPr>
          <w:trHeight w:val="142"/>
        </w:trPr>
        <w:tc>
          <w:tcPr>
            <w:tcW w:w="3680" w:type="dxa"/>
            <w:vAlign w:val="bottom"/>
            <w:tcBorders>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2"/>
                <w:szCs w:val="12"/>
                <w:color w:val="auto"/>
              </w:rPr>
              <w:t>September 30, 2026 – June 30, 2029</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$2,437,500 (7.5% per annum)</w:t>
            </w:r>
          </w:p>
        </w:tc>
      </w:tr>
    </w:tbl>
    <w:p>
      <w:pPr>
        <w:spacing w:after="0" w:line="160" w:lineRule="exact"/>
        <w:rPr>
          <w:sz w:val="20"/>
          <w:szCs w:val="20"/>
          <w:color w:val="auto"/>
        </w:rPr>
      </w:pPr>
    </w:p>
    <w:p>
      <w:pPr>
        <w:ind w:left="20" w:right="39" w:firstLine="432"/>
        <w:spacing w:after="0" w:line="282" w:lineRule="auto"/>
        <w:rPr>
          <w:sz w:val="20"/>
          <w:szCs w:val="20"/>
          <w:color w:val="auto"/>
        </w:rPr>
      </w:pPr>
      <w:r>
        <w:rPr>
          <w:rFonts w:ascii="Times New Roman" w:cs="Times New Roman" w:eastAsia="Times New Roman" w:hAnsi="Times New Roman"/>
          <w:sz w:val="11"/>
          <w:szCs w:val="11"/>
          <w:color w:val="auto"/>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the Company’s maximum Total Net Leverage Ratio. Under the terms of the 2023 CoBank Credit Agreement, the Company must also pay a fee ranging from 0.25% to 0.50% on the average daily unused portion of the 2023 CoBank Credit Facility over each calendar quarter.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152" w:lineRule="exact"/>
        <w:rPr>
          <w:sz w:val="20"/>
          <w:szCs w:val="20"/>
          <w:color w:val="auto"/>
        </w:rPr>
      </w:pPr>
    </w:p>
    <w:p>
      <w:pPr>
        <w:ind w:left="20" w:right="459" w:firstLine="432"/>
        <w:spacing w:after="0" w:line="279" w:lineRule="auto"/>
        <w:rPr>
          <w:sz w:val="20"/>
          <w:szCs w:val="20"/>
          <w:color w:val="auto"/>
        </w:rPr>
      </w:pPr>
      <w:r>
        <w:rPr>
          <w:rFonts w:ascii="Times New Roman" w:cs="Times New Roman" w:eastAsia="Times New Roman" w:hAnsi="Times New Roman"/>
          <w:sz w:val="12"/>
          <w:szCs w:val="12"/>
          <w:color w:val="auto"/>
        </w:rPr>
        <w:t>The Company capitalized $4.5 million of fees associated with the 2023 CoBank Credit Facility which are being amortized over the life of the debt and $3.5 million were unamortized as of September 30, 2024.</w:t>
      </w:r>
    </w:p>
    <w:p>
      <w:pPr>
        <w:spacing w:after="0" w:line="138"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Company had $126.8 million outstanding under the 2023 CoBank Term Loan as of September 30, 2024. Under the 2023 CoBank Revolving Loan, the Company had $69.1 million outstanding and $100.9 million of availability as of September 30, 2024. The Company was in compliance with all financial covenants as of September 30, 2024.</w:t>
      </w:r>
    </w:p>
    <w:p>
      <w:pPr>
        <w:spacing w:after="0" w:line="129"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In October 2023, the Company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$(0.7) million and $(0.5) million as of September 30, 2024 and December 31, 2023.</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2019 CoBank Credit Facility</w:t>
      </w:r>
    </w:p>
    <w:p>
      <w:pPr>
        <w:spacing w:after="0" w:line="181"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On April 10, 2019, the Company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140"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color w:val="auto"/>
        </w:rPr>
        <w:t>Amounts borrowed under the 2019 CoBank Credit Facility bore interest at a rate equal to, at the Company’s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the Company also paid a commitment fee ranging from 0.150% to 0.375% of the average daily unused portion of the 2019 CoBank Credit Facility over each calendar quarter.</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Letter of Credit Facility</w:t>
      </w:r>
    </w:p>
    <w:p>
      <w:pPr>
        <w:spacing w:after="0" w:line="181" w:lineRule="exact"/>
        <w:rPr>
          <w:sz w:val="20"/>
          <w:szCs w:val="20"/>
          <w:color w:val="auto"/>
        </w:rPr>
      </w:pPr>
    </w:p>
    <w:p>
      <w:pPr>
        <w:ind w:left="20" w:right="519" w:firstLine="432"/>
        <w:spacing w:after="0" w:line="279" w:lineRule="auto"/>
        <w:rPr>
          <w:sz w:val="20"/>
          <w:szCs w:val="20"/>
          <w:color w:val="auto"/>
        </w:rPr>
      </w:pPr>
      <w:r>
        <w:rPr>
          <w:rFonts w:ascii="Times New Roman" w:cs="Times New Roman" w:eastAsia="Times New Roman" w:hAnsi="Times New Roman"/>
          <w:sz w:val="12"/>
          <w:szCs w:val="12"/>
          <w:color w:val="auto"/>
        </w:rPr>
        <w:t>On November 14, 2022, the Company entered into a General Agreement of Indemnity to issue performance Standby Letters of Credit on behalf of the Company and its subsidiaries. As of September 30, 2024, $30.9 million of Standby Letters of Credit had been issued under this agreement.</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2024 Alaska Credit Facility</w:t>
      </w:r>
    </w:p>
    <w:p>
      <w:pPr>
        <w:spacing w:after="0" w:line="181" w:lineRule="exact"/>
        <w:rPr>
          <w:sz w:val="20"/>
          <w:szCs w:val="20"/>
          <w:color w:val="auto"/>
        </w:rPr>
      </w:pPr>
    </w:p>
    <w:p>
      <w:pPr>
        <w:ind w:left="20" w:right="339" w:firstLine="432"/>
        <w:spacing w:after="0" w:line="265" w:lineRule="auto"/>
        <w:rPr>
          <w:sz w:val="20"/>
          <w:szCs w:val="20"/>
          <w:color w:val="auto"/>
        </w:rPr>
      </w:pPr>
      <w:r>
        <w:rPr>
          <w:rFonts w:ascii="Times New Roman" w:cs="Times New Roman" w:eastAsia="Times New Roman" w:hAnsi="Times New Roman"/>
          <w:sz w:val="12"/>
          <w:szCs w:val="12"/>
          <w:color w:val="auto"/>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320" w:firstLine="432"/>
        <w:spacing w:after="0" w:line="265" w:lineRule="auto"/>
        <w:rPr>
          <w:sz w:val="20"/>
          <w:szCs w:val="20"/>
          <w:color w:val="auto"/>
        </w:rPr>
      </w:pPr>
      <w:r>
        <w:rPr>
          <w:rFonts w:ascii="Times New Roman" w:cs="Times New Roman" w:eastAsia="Times New Roman" w:hAnsi="Times New Roman"/>
          <w:sz w:val="12"/>
          <w:szCs w:val="12"/>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September 30, 2024, $300.0 million was outstanding under the 2024 Alaska Term Facility.</w:t>
      </w:r>
    </w:p>
    <w:p>
      <w:pPr>
        <w:spacing w:after="0" w:line="146" w:lineRule="exact"/>
        <w:rPr>
          <w:sz w:val="20"/>
          <w:szCs w:val="20"/>
          <w:color w:val="auto"/>
        </w:rPr>
      </w:pPr>
    </w:p>
    <w:p>
      <w:pPr>
        <w:ind w:left="20" w:right="1280" w:firstLine="462"/>
        <w:spacing w:after="0" w:line="260" w:lineRule="auto"/>
        <w:rPr>
          <w:sz w:val="20"/>
          <w:szCs w:val="20"/>
          <w:color w:val="auto"/>
        </w:rPr>
      </w:pPr>
      <w:r>
        <w:rPr>
          <w:rFonts w:ascii="Times New Roman" w:cs="Times New Roman" w:eastAsia="Times New Roman" w:hAnsi="Times New Roman"/>
          <w:sz w:val="12"/>
          <w:szCs w:val="12"/>
          <w:color w:val="auto"/>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September 30, 2024, there were no outstanding borrowings under the 2024 Alaska Revolving Facility and $1.3 million of letters of credit were issued. As a result, $88.7 million was available under the 2024 Alaska Revolving Facility as of September 30, 2024.</w:t>
      </w:r>
    </w:p>
    <w:p>
      <w:pPr>
        <w:spacing w:after="0" w:line="149" w:lineRule="exact"/>
        <w:rPr>
          <w:sz w:val="20"/>
          <w:szCs w:val="20"/>
          <w:color w:val="auto"/>
        </w:rPr>
      </w:pPr>
    </w:p>
    <w:p>
      <w:pPr>
        <w:ind w:left="20" w:right="1480" w:firstLine="460"/>
        <w:spacing w:after="0" w:line="279" w:lineRule="auto"/>
        <w:rPr>
          <w:sz w:val="20"/>
          <w:szCs w:val="20"/>
          <w:color w:val="auto"/>
        </w:rPr>
      </w:pPr>
      <w:r>
        <w:rPr>
          <w:rFonts w:ascii="Times New Roman" w:cs="Times New Roman" w:eastAsia="Times New Roman" w:hAnsi="Times New Roman"/>
          <w:sz w:val="12"/>
          <w:szCs w:val="12"/>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spacing w:after="0" w:line="129" w:lineRule="exact"/>
        <w:rPr>
          <w:sz w:val="20"/>
          <w:szCs w:val="20"/>
          <w:color w:val="auto"/>
        </w:rPr>
      </w:pPr>
    </w:p>
    <w:p>
      <w:pPr>
        <w:ind w:left="20" w:right="1440"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2024 Alaska Credit Facility, the Company incurred $6.9 million of fees and rolled over $2.1 million of fees from the 2022 Alaska Credit Facility to be amortized over the life of the debt. Additionally, the Company expensed $3.8 million of costs as a transaction-related charge and $0.7 million as a loss on extinguishment of debt included in other expense, within our statement of operations, during the three months ended September 30, 2024.</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maturity date for the 2024 Alaska Credit Facility is August 29, 2029.</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Amounts outstanding under the 2024 Alaska Credit Facility bear an interest rate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119380</wp:posOffset>
            </wp:positionV>
            <wp:extent cx="5715" cy="520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520065"/>
                    </a:xfrm>
                    <a:prstGeom prst="rect">
                      <a:avLst/>
                    </a:prstGeom>
                    <a:noFill/>
                  </pic:spPr>
                </pic:pic>
              </a:graphicData>
            </a:graphic>
          </wp:anchor>
        </w:drawing>
      </w:r>
    </w:p>
    <w:p>
      <w:pPr>
        <w:spacing w:after="0" w:line="148" w:lineRule="exact"/>
        <w:rPr>
          <w:sz w:val="20"/>
          <w:szCs w:val="20"/>
          <w:color w:val="auto"/>
        </w:rPr>
      </w:pPr>
    </w:p>
    <w:tbl>
      <w:tblPr>
        <w:tblLayout w:type="fixed"/>
        <w:tblInd w:w="30" w:type="dxa"/>
        <w:tblCellMar>
          <w:top w:w="0" w:type="dxa"/>
          <w:left w:w="0" w:type="dxa"/>
          <w:bottom w:w="0" w:type="dxa"/>
          <w:right w:w="0" w:type="dxa"/>
        </w:tblCellMar>
      </w:tblPr>
      <w:tr>
        <w:trPr>
          <w:trHeight w:val="153"/>
        </w:trPr>
        <w:tc>
          <w:tcPr>
            <w:tcW w:w="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Tier / Level</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Alaska Communications Total Net Leverage Ratio</w:t>
            </w:r>
          </w:p>
        </w:tc>
        <w:tc>
          <w:tcPr>
            <w:tcW w:w="6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Applicable Margin for Term SOFR Loans and L/C Participation FeesApplicable Margin for Base Rate Loans and Reimbursement O</w:t>
            </w:r>
          </w:p>
        </w:tc>
      </w:tr>
      <w:tr>
        <w:trPr>
          <w:trHeight w:val="142"/>
        </w:trPr>
        <w:tc>
          <w:tcPr>
            <w:tcW w:w="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I</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Greater than 4.00:1.00</w:t>
            </w:r>
          </w:p>
        </w:tc>
        <w:tc>
          <w:tcPr>
            <w:tcW w:w="3580" w:type="dxa"/>
            <w:vAlign w:val="bottom"/>
            <w:tcBorders>
              <w:bottom w:val="single" w:sz="8" w:color="auto"/>
            </w:tcBorders>
          </w:tcPr>
          <w:p>
            <w:pPr>
              <w:jc w:val="right"/>
              <w:ind w:right="1580"/>
              <w:spacing w:after="0"/>
              <w:rPr>
                <w:sz w:val="20"/>
                <w:szCs w:val="20"/>
                <w:color w:val="auto"/>
              </w:rPr>
            </w:pPr>
            <w:r>
              <w:rPr>
                <w:rFonts w:ascii="Times New Roman" w:cs="Times New Roman" w:eastAsia="Times New Roman" w:hAnsi="Times New Roman"/>
                <w:sz w:val="12"/>
                <w:szCs w:val="12"/>
                <w:color w:val="auto"/>
              </w:rPr>
              <w:t>4.50%</w:t>
            </w:r>
          </w:p>
        </w:tc>
        <w:tc>
          <w:tcPr>
            <w:tcW w:w="3240" w:type="dxa"/>
            <w:vAlign w:val="bottom"/>
            <w:tcBorders>
              <w:bottom w:val="single" w:sz="8" w:color="auto"/>
            </w:tcBorders>
          </w:tcPr>
          <w:p>
            <w:pPr>
              <w:jc w:val="right"/>
              <w:ind w:right="1160"/>
              <w:spacing w:after="0"/>
              <w:rPr>
                <w:sz w:val="20"/>
                <w:szCs w:val="20"/>
                <w:color w:val="auto"/>
              </w:rPr>
            </w:pPr>
            <w:r>
              <w:rPr>
                <w:rFonts w:ascii="Times New Roman" w:cs="Times New Roman" w:eastAsia="Times New Roman" w:hAnsi="Times New Roman"/>
                <w:sz w:val="12"/>
                <w:szCs w:val="12"/>
                <w:color w:val="auto"/>
              </w:rPr>
              <w:t>3.50%</w:t>
            </w:r>
          </w:p>
        </w:tc>
      </w:tr>
      <w:tr>
        <w:trPr>
          <w:trHeight w:val="142"/>
        </w:trPr>
        <w:tc>
          <w:tcPr>
            <w:tcW w:w="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II</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Less than or equal to 4.00:1.00 but greater than 3.25:1.00</w:t>
            </w:r>
          </w:p>
        </w:tc>
        <w:tc>
          <w:tcPr>
            <w:tcW w:w="3580" w:type="dxa"/>
            <w:vAlign w:val="bottom"/>
            <w:tcBorders>
              <w:bottom w:val="single" w:sz="8" w:color="auto"/>
            </w:tcBorders>
          </w:tcPr>
          <w:p>
            <w:pPr>
              <w:jc w:val="right"/>
              <w:ind w:right="1580"/>
              <w:spacing w:after="0"/>
              <w:rPr>
                <w:sz w:val="20"/>
                <w:szCs w:val="20"/>
                <w:color w:val="auto"/>
              </w:rPr>
            </w:pPr>
            <w:r>
              <w:rPr>
                <w:rFonts w:ascii="Times New Roman" w:cs="Times New Roman" w:eastAsia="Times New Roman" w:hAnsi="Times New Roman"/>
                <w:sz w:val="12"/>
                <w:szCs w:val="12"/>
                <w:color w:val="auto"/>
              </w:rPr>
              <w:t>4.00%</w:t>
            </w:r>
          </w:p>
        </w:tc>
        <w:tc>
          <w:tcPr>
            <w:tcW w:w="3240" w:type="dxa"/>
            <w:vAlign w:val="bottom"/>
            <w:tcBorders>
              <w:bottom w:val="single" w:sz="8" w:color="auto"/>
            </w:tcBorders>
          </w:tcPr>
          <w:p>
            <w:pPr>
              <w:jc w:val="right"/>
              <w:ind w:right="1160"/>
              <w:spacing w:after="0"/>
              <w:rPr>
                <w:sz w:val="20"/>
                <w:szCs w:val="20"/>
                <w:color w:val="auto"/>
              </w:rPr>
            </w:pPr>
            <w:r>
              <w:rPr>
                <w:rFonts w:ascii="Times New Roman" w:cs="Times New Roman" w:eastAsia="Times New Roman" w:hAnsi="Times New Roman"/>
                <w:sz w:val="12"/>
                <w:szCs w:val="12"/>
                <w:color w:val="auto"/>
              </w:rPr>
              <w:t>3.00%</w:t>
            </w:r>
          </w:p>
        </w:tc>
      </w:tr>
      <w:tr>
        <w:trPr>
          <w:trHeight w:val="142"/>
        </w:trPr>
        <w:tc>
          <w:tcPr>
            <w:tcW w:w="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III</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Less than or equal to 3.25:1.00 but greater than 2.50:1.00</w:t>
            </w:r>
          </w:p>
        </w:tc>
        <w:tc>
          <w:tcPr>
            <w:tcW w:w="3580" w:type="dxa"/>
            <w:vAlign w:val="bottom"/>
            <w:tcBorders>
              <w:bottom w:val="single" w:sz="8" w:color="auto"/>
            </w:tcBorders>
          </w:tcPr>
          <w:p>
            <w:pPr>
              <w:jc w:val="right"/>
              <w:ind w:right="1580"/>
              <w:spacing w:after="0"/>
              <w:rPr>
                <w:sz w:val="20"/>
                <w:szCs w:val="20"/>
                <w:color w:val="auto"/>
              </w:rPr>
            </w:pPr>
            <w:r>
              <w:rPr>
                <w:rFonts w:ascii="Times New Roman" w:cs="Times New Roman" w:eastAsia="Times New Roman" w:hAnsi="Times New Roman"/>
                <w:sz w:val="12"/>
                <w:szCs w:val="12"/>
                <w:color w:val="auto"/>
              </w:rPr>
              <w:t>3.50%</w:t>
            </w:r>
          </w:p>
        </w:tc>
        <w:tc>
          <w:tcPr>
            <w:tcW w:w="3240" w:type="dxa"/>
            <w:vAlign w:val="bottom"/>
            <w:tcBorders>
              <w:bottom w:val="single" w:sz="8" w:color="auto"/>
            </w:tcBorders>
          </w:tcPr>
          <w:p>
            <w:pPr>
              <w:jc w:val="right"/>
              <w:ind w:right="1160"/>
              <w:spacing w:after="0"/>
              <w:rPr>
                <w:sz w:val="20"/>
                <w:szCs w:val="20"/>
                <w:color w:val="auto"/>
              </w:rPr>
            </w:pPr>
            <w:r>
              <w:rPr>
                <w:rFonts w:ascii="Times New Roman" w:cs="Times New Roman" w:eastAsia="Times New Roman" w:hAnsi="Times New Roman"/>
                <w:sz w:val="12"/>
                <w:szCs w:val="12"/>
                <w:color w:val="auto"/>
              </w:rPr>
              <w:t>2.50%</w:t>
            </w:r>
          </w:p>
        </w:tc>
      </w:tr>
      <w:tr>
        <w:trPr>
          <w:trHeight w:val="142"/>
        </w:trPr>
        <w:tc>
          <w:tcPr>
            <w:tcW w:w="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IV</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Less than or equal to 2.50:1.00</w:t>
            </w:r>
          </w:p>
        </w:tc>
        <w:tc>
          <w:tcPr>
            <w:tcW w:w="3580" w:type="dxa"/>
            <w:vAlign w:val="bottom"/>
            <w:tcBorders>
              <w:bottom w:val="single" w:sz="8" w:color="auto"/>
            </w:tcBorders>
          </w:tcPr>
          <w:p>
            <w:pPr>
              <w:jc w:val="right"/>
              <w:ind w:right="1580"/>
              <w:spacing w:after="0"/>
              <w:rPr>
                <w:sz w:val="20"/>
                <w:szCs w:val="20"/>
                <w:color w:val="auto"/>
              </w:rPr>
            </w:pPr>
            <w:r>
              <w:rPr>
                <w:rFonts w:ascii="Times New Roman" w:cs="Times New Roman" w:eastAsia="Times New Roman" w:hAnsi="Times New Roman"/>
                <w:sz w:val="12"/>
                <w:szCs w:val="12"/>
                <w:color w:val="auto"/>
              </w:rPr>
              <w:t>3.00%</w:t>
            </w:r>
          </w:p>
        </w:tc>
        <w:tc>
          <w:tcPr>
            <w:tcW w:w="3240" w:type="dxa"/>
            <w:vAlign w:val="bottom"/>
            <w:tcBorders>
              <w:bottom w:val="single" w:sz="8" w:color="auto"/>
            </w:tcBorders>
          </w:tcPr>
          <w:p>
            <w:pPr>
              <w:jc w:val="right"/>
              <w:ind w:right="1160"/>
              <w:spacing w:after="0"/>
              <w:rPr>
                <w:sz w:val="20"/>
                <w:szCs w:val="20"/>
                <w:color w:val="auto"/>
              </w:rPr>
            </w:pPr>
            <w:r>
              <w:rPr>
                <w:rFonts w:ascii="Times New Roman" w:cs="Times New Roman" w:eastAsia="Times New Roman" w:hAnsi="Times New Roman"/>
                <w:sz w:val="12"/>
                <w:szCs w:val="12"/>
                <w:color w:val="auto"/>
              </w:rPr>
              <w:t>2.00%</w:t>
            </w:r>
          </w:p>
        </w:tc>
      </w:tr>
    </w:tbl>
    <w:p>
      <w:pPr>
        <w:spacing w:after="0" w:line="160" w:lineRule="exact"/>
        <w:rPr>
          <w:sz w:val="20"/>
          <w:szCs w:val="20"/>
          <w:color w:val="auto"/>
        </w:rPr>
      </w:pPr>
    </w:p>
    <w:p>
      <w:pPr>
        <w:ind w:left="20" w:right="1260" w:firstLine="432"/>
        <w:spacing w:after="0" w:line="257" w:lineRule="auto"/>
        <w:rPr>
          <w:sz w:val="20"/>
          <w:szCs w:val="20"/>
          <w:color w:val="auto"/>
        </w:rPr>
      </w:pPr>
      <w:r>
        <w:rPr>
          <w:rFonts w:ascii="Times New Roman" w:cs="Times New Roman" w:eastAsia="Times New Roman" w:hAnsi="Times New Roman"/>
          <w:sz w:val="12"/>
          <w:szCs w:val="12"/>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spacing w:after="0" w:line="152" w:lineRule="exact"/>
        <w:rPr>
          <w:sz w:val="20"/>
          <w:szCs w:val="20"/>
          <w:color w:val="auto"/>
        </w:rPr>
      </w:pPr>
    </w:p>
    <w:p>
      <w:pPr>
        <w:ind w:left="20" w:right="1320" w:firstLine="460"/>
        <w:spacing w:after="0" w:line="279" w:lineRule="auto"/>
        <w:rPr>
          <w:sz w:val="20"/>
          <w:szCs w:val="20"/>
          <w:color w:val="auto"/>
        </w:rPr>
      </w:pPr>
      <w:r>
        <w:rPr>
          <w:rFonts w:ascii="Times New Roman" w:cs="Times New Roman" w:eastAsia="Times New Roman" w:hAnsi="Times New Roman"/>
          <w:sz w:val="12"/>
          <w:szCs w:val="12"/>
          <w:color w:val="auto"/>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w:t>
      </w:r>
    </w:p>
    <w:p>
      <w:pPr>
        <w:spacing w:after="0" w:line="2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10220"/>
          </w:cols>
          <w:pgMar w:left="1440" w:top="390" w:right="2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2028; and (b) 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spacing w:after="0" w:line="149" w:lineRule="exact"/>
        <w:rPr>
          <w:sz w:val="20"/>
          <w:szCs w:val="20"/>
          <w:color w:val="auto"/>
        </w:rPr>
      </w:pPr>
    </w:p>
    <w:p>
      <w:pPr>
        <w:jc w:val="both"/>
        <w:ind w:left="20" w:right="99" w:firstLine="460"/>
        <w:spacing w:after="0" w:line="265" w:lineRule="auto"/>
        <w:rPr>
          <w:sz w:val="20"/>
          <w:szCs w:val="20"/>
          <w:color w:val="auto"/>
        </w:rPr>
      </w:pPr>
      <w:r>
        <w:rPr>
          <w:rFonts w:ascii="Times New Roman" w:cs="Times New Roman" w:eastAsia="Times New Roman" w:hAnsi="Times New Roman"/>
          <w:sz w:val="12"/>
          <w:szCs w:val="12"/>
          <w:color w:val="auto"/>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spacing w:after="0" w:line="146" w:lineRule="exact"/>
        <w:rPr>
          <w:sz w:val="20"/>
          <w:szCs w:val="20"/>
          <w:color w:val="auto"/>
        </w:rPr>
      </w:pPr>
    </w:p>
    <w:p>
      <w:pPr>
        <w:ind w:left="20" w:right="99" w:firstLine="460"/>
        <w:spacing w:after="0" w:line="256" w:lineRule="auto"/>
        <w:rPr>
          <w:sz w:val="20"/>
          <w:szCs w:val="20"/>
          <w:color w:val="auto"/>
        </w:rPr>
      </w:pPr>
      <w:r>
        <w:rPr>
          <w:rFonts w:ascii="Times New Roman" w:cs="Times New Roman" w:eastAsia="Times New Roman" w:hAnsi="Times New Roman"/>
          <w:sz w:val="12"/>
          <w:szCs w:val="12"/>
          <w:color w:val="auto"/>
        </w:rPr>
        <w:t>The 2024 Alaska Credit Agreement contains usual and customary affirmative and negative covenants of the parties for credit facilities of this type or as otherwise deemed appropriate by the administrative agent, subject to customary exceptions and materiality standards. The 2024 Alaska Credit Agreement also contains certain customary covenants and events of default, as well as, in the event of an occurrence of an “Event of Default,” customary remedies for the lenders, including the acceleration of any amounts outstanding under the 2024 Alaska Credit Facility. Holdings and its wholly owned subsidiaries are guarantors of the Borrower’s obligations under the 2024 Alaska Credit Agreement. The Company is not a guarantor under the 2024 Alaska Credit Agreement, and the lenders have no recourse against the Company in the event of an occurrence of an “Event of Default.” Additionally, the 2024 Alaska Credit Agreement includes certain customary conditions that must be met for the Borrower to borrow under the 2024 Alaska Credit Agreement from time to time.</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2022 Alaska Credit Facility</w:t>
      </w:r>
    </w:p>
    <w:p>
      <w:pPr>
        <w:spacing w:after="0" w:line="181" w:lineRule="exact"/>
        <w:rPr>
          <w:sz w:val="20"/>
          <w:szCs w:val="20"/>
          <w:color w:val="auto"/>
        </w:rPr>
      </w:pPr>
    </w:p>
    <w:p>
      <w:pPr>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On December 23, 2022, Alaska Communications entered into a Credit Agreement (the “2022 Alaska Credit Facility”) with Fifth Third Bank, National Association, as Administrative Agent, and a syndicate of lenders to provide a Revolving Credit Commitment of $75.0 million (the “2022 Alaska Revolving Facility”) and Term Loan Commitment of $230.0 million (the “2022 Alaska Term Loan”).</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key terms and conditions of the 2022 Alaska Credit Facility included the following:</w:t>
      </w:r>
    </w:p>
    <w:p>
      <w:pPr>
        <w:spacing w:after="0" w:line="168" w:lineRule="exact"/>
        <w:rPr>
          <w:sz w:val="20"/>
          <w:szCs w:val="20"/>
          <w:color w:val="auto"/>
        </w:rPr>
      </w:pPr>
    </w:p>
    <w:p>
      <w:pPr>
        <w:jc w:val="both"/>
        <w:ind w:left="900" w:right="199" w:hanging="212"/>
        <w:spacing w:after="0" w:line="265" w:lineRule="auto"/>
        <w:tabs>
          <w:tab w:leader="none" w:pos="9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outstanding bore an interest rate of the forward-looking SOFR rate with a one-month interest period, plus the SOFR Spread Adjustment of 10 basis points, plus a margin ranging from 3.00% to 4.00% based on Alaska Communications’ Consolidated Total Net Leverage Ratio (as defined in the Credit Agreement) or at an alternate base rate at a margin that is 1% lower than the counterpart SOFR margin;</w:t>
      </w:r>
    </w:p>
    <w:p>
      <w:pPr>
        <w:spacing w:after="0" w:line="118"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repayments of $1.4 million were made quarterly commencing with the fourth quarter of 2023;</w:t>
      </w:r>
    </w:p>
    <w:p>
      <w:pPr>
        <w:spacing w:after="0" w:line="150" w:lineRule="exact"/>
        <w:rPr>
          <w:rFonts w:ascii="Times New Roman" w:cs="Times New Roman" w:eastAsia="Times New Roman" w:hAnsi="Times New Roman"/>
          <w:sz w:val="12"/>
          <w:szCs w:val="12"/>
          <w:color w:val="auto"/>
        </w:rPr>
      </w:pPr>
    </w:p>
    <w:p>
      <w:pPr>
        <w:ind w:left="900" w:right="159" w:hanging="212"/>
        <w:spacing w:after="0" w:line="257" w:lineRule="auto"/>
        <w:tabs>
          <w:tab w:leader="none" w:pos="9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25" w:lineRule="exact"/>
        <w:rPr>
          <w:rFonts w:ascii="Times New Roman" w:cs="Times New Roman" w:eastAsia="Times New Roman" w:hAnsi="Times New Roman"/>
          <w:sz w:val="12"/>
          <w:szCs w:val="12"/>
          <w:color w:val="auto"/>
        </w:rPr>
      </w:pPr>
    </w:p>
    <w:p>
      <w:pPr>
        <w:ind w:left="900" w:right="99" w:hanging="212"/>
        <w:spacing w:after="0" w:line="279" w:lineRule="auto"/>
        <w:tabs>
          <w:tab w:leader="none" w:pos="9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2022 Alaska Credit Facility was non-recourse to the Company and is secured by substantially all of the personal property and certain material real property owned by Alaska Communications.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On August 29, 2024, all outstanding amounts under the 2022 Alaska Credit Facility were repaid in full using the proceeds received upon the completion of the 2024 Alaska Credit Facility.</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Term Facility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June 15, 2022, Holdings entered into a secured lending arrangement with Bristol Bay Industrial, LLC (the “Alaska Term Facility”).</w:t>
      </w:r>
    </w:p>
    <w:p>
      <w:pPr>
        <w:spacing w:after="0" w:line="168"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three months ended June 30, 2024.</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Interest Rate Swap Agreements</w:t>
      </w:r>
    </w:p>
    <w:p>
      <w:pPr>
        <w:spacing w:after="0" w:line="181"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In November 2023, Alaska Communications entered into two forward starting 1-month floating to fixed SOFR interest rate swap agreements. The total non-amortizing notional amount of the agreements is $200.0 million, with fixed SOFR rates of 4.8695% and 4.8980% and both agreements mature on June 30, 2025. The swap agreements had a fair value of $(1.3) million and $(1.2) million as of September 30, 2024 and December 31, 2023, respectively.</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Receivables Credit Facility</w:t>
      </w:r>
    </w:p>
    <w:p>
      <w:pPr>
        <w:spacing w:after="0" w:line="181"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On March 26, 2020, Commnet Finance, a wholly owned subsidiary of Commnet Wireless, entered into a receivables credit facility with the Company, Commnet Wireless, and CoBank, ACB (the “Receivables Credit Facility”).</w:t>
      </w:r>
    </w:p>
    <w:p>
      <w:pPr>
        <w:spacing w:after="0" w:line="138"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December 19, 2023, CoBank amended the Receivables Credit Facility and extended the delayed draw period to December 31, 2024.</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maturity date for each loan will be set by CoBank and will match the weighted average maturity of the certain receivables financed.</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Interest on the loans accrue at a fixed annual interest rate to be quoted by CoBank.</w:t>
      </w:r>
    </w:p>
    <w:p>
      <w:pPr>
        <w:spacing w:after="0" w:line="16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138"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As of September 30, 2024, Commnet Wireless had $46.6 million outstanding, of which $7.9 million was classified as being current on the Company’s balance sheet, and $9.2 million of availability under the Receivables Credit Facility. Commnet Wireless capitalized $0.8 million in fees associated with the Receivables Credit Facility which are being amortized over the life of the debt and $0.4 million were unamortized as of September 30, 2024.</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One Communications (Guyana) Credit Facilities</w:t>
      </w:r>
    </w:p>
    <w:p>
      <w:pPr>
        <w:spacing w:after="0" w:line="181"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On October 12, 2022, One Communications (Guyana) f/k/a GTT received approval from Republic Bank (Guyana) Limited for a $2.9 million term facility and a $5.7 million overdraft facility (the “Guyana Credit Facilities”).</w:t>
      </w:r>
    </w:p>
    <w:p>
      <w:pPr>
        <w:spacing w:after="0" w:line="138"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Guyana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February 28, 2025.</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there were no outstanding amounts under the GTT Credit Facilities.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Sacred Wind Term Debt</w:t>
      </w:r>
    </w:p>
    <w:p>
      <w:pPr>
        <w:spacing w:after="0" w:line="181" w:lineRule="exact"/>
        <w:rPr>
          <w:sz w:val="20"/>
          <w:szCs w:val="20"/>
          <w:color w:val="auto"/>
        </w:rPr>
      </w:pPr>
    </w:p>
    <w:p>
      <w:pPr>
        <w:ind w:left="20" w:right="25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Sacred Wind acquisition completed on November 7, 2022, the Company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137"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138"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September 30, 2024, the Company was in compliance with that corrective action plan.</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$25.8 million was outstanding under the Sacred Wind Term Debt. Of that amount, $3.4 million was current and $22.4 million was long term.</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mortgage notes carry fixed interest rates ranging from 0.88% to 5.0%.</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Viya Debt</w:t>
      </w:r>
    </w:p>
    <w:p>
      <w:pPr>
        <w:spacing w:after="0" w:line="181"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the Company.</w:t>
      </w:r>
    </w:p>
    <w:p>
      <w:pPr>
        <w:spacing w:after="0" w:line="143"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$60.0 million of the Viya Debt remained outstanding and $0.2 million of the rate lock fee was unamortized.</w:t>
      </w:r>
    </w:p>
    <w:p>
      <w:pPr>
        <w:spacing w:after="0" w:line="177"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On May 5, 2022, RTFC agreed to amend the Net Leverage Ratio to 7.0 to 1.0 through the maturity date of July 1, 2026. The Ratio is tested annually, and the Company was in compliance with the Net Leverage Ratio as of December 31, 2023.</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Debt Maturity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table below summarizes the annual maturities of the Company’s debt instruments (amounts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4"/>
              </w:rPr>
              <w:t>Customer</w:t>
            </w:r>
          </w:p>
        </w:tc>
      </w:tr>
      <w:tr>
        <w:trPr>
          <w:trHeight w:val="162"/>
        </w:trPr>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Pr>
          <w:p>
            <w:pPr>
              <w:spacing w:after="0"/>
              <w:rPr>
                <w:sz w:val="14"/>
                <w:szCs w:val="14"/>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5"/>
              </w:rPr>
              <w:t>Receivable</w:t>
            </w:r>
          </w:p>
        </w:tc>
      </w:tr>
      <w:tr>
        <w:trPr>
          <w:trHeight w:val="152"/>
        </w:trPr>
        <w:tc>
          <w:tcPr>
            <w:tcW w:w="2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Amounts Maturing During</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Debt</w:t>
            </w:r>
          </w:p>
        </w:tc>
        <w:tc>
          <w:tcPr>
            <w:tcW w:w="160" w:type="dxa"/>
            <w:vAlign w:val="bottom"/>
          </w:tcPr>
          <w:p>
            <w:pPr>
              <w:spacing w:after="0"/>
              <w:rPr>
                <w:sz w:val="13"/>
                <w:szCs w:val="13"/>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5"/>
              </w:rPr>
              <w:t>Credit Facility</w:t>
            </w:r>
          </w:p>
        </w:tc>
      </w:tr>
      <w:tr>
        <w:trPr>
          <w:trHeight w:val="133"/>
        </w:trPr>
        <w:tc>
          <w:tcPr>
            <w:tcW w:w="2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October 1, 2024 through December 31, 2024</w:t>
            </w: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1,732</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1,950</w:t>
            </w:r>
          </w:p>
        </w:tc>
      </w:tr>
      <w:tr>
        <w:trPr>
          <w:trHeight w:val="144"/>
        </w:trPr>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 2025</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8,344</w:t>
            </w: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8,027</w:t>
            </w:r>
          </w:p>
        </w:tc>
      </w:tr>
      <w:tr>
        <w:trPr>
          <w:trHeight w:val="14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ending December 31, 2026</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73,594</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8,405</w:t>
            </w:r>
          </w:p>
        </w:tc>
      </w:tr>
      <w:tr>
        <w:trPr>
          <w:trHeight w:val="144"/>
        </w:trPr>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 2027</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22,848</w:t>
            </w: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8,803</w:t>
            </w:r>
          </w:p>
        </w:tc>
      </w:tr>
      <w:tr>
        <w:trPr>
          <w:trHeight w:val="14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ending December 31, 2028</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97,728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9,224</w:t>
            </w:r>
          </w:p>
        </w:tc>
      </w:tr>
      <w:tr>
        <w:trPr>
          <w:trHeight w:val="144"/>
        </w:trPr>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283,942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93,437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377,379</w:t>
            </w: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10,198</w:t>
            </w:r>
          </w:p>
        </w:tc>
      </w:tr>
      <w:tr>
        <w:trPr>
          <w:trHeight w:val="133"/>
        </w:trPr>
        <w:tc>
          <w:tcPr>
            <w:tcW w:w="2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325,755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60,000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195,870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581,625</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46,607</w:t>
            </w:r>
          </w:p>
        </w:tc>
      </w:tr>
      <w:tr>
        <w:trPr>
          <w:trHeight w:val="133"/>
        </w:trPr>
        <w:tc>
          <w:tcPr>
            <w:tcW w:w="28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Debt Discounts</w:t>
            </w:r>
          </w:p>
        </w:tc>
        <w:tc>
          <w:tcPr>
            <w:tcW w:w="7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(9,083)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(3,461)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(12,719)</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(398)</w:t>
            </w:r>
          </w:p>
        </w:tc>
      </w:tr>
      <w:tr>
        <w:trPr>
          <w:trHeight w:val="133"/>
        </w:trPr>
        <w:tc>
          <w:tcPr>
            <w:tcW w:w="2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Book Value as of September 30, 2024</w:t>
            </w:r>
          </w:p>
        </w:tc>
        <w:tc>
          <w:tcPr>
            <w:tcW w:w="7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316,672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59,825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192,409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568,906</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46,209</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GOVERNMENT SUPPORT AND SPECTRUM MATTERS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Fund and Other Domestic Funding Programs</w:t>
      </w:r>
    </w:p>
    <w:p>
      <w:pPr>
        <w:spacing w:after="0" w:line="172" w:lineRule="exact"/>
        <w:rPr>
          <w:sz w:val="20"/>
          <w:szCs w:val="20"/>
          <w:color w:val="auto"/>
        </w:rPr>
      </w:pPr>
    </w:p>
    <w:p>
      <w:pPr>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The Company recognizes revenue from several government funded programs including the Universal Service Fund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 (“RHC”). The Company’s International Telecom segment receives $5.5 million of legacy frozen high cost support funding in the US Virgin Islands. This funding expires on December 31, 2025. Additionally, the Company recognizes revenue from the FCC’s Affordable Connectivity Program (“ACP”) and the Emergency Connectivity Fund (“ECF”). The ACP provides eligible low-income consumers with a monthly subsidy for broadband connectivity and the ECF provides schools and libraries with subsidies for broadband connectivity. Funding under the ACP and ECF programs expired in the second quarter of 2024.</w:t>
      </w:r>
    </w:p>
    <w:p>
      <w:pPr>
        <w:spacing w:after="0" w:line="153"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The Company’s US Telecom segment also recognizes High Cost support revenue from the Connect America Fund Phase II program (“CAF II”) and the Enhanced Alternative Connect America Cost Model program (“E-ACAM”). These programs offer subsidies to carriers to expand broadband coverage in designated areas. Under CAF II, the Company expects to receive an aggregate of $27.7 million annually through December 2025 and an aggregate of $8.0 million annually from January 2026 through July 2028. Under E-ACAM, the Company expects to receive a total of $118.2 million over a 15 year period beginning in 2024. The annual E-ACAM funding is approximately $9 million from 2024 through 2030 and ultimately decreasing over time to $6 million in 2038.</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was awarded approximately $22.7 million over 10 years to provide broadband and voice coverage to over 10,000 households in the United States (not including Alaska) under the 2020 Rural Digital Opportunity Fund Phase I Auction (“RDOF”). Revenue recognized from the RDOF program is recognized as revenue from government grants. During the nine months ended September 30, 2024, the Company entered into agreements to transfer $13.0 million of RDOF obligations. In conjunction with these agreements, the Company recorded a loss of $0.9 million as a loss disposition of assets and transfers during the three months September 30, 2024. The Company has a liability of $2.0 million accrued as of September 30, 2024, for the transfer agreements. The transfer applications are pending regulatory approval.</w:t>
      </w:r>
    </w:p>
    <w:p>
      <w:pPr>
        <w:spacing w:after="0" w:line="152"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All of the programs are subject to certain operational and reporting compliance requirements. The Company believes it is in compliance with these requirements as of September 30, 2024. Revenue recognized from the USF High Cost Program, including the CAF II and E-ACAM programs, is recognized as revenue from government grants. Revenue from other programs is recognized in accordance with ASC 606.</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 recorded the amounts below as communication services revenue for the reported periods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gridSpan w:val="3"/>
          </w:tcPr>
          <w:p>
            <w:pPr>
              <w:jc w:val="center"/>
              <w:ind w:left="84"/>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5"/>
              </w:rPr>
              <w:t>September 30, 2024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September 30, 2023</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restart"/>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restart"/>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1,394</w:t>
            </w:r>
          </w:p>
        </w:tc>
        <w:tc>
          <w:tcPr>
            <w:tcW w:w="3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4,867</w:t>
            </w:r>
          </w:p>
        </w:tc>
        <w:tc>
          <w:tcPr>
            <w:tcW w:w="3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1,397</w:t>
            </w:r>
          </w:p>
        </w:tc>
        <w:tc>
          <w:tcPr>
            <w:tcW w:w="3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RDOF</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ECF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RHC</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4,997</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16,707</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1,397</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18,104</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24,528</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1,402</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25,930</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Nine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Nine months ended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5"/>
              </w:rPr>
              <w:t>September 30, 2024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September 30, 2023</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restart"/>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restart"/>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4,180</w:t>
            </w:r>
          </w:p>
        </w:tc>
        <w:tc>
          <w:tcPr>
            <w:tcW w:w="3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14,591</w:t>
            </w:r>
          </w:p>
        </w:tc>
        <w:tc>
          <w:tcPr>
            <w:tcW w:w="3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4,192</w:t>
            </w:r>
          </w:p>
        </w:tc>
        <w:tc>
          <w:tcPr>
            <w:tcW w:w="3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20,445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RDOF</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ECF</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21,694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RHC</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10,316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14,356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14,370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60,346</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4,653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64,999</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74,118</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4,206</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78,324</w:t>
            </w:r>
          </w:p>
        </w:tc>
        <w:tc>
          <w:tcPr>
            <w:tcW w:w="0" w:type="dxa"/>
            <w:vAlign w:val="bottom"/>
          </w:tcPr>
          <w:p>
            <w:pPr>
              <w:spacing w:after="0"/>
              <w:rPr>
                <w:sz w:val="1"/>
                <w:szCs w:val="1"/>
                <w:color w:val="auto"/>
              </w:rPr>
            </w:pPr>
          </w:p>
        </w:tc>
      </w:tr>
      <w:tr>
        <w:trPr>
          <w:trHeight w:val="72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83"/>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Construction Grants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has also been awarded construction grants to build network connectivity for eligible communities. The funding of these grants, used to reimburse the Company for its construction costs, is generally distributed after the Company incurs reimbursable costs. Completion deadlines begin in 2024 and once these projects are constructed, the Company is obligated to provide service to the participants. The Company expects to meet all requirements associated with these grants. A roll forward of the Company’s grant awards is below (in thousands).</w:t>
      </w:r>
    </w:p>
    <w:p>
      <w:pPr>
        <w:spacing w:after="0" w:line="179" w:lineRule="exact"/>
        <w:rPr>
          <w:sz w:val="20"/>
          <w:szCs w:val="20"/>
          <w:color w:val="auto"/>
        </w:rPr>
      </w:pPr>
    </w:p>
    <w:tbl>
      <w:tblPr>
        <w:tblLayout w:type="fixed"/>
        <w:tblInd w:w="2240" w:type="dxa"/>
        <w:tblCellMar>
          <w:top w:w="0" w:type="dxa"/>
          <w:left w:w="0" w:type="dxa"/>
          <w:bottom w:w="0" w:type="dxa"/>
          <w:right w:w="0" w:type="dxa"/>
        </w:tblCellMar>
      </w:tblPr>
      <w:tr>
        <w:trPr>
          <w:trHeight w:val="125"/>
        </w:trPr>
        <w:tc>
          <w:tcPr>
            <w:tcW w:w="3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26"/>
        </w:trPr>
        <w:tc>
          <w:tcPr>
            <w:tcW w:w="3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33"/>
        </w:trPr>
        <w:tc>
          <w:tcPr>
            <w:tcW w:w="3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2023</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100,149</w:t>
            </w:r>
          </w:p>
        </w:tc>
      </w:tr>
      <w:tr>
        <w:trPr>
          <w:trHeight w:val="144"/>
        </w:trPr>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New grants</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complete</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Transferred grants</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6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Grants awarded, September 30, 2024</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100,149</w:t>
            </w:r>
          </w:p>
        </w:tc>
      </w:tr>
    </w:tbl>
    <w:p>
      <w:pPr>
        <w:spacing w:after="0" w:line="151" w:lineRule="exact"/>
        <w:rPr>
          <w:sz w:val="20"/>
          <w:szCs w:val="20"/>
          <w:color w:val="auto"/>
        </w:rPr>
      </w:pPr>
    </w:p>
    <w:p>
      <w:pPr>
        <w:ind w:left="20" w:right="359" w:firstLine="432"/>
        <w:spacing w:after="0" w:line="279" w:lineRule="auto"/>
        <w:rPr>
          <w:sz w:val="20"/>
          <w:szCs w:val="20"/>
          <w:color w:val="auto"/>
        </w:rPr>
      </w:pPr>
      <w:r>
        <w:rPr>
          <w:rFonts w:ascii="Times New Roman" w:cs="Times New Roman" w:eastAsia="Times New Roman" w:hAnsi="Times New Roman"/>
          <w:sz w:val="12"/>
          <w:szCs w:val="12"/>
          <w:color w:val="auto"/>
        </w:rPr>
        <w:t>During the nine months ended September 30, 2024, the Company disbursed capital expenditures of $4.7 million under these programs and received reimbursement of $4.1 million. These cash flows are classified as investing activities in the Company’s statement of cash flows.</w:t>
      </w:r>
    </w:p>
    <w:p>
      <w:pPr>
        <w:spacing w:after="0" w:line="138"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In addition, the Company partners with tribal governments to obtain grants under various government programs including the Tribal Broadband Connectivity Program (“TBCP”) and the Rural Development Broadband ReConnect Program (“ReConnect”). The TBCP and ReConnect programs are administered by United States government agencies to deploy broadband connectivity in certain underserved areas. The Company was identified as a sub recipient of grants under these programs totaling $192.6 million as of September 30, 2024. Through September 30, 2024, the Company has received $15.9 million of funding under these programs and spent $16.1 million on construction obligations. These amounts are recorded as operating cash flows in the Company’s statement of cash flows.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Replace and Remove Program</w:t>
      </w:r>
    </w:p>
    <w:p>
      <w:pPr>
        <w:spacing w:after="0" w:line="181" w:lineRule="exact"/>
        <w:rPr>
          <w:sz w:val="20"/>
          <w:szCs w:val="20"/>
          <w:color w:val="auto"/>
        </w:rPr>
      </w:pPr>
    </w:p>
    <w:p>
      <w:pPr>
        <w:ind w:left="20" w:right="159" w:firstLine="432"/>
        <w:spacing w:after="0" w:line="255" w:lineRule="auto"/>
        <w:rPr>
          <w:sz w:val="20"/>
          <w:szCs w:val="20"/>
          <w:color w:val="auto"/>
        </w:rPr>
      </w:pPr>
      <w:r>
        <w:rPr>
          <w:rFonts w:ascii="Times New Roman" w:cs="Times New Roman" w:eastAsia="Times New Roman" w:hAnsi="Times New Roman"/>
          <w:sz w:val="12"/>
          <w:szCs w:val="12"/>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the project no later than one year from submitting its initial reimbursement request, or by July 2024. In April 2024, the FCC granted the Company’s request to extend the program’s completion deadlines to the first quarter of 2025. At this time, the Company anticipates that it will be able to meet the deadlines and requirements of the program.</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summary of the amounts spent and reimbursed under the Replace and Remove Program is below (in thousands):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Capital</w:t>
            </w: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tcPr>
          <w:p>
            <w:pPr>
              <w:jc w:val="right"/>
              <w:ind w:right="480"/>
              <w:spacing w:after="0" w:line="97"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462"/>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spend, December 31, 2023</w:t>
            </w:r>
          </w:p>
        </w:tc>
        <w:tc>
          <w:tcPr>
            <w:tcW w:w="2220" w:type="dxa"/>
            <w:vAlign w:val="bottom"/>
            <w:gridSpan w:val="2"/>
            <w:shd w:val="clear" w:color="auto" w:fill="CCEEFF"/>
          </w:tcPr>
          <w:p>
            <w:pPr>
              <w:jc w:val="right"/>
              <w:ind w:right="687"/>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49,262</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15,126</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Amounts spent</w:t>
            </w:r>
          </w:p>
        </w:tc>
        <w:tc>
          <w:tcPr>
            <w:tcW w:w="14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66,501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9,049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spend, September 30, 2024</w:t>
            </w:r>
          </w:p>
        </w:tc>
        <w:tc>
          <w:tcPr>
            <w:tcW w:w="14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115,763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24,175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139,938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reimbursements, December 31, 2023</w:t>
            </w:r>
          </w:p>
        </w:tc>
        <w:tc>
          <w:tcPr>
            <w:tcW w:w="2220" w:type="dxa"/>
            <w:vAlign w:val="bottom"/>
            <w:gridSpan w:val="2"/>
            <w:shd w:val="clear" w:color="auto" w:fill="CCEEFF"/>
          </w:tcPr>
          <w:p>
            <w:pPr>
              <w:jc w:val="right"/>
              <w:ind w:right="687"/>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(12,773)</w:t>
            </w: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(4,354)</w:t>
            </w:r>
          </w:p>
        </w:tc>
        <w:tc>
          <w:tcPr>
            <w:tcW w:w="38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Reimbursements received</w:t>
            </w: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(68,450)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(18,739)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reimbursements, September 30, 2024</w:t>
            </w:r>
          </w:p>
        </w:tc>
        <w:tc>
          <w:tcPr>
            <w:tcW w:w="14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(81,223)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(23,093)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Amount pending reimbursement</w:t>
            </w:r>
          </w:p>
        </w:tc>
        <w:tc>
          <w:tcPr>
            <w:tcW w:w="14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34,540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spend, December 31, 2022</w:t>
            </w:r>
          </w:p>
        </w:tc>
        <w:tc>
          <w:tcPr>
            <w:tcW w:w="2220" w:type="dxa"/>
            <w:vAlign w:val="bottom"/>
            <w:gridSpan w:val="2"/>
            <w:shd w:val="clear" w:color="auto" w:fill="CCEEFF"/>
          </w:tcPr>
          <w:p>
            <w:pPr>
              <w:jc w:val="right"/>
              <w:ind w:right="687"/>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1,836</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1,489</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Amounts spent</w:t>
            </w:r>
          </w:p>
        </w:tc>
        <w:tc>
          <w:tcPr>
            <w:tcW w:w="14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27,060</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8,151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spend, September 30, 2023</w:t>
            </w:r>
          </w:p>
        </w:tc>
        <w:tc>
          <w:tcPr>
            <w:tcW w:w="14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28,896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9,640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reimbursements, December 31, 2022</w:t>
            </w:r>
          </w:p>
        </w:tc>
        <w:tc>
          <w:tcPr>
            <w:tcW w:w="14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Reimbursements received</w:t>
            </w: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reimbursements, September 30, 2023</w:t>
            </w:r>
          </w:p>
        </w:tc>
        <w:tc>
          <w:tcPr>
            <w:tcW w:w="14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Amount pending reimbursement</w:t>
            </w:r>
          </w:p>
        </w:tc>
        <w:tc>
          <w:tcPr>
            <w:tcW w:w="14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28,063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8,525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299" w:firstLine="432"/>
        <w:spacing w:after="0" w:line="265" w:lineRule="auto"/>
        <w:rPr>
          <w:sz w:val="20"/>
          <w:szCs w:val="20"/>
          <w:color w:val="auto"/>
        </w:rPr>
      </w:pPr>
      <w:r>
        <w:rPr>
          <w:rFonts w:ascii="Times New Roman" w:cs="Times New Roman" w:eastAsia="Times New Roman" w:hAnsi="Times New Roman"/>
          <w:sz w:val="12"/>
          <w:szCs w:val="12"/>
          <w:color w:val="auto"/>
        </w:rPr>
        <w:t>At September 30, 2024, $31.1 million of the capital expenditures were accrued and unpaid. The Company expects to be reimbursed, within the next twelve months, for all amounts spent to date. Amounts identified as capital are recorded as investing cash flows and amounts identified as operating are recorded as operating cash flows in the Company’s statement of cash flows.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9. GOODWILL</w:t>
      </w:r>
    </w:p>
    <w:p>
      <w:pPr>
        <w:spacing w:after="0" w:line="181" w:lineRule="exact"/>
        <w:rPr>
          <w:sz w:val="20"/>
          <w:szCs w:val="20"/>
          <w:color w:val="auto"/>
        </w:rPr>
      </w:pPr>
    </w:p>
    <w:p>
      <w:pPr>
        <w:ind w:left="20" w:right="219" w:firstLine="346"/>
        <w:spacing w:after="0" w:line="257" w:lineRule="auto"/>
        <w:rPr>
          <w:sz w:val="20"/>
          <w:szCs w:val="20"/>
          <w:color w:val="auto"/>
        </w:rPr>
      </w:pPr>
      <w:r>
        <w:rPr>
          <w:rFonts w:ascii="Times New Roman" w:cs="Times New Roman" w:eastAsia="Times New Roman" w:hAnsi="Times New Roman"/>
          <w:sz w:val="12"/>
          <w:szCs w:val="12"/>
          <w:color w:val="auto"/>
        </w:rPr>
        <w:t>During the quarter ended September 30, 2024, the Company completed an impairment assessment for its US Telecom segment after identifying events that indicate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w:t>
      </w:r>
    </w:p>
    <w:p>
      <w:pPr>
        <w:spacing w:after="0" w:line="152" w:lineRule="exact"/>
        <w:rPr>
          <w:sz w:val="20"/>
          <w:szCs w:val="20"/>
          <w:color w:val="auto"/>
        </w:rPr>
      </w:pPr>
    </w:p>
    <w:p>
      <w:pPr>
        <w:ind w:left="20" w:right="59" w:firstLine="346"/>
        <w:spacing w:after="0" w:line="257" w:lineRule="auto"/>
        <w:rPr>
          <w:sz w:val="20"/>
          <w:szCs w:val="20"/>
          <w:color w:val="auto"/>
        </w:rPr>
      </w:pPr>
      <w:r>
        <w:rPr>
          <w:rFonts w:ascii="Times New Roman" w:cs="Times New Roman" w:eastAsia="Times New Roman" w:hAnsi="Times New Roman"/>
          <w:sz w:val="12"/>
          <w:szCs w:val="12"/>
          <w:color w:val="auto"/>
        </w:rPr>
        <w:t>The Company’s quantitative test for goodwill impairment involves a comparison of the estimated fair value of a reporting unit to its carrying amount, including goodwill. The Company determines the fair value of a reporting unit using the income approach. The income approach is based on a discounted cash flow (“DCF”) model. The DCF model requires the exercise of significant judgment, including judgments and assumptions about appropriate discount rates and revenue growth. Discount rates are based on a weighted average cost of capital (“WACC”), which represents the average rate a business must pay its providers of debt and equity. The revenue growth and cash flows employed in the DCF model were derived from internal earnings and forecasts and external market forecasts.</w:t>
      </w:r>
    </w:p>
    <w:p>
      <w:pPr>
        <w:spacing w:after="0" w:line="143" w:lineRule="exact"/>
        <w:rPr>
          <w:sz w:val="20"/>
          <w:szCs w:val="20"/>
          <w:color w:val="auto"/>
        </w:rPr>
      </w:pPr>
    </w:p>
    <w:p>
      <w:pPr>
        <w:ind w:left="20" w:right="439" w:firstLine="346"/>
        <w:spacing w:after="0" w:line="279" w:lineRule="auto"/>
        <w:rPr>
          <w:sz w:val="20"/>
          <w:szCs w:val="20"/>
          <w:color w:val="auto"/>
        </w:rPr>
      </w:pPr>
      <w:r>
        <w:rPr>
          <w:rFonts w:ascii="Times New Roman" w:cs="Times New Roman" w:eastAsia="Times New Roman" w:hAnsi="Times New Roman"/>
          <w:sz w:val="12"/>
          <w:szCs w:val="12"/>
          <w:color w:val="auto"/>
        </w:rPr>
        <w:t>As a result of that analysis, the Company recorded an impairment of $35.3 million during the three months ended September 30, 2024. The table below discloses goodwill recorded in each of the Company’s segments and accumulated impairment changes (in thousands):</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3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340" w:type="dxa"/>
            <w:vAlign w:val="bottom"/>
          </w:tcPr>
          <w:p>
            <w:pPr>
              <w:spacing w:after="0"/>
              <w:rPr>
                <w:sz w:val="10"/>
                <w:szCs w:val="1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52"/>
        </w:trPr>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34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80" w:type="dxa"/>
            <w:vAlign w:val="bottom"/>
          </w:tcPr>
          <w:p>
            <w:pPr>
              <w:spacing w:after="0"/>
              <w:rPr>
                <w:sz w:val="13"/>
                <w:szCs w:val="13"/>
                <w:color w:val="auto"/>
              </w:rPr>
            </w:pPr>
          </w:p>
        </w:tc>
        <w:tc>
          <w:tcPr>
            <w:tcW w:w="1080" w:type="dxa"/>
            <w:vAlign w:val="bottom"/>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51"/>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62"/>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25,423</w:t>
            </w:r>
          </w:p>
        </w:tc>
        <w:tc>
          <w:tcPr>
            <w:tcW w:w="26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35,268</w:t>
            </w:r>
          </w:p>
        </w:tc>
        <w:tc>
          <w:tcPr>
            <w:tcW w:w="120" w:type="dxa"/>
            <w:vAlign w:val="bottom"/>
          </w:tcPr>
          <w:p>
            <w:pPr>
              <w:spacing w:after="0"/>
              <w:rPr>
                <w:sz w:val="14"/>
                <w:szCs w:val="1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60,691</w:t>
            </w:r>
          </w:p>
        </w:tc>
      </w:tr>
      <w:tr>
        <w:trPr>
          <w:trHeight w:val="16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Impairment</w:t>
            </w:r>
          </w:p>
        </w:tc>
        <w:tc>
          <w:tcPr>
            <w:tcW w:w="2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(20,587)</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(20,587)</w:t>
            </w:r>
          </w:p>
        </w:tc>
      </w:tr>
      <w:tr>
        <w:trPr>
          <w:trHeight w:val="142"/>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Goodwill, net of accumulated impairment</w:t>
            </w: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4,836</w:t>
            </w:r>
          </w:p>
        </w:tc>
        <w:tc>
          <w:tcPr>
            <w:tcW w:w="2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35,268</w:t>
            </w: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40,104</w:t>
            </w:r>
          </w:p>
        </w:tc>
      </w:tr>
      <w:tr>
        <w:trPr>
          <w:trHeight w:val="15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September 30, 2024</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2"/>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60,691</w:t>
            </w:r>
          </w:p>
        </w:tc>
      </w:tr>
      <w:tr>
        <w:trPr>
          <w:trHeight w:val="16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Impairment</w:t>
            </w:r>
          </w:p>
        </w:tc>
        <w:tc>
          <w:tcPr>
            <w:tcW w:w="2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(20,587)</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(35,269)</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(55,856)</w:t>
            </w:r>
          </w:p>
        </w:tc>
      </w:tr>
      <w:tr>
        <w:trPr>
          <w:trHeight w:val="140"/>
        </w:trPr>
        <w:tc>
          <w:tcPr>
            <w:tcW w:w="36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Goodwill, net of accumulated impairment</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4,835</w:t>
            </w: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4,835</w:t>
            </w:r>
          </w:p>
        </w:tc>
      </w:tr>
    </w:tbl>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10. RETIREMENT PLANS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Multi-employer Defined Benefit Plan</w:t>
      </w:r>
    </w:p>
    <w:p>
      <w:pPr>
        <w:spacing w:after="0" w:line="179" w:lineRule="exact"/>
        <w:rPr>
          <w:sz w:val="20"/>
          <w:szCs w:val="20"/>
          <w:color w:val="auto"/>
        </w:rPr>
      </w:pPr>
    </w:p>
    <w:p>
      <w:pPr>
        <w:jc w:val="both"/>
        <w:ind w:left="20" w:right="379" w:firstLine="432"/>
        <w:spacing w:after="0" w:line="265" w:lineRule="auto"/>
        <w:rPr>
          <w:sz w:val="20"/>
          <w:szCs w:val="20"/>
          <w:color w:val="auto"/>
        </w:rPr>
      </w:pPr>
      <w:r>
        <w:rPr>
          <w:rFonts w:ascii="Times New Roman" w:cs="Times New Roman" w:eastAsia="Times New Roman" w:hAnsi="Times New Roman"/>
          <w:sz w:val="12"/>
          <w:szCs w:val="12"/>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 are not determined for, or allocated separately to, the individual employer. This plan was not in endangered or critical status during the plan year.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1" w:name="page32"/>
    <w:bookmarkEnd w:id="31"/>
    <w:p>
      <w:pPr>
        <w:ind w:left="10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Defined Benefit Plan</w:t>
      </w:r>
    </w:p>
    <w:p>
      <w:pPr>
        <w:spacing w:after="0" w:line="179" w:lineRule="exact"/>
        <w:rPr>
          <w:sz w:val="20"/>
          <w:szCs w:val="20"/>
          <w:color w:val="auto"/>
        </w:rPr>
      </w:pPr>
    </w:p>
    <w:p>
      <w:pPr>
        <w:ind w:left="100" w:right="260" w:firstLine="432"/>
        <w:spacing w:after="0" w:line="279" w:lineRule="auto"/>
        <w:rPr>
          <w:sz w:val="20"/>
          <w:szCs w:val="20"/>
          <w:color w:val="auto"/>
        </w:rPr>
      </w:pPr>
      <w:r>
        <w:rPr>
          <w:rFonts w:ascii="Times New Roman" w:cs="Times New Roman" w:eastAsia="Times New Roman" w:hAnsi="Times New Roman"/>
          <w:sz w:val="12"/>
          <w:szCs w:val="12"/>
          <w:color w:val="auto"/>
        </w:rPr>
        <w:t>The Company has noncontributory defined benefit pension and noncontributory defined medical, dental, vision, and life benefit plans for eligible employees who meet certain eligibility criteria. The majority of benefits under the plans are frozen and the plans no longer allow new participants to join.</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The Company recorded the net periodic benefit cost identified below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Nine months ended</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tcPr>
          <w:p>
            <w:pPr>
              <w:jc w:val="right"/>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Pension</w:t>
            </w:r>
          </w:p>
        </w:tc>
        <w:tc>
          <w:tcPr>
            <w:tcW w:w="100" w:type="dxa"/>
            <w:vAlign w:val="bottom"/>
          </w:tcPr>
          <w:p>
            <w:pPr>
              <w:spacing w:after="0"/>
              <w:rPr>
                <w:sz w:val="6"/>
                <w:szCs w:val="6"/>
                <w:color w:val="auto"/>
              </w:rPr>
            </w:pPr>
          </w:p>
        </w:tc>
        <w:tc>
          <w:tcPr>
            <w:tcW w:w="820" w:type="dxa"/>
            <w:vAlign w:val="bottom"/>
          </w:tcPr>
          <w:p>
            <w:pPr>
              <w:jc w:val="right"/>
              <w:ind w:right="105"/>
              <w:spacing w:after="0" w:line="72" w:lineRule="exact"/>
              <w:rPr>
                <w:sz w:val="20"/>
                <w:szCs w:val="20"/>
                <w:color w:val="auto"/>
              </w:rPr>
            </w:pPr>
            <w:r>
              <w:rPr>
                <w:rFonts w:ascii="Times New Roman" w:cs="Times New Roman" w:eastAsia="Times New Roman" w:hAnsi="Times New Roman"/>
                <w:sz w:val="8"/>
                <w:szCs w:val="8"/>
                <w:b w:val="1"/>
                <w:bCs w:val="1"/>
                <w:color w:val="auto"/>
              </w:rPr>
              <w:t>Postretirement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gridSpan w:val="2"/>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Pension</w:t>
            </w:r>
          </w:p>
        </w:tc>
        <w:tc>
          <w:tcPr>
            <w:tcW w:w="7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Postretirement</w:t>
            </w: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Pension benefits</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Postretirement benefits</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8"/>
              </w:rPr>
              <w:t>Pension benefits</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Postretirement benefits</w:t>
            </w:r>
          </w:p>
        </w:tc>
        <w:tc>
          <w:tcPr>
            <w:tcW w:w="0" w:type="dxa"/>
            <w:vAlign w:val="bottom"/>
          </w:tcPr>
          <w:p>
            <w:pPr>
              <w:spacing w:after="0"/>
              <w:rPr>
                <w:sz w:val="1"/>
                <w:szCs w:val="1"/>
                <w:color w:val="auto"/>
              </w:rPr>
            </w:pPr>
          </w:p>
        </w:tc>
      </w:tr>
      <w:tr>
        <w:trPr>
          <w:trHeight w:val="115"/>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5"/>
              </w:rPr>
              <w:t>benefits</w:t>
            </w:r>
          </w:p>
        </w:tc>
        <w:tc>
          <w:tcPr>
            <w:tcW w:w="100" w:type="dxa"/>
            <w:vAlign w:val="bottom"/>
          </w:tcPr>
          <w:p>
            <w:pPr>
              <w:spacing w:after="0"/>
              <w:rPr>
                <w:sz w:val="10"/>
                <w:szCs w:val="10"/>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8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4"/>
                <w:szCs w:val="14"/>
                <w:color w:val="auto"/>
              </w:rPr>
            </w:pPr>
          </w:p>
        </w:tc>
        <w:tc>
          <w:tcPr>
            <w:tcW w:w="780" w:type="dxa"/>
            <w:vAlign w:val="bottom"/>
          </w:tcPr>
          <w:p>
            <w:pPr>
              <w:jc w:val="right"/>
              <w:ind w:right="67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31</w:t>
            </w:r>
          </w:p>
        </w:tc>
        <w:tc>
          <w:tcPr>
            <w:tcW w:w="2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4"/>
                <w:szCs w:val="14"/>
                <w:color w:val="auto"/>
              </w:rPr>
            </w:pP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Non-operating expense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cost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35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(729)</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(953)</w:t>
            </w:r>
          </w:p>
        </w:tc>
        <w:tc>
          <w:tcPr>
            <w:tcW w:w="7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82"/>
              </w:rPr>
              <w:t>—</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(2,188)</w:t>
            </w:r>
          </w:p>
        </w:tc>
        <w:tc>
          <w:tcPr>
            <w:tcW w:w="5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7"/>
              </w:rPr>
              <w:t>(2,858)</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unrecognized actuarial gain</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4"/>
                <w:szCs w:val="14"/>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82"/>
              </w:rPr>
              <w:t>—</w:t>
            </w:r>
          </w:p>
        </w:tc>
        <w:tc>
          <w:tcPr>
            <w:tcW w:w="1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c>
          <w:tcPr>
            <w:tcW w:w="5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(84)</w:t>
            </w:r>
          </w:p>
        </w:tc>
        <w:tc>
          <w:tcPr>
            <w:tcW w:w="3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Settlements</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82"/>
              </w:rPr>
              <w:t>—</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periodic pension expense (benefit)</w:t>
            </w:r>
          </w:p>
        </w:tc>
        <w:tc>
          <w:tcPr>
            <w:tcW w:w="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(322)</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82"/>
              </w:rPr>
              <w:t>66</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320</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1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(596)</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132</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100" w:right="100" w:firstLine="432"/>
        <w:spacing w:after="0" w:line="265" w:lineRule="auto"/>
        <w:rPr>
          <w:sz w:val="20"/>
          <w:szCs w:val="20"/>
          <w:color w:val="auto"/>
        </w:rPr>
      </w:pPr>
      <w:r>
        <w:rPr>
          <w:rFonts w:ascii="Times New Roman" w:cs="Times New Roman" w:eastAsia="Times New Roman" w:hAnsi="Times New Roman"/>
          <w:sz w:val="12"/>
          <w:szCs w:val="12"/>
          <w:color w:val="auto"/>
        </w:rPr>
        <w:t>The Company was not required to make contributions to its pension plans during the nine months ended September 30, 2024 and 2023. However, the Company periodically evaluates whether to make discretionary contributions. The Company funds its postretirement benefit plans as claims are made and did not make contributions to its pension plans during the nine months ended September 30, 2024 and 2023.</w:t>
      </w:r>
    </w:p>
    <w:p>
      <w:pPr>
        <w:spacing w:after="0" w:line="2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11. INCOME TAXES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The Company’s effective tax rate for the three months ended September 30, 2024 and 2023 was 23.4% and 12.7% respectively.</w:t>
      </w:r>
    </w:p>
    <w:p>
      <w:pPr>
        <w:spacing w:after="0" w:line="168" w:lineRule="exact"/>
        <w:rPr>
          <w:sz w:val="20"/>
          <w:szCs w:val="20"/>
          <w:color w:val="auto"/>
        </w:rPr>
      </w:pPr>
    </w:p>
    <w:p>
      <w:pPr>
        <w:ind w:left="100" w:right="120" w:firstLine="432"/>
        <w:spacing w:after="0" w:line="259" w:lineRule="auto"/>
        <w:rPr>
          <w:sz w:val="20"/>
          <w:szCs w:val="20"/>
          <w:color w:val="auto"/>
        </w:rPr>
      </w:pPr>
      <w:r>
        <w:rPr>
          <w:rFonts w:ascii="Times New Roman" w:cs="Times New Roman" w:eastAsia="Times New Roman" w:hAnsi="Times New Roman"/>
          <w:sz w:val="12"/>
          <w:szCs w:val="12"/>
          <w:color w:val="auto"/>
        </w:rPr>
        <w:t>The Company recorded an income tax benefit of $12.0 million in relation to a pretax loss of $51.5 million for the three months ended September 30, 2024. The effective tax rate for the three months ended September 30, 2024 was primarily impacted by the following items (i) the mix of income generated among the jurisdictions in which the Company operates,</w:t>
      </w:r>
    </w:p>
    <w:p>
      <w:pPr>
        <w:spacing w:after="0" w:line="1" w:lineRule="exact"/>
        <w:rPr>
          <w:sz w:val="20"/>
          <w:szCs w:val="20"/>
          <w:color w:val="auto"/>
        </w:rPr>
      </w:pPr>
    </w:p>
    <w:p>
      <w:pPr>
        <w:ind w:left="100" w:right="220" w:firstLine="2"/>
        <w:spacing w:after="0" w:line="260" w:lineRule="auto"/>
        <w:tabs>
          <w:tab w:leader="none" w:pos="27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expense related to valuation allowances placed on certain deferred tax assets that are not expected to be realizable based on the weight of positive and negative evidence and (iii) discrete items including a $0.8 million expense associated with sale of a partnership interest, and a $0.8 million expense for interest on unrecognized tax positions.</w:t>
      </w:r>
    </w:p>
    <w:p>
      <w:pPr>
        <w:spacing w:after="0" w:line="149" w:lineRule="exact"/>
        <w:rPr>
          <w:sz w:val="20"/>
          <w:szCs w:val="20"/>
          <w:color w:val="auto"/>
        </w:rPr>
      </w:pPr>
    </w:p>
    <w:p>
      <w:pPr>
        <w:ind w:left="100" w:right="100" w:firstLine="432"/>
        <w:spacing w:after="0" w:line="260" w:lineRule="auto"/>
        <w:rPr>
          <w:sz w:val="20"/>
          <w:szCs w:val="20"/>
          <w:color w:val="auto"/>
        </w:rPr>
      </w:pPr>
      <w:r>
        <w:rPr>
          <w:rFonts w:ascii="Times New Roman" w:cs="Times New Roman" w:eastAsia="Times New Roman" w:hAnsi="Times New Roman"/>
          <w:sz w:val="12"/>
          <w:szCs w:val="12"/>
          <w:color w:val="auto"/>
        </w:rPr>
        <w:t>The Company recorded an income tax benefit of $0.5 million in relation to a pretax loss of $4.3 million for the three months ended September 30, 2023. The effective tax rate for the three months ended September 30, 2023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 including a $0.7 million expense for interest on unrecognized tax positions.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239395</wp:posOffset>
            </wp:positionV>
            <wp:extent cx="569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160"/>
          </w:cols>
          <w:pgMar w:left="1360" w:top="390" w:right="137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Company’s effective tax rate for the nine months ended September 30, 2024 and 2023 was 22.1% and 35.8%, respectively.</w:t>
      </w:r>
    </w:p>
    <w:p>
      <w:pPr>
        <w:spacing w:after="0" w:line="177" w:lineRule="exact"/>
        <w:rPr>
          <w:sz w:val="20"/>
          <w:szCs w:val="20"/>
          <w:color w:val="auto"/>
        </w:rPr>
      </w:pPr>
    </w:p>
    <w:p>
      <w:pPr>
        <w:ind w:left="20" w:right="99" w:firstLine="432"/>
        <w:spacing w:after="0" w:line="259" w:lineRule="auto"/>
        <w:rPr>
          <w:sz w:val="20"/>
          <w:szCs w:val="20"/>
          <w:color w:val="auto"/>
        </w:rPr>
      </w:pPr>
      <w:r>
        <w:rPr>
          <w:rFonts w:ascii="Times New Roman" w:cs="Times New Roman" w:eastAsia="Times New Roman" w:hAnsi="Times New Roman"/>
          <w:sz w:val="12"/>
          <w:szCs w:val="12"/>
          <w:color w:val="auto"/>
        </w:rPr>
        <w:t>The Company recorded an income tax benefit of $10.2 million in relation to a pretax loss of $46.3 million for the nine months ended September 30, 2024. The effective tax rate for the nine months ended September 30, 2024 was primarily impacted by the following items (i) the mix of income generated among the jurisdictions in which the Company operates,</w:t>
      </w:r>
    </w:p>
    <w:p>
      <w:pPr>
        <w:spacing w:after="0" w:line="1" w:lineRule="exact"/>
        <w:rPr>
          <w:sz w:val="20"/>
          <w:szCs w:val="20"/>
          <w:color w:val="auto"/>
        </w:rPr>
      </w:pPr>
    </w:p>
    <w:p>
      <w:pPr>
        <w:jc w:val="both"/>
        <w:ind w:left="20" w:right="159" w:firstLine="2"/>
        <w:spacing w:after="0" w:line="253" w:lineRule="auto"/>
        <w:tabs>
          <w:tab w:leader="none" w:pos="19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 $1.5 million expense to record an unrecognized tax position for the current year, a $2.2 million expense for interest on unrecognized tax positions, and a $0.8 million expense associated with the sale of a partnership interest.</w:t>
      </w:r>
    </w:p>
    <w:p>
      <w:pPr>
        <w:spacing w:after="0" w:line="154" w:lineRule="exact"/>
        <w:rPr>
          <w:sz w:val="20"/>
          <w:szCs w:val="20"/>
          <w:color w:val="auto"/>
        </w:rPr>
      </w:pPr>
    </w:p>
    <w:p>
      <w:pPr>
        <w:jc w:val="both"/>
        <w:ind w:left="20" w:right="179" w:firstLine="432"/>
        <w:spacing w:after="0" w:line="259" w:lineRule="auto"/>
        <w:rPr>
          <w:sz w:val="20"/>
          <w:szCs w:val="20"/>
          <w:color w:val="auto"/>
        </w:rPr>
      </w:pPr>
      <w:r>
        <w:rPr>
          <w:rFonts w:ascii="Times New Roman" w:cs="Times New Roman" w:eastAsia="Times New Roman" w:hAnsi="Times New Roman"/>
          <w:sz w:val="12"/>
          <w:szCs w:val="12"/>
          <w:color w:val="auto"/>
        </w:rPr>
        <w:t>The Company recorded an income tax benefit of $6.4 million in relation to a pretax loss of $17.8 million for the nine months ended September 30, 2023. The effective tax rate for the nine months ended September 30, 2023 was primarily impacted by the following items (i) the mix of income generated among the jurisdictions in which the Company operates,</w:t>
      </w:r>
    </w:p>
    <w:p>
      <w:pPr>
        <w:spacing w:after="0" w:line="1" w:lineRule="exact"/>
        <w:rPr>
          <w:sz w:val="20"/>
          <w:szCs w:val="20"/>
          <w:color w:val="auto"/>
        </w:rPr>
      </w:pPr>
    </w:p>
    <w:p>
      <w:pPr>
        <w:ind w:left="20" w:right="159" w:firstLine="2"/>
        <w:spacing w:after="0" w:line="255" w:lineRule="auto"/>
        <w:tabs>
          <w:tab w:leader="none" w:pos="19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$2.0 million expense for interest on unrecognized tax positions.</w:t>
      </w:r>
    </w:p>
    <w:p>
      <w:pPr>
        <w:spacing w:after="0" w:line="143" w:lineRule="exact"/>
        <w:rPr>
          <w:sz w:val="20"/>
          <w:szCs w:val="20"/>
          <w:color w:val="auto"/>
        </w:rPr>
      </w:pPr>
    </w:p>
    <w:p>
      <w:pPr>
        <w:ind w:left="20" w:right="79" w:firstLine="432"/>
        <w:spacing w:after="0" w:line="284" w:lineRule="auto"/>
        <w:rPr>
          <w:sz w:val="20"/>
          <w:szCs w:val="20"/>
          <w:color w:val="auto"/>
        </w:rPr>
      </w:pPr>
      <w:r>
        <w:rPr>
          <w:rFonts w:ascii="Times New Roman" w:cs="Times New Roman" w:eastAsia="Times New Roman" w:hAnsi="Times New Roman"/>
          <w:sz w:val="11"/>
          <w:szCs w:val="11"/>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applications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4379"/>
        <w:spacing w:after="0" w:line="551" w:lineRule="auto"/>
        <w:rPr>
          <w:sz w:val="20"/>
          <w:szCs w:val="20"/>
          <w:color w:val="auto"/>
        </w:rPr>
      </w:pPr>
      <w:r>
        <w:rPr>
          <w:rFonts w:ascii="Times New Roman" w:cs="Times New Roman" w:eastAsia="Times New Roman" w:hAnsi="Times New Roman"/>
          <w:sz w:val="12"/>
          <w:szCs w:val="12"/>
          <w:b w:val="1"/>
          <w:bCs w:val="1"/>
          <w:color w:val="auto"/>
        </w:rPr>
        <w:t xml:space="preserve">12. EARNINGS PER SHARE AND REDEEMABLE NONCONTROLLING INTERESTS </w:t>
      </w:r>
      <w:r>
        <w:rPr>
          <w:rFonts w:ascii="Times New Roman" w:cs="Times New Roman" w:eastAsia="Times New Roman" w:hAnsi="Times New Roman"/>
          <w:sz w:val="12"/>
          <w:szCs w:val="12"/>
          <w:b w:val="1"/>
          <w:bCs w:val="1"/>
          <w:i w:val="1"/>
          <w:iCs w:val="1"/>
          <w:color w:val="auto"/>
        </w:rPr>
        <w:t>Earnings Per Share</w:t>
      </w:r>
    </w:p>
    <w:p>
      <w:pPr>
        <w:ind w:left="460"/>
        <w:spacing w:after="0"/>
        <w:rPr>
          <w:sz w:val="20"/>
          <w:szCs w:val="20"/>
          <w:color w:val="auto"/>
        </w:rPr>
      </w:pPr>
      <w:r>
        <w:rPr>
          <w:rFonts w:ascii="Times New Roman" w:cs="Times New Roman" w:eastAsia="Times New Roman" w:hAnsi="Times New Roman"/>
          <w:sz w:val="12"/>
          <w:szCs w:val="12"/>
          <w:color w:val="auto"/>
        </w:rPr>
        <w:t>The following table reconciles the numerator and denominator in the computations of basic and diluted earnings per share (in thousands):</w:t>
      </w:r>
    </w:p>
    <w:p>
      <w:pPr>
        <w:spacing w:after="0" w:line="10"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220" w:type="dxa"/>
            <w:vAlign w:val="bottom"/>
          </w:tcPr>
          <w:p>
            <w:pPr>
              <w:spacing w:after="0"/>
              <w:rPr>
                <w:sz w:val="10"/>
                <w:szCs w:val="10"/>
                <w:color w:val="auto"/>
              </w:rPr>
            </w:pPr>
          </w:p>
        </w:tc>
        <w:tc>
          <w:tcPr>
            <w:tcW w:w="1940" w:type="dxa"/>
            <w:vAlign w:val="bottom"/>
            <w:gridSpan w:val="4"/>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0"/>
        </w:trPr>
        <w:tc>
          <w:tcPr>
            <w:tcW w:w="44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44"/>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attributable to ATN International, Inc. stockholders- Basic</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(32,691)</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(3,584)</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(30,000)</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(8,702)</w:t>
            </w:r>
          </w:p>
        </w:tc>
      </w:tr>
      <w:tr>
        <w:trPr>
          <w:trHeight w:val="14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Preferred dividends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(1,426)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(1,303)</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(4,154)</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(3,593)</w:t>
            </w:r>
          </w:p>
        </w:tc>
      </w:tr>
      <w:tr>
        <w:trPr>
          <w:trHeight w:val="140"/>
        </w:trPr>
        <w:tc>
          <w:tcPr>
            <w:tcW w:w="44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Net income (loss) attributable to ATN International, Inc. common stockholders-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(34,117)</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(4,887)</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(34,154)</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(12,295)</w:t>
            </w:r>
          </w:p>
        </w:tc>
      </w:tr>
      <w:tr>
        <w:trPr>
          <w:trHeight w:val="144"/>
        </w:trPr>
        <w:tc>
          <w:tcPr>
            <w:tcW w:w="4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4"/>
        </w:trPr>
        <w:tc>
          <w:tcPr>
            <w:tcW w:w="4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shares outstanding- Basic</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15,601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15,666</w:t>
            </w:r>
          </w:p>
        </w:tc>
      </w:t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shares outstanding- Diluted</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15,114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15,601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15,666</w:t>
            </w:r>
          </w:p>
        </w:tc>
      </w:tr>
    </w:tbl>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Redeemable Noncontrolling Interests</w:t>
      </w:r>
    </w:p>
    <w:p>
      <w:pPr>
        <w:spacing w:after="0" w:line="181"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138" w:lineRule="exact"/>
        <w:rPr>
          <w:sz w:val="20"/>
          <w:szCs w:val="20"/>
          <w:color w:val="auto"/>
        </w:rPr>
      </w:pPr>
    </w:p>
    <w:p>
      <w:pPr>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records the common units at the higher of the book value of the common units or the estimated fair value.</w:t>
      </w:r>
    </w:p>
    <w:p>
      <w:pPr>
        <w:spacing w:after="0" w:line="137"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13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put options for both the common and preferred units, if any, are nonrecourse to the Company. The put options for the Alloy common units are exercisable beginning in 2026 and the put options for the Alaska Communications common and preferred units are exercisable at the earlier of a future initial public offering of the subsidiary or January 1, 2028.</w:t>
      </w:r>
    </w:p>
    <w:p>
      <w:pPr>
        <w:spacing w:after="0" w:line="138"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For the three months ended September 30, 2024 and 2023, the Company allocated losses of $7.9 million and $1.6 million, respectively, to the redeemable common units representing their proportionate share of operating losses. For the nine month periods ended September 30, 2024 and 2023, the Company allocated losses of $14.1 million and $7.8 million, respectively, to the redeemable common units representing their proportionate share of operating losses. The Company then compared the book value of the common units to the fair value. As a result, the book value was decreased by $0.9 million and increased $7.5 million during the nine months ended September 30, 2024 and 2023, respectively.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following table provides a roll forward of the activity related to the Company’s redeemable noncontrolling interests for the nine months ended September 30, 2024 and 2023 (in thousands):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Total Redeemable</w:t>
            </w:r>
          </w:p>
        </w:tc>
        <w:tc>
          <w:tcPr>
            <w:tcW w:w="0" w:type="dxa"/>
            <w:vAlign w:val="bottom"/>
          </w:tcPr>
          <w:p>
            <w:pPr>
              <w:spacing w:after="0"/>
              <w:rPr>
                <w:sz w:val="1"/>
                <w:szCs w:val="1"/>
                <w:color w:val="auto"/>
              </w:rPr>
            </w:pPr>
          </w:p>
        </w:tc>
      </w:tr>
      <w:tr>
        <w:trPr>
          <w:trHeight w:val="72"/>
        </w:trPr>
        <w:tc>
          <w:tcPr>
            <w:tcW w:w="33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72"/>
        </w:trPr>
        <w:tc>
          <w:tcPr>
            <w:tcW w:w="33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Preferred Units</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0" w:type="dxa"/>
            <w:vAlign w:val="bottom"/>
          </w:tcPr>
          <w:p>
            <w:pPr>
              <w:spacing w:after="0"/>
              <w:rPr>
                <w:sz w:val="1"/>
                <w:szCs w:val="1"/>
                <w:color w:val="auto"/>
              </w:rPr>
            </w:pPr>
          </w:p>
        </w:tc>
      </w:tr>
      <w:tr>
        <w:trPr>
          <w:trHeight w:val="72"/>
        </w:trPr>
        <w:tc>
          <w:tcPr>
            <w:tcW w:w="33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Balance, December 31, 2023</w:t>
            </w:r>
          </w:p>
        </w:tc>
        <w:tc>
          <w:tcPr>
            <w:tcW w:w="19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60,094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25,823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85,917</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preferred dividend</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4,154</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Allocated net loss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(14,121)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(14,121)</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w:t>
            </w:r>
          </w:p>
        </w:tc>
        <w:tc>
          <w:tcPr>
            <w:tcW w:w="0" w:type="dxa"/>
            <w:vAlign w:val="bottom"/>
          </w:tcPr>
          <w:p>
            <w:pPr>
              <w:spacing w:after="0"/>
              <w:rPr>
                <w:sz w:val="1"/>
                <w:szCs w:val="1"/>
                <w:color w:val="auto"/>
              </w:rPr>
            </w:pPr>
          </w:p>
        </w:tc>
      </w:tr>
      <w:tr>
        <w:trPr>
          <w:trHeight w:val="140"/>
        </w:trPr>
        <w:tc>
          <w:tcPr>
            <w:tcW w:w="3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September 30, 2024</w:t>
            </w:r>
          </w:p>
        </w:tc>
        <w:tc>
          <w:tcPr>
            <w:tcW w:w="19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64,248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10,835</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75,083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390"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Balance, December 31, 2022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Accrued preferred dividend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Allocated net loss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Change in fair value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Balance, September 30, 2023</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Total Redeemable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Preferred Units</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55,152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37,317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(7,788)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7,497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7,497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58,761</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37,026</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95,787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-422275</wp:posOffset>
            </wp:positionV>
            <wp:extent cx="569214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0287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-216535</wp:posOffset>
            </wp:positionV>
            <wp:extent cx="569214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20" w:space="720"/>
            <w:col w:w="3679"/>
          </w:cols>
          <w:pgMar w:left="1440" w:top="390" w:right="1440" w:bottom="1440" w:gutter="0" w:footer="0" w:header="0"/>
          <w:type w:val="continuous"/>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type w:val="continuous"/>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13. SEGMENT REPORTING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 has the following two reportable and operating segments: i) International Telecom and ii) US Telecom.</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tables provide information for each operating segment (in thousands):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wp:posOffset>
            </wp:positionV>
            <wp:extent cx="56921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US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28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164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5,007</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5,075</w:t>
            </w:r>
          </w:p>
        </w:tc>
      </w:tr>
      <w:tr>
        <w:trPr>
          <w:trHeight w:val="144"/>
        </w:trPr>
        <w:tc>
          <w:tcPr>
            <w:tcW w:w="2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22,440</w:t>
            </w:r>
          </w:p>
        </w:tc>
      </w:tr>
      <w:tr>
        <w:trPr>
          <w:trHeight w:val="133"/>
        </w:trPr>
        <w:tc>
          <w:tcPr>
            <w:tcW w:w="286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26,809</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27,515</w:t>
            </w:r>
          </w:p>
        </w:tc>
      </w:tr>
      <w:tr>
        <w:trPr>
          <w:trHeight w:val="133"/>
        </w:trPr>
        <w:tc>
          <w:tcPr>
            <w:tcW w:w="28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18,692</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29,576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48,268</w:t>
            </w:r>
          </w:p>
        </w:tc>
      </w:tr>
      <w:tr>
        <w:trPr>
          <w:trHeight w:val="14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21,440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64,507</w:t>
            </w:r>
          </w:p>
        </w:tc>
      </w:tr>
      <w:tr>
        <w:trPr>
          <w:trHeight w:val="133"/>
        </w:trPr>
        <w:tc>
          <w:tcPr>
            <w:tcW w:w="286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6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61,759</w:t>
            </w:r>
          </w:p>
        </w:tc>
        <w:tc>
          <w:tcPr>
            <w:tcW w:w="2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51,016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112,775</w:t>
            </w:r>
          </w:p>
        </w:tc>
      </w:tr>
      <w:tr>
        <w:trPr>
          <w:trHeight w:val="133"/>
        </w:trPr>
        <w:tc>
          <w:tcPr>
            <w:tcW w:w="28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3,272</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29,430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32,702</w:t>
            </w: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93,015</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81,407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174,422</w:t>
            </w:r>
          </w:p>
        </w:tc>
      </w:tr>
      <w:tr>
        <w:trPr>
          <w:trHeight w:val="133"/>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3,826</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1,266</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2,560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3,826</w:t>
            </w:r>
          </w:p>
        </w:tc>
      </w:tr>
      <w:tr>
        <w:trPr>
          <w:trHeight w:val="140"/>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94,281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84,170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178,451</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18,414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18,681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37,299</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Goodwill impairment</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(44,333)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(38,358)</w:t>
            </w:r>
          </w:p>
        </w:tc>
      </w:tr>
    </w:tbl>
    <w:p>
      <w:pPr>
        <w:spacing w:after="0" w:line="277" w:lineRule="exact"/>
        <w:rPr>
          <w:sz w:val="20"/>
          <w:szCs w:val="20"/>
          <w:color w:val="auto"/>
        </w:rPr>
      </w:pPr>
    </w:p>
    <w:p>
      <w:pPr>
        <w:ind w:left="680" w:hanging="208"/>
        <w:spacing w:after="0"/>
        <w:tabs>
          <w:tab w:leader="none" w:pos="6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2"/>
          <w:szCs w:val="12"/>
          <w:color w:val="auto"/>
        </w:rPr>
      </w:pPr>
    </w:p>
    <w:p>
      <w:pPr>
        <w:spacing w:after="0" w:line="382"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US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28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164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3,818</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3,946</w:t>
            </w:r>
          </w:p>
        </w:tc>
      </w:tr>
      <w:tr>
        <w:trPr>
          <w:trHeight w:val="144"/>
        </w:trPr>
        <w:tc>
          <w:tcPr>
            <w:tcW w:w="2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23,973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24,790</w:t>
            </w:r>
          </w:p>
        </w:tc>
      </w:tr>
      <w:tr>
        <w:trPr>
          <w:trHeight w:val="133"/>
        </w:trPr>
        <w:tc>
          <w:tcPr>
            <w:tcW w:w="286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27,791</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945</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28,736</w:t>
            </w:r>
          </w:p>
        </w:tc>
      </w:tr>
      <w:tr>
        <w:trPr>
          <w:trHeight w:val="133"/>
        </w:trPr>
        <w:tc>
          <w:tcPr>
            <w:tcW w:w="28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18,016</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35,680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53,696</w:t>
            </w:r>
          </w:p>
        </w:tc>
      </w:tr>
      <w:tr>
        <w:trPr>
          <w:trHeight w:val="14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41,967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22,662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64,629</w:t>
            </w:r>
          </w:p>
        </w:tc>
      </w:tr>
      <w:tr>
        <w:trPr>
          <w:trHeight w:val="133"/>
        </w:trPr>
        <w:tc>
          <w:tcPr>
            <w:tcW w:w="286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6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59,983</w:t>
            </w:r>
          </w:p>
        </w:tc>
        <w:tc>
          <w:tcPr>
            <w:tcW w:w="2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58,342</w:t>
            </w:r>
          </w:p>
        </w:tc>
        <w:tc>
          <w:tcPr>
            <w:tcW w:w="2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118,325</w:t>
            </w:r>
          </w:p>
        </w:tc>
      </w:tr>
      <w:tr>
        <w:trPr>
          <w:trHeight w:val="133"/>
        </w:trPr>
        <w:tc>
          <w:tcPr>
            <w:tcW w:w="28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3,441</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32,319</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35,760</w:t>
            </w: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1,780</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92,451</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92,150</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184,601</w:t>
            </w:r>
          </w:p>
        </w:tc>
      </w:tr>
      <w:tr>
        <w:trPr>
          <w:trHeight w:val="133"/>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2,038</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2,038</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4,397</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1,427</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2,970</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4,397</w:t>
            </w:r>
          </w:p>
        </w:tc>
      </w:tr>
      <w:tr>
        <w:trPr>
          <w:trHeight w:val="140"/>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93,878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97,158</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191,036</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19,398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34,370</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3,124</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1,956</w:t>
            </w:r>
          </w:p>
        </w:tc>
      </w:tr>
      <w:tr>
        <w:trPr>
          <w:trHeight w:val="155"/>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12,800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(8,981)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6,836</w:t>
            </w:r>
          </w:p>
        </w:tc>
      </w:tr>
    </w:tbl>
    <w:p>
      <w:pPr>
        <w:spacing w:after="0" w:line="122" w:lineRule="exact"/>
        <w:rPr>
          <w:sz w:val="20"/>
          <w:szCs w:val="20"/>
          <w:color w:val="auto"/>
        </w:rPr>
      </w:pPr>
    </w:p>
    <w:p>
      <w:pPr>
        <w:ind w:left="680" w:hanging="208"/>
        <w:spacing w:after="0"/>
        <w:tabs>
          <w:tab w:leader="none" w:pos="6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2"/>
          <w:szCs w:val="12"/>
          <w:color w:val="auto"/>
        </w:rPr>
      </w:pPr>
    </w:p>
    <w:p>
      <w:pPr>
        <w:spacing w:after="0" w:line="382"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US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4"/>
        </w:trPr>
        <w:tc>
          <w:tcPr>
            <w:tcW w:w="2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24"/>
        </w:trPr>
        <w:tc>
          <w:tcPr>
            <w:tcW w:w="28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6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14,747</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14,956</w:t>
            </w:r>
          </w:p>
        </w:tc>
      </w:tr>
      <w:tr>
        <w:trPr>
          <w:trHeight w:val="144"/>
        </w:trPr>
        <w:tc>
          <w:tcPr>
            <w:tcW w:w="2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64,910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67,013</w:t>
            </w:r>
          </w:p>
        </w:tc>
      </w:tr>
      <w:tr>
        <w:trPr>
          <w:trHeight w:val="133"/>
        </w:trPr>
        <w:tc>
          <w:tcPr>
            <w:tcW w:w="286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79,657</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2,312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81,969</w:t>
            </w:r>
          </w:p>
        </w:tc>
      </w:tr>
      <w:tr>
        <w:trPr>
          <w:trHeight w:val="133"/>
        </w:trPr>
        <w:tc>
          <w:tcPr>
            <w:tcW w:w="28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55,939</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95,359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151,298</w:t>
            </w:r>
          </w:p>
        </w:tc>
      </w:tr>
      <w:tr>
        <w:trPr>
          <w:trHeight w:val="14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129,356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195,389</w:t>
            </w:r>
          </w:p>
        </w:tc>
      </w:tr>
      <w:tr>
        <w:trPr>
          <w:trHeight w:val="133"/>
        </w:trPr>
        <w:tc>
          <w:tcPr>
            <w:tcW w:w="286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185,295</w:t>
            </w:r>
          </w:p>
        </w:tc>
        <w:tc>
          <w:tcPr>
            <w:tcW w:w="2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161,392</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346,687</w:t>
            </w:r>
          </w:p>
        </w:tc>
      </w:tr>
      <w:tr>
        <w:trPr>
          <w:trHeight w:val="133"/>
        </w:trPr>
        <w:tc>
          <w:tcPr>
            <w:tcW w:w="28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10,481</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89,539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100,020</w:t>
            </w: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4,379</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278,471</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254,584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533,055</w:t>
            </w:r>
          </w:p>
        </w:tc>
      </w:tr>
      <w:tr>
        <w:trPr>
          <w:trHeight w:val="133"/>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2,609</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2,609</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12,863</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4,226</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8,637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12,863</w:t>
            </w:r>
          </w:p>
        </w:tc>
      </w:tr>
      <w:tr>
        <w:trPr>
          <w:trHeight w:val="140"/>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282,697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265,830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548,527</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50,814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107,196</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5,916</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6,521</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Goodwill impairment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56,944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(42,852)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(23,559)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(9,467)</w:t>
            </w:r>
          </w:p>
        </w:tc>
      </w:tr>
    </w:tbl>
    <w:p>
      <w:pPr>
        <w:spacing w:after="0" w:line="133" w:lineRule="exact"/>
        <w:rPr>
          <w:sz w:val="20"/>
          <w:szCs w:val="20"/>
          <w:color w:val="auto"/>
        </w:rPr>
      </w:pPr>
    </w:p>
    <w:p>
      <w:pPr>
        <w:ind w:left="680" w:hanging="208"/>
        <w:spacing w:after="0"/>
        <w:tabs>
          <w:tab w:leader="none" w:pos="6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2"/>
          <w:szCs w:val="12"/>
          <w:color w:val="auto"/>
        </w:rPr>
      </w:pPr>
    </w:p>
    <w:p>
      <w:pPr>
        <w:spacing w:after="0" w:line="382"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US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4"/>
        </w:trPr>
        <w:tc>
          <w:tcPr>
            <w:tcW w:w="2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24"/>
        </w:trPr>
        <w:tc>
          <w:tcPr>
            <w:tcW w:w="28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6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11,484</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11,899</w:t>
            </w:r>
          </w:p>
        </w:tc>
      </w:tr>
      <w:tr>
        <w:trPr>
          <w:trHeight w:val="144"/>
        </w:trPr>
        <w:tc>
          <w:tcPr>
            <w:tcW w:w="2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69,270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71,936</w:t>
            </w:r>
          </w:p>
        </w:tc>
      </w:tr>
      <w:tr>
        <w:trPr>
          <w:trHeight w:val="133"/>
        </w:trPr>
        <w:tc>
          <w:tcPr>
            <w:tcW w:w="286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80,754</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83,835</w:t>
            </w:r>
          </w:p>
        </w:tc>
      </w:tr>
      <w:tr>
        <w:trPr>
          <w:trHeight w:val="133"/>
        </w:trPr>
        <w:tc>
          <w:tcPr>
            <w:tcW w:w="28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52,602</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107,494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160,096</w:t>
            </w:r>
          </w:p>
        </w:tc>
      </w:tr>
      <w:tr>
        <w:trPr>
          <w:trHeight w:val="14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125,944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193,796</w:t>
            </w:r>
          </w:p>
        </w:tc>
      </w:tr>
      <w:tr>
        <w:trPr>
          <w:trHeight w:val="133"/>
        </w:trPr>
        <w:tc>
          <w:tcPr>
            <w:tcW w:w="286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178,546</w:t>
            </w:r>
          </w:p>
        </w:tc>
        <w:tc>
          <w:tcPr>
            <w:tcW w:w="2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175,346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353,892</w:t>
            </w:r>
          </w:p>
        </w:tc>
      </w:tr>
      <w:tr>
        <w:trPr>
          <w:trHeight w:val="133"/>
        </w:trPr>
        <w:tc>
          <w:tcPr>
            <w:tcW w:w="28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11,011</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95,978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106,989</w:t>
            </w: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2,768</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272,395</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275,089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547,484</w:t>
            </w:r>
          </w:p>
        </w:tc>
      </w:tr>
      <w:tr>
        <w:trPr>
          <w:trHeight w:val="133"/>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3,648</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3,648</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12,118</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3,872</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8,246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12,118</w:t>
            </w:r>
          </w:p>
        </w:tc>
      </w:tr>
      <w:tr>
        <w:trPr>
          <w:trHeight w:val="140"/>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276,267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286,983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563,250</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42,646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62,315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106,991</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9,514</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6,473</w:t>
            </w:r>
          </w:p>
        </w:tc>
      </w:tr>
      <w:tr>
        <w:trPr>
          <w:trHeight w:val="155"/>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41,177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(3,719)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(27,547)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9,911</w:t>
            </w:r>
          </w:p>
        </w:tc>
      </w:tr>
    </w:tbl>
    <w:p>
      <w:pPr>
        <w:spacing w:after="0" w:line="122" w:lineRule="exact"/>
        <w:rPr>
          <w:sz w:val="20"/>
          <w:szCs w:val="20"/>
          <w:color w:val="auto"/>
        </w:rPr>
      </w:pPr>
    </w:p>
    <w:p>
      <w:pPr>
        <w:ind w:left="680" w:hanging="208"/>
        <w:spacing w:after="0"/>
        <w:tabs>
          <w:tab w:leader="none" w:pos="6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2"/>
          <w:szCs w:val="12"/>
          <w:color w:val="auto"/>
        </w:rPr>
      </w:pPr>
    </w:p>
    <w:p>
      <w:pPr>
        <w:spacing w:after="0" w:line="238"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Selected balance sheet data for each of the Company’s segments as of September 30, 2024 and December 31, 2023 consists of the following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260" w:type="dxa"/>
            <w:vAlign w:val="bottom"/>
          </w:tcPr>
          <w:p>
            <w:pPr>
              <w:spacing w:after="0"/>
              <w:rPr>
                <w:sz w:val="10"/>
                <w:szCs w:val="10"/>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60" w:type="dxa"/>
            <w:vAlign w:val="bottom"/>
          </w:tcPr>
          <w:p>
            <w:pPr>
              <w:spacing w:after="0"/>
              <w:rPr>
                <w:sz w:val="10"/>
                <w:szCs w:val="1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240" w:type="dxa"/>
            <w:vAlign w:val="bottom"/>
          </w:tcPr>
          <w:p>
            <w:pPr>
              <w:spacing w:after="0"/>
              <w:rPr>
                <w:sz w:val="10"/>
                <w:szCs w:val="10"/>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60" w:type="dxa"/>
            <w:vAlign w:val="bottom"/>
          </w:tcPr>
          <w:p>
            <w:pPr>
              <w:spacing w:after="0"/>
              <w:rPr>
                <w:sz w:val="10"/>
                <w:szCs w:val="10"/>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60" w:type="dxa"/>
            <w:vAlign w:val="bottom"/>
          </w:tcPr>
          <w:p>
            <w:pPr>
              <w:spacing w:after="0"/>
              <w:rPr>
                <w:sz w:val="10"/>
                <w:szCs w:val="1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60" w:type="dxa"/>
            <w:vAlign w:val="bottom"/>
          </w:tcPr>
          <w:p>
            <w:pPr>
              <w:spacing w:after="0"/>
              <w:rPr>
                <w:sz w:val="10"/>
                <w:szCs w:val="10"/>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33"/>
        </w:trPr>
        <w:tc>
          <w:tcPr>
            <w:tcW w:w="3540" w:type="dxa"/>
            <w:vAlign w:val="bottom"/>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Cash, cash equivalents, and restricted cash</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52,043</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62,772</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116,764</w:t>
            </w:r>
          </w:p>
        </w:tc>
        <w:tc>
          <w:tcPr>
            <w:tcW w:w="0" w:type="dxa"/>
            <w:vAlign w:val="bottom"/>
          </w:tcPr>
          <w:p>
            <w:pPr>
              <w:spacing w:after="0"/>
              <w:rPr>
                <w:sz w:val="1"/>
                <w:szCs w:val="1"/>
                <w:color w:val="auto"/>
              </w:rPr>
            </w:pPr>
          </w:p>
        </w:tc>
      </w:tr>
      <w:tr>
        <w:trPr>
          <w:trHeight w:val="162"/>
        </w:trPr>
        <w:tc>
          <w:tcPr>
            <w:tcW w:w="3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149,987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167,440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325,606</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assets, net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468,559</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573,997</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1,049,002</w:t>
            </w:r>
          </w:p>
        </w:tc>
        <w:tc>
          <w:tcPr>
            <w:tcW w:w="0" w:type="dxa"/>
            <w:vAlign w:val="bottom"/>
          </w:tcPr>
          <w:p>
            <w:pPr>
              <w:spacing w:after="0"/>
              <w:rPr>
                <w:sz w:val="1"/>
                <w:szCs w:val="1"/>
                <w:color w:val="auto"/>
              </w:rPr>
            </w:pPr>
          </w:p>
        </w:tc>
      </w:tr>
      <w:tr>
        <w:trPr>
          <w:trHeight w:val="162"/>
        </w:trPr>
        <w:tc>
          <w:tcPr>
            <w:tcW w:w="3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4,835</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695,127</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967,028</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89,226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1,751,381</w:t>
            </w:r>
          </w:p>
        </w:tc>
        <w:tc>
          <w:tcPr>
            <w:tcW w:w="0" w:type="dxa"/>
            <w:vAlign w:val="bottom"/>
          </w:tcPr>
          <w:p>
            <w:pPr>
              <w:spacing w:after="0"/>
              <w:rPr>
                <w:sz w:val="1"/>
                <w:szCs w:val="1"/>
                <w:color w:val="auto"/>
              </w:rPr>
            </w:pPr>
          </w:p>
        </w:tc>
      </w:tr>
      <w:tr>
        <w:trPr>
          <w:trHeight w:val="162"/>
        </w:trPr>
        <w:tc>
          <w:tcPr>
            <w:tcW w:w="3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96,384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140,689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31,357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268,430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debt, including current portion</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59,825</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316,672</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192,409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568,906</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Cash, cash equivalents, and restricted cash</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26,354</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33,574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62,167</w:t>
            </w:r>
          </w:p>
        </w:tc>
        <w:tc>
          <w:tcPr>
            <w:tcW w:w="0" w:type="dxa"/>
            <w:vAlign w:val="bottom"/>
          </w:tcPr>
          <w:p>
            <w:pPr>
              <w:spacing w:after="0"/>
              <w:rPr>
                <w:sz w:val="1"/>
                <w:szCs w:val="1"/>
                <w:color w:val="auto"/>
              </w:rPr>
            </w:pPr>
          </w:p>
        </w:tc>
      </w:tr>
      <w:tr>
        <w:trPr>
          <w:trHeight w:val="144"/>
        </w:trPr>
        <w:tc>
          <w:tcPr>
            <w:tcW w:w="3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107,469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162,768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11,035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281,272</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assets, net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481,911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593,833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1,080,659</w:t>
            </w:r>
          </w:p>
        </w:tc>
        <w:tc>
          <w:tcPr>
            <w:tcW w:w="0" w:type="dxa"/>
            <w:vAlign w:val="bottom"/>
          </w:tcPr>
          <w:p>
            <w:pPr>
              <w:spacing w:after="0"/>
              <w:rPr>
                <w:sz w:val="1"/>
                <w:szCs w:val="1"/>
                <w:color w:val="auto"/>
              </w:rPr>
            </w:pPr>
          </w:p>
        </w:tc>
      </w:tr>
      <w:tr>
        <w:trPr>
          <w:trHeight w:val="144"/>
        </w:trPr>
        <w:tc>
          <w:tcPr>
            <w:tcW w:w="3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40,104</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672,171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1,019,924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91,619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1,783,714</w:t>
            </w:r>
          </w:p>
        </w:tc>
        <w:tc>
          <w:tcPr>
            <w:tcW w:w="0" w:type="dxa"/>
            <w:vAlign w:val="bottom"/>
          </w:tcPr>
          <w:p>
            <w:pPr>
              <w:spacing w:after="0"/>
              <w:rPr>
                <w:sz w:val="1"/>
                <w:szCs w:val="1"/>
                <w:color w:val="auto"/>
              </w:rPr>
            </w:pPr>
          </w:p>
        </w:tc>
      </w:tr>
      <w:tr>
        <w:trPr>
          <w:trHeight w:val="144"/>
        </w:trPr>
        <w:tc>
          <w:tcPr>
            <w:tcW w:w="3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86,540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169,297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37,357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293,194</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debt, including current portion</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64,254</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293,607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159,009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516,870</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For the nine months ended September 30, 2024 and 2023, the Company spent $157.5 million and $140.9 million, respectively, on capital expenditures relating to its telecommunications networks and business support systems of which $71.8 million and $14.3 million, respectively, are reimbursable under various government programs. The following notes the Company’s capital expenditures, by operating segment, for these periods (in thousands).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3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Capital Expenditures</w:t>
            </w:r>
          </w:p>
        </w:tc>
        <w:tc>
          <w:tcPr>
            <w:tcW w:w="9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26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380" w:type="dxa"/>
            <w:vAlign w:val="bottom"/>
          </w:tcPr>
          <w:p>
            <w:pPr>
              <w:spacing w:after="0"/>
              <w:rPr>
                <w:sz w:val="20"/>
                <w:szCs w:val="20"/>
                <w:color w:val="auto"/>
              </w:rPr>
            </w:pPr>
          </w:p>
        </w:tc>
        <w:tc>
          <w:tcPr>
            <w:tcW w:w="96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400" w:type="dxa"/>
            <w:vAlign w:val="bottom"/>
          </w:tcPr>
          <w:p>
            <w:pPr>
              <w:spacing w:after="0"/>
              <w:rPr>
                <w:sz w:val="20"/>
                <w:szCs w:val="20"/>
                <w:color w:val="auto"/>
              </w:rPr>
            </w:pPr>
          </w:p>
        </w:tc>
        <w:tc>
          <w:tcPr>
            <w:tcW w:w="100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15"/>
        </w:trPr>
        <w:tc>
          <w:tcPr>
            <w:tcW w:w="33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00" w:type="dxa"/>
            <w:vAlign w:val="bottom"/>
          </w:tcPr>
          <w:p>
            <w:pPr>
              <w:spacing w:after="0"/>
              <w:rPr>
                <w:sz w:val="10"/>
                <w:szCs w:val="1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80" w:type="dxa"/>
            <w:vAlign w:val="bottom"/>
          </w:tcPr>
          <w:p>
            <w:pPr>
              <w:spacing w:after="0"/>
              <w:rPr>
                <w:sz w:val="10"/>
                <w:szCs w:val="10"/>
                <w:color w:val="auto"/>
              </w:rPr>
            </w:pPr>
          </w:p>
        </w:tc>
        <w:tc>
          <w:tcPr>
            <w:tcW w:w="960" w:type="dxa"/>
            <w:vAlign w:val="bottom"/>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4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2024</w:t>
            </w:r>
          </w:p>
        </w:tc>
        <w:tc>
          <w:tcPr>
            <w:tcW w:w="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39,440</w:t>
            </w: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116,220</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1,861</w:t>
            </w:r>
          </w:p>
        </w:tc>
        <w:tc>
          <w:tcPr>
            <w:tcW w:w="40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157,521</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57,610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83,291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140,901</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80" w:hanging="208"/>
        <w:spacing w:after="0"/>
        <w:tabs>
          <w:tab w:leader="none" w:pos="68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w:t>
      </w:r>
    </w:p>
    <w:p>
      <w:pPr>
        <w:spacing w:after="0" w:line="317"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CONTINGENCIES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Regulatory and Litigation Matters</w:t>
      </w:r>
    </w:p>
    <w:p>
      <w:pPr>
        <w:spacing w:after="0" w:line="181" w:lineRule="exact"/>
        <w:rPr>
          <w:sz w:val="20"/>
          <w:szCs w:val="20"/>
          <w:color w:val="auto"/>
        </w:rPr>
      </w:pPr>
    </w:p>
    <w:p>
      <w:pPr>
        <w:ind w:left="20" w:right="179" w:firstLine="432"/>
        <w:spacing w:after="0" w:line="260" w:lineRule="auto"/>
        <w:rPr>
          <w:sz w:val="20"/>
          <w:szCs w:val="20"/>
          <w:color w:val="auto"/>
        </w:rPr>
      </w:pPr>
      <w:r>
        <w:rPr>
          <w:rFonts w:ascii="Times New Roman" w:cs="Times New Roman" w:eastAsia="Times New Roman" w:hAnsi="Times New Roman"/>
          <w:sz w:val="12"/>
          <w:szCs w:val="12"/>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GTT, has been subject to other long-standing litigation proceedings and disputes in Guyana that have not yet been resolved.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Beginning in 2006, the National Frequency Management Unit (now the Telecommunications Agency, or the “NFMU/TA”) and GTT have been engaged in discussions regarding the amount of and methodology for calculation of spectrum fees payable by GTT in Guyana. Since that time, GTT has made payments of undisputed spectrum fees as amounts invoiced by the NFMU, and to its successor, the Telecommunications Authority (“TA”). There have been limited further discussions on the subject of a revised spectrum fee methodology with the TA.</w:t>
      </w:r>
    </w:p>
    <w:p>
      <w:pPr>
        <w:spacing w:after="0" w:line="149"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are currently pending in the Court of Appeals in Guyana, however, the Company cannot accurately predict at this time when the consolidated suit will reach a court of final determination.</w:t>
      </w:r>
    </w:p>
    <w:p>
      <w:pPr>
        <w:spacing w:after="0" w:line="149" w:lineRule="exact"/>
        <w:rPr>
          <w:sz w:val="20"/>
          <w:szCs w:val="20"/>
          <w:color w:val="auto"/>
        </w:rPr>
      </w:pPr>
    </w:p>
    <w:p>
      <w:pPr>
        <w:ind w:left="20" w:right="99" w:firstLine="432"/>
        <w:spacing w:after="0" w:line="257" w:lineRule="auto"/>
        <w:rPr>
          <w:sz w:val="20"/>
          <w:szCs w:val="20"/>
          <w:color w:val="auto"/>
        </w:rPr>
      </w:pPr>
      <w:r>
        <w:rPr>
          <w:rFonts w:ascii="Times New Roman" w:cs="Times New Roman" w:eastAsia="Times New Roman" w:hAnsi="Times New Roman"/>
          <w:sz w:val="12"/>
          <w:szCs w:val="12"/>
          <w:color w:val="auto"/>
        </w:rPr>
        <w:t>GTT is also involved in several legal claims regarding its tax filings with the Guyana Revenue Authority (the “GRA”) dating back to 1991 regarding the deductibility of intercompany advisory fees as well as other tax assessments. GTT has maintained that it has no unpaid corporation tax due to the GRA and that any liability GTT might be found to have with respect to the disputed tax assessments would be offset in part by the amounts claimed with respect to rights ATN has pursuant to its agreement with the government of Guyana. GTT’s position has been upheld by various High Court rulings made in its favor including most recently in February 2024, and while all matters have been appealed by the GRA, only one remains pending for determination by the High Court.</w:t>
      </w:r>
    </w:p>
    <w:p>
      <w:pPr>
        <w:spacing w:after="0" w:line="143"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Rural Health Care Support Program.</w:t>
      </w:r>
    </w:p>
    <w:p>
      <w:pPr>
        <w:spacing w:after="0" w:line="149"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On May 8, 2024, the Company entered into a Consent Decree with the FCC Enforcement Bureau, regarding both the USAC and FCC Enforcement Bureau’s investigation and agreed to (i) pay a settlement amount of approximately $6.3 million, and (ii) enter into a three-year compliance agreement in connection with Alaska Communication’s continued participation in the RHC Program. At this time, the Company believes that it can comply with all of the terms of the compliance agreement.</w:t>
      </w:r>
    </w:p>
    <w:p>
      <w:pPr>
        <w:spacing w:after="0" w:line="146"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The settlement amount of $6.3 million consists of a $5.3 million cash payment and the $1.0 million forgiveness of certain receivables, both of which have been accrued on the Company’s balance sheet as of September 30, 2024. As such, this settlement will not impact the statement of operations in future periods.</w:t>
      </w:r>
    </w:p>
    <w:p>
      <w:pPr>
        <w:spacing w:after="0" w:line="129"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With respect to all of the foregoing unresolved matters, the Company believes that some adverse outcome is probable and has accordingly accrued $13.1 million as of September 30, 2024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72" w:lineRule="exact"/>
        <w:rPr>
          <w:sz w:val="20"/>
          <w:szCs w:val="20"/>
          <w:color w:val="auto"/>
        </w:rPr>
      </w:pPr>
    </w:p>
    <w:p>
      <w:pPr>
        <w:ind w:left="40" w:right="199" w:firstLine="432"/>
        <w:spacing w:after="0" w:line="279" w:lineRule="auto"/>
        <w:rPr>
          <w:sz w:val="20"/>
          <w:szCs w:val="20"/>
          <w:color w:val="auto"/>
        </w:rPr>
      </w:pPr>
      <w:r>
        <w:rPr>
          <w:rFonts w:ascii="Times New Roman" w:cs="Times New Roman" w:eastAsia="Times New Roman" w:hAnsi="Times New Roman"/>
          <w:sz w:val="12"/>
          <w:szCs w:val="12"/>
          <w:color w:val="auto"/>
        </w:rPr>
        <w:t>We are a leading provider of digital infrastructure and communications services with a focus on rural and remote markets in the United States, and internationally, including Bermuda and the Caribbean region.</w:t>
      </w:r>
    </w:p>
    <w:p>
      <w:pPr>
        <w:spacing w:after="0" w:line="138" w:lineRule="exact"/>
        <w:rPr>
          <w:sz w:val="20"/>
          <w:szCs w:val="20"/>
          <w:color w:val="auto"/>
        </w:rPr>
      </w:pPr>
    </w:p>
    <w:p>
      <w:pPr>
        <w:ind w:left="40" w:right="99" w:firstLine="432"/>
        <w:spacing w:after="0" w:line="255" w:lineRule="auto"/>
        <w:rPr>
          <w:sz w:val="20"/>
          <w:szCs w:val="20"/>
          <w:color w:val="auto"/>
        </w:rPr>
      </w:pPr>
      <w:r>
        <w:rPr>
          <w:rFonts w:ascii="Times New Roman" w:cs="Times New Roman" w:eastAsia="Times New Roman" w:hAnsi="Times New Roman"/>
          <w:sz w:val="12"/>
          <w:szCs w:val="12"/>
          <w:color w:val="auto"/>
        </w:rPr>
        <w:t>We have developed significant operational expertise and resources that we use to augment our capabilities in our local markets. With this support, our operating subsidiaries are able to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and have the potential to complement our “First-to-Fiber” and “Glass &amp; Steel™” approach in markets while keeping a focus on generating excess operating cash flows over extended periods of time. We use the cash generated from our operations to maintain an appropriate ratio of debt and cash on hand to fund growth, capital expenditures, return cash to our stockholders through dividends or stock repurchases, and make strategic investments or acquisitions.</w:t>
      </w:r>
    </w:p>
    <w:p>
      <w:pPr>
        <w:spacing w:after="0" w:line="153" w:lineRule="exact"/>
        <w:rPr>
          <w:sz w:val="20"/>
          <w:szCs w:val="20"/>
          <w:color w:val="auto"/>
        </w:rPr>
      </w:pPr>
    </w:p>
    <w:p>
      <w:pPr>
        <w:ind w:left="40" w:right="219" w:firstLine="432"/>
        <w:spacing w:after="0" w:line="279" w:lineRule="auto"/>
        <w:rPr>
          <w:sz w:val="20"/>
          <w:szCs w:val="20"/>
          <w:color w:val="auto"/>
        </w:rPr>
      </w:pPr>
      <w:r>
        <w:rPr>
          <w:rFonts w:ascii="Times New Roman" w:cs="Times New Roman" w:eastAsia="Times New Roman" w:hAnsi="Times New Roman"/>
          <w:sz w:val="12"/>
          <w:szCs w:val="12"/>
          <w:color w:val="auto"/>
        </w:rPr>
        <w:t>For further information about our financial segments and geographical information about our operating revenues and assets, see Notes 1 and 13 to the Consolidated Financial Statements included in this Report.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we offered the following types of services to our customers:</w:t>
      </w:r>
    </w:p>
    <w:p>
      <w:pPr>
        <w:spacing w:after="0" w:line="173" w:lineRule="exact"/>
        <w:rPr>
          <w:sz w:val="20"/>
          <w:szCs w:val="20"/>
          <w:color w:val="auto"/>
        </w:rPr>
      </w:pPr>
    </w:p>
    <w:p>
      <w:pPr>
        <w:ind w:left="800" w:right="99" w:hanging="211"/>
        <w:spacing w:after="0" w:line="286" w:lineRule="auto"/>
        <w:tabs>
          <w:tab w:leader="none" w:pos="80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Mobile Telecommunications Services</w:t>
      </w:r>
      <w:r>
        <w:rPr>
          <w:rFonts w:ascii="Times New Roman" w:cs="Times New Roman" w:eastAsia="Times New Roman" w:hAnsi="Times New Roman"/>
          <w:sz w:val="12"/>
          <w:szCs w:val="12"/>
          <w:color w:val="auto"/>
        </w:rPr>
        <w:t>. We offer mobile communications services over our wireless networks and related equipment, such as handsets, to both business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consumer customers.</w:t>
      </w:r>
    </w:p>
    <w:p>
      <w:pPr>
        <w:spacing w:after="0" w:line="103" w:lineRule="exact"/>
        <w:rPr>
          <w:rFonts w:ascii="Times New Roman" w:cs="Times New Roman" w:eastAsia="Times New Roman" w:hAnsi="Times New Roman"/>
          <w:sz w:val="12"/>
          <w:szCs w:val="12"/>
          <w:color w:val="auto"/>
        </w:rPr>
      </w:pPr>
    </w:p>
    <w:p>
      <w:pPr>
        <w:jc w:val="both"/>
        <w:ind w:left="800" w:right="99" w:hanging="211"/>
        <w:spacing w:after="0" w:line="268" w:lineRule="auto"/>
        <w:tabs>
          <w:tab w:leader="none" w:pos="80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We provide fixed data and voice telecommunications services and related equipment, such as modems, to business and consumer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customers. These services include consumer broadband and high-speed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We deliver services to other telecommunications providers including the leasing of critical network infrastructure such as tower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transport facilities, wholesale roaming and long distance voice services,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319" w:hanging="211"/>
        <w:spacing w:after="0" w:line="286" w:lineRule="auto"/>
        <w:tabs>
          <w:tab w:leader="none" w:pos="80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We provide information technology services such as network, application, infrastructure and hosting services to both our business and consumer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customers to complement our fixed services in our existing markets.</w:t>
      </w:r>
    </w:p>
    <w:p>
      <w:pPr>
        <w:spacing w:after="0" w:line="107"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Through September 30, 2024, we identified two operating segments to manage and review our operations and to facilitate investor presentations of our results. These operating segments are as follows:</w:t>
      </w:r>
    </w:p>
    <w:p>
      <w:pPr>
        <w:spacing w:after="0" w:line="107" w:lineRule="exact"/>
        <w:rPr>
          <w:sz w:val="20"/>
          <w:szCs w:val="20"/>
          <w:color w:val="auto"/>
        </w:rPr>
      </w:pPr>
    </w:p>
    <w:p>
      <w:pPr>
        <w:ind w:left="820" w:right="339" w:hanging="222"/>
        <w:spacing w:after="0" w:line="286" w:lineRule="auto"/>
        <w:tabs>
          <w:tab w:leader="none" w:pos="8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International Telecom</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our international markets, we offer fixed services, mobility services, carrier services and managed services to customers in Bermuda,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Cayman Islands, Guyana and the US Virgin Islands.</w:t>
      </w:r>
    </w:p>
    <w:p>
      <w:pPr>
        <w:spacing w:after="0" w:line="103" w:lineRule="exact"/>
        <w:rPr>
          <w:rFonts w:ascii="Times New Roman" w:cs="Times New Roman" w:eastAsia="Times New Roman" w:hAnsi="Times New Roman"/>
          <w:sz w:val="12"/>
          <w:szCs w:val="12"/>
          <w:color w:val="auto"/>
        </w:rPr>
      </w:pPr>
    </w:p>
    <w:p>
      <w:pPr>
        <w:ind w:left="820" w:hanging="222"/>
        <w:spacing w:after="0"/>
        <w:tabs>
          <w:tab w:leader="none" w:pos="8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US Telecom</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the United States, we offer fixed services, carrier services, and managed services to</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right="159"/>
        <w:spacing w:after="0" w:line="279" w:lineRule="auto"/>
        <w:rPr>
          <w:sz w:val="20"/>
          <w:szCs w:val="20"/>
          <w:color w:val="auto"/>
        </w:rPr>
      </w:pPr>
      <w:r>
        <w:rPr>
          <w:rFonts w:ascii="Times New Roman" w:cs="Times New Roman" w:eastAsia="Times New Roman" w:hAnsi="Times New Roman"/>
          <w:sz w:val="12"/>
          <w:szCs w:val="12"/>
          <w:color w:val="auto"/>
        </w:rPr>
        <w:t>business customers and consumers in Alaska and the western United States. As of September 30, 2024, we provided mobility services to retail customers in the western United States.</w:t>
      </w:r>
    </w:p>
    <w:p>
      <w:pPr>
        <w:spacing w:after="0" w:line="282"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The following chart summarizes the operating activities of our principal subsidiaries, the segments in which we reported our revenue and the markets we served as of September 30, 2024:</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International Telecom</w:t>
            </w:r>
          </w:p>
        </w:tc>
        <w:tc>
          <w:tcPr>
            <w:tcW w:w="14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2"/>
                <w:szCs w:val="12"/>
                <w:b w:val="1"/>
                <w:bCs w:val="1"/>
                <w:color w:val="auto"/>
              </w:rPr>
              <w:t>US Telecom</w:t>
            </w:r>
          </w:p>
        </w:tc>
        <w:tc>
          <w:tcPr>
            <w:tcW w:w="1900" w:type="dxa"/>
            <w:vAlign w:val="bottom"/>
            <w:tcBorders>
              <w:bottom w:val="single" w:sz="8" w:color="auto"/>
            </w:tcBorders>
          </w:tcPr>
          <w:p>
            <w:pPr>
              <w:spacing w:after="0"/>
              <w:rPr>
                <w:sz w:val="12"/>
                <w:szCs w:val="12"/>
                <w:color w:val="auto"/>
              </w:rPr>
            </w:pPr>
          </w:p>
        </w:tc>
      </w:tr>
      <w:tr>
        <w:trPr>
          <w:trHeight w:val="88"/>
        </w:trPr>
        <w:tc>
          <w:tcPr>
            <w:tcW w:w="1320" w:type="dxa"/>
            <w:vAlign w:val="bottom"/>
            <w:gridSpan w:val="2"/>
          </w:tcPr>
          <w:p>
            <w:pPr>
              <w:ind w:left="440"/>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640" w:type="dxa"/>
            <w:vAlign w:val="bottom"/>
            <w:gridSpan w:val="2"/>
          </w:tcPr>
          <w:p>
            <w:pPr>
              <w:ind w:left="620"/>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1440" w:type="dxa"/>
            <w:vAlign w:val="bottom"/>
            <w:tcBorders>
              <w:right w:val="single" w:sz="8" w:color="auto"/>
            </w:tcBorders>
          </w:tcPr>
          <w:p>
            <w:pPr>
              <w:ind w:left="460"/>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c>
          <w:tcPr>
            <w:tcW w:w="1200" w:type="dxa"/>
            <w:vAlign w:val="bottom"/>
            <w:gridSpan w:val="2"/>
          </w:tcPr>
          <w:p>
            <w:pPr>
              <w:ind w:left="380"/>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460" w:type="dxa"/>
            <w:vAlign w:val="bottom"/>
            <w:gridSpan w:val="2"/>
          </w:tcPr>
          <w:p>
            <w:pPr>
              <w:ind w:left="520"/>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1900" w:type="dxa"/>
            <w:vAlign w:val="bottom"/>
          </w:tcPr>
          <w:p>
            <w:pPr>
              <w:ind w:left="700"/>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r>
      <w:tr>
        <w:trPr>
          <w:trHeight w:val="122"/>
        </w:trPr>
        <w:tc>
          <w:tcPr>
            <w:tcW w:w="12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Bermuda, Guyana, US Virgin</w:t>
            </w:r>
          </w:p>
        </w:tc>
        <w:tc>
          <w:tcPr>
            <w:tcW w:w="6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auto"/>
              <w:right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One, GTT, Viya, Brava</w:t>
            </w:r>
          </w:p>
        </w:tc>
        <w:tc>
          <w:tcPr>
            <w:tcW w:w="11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w:t>
            </w:r>
          </w:p>
        </w:tc>
        <w:tc>
          <w:tcPr>
            <w:tcW w:w="8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r>
      <w:tr>
        <w:trPr>
          <w:trHeight w:val="155"/>
        </w:trPr>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Islands</w:t>
            </w:r>
          </w:p>
        </w:tc>
        <w:tc>
          <w:tcPr>
            <w:tcW w:w="144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markets)</w:t>
            </w: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33"/>
        </w:trPr>
        <w:tc>
          <w:tcPr>
            <w:tcW w:w="1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w:t>
            </w:r>
          </w:p>
        </w:tc>
        <w:tc>
          <w:tcPr>
            <w:tcW w:w="1440" w:type="dxa"/>
            <w:vAlign w:val="bottom"/>
            <w:tcBorders>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One, Logic, GTT, Viya,</w:t>
            </w:r>
          </w:p>
        </w:tc>
        <w:tc>
          <w:tcPr>
            <w:tcW w:w="12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4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Commnet,</w:t>
            </w:r>
          </w:p>
        </w:tc>
      </w:tr>
      <w:tr>
        <w:trPr>
          <w:trHeight w:val="144"/>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Guyana, US Virgin Islands</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Brava</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44"/>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Sacred Wind Communications, Ethos,</w:t>
            </w: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Deploycom</w:t>
            </w:r>
          </w:p>
        </w:tc>
      </w:tr>
      <w:tr>
        <w:trPr>
          <w:trHeight w:val="133"/>
        </w:trPr>
        <w:tc>
          <w:tcPr>
            <w:tcW w:w="13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Bermuda, Guyana, US Virgin</w:t>
            </w:r>
          </w:p>
        </w:tc>
        <w:tc>
          <w:tcPr>
            <w:tcW w:w="1440" w:type="dxa"/>
            <w:vAlign w:val="bottom"/>
            <w:tcBorders>
              <w:right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One, Essextel, GTT, Viya</w:t>
            </w:r>
          </w:p>
        </w:tc>
        <w:tc>
          <w:tcPr>
            <w:tcW w:w="12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4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Commnet,</w:t>
            </w:r>
          </w:p>
        </w:tc>
      </w:tr>
      <w:tr>
        <w:trPr>
          <w:trHeight w:val="155"/>
        </w:trPr>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Islands</w:t>
            </w:r>
          </w:p>
        </w:tc>
        <w:tc>
          <w:tcPr>
            <w:tcW w:w="144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Sacred Wind Communications</w:t>
            </w:r>
          </w:p>
        </w:tc>
      </w:tr>
      <w:tr>
        <w:trPr>
          <w:trHeight w:val="133"/>
        </w:trPr>
        <w:tc>
          <w:tcPr>
            <w:tcW w:w="1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1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 US</w:t>
            </w:r>
          </w:p>
        </w:tc>
        <w:tc>
          <w:tcPr>
            <w:tcW w:w="1440" w:type="dxa"/>
            <w:vAlign w:val="bottom"/>
            <w:tcBorders>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w w:val="99"/>
              </w:rPr>
              <w:t>Fireminds, One, Logic, GTT,</w:t>
            </w:r>
          </w:p>
        </w:tc>
        <w:tc>
          <w:tcPr>
            <w:tcW w:w="12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14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Choice</w:t>
            </w:r>
          </w:p>
        </w:tc>
      </w:tr>
      <w:tr>
        <w:trPr>
          <w:trHeight w:val="155"/>
        </w:trPr>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Virgin Islands, Guyana</w:t>
            </w:r>
          </w:p>
        </w:tc>
        <w:tc>
          <w:tcPr>
            <w:tcW w:w="60" w:type="dxa"/>
            <w:vAlign w:val="bottom"/>
          </w:tcPr>
          <w:p>
            <w:pPr>
              <w:spacing w:after="0"/>
              <w:rPr>
                <w:sz w:val="13"/>
                <w:szCs w:val="13"/>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Viya, Brava</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r>
    </w:tbl>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Carrier Managed Services</w:t>
      </w:r>
    </w:p>
    <w:p>
      <w:pPr>
        <w:spacing w:after="0" w:line="181" w:lineRule="exact"/>
        <w:rPr>
          <w:sz w:val="20"/>
          <w:szCs w:val="20"/>
          <w:color w:val="auto"/>
        </w:rPr>
      </w:pPr>
    </w:p>
    <w:p>
      <w:pPr>
        <w:ind w:left="20" w:right="139" w:firstLine="432"/>
        <w:spacing w:after="0" w:line="256" w:lineRule="auto"/>
        <w:rPr>
          <w:sz w:val="20"/>
          <w:szCs w:val="20"/>
          <w:color w:val="auto"/>
        </w:rPr>
      </w:pPr>
      <w:r>
        <w:rPr>
          <w:rFonts w:ascii="Times New Roman" w:cs="Times New Roman" w:eastAsia="Times New Roman" w:hAnsi="Times New Roman"/>
          <w:sz w:val="12"/>
          <w:szCs w:val="12"/>
          <w:color w:val="auto"/>
        </w:rPr>
        <w:t>In July 2019, we entered into a Network Build and Maintenance Agreement with AT&amp;T Mobility, LLC (“AT&amp;T”) that we subsequently amended through December 31, 2023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Since the inception of the project through September 30, 2024, we have recorded $75.8 million in construction revenue and expect to record approximately $7.5 million in additional construction revenue and related costs as sites are completed. We expect to substantially complete the build by the end of 2025 with the remainder to be completed in 2026. Revenues from construction are expected to have minimal impact on operating income.</w:t>
      </w:r>
    </w:p>
    <w:p>
      <w:pPr>
        <w:spacing w:after="0" w:line="15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w:t>
      </w:r>
    </w:p>
    <w:p>
      <w:pPr>
        <w:spacing w:after="0" w:line="13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May 10, 2023, we entered into a Carrier Managed Services Master Agreement (the “Agreement”) with Cellco Partnership d/b/a Verizon Wireless (“Verizon”), pursuant to which we will provide a variety of network, infrastructure and technical services that will help deliver next generation wireless services to Verizon’s subscribers in our current operating area in the southwestern United States.</w:t>
      </w:r>
    </w:p>
    <w:p>
      <w:pPr>
        <w:spacing w:after="0" w:line="14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Pursuant to the Agreement and subject to certain limitations contained therein, we will upgrade our wireless service in specific areas and provide services to Verizon for an initial term ending in 2030.</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Following acceptance of a cell site, we will continue to own the cell site. In addition to building the network, we will provide ongoing equipment and site maintenance and high-capacity transport to and from these cell sites for an initial term ending in 2030.</w:t>
      </w:r>
    </w:p>
    <w:p>
      <w:pPr>
        <w:spacing w:after="0" w:line="138"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With respect to each of our FirstNet and Verizon agreements, our carrier partners will continue to use our wholesale domestic mobility network for roaming services at a fixed rate per site during the construction period until such time as the cell site is completed. Thereafter, revenue from the maintenance, leasing and transport services provided is expected to generally offset revenue from wholesale mobility roaming services.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Fund and Other Domestic Funding Programs</w:t>
      </w:r>
    </w:p>
    <w:p>
      <w:pPr>
        <w:spacing w:after="0" w:line="172"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We recognize revenue from several government funded programs including the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 Our International Telecom segment receives $5.5 million of legacy frozen high cost support funding in the US Virgin Islands. This funding expires on December 31, 2025. Additionally, we recognize revenue from the FCC’s Affordable Connectivity Program (“ACP”) and the Emergency Connectivity Fund (“ECF”). The ACP provides eligible low-income consumers with a monthly subsidy for broadband connectivity and the ECF provides schools and libraries with subsidies for broadband connectivity. Funding under the ACP and ECF programs expired in the second quarter of 2024.</w:t>
      </w:r>
    </w:p>
    <w:p>
      <w:pPr>
        <w:spacing w:after="0" w:line="153"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also recognize High Cost support revenue from the Connect America Fund Phase II program (“CAF II”) and the Enhanced Alternative Connect America Cost Model program (“E-ACAM”). These programs offer subsidies to carriers to expand broadband coverage in designated areas. Under CAF II, we expect to receive an aggregate of $27.7 million annually through December 2025 and an aggregate of $8.0 million annually from January 2026 through July 2028. Under E-ACAM, we expect to receive a total of $118.2 million over a 15 year period beginning in 2024. The annual E-ACAM funding is approximately $9 million from 2024 through 2030 and ultimately decreasing to over time $6 million in 2038.</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were awarded approximately $22.7 million over 10 years to provide broadband and voice coverage to over 10,000 households in the United States (not including Alaska) under the 2020 Rural Digital Opportunity Fund Phase I Auction (“RDOF”). During the nine months ended September 30, 2024, we entered into agreements to transfer $13.0 million of RDOF obligations. The transfer applications are pending regulatory approval.</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All of the programs are subject to certain operational and reporting compliance requirements. We believe we are in compliance with these requirements as of September 30,</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2024.</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Grants</w:t>
      </w:r>
    </w:p>
    <w:p>
      <w:pPr>
        <w:spacing w:after="0" w:line="18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have also been awarded construction grants to build network connectivity for eligible communities. The funding of these grants, used to reimburse us for our construction costs, is generally distributed after we incur reimbursable costs. Completion deadlines begin in 2024 and once these projects are constructed, we are obligated to provide service to the participants. We expect to meet all requirements associated with these grants. As of September 30, 2024, we were awarded $100.1 million of construction grants.</w:t>
      </w:r>
    </w:p>
    <w:p>
      <w:pPr>
        <w:spacing w:after="0" w:line="137"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During the three months ended September 30, 2024, we disbursed capital expenditures of $4.7 million under these programs and received reimbursement of $4.1 million. These cash flows are classified as investing activities in our statement of cash flows.</w:t>
      </w:r>
    </w:p>
    <w:p>
      <w:pPr>
        <w:spacing w:after="0" w:line="138"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to deploy broadband connectivity in certain underserved areas. We were identified as a sub recipient of grants under these programs totaling $192.6 million as of September 30, 2024. Through September 30, 2024, we have received $15.9 million of funding under these programs and spent $16.1 million on construction obligations. These amounts are recorded as operating cash flows in the company’s statement of cash flows.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Replace and Remove Program</w:t>
      </w:r>
    </w:p>
    <w:p>
      <w:pPr>
        <w:spacing w:after="0" w:line="181" w:lineRule="exact"/>
        <w:rPr>
          <w:sz w:val="20"/>
          <w:szCs w:val="20"/>
          <w:color w:val="auto"/>
        </w:rPr>
      </w:pPr>
    </w:p>
    <w:p>
      <w:pPr>
        <w:ind w:left="20" w:right="99" w:firstLine="432"/>
        <w:spacing w:after="0" w:line="255" w:lineRule="auto"/>
        <w:rPr>
          <w:sz w:val="20"/>
          <w:szCs w:val="20"/>
          <w:color w:val="auto"/>
        </w:rPr>
      </w:pPr>
      <w:r>
        <w:rPr>
          <w:rFonts w:ascii="Times New Roman" w:cs="Times New Roman" w:eastAsia="Times New Roman" w:hAnsi="Times New Roman"/>
          <w:sz w:val="12"/>
          <w:szCs w:val="12"/>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prohibited communications equipment and services in our U.S. networks and replace such equipment. The Replace and Remove Program requires that we complete the project no later than one year from submitting our initial reimbursement request, or by July 2024. In April 2024, the FCC granted our request to extend the program’s completion deadline to the first quarter of 2025. At this time, we anticipate that we will be able to meet the deadlines and requirements of the program.</w:t>
      </w:r>
    </w:p>
    <w:p>
      <w:pPr>
        <w:spacing w:after="0" w:line="144" w:lineRule="exact"/>
        <w:rPr>
          <w:sz w:val="20"/>
          <w:szCs w:val="20"/>
          <w:color w:val="auto"/>
        </w:rPr>
      </w:pPr>
    </w:p>
    <w:p>
      <w:pPr>
        <w:ind w:left="20" w:right="279" w:firstLine="432"/>
        <w:spacing w:after="0" w:line="279" w:lineRule="auto"/>
        <w:rPr>
          <w:sz w:val="20"/>
          <w:szCs w:val="20"/>
          <w:color w:val="auto"/>
        </w:rPr>
      </w:pPr>
      <w:r>
        <w:rPr>
          <w:rFonts w:ascii="Times New Roman" w:cs="Times New Roman" w:eastAsia="Times New Roman" w:hAnsi="Times New Roman"/>
          <w:sz w:val="12"/>
          <w:szCs w:val="12"/>
          <w:color w:val="auto"/>
        </w:rPr>
        <w:t>We have incurred total expenditures of $139.9 million related to this project, of which $75.6 million were incurred in 2024. Of these total expenditures, $115.8 million were classified as capital.</w:t>
      </w:r>
    </w:p>
    <w:p>
      <w:pPr>
        <w:spacing w:after="0" w:line="138" w:lineRule="exact"/>
        <w:rPr>
          <w:sz w:val="20"/>
          <w:szCs w:val="20"/>
          <w:color w:val="auto"/>
        </w:rPr>
      </w:pPr>
    </w:p>
    <w:p>
      <w:pPr>
        <w:jc w:val="both"/>
        <w:ind w:left="20" w:right="219" w:firstLine="432"/>
        <w:spacing w:after="0" w:line="265" w:lineRule="auto"/>
        <w:rPr>
          <w:sz w:val="20"/>
          <w:szCs w:val="20"/>
          <w:color w:val="auto"/>
        </w:rPr>
      </w:pPr>
      <w:r>
        <w:rPr>
          <w:rFonts w:ascii="Times New Roman" w:cs="Times New Roman" w:eastAsia="Times New Roman" w:hAnsi="Times New Roman"/>
          <w:sz w:val="12"/>
          <w:szCs w:val="12"/>
          <w:color w:val="auto"/>
        </w:rPr>
        <w:t>At September 30, 2024, $31.1 million of capital expenditures were accrued and unpaid. We expect to be reimbursed, within the next twelve months, for all amounts spent to date. During the nine months ended September 30, 2024 we have received $87.2 million of reimbursement under the program, of which $18.7 million was classified as operating cash inflows and $68.5 million was classified as investing cash inflows in our statement of cash flows.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Selected Segment Financial Information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selected segment information for the three months ended September 30, 2024 and 2023 (in thousands):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US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4"/>
        </w:trPr>
        <w:tc>
          <w:tcPr>
            <w:tcW w:w="2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24"/>
        </w:trPr>
        <w:tc>
          <w:tcPr>
            <w:tcW w:w="28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6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r>
      <w:tr>
        <w:trPr>
          <w:trHeight w:val="162"/>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164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5,007</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5,075</w:t>
            </w:r>
          </w:p>
        </w:tc>
      </w:tr>
      <w:tr>
        <w:trPr>
          <w:trHeight w:val="144"/>
        </w:trPr>
        <w:tc>
          <w:tcPr>
            <w:tcW w:w="2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22,440</w:t>
            </w:r>
          </w:p>
        </w:tc>
      </w:tr>
      <w:tr>
        <w:trPr>
          <w:trHeight w:val="133"/>
        </w:trPr>
        <w:tc>
          <w:tcPr>
            <w:tcW w:w="286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26,809</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706</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27,515</w:t>
            </w:r>
          </w:p>
        </w:tc>
      </w:tr>
      <w:tr>
        <w:trPr>
          <w:trHeight w:val="133"/>
        </w:trPr>
        <w:tc>
          <w:tcPr>
            <w:tcW w:w="28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18,692</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29,576</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48,268</w:t>
            </w:r>
          </w:p>
        </w:tc>
      </w:tr>
      <w:tr>
        <w:trPr>
          <w:trHeight w:val="14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21,440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64,507</w:t>
            </w:r>
          </w:p>
        </w:tc>
      </w:tr>
      <w:tr>
        <w:trPr>
          <w:trHeight w:val="133"/>
        </w:trPr>
        <w:tc>
          <w:tcPr>
            <w:tcW w:w="286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6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61,759</w:t>
            </w:r>
          </w:p>
        </w:tc>
        <w:tc>
          <w:tcPr>
            <w:tcW w:w="2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51,016</w:t>
            </w:r>
          </w:p>
        </w:tc>
        <w:tc>
          <w:tcPr>
            <w:tcW w:w="2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112,775</w:t>
            </w:r>
          </w:p>
        </w:tc>
      </w:tr>
      <w:tr>
        <w:trPr>
          <w:trHeight w:val="133"/>
        </w:trPr>
        <w:tc>
          <w:tcPr>
            <w:tcW w:w="28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3,272</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29,430</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32,702</w:t>
            </w: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93,015</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81,407</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174,422</w:t>
            </w:r>
          </w:p>
        </w:tc>
      </w:tr>
      <w:tr>
        <w:trPr>
          <w:trHeight w:val="133"/>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3,826</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1,266</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2,560</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3,826</w:t>
            </w:r>
          </w:p>
        </w:tc>
      </w:tr>
      <w:tr>
        <w:trPr>
          <w:trHeight w:val="140"/>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94,281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84,170</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178,451</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18,414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18,681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37,299</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Goodwill impairment</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(44,333)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(38,358)</w:t>
            </w:r>
          </w:p>
        </w:tc>
      </w:tr>
    </w:tbl>
    <w:p>
      <w:pPr>
        <w:spacing w:after="0" w:line="277" w:lineRule="exact"/>
        <w:rPr>
          <w:sz w:val="20"/>
          <w:szCs w:val="20"/>
          <w:color w:val="auto"/>
        </w:rPr>
      </w:pPr>
    </w:p>
    <w:p>
      <w:pPr>
        <w:ind w:left="680" w:hanging="208"/>
        <w:spacing w:after="0"/>
        <w:tabs>
          <w:tab w:leader="none" w:pos="6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2"/>
          <w:szCs w:val="12"/>
          <w:color w:val="auto"/>
        </w:rPr>
      </w:pPr>
    </w:p>
    <w:p>
      <w:pPr>
        <w:spacing w:after="0" w:line="238"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US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52"/>
        </w:trPr>
        <w:tc>
          <w:tcPr>
            <w:tcW w:w="2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42"/>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6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62"/>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164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3,818</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3,946</w:t>
            </w:r>
          </w:p>
        </w:tc>
      </w:tr>
      <w:tr>
        <w:trPr>
          <w:trHeight w:val="144"/>
        </w:trPr>
        <w:tc>
          <w:tcPr>
            <w:tcW w:w="2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23,973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24,790</w:t>
            </w:r>
          </w:p>
        </w:tc>
      </w:tr>
      <w:tr>
        <w:trPr>
          <w:trHeight w:val="133"/>
        </w:trPr>
        <w:tc>
          <w:tcPr>
            <w:tcW w:w="286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27,791</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945</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28,736</w:t>
            </w:r>
          </w:p>
        </w:tc>
      </w:tr>
      <w:tr>
        <w:trPr>
          <w:trHeight w:val="133"/>
        </w:trPr>
        <w:tc>
          <w:tcPr>
            <w:tcW w:w="28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18,016</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35,680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53,696</w:t>
            </w:r>
          </w:p>
        </w:tc>
      </w:tr>
      <w:tr>
        <w:trPr>
          <w:trHeight w:val="14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41,967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22,662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64,629</w:t>
            </w:r>
          </w:p>
        </w:tc>
      </w:tr>
      <w:tr>
        <w:trPr>
          <w:trHeight w:val="133"/>
        </w:trPr>
        <w:tc>
          <w:tcPr>
            <w:tcW w:w="286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6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59,983</w:t>
            </w:r>
          </w:p>
        </w:tc>
        <w:tc>
          <w:tcPr>
            <w:tcW w:w="2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58,342</w:t>
            </w:r>
          </w:p>
        </w:tc>
        <w:tc>
          <w:tcPr>
            <w:tcW w:w="2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118,325</w:t>
            </w:r>
          </w:p>
        </w:tc>
      </w:tr>
      <w:tr>
        <w:trPr>
          <w:trHeight w:val="133"/>
        </w:trPr>
        <w:tc>
          <w:tcPr>
            <w:tcW w:w="28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3,441</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32,319</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35,760</w:t>
            </w: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1,780</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92,451</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92,150</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184,601</w:t>
            </w:r>
          </w:p>
        </w:tc>
      </w:tr>
      <w:tr>
        <w:trPr>
          <w:trHeight w:val="133"/>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2,038</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2,038</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4,397</w:t>
            </w:r>
          </w:p>
        </w:tc>
      </w:tr>
      <w:tr>
        <w:trPr>
          <w:trHeight w:val="133"/>
        </w:trPr>
        <w:tc>
          <w:tcPr>
            <w:tcW w:w="28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1,427</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2,970</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4,397</w:t>
            </w:r>
          </w:p>
        </w:tc>
      </w:tr>
      <w:tr>
        <w:trPr>
          <w:trHeight w:val="140"/>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93,878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97,158</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191,036</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19,398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34,370</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3,124</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1,956</w:t>
            </w:r>
          </w:p>
        </w:tc>
      </w:tr>
      <w:tr>
        <w:trPr>
          <w:trHeight w:val="155"/>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12,800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(8,981)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6,836</w:t>
            </w:r>
          </w:p>
        </w:tc>
      </w:tr>
    </w:tbl>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(1) Corporate and other items refer to corporate overhead costs and consolidating adjustments.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comparison of our segment results for the three months ended September 30, 2024 and 2023 is as follows:</w:t>
      </w:r>
    </w:p>
    <w:p>
      <w:pPr>
        <w:spacing w:after="0" w:line="166"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Revenues within our International Telecom segment increased $0.4 million, or 0.4%, to $94.3 million from $93.9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and 2023, respectively, primarily as a result of an increase in Fixed revenues of $1.8 million, or 3.0%, to $61.8 million from $60.0 million for the three months ended September 30, 2024 and 2023, respectively. This increase in Fixed revenues was primarily the result of network upgrades and expansions which led to an increase in the number of homes passed by high-speed data solutions which allowed us to migrate legacy copper customers to more durable and higher revenue generating fiber services. Partially offsetting the increase in Fixed revenues were decreases in both Mobility revenues, as a result of a decrease in subscribers, and Carrier Services revenues, primarily related to the amendment to certain carrier contracts.</w:t>
      </w:r>
    </w:p>
    <w:p>
      <w:pPr>
        <w:spacing w:after="0" w:line="150"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Operating expenses within our International Telecom segment increased by $0.3 million to $81.4 million from $81.1 million for the three months ended September 30, 2024 and 2023, respectively. The net increase was the result of an increase in marketing costs incurred in connection with the rebranding of our operations in a certain market partially offset by certain cost savings initiatives that were implemented in the current and previous periods.</w:t>
      </w:r>
    </w:p>
    <w:p>
      <w:pPr>
        <w:spacing w:after="0" w:line="146"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As a result, our International Telecom segment’s operating income increased $0.1 million, to $12.9 million, from $12.8 million for the three months ended September 30, 2024 and 2023, respectively.</w:t>
      </w:r>
    </w:p>
    <w:p>
      <w:pPr>
        <w:spacing w:after="0" w:line="127" w:lineRule="exact"/>
        <w:rPr>
          <w:sz w:val="20"/>
          <w:szCs w:val="20"/>
          <w:color w:val="auto"/>
        </w:rPr>
      </w:pPr>
    </w:p>
    <w:p>
      <w:pPr>
        <w:ind w:left="20" w:right="25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Revenue within our US Telecom segment decreased by $13.0 million, or 13.4%, to $84.2 million from $97.2 million for the three months ended September 30,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2024 and 2023, respectively, primarily as a result of the conclusion of the Emergency Connectivity Fund during the second quarter of 2024.</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Operating expenses within our US Telecom segment increased $34.4 million, or 36.6%, to $128.5 million from $94.1 million for the three months ended September 30, 2024 and 2023, respectively, as a result of the $35.3 million goodwill impairment charge, $3.8 million of transaction-related expenses that were recorded during the three months ended September 30, 2024 and a $1.5 million loss on the transfer of certain assets. Partially offsetting these increases was the impact of certain cost savings initiatives that were implemented in the current and previous periods.</w:t>
      </w:r>
    </w:p>
    <w:p>
      <w:pPr>
        <w:spacing w:after="0" w:line="149" w:lineRule="exact"/>
        <w:rPr>
          <w:sz w:val="20"/>
          <w:szCs w:val="20"/>
          <w:color w:val="auto"/>
        </w:rPr>
      </w:pPr>
    </w:p>
    <w:p>
      <w:pPr>
        <w:ind w:left="20" w:right="339" w:firstLine="432"/>
        <w:spacing w:after="0" w:line="279" w:lineRule="auto"/>
        <w:rPr>
          <w:sz w:val="20"/>
          <w:szCs w:val="20"/>
          <w:color w:val="auto"/>
        </w:rPr>
      </w:pPr>
      <w:r>
        <w:rPr>
          <w:rFonts w:ascii="Times New Roman" w:cs="Times New Roman" w:eastAsia="Times New Roman" w:hAnsi="Times New Roman"/>
          <w:sz w:val="12"/>
          <w:szCs w:val="12"/>
          <w:color w:val="auto"/>
        </w:rPr>
        <w:t>As a result of the above, our US Telecom segment’s operating income (loss) decreased by $47.3 million to a loss of $44.3 million from income of $3.0 million for the three months ended September 30, 2024 and 2023, respectively.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a year over year discussion and analysis of our results of operations for the three months ended September 30, 2024 and 2023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Amount of</w:t>
            </w:r>
          </w:p>
        </w:tc>
        <w:tc>
          <w:tcPr>
            <w:tcW w:w="920" w:type="dxa"/>
            <w:vAlign w:val="bottom"/>
            <w:gridSpan w:val="2"/>
          </w:tcPr>
          <w:p>
            <w:pPr>
              <w:jc w:val="center"/>
              <w:ind w:right="191"/>
              <w:spacing w:after="0"/>
              <w:rPr>
                <w:sz w:val="20"/>
                <w:szCs w:val="20"/>
                <w:color w:val="auto"/>
              </w:rPr>
            </w:pPr>
            <w:r>
              <w:rPr>
                <w:rFonts w:ascii="Times New Roman" w:cs="Times New Roman" w:eastAsia="Times New Roman" w:hAnsi="Times New Roman"/>
                <w:sz w:val="10"/>
                <w:szCs w:val="10"/>
                <w:b w:val="1"/>
                <w:bCs w:val="1"/>
                <w:color w:val="auto"/>
                <w:w w:val="97"/>
              </w:rPr>
              <w:t>Percent</w:t>
            </w:r>
          </w:p>
        </w:tc>
      </w:tr>
      <w:tr>
        <w:trPr>
          <w:trHeight w:val="125"/>
        </w:trPr>
        <w:tc>
          <w:tcPr>
            <w:tcW w:w="5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Increase</w:t>
            </w:r>
          </w:p>
        </w:tc>
        <w:tc>
          <w:tcPr>
            <w:tcW w:w="920" w:type="dxa"/>
            <w:vAlign w:val="bottom"/>
            <w:gridSpan w:val="2"/>
          </w:tcPr>
          <w:p>
            <w:pPr>
              <w:jc w:val="center"/>
              <w:ind w:right="191"/>
              <w:spacing w:after="0"/>
              <w:rPr>
                <w:sz w:val="20"/>
                <w:szCs w:val="20"/>
                <w:color w:val="auto"/>
              </w:rPr>
            </w:pPr>
            <w:r>
              <w:rPr>
                <w:rFonts w:ascii="Times New Roman" w:cs="Times New Roman" w:eastAsia="Times New Roman" w:hAnsi="Times New Roman"/>
                <w:sz w:val="10"/>
                <w:szCs w:val="10"/>
                <w:b w:val="1"/>
                <w:bCs w:val="1"/>
                <w:color w:val="auto"/>
                <w:w w:val="99"/>
              </w:rPr>
              <w:t>Increase</w:t>
            </w:r>
          </w:p>
        </w:tc>
      </w:tr>
      <w:tr>
        <w:trPr>
          <w:trHeight w:val="124"/>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(Decrease)</w:t>
            </w:r>
          </w:p>
        </w:tc>
        <w:tc>
          <w:tcPr>
            <w:tcW w:w="920" w:type="dxa"/>
            <w:vAlign w:val="bottom"/>
            <w:gridSpan w:val="2"/>
          </w:tcPr>
          <w:p>
            <w:pPr>
              <w:jc w:val="center"/>
              <w:ind w:right="191"/>
              <w:spacing w:after="0"/>
              <w:rPr>
                <w:sz w:val="20"/>
                <w:szCs w:val="20"/>
                <w:color w:val="auto"/>
              </w:rPr>
            </w:pPr>
            <w:r>
              <w:rPr>
                <w:rFonts w:ascii="Times New Roman" w:cs="Times New Roman" w:eastAsia="Times New Roman" w:hAnsi="Times New Roman"/>
                <w:sz w:val="10"/>
                <w:szCs w:val="10"/>
                <w:b w:val="1"/>
                <w:bCs w:val="1"/>
                <w:color w:val="auto"/>
                <w:w w:val="97"/>
              </w:rPr>
              <w:t>(Decrease)</w:t>
            </w:r>
          </w:p>
        </w:tc>
      </w:tr>
      <w:tr>
        <w:trPr>
          <w:trHeight w:val="133"/>
        </w:trPr>
        <w:tc>
          <w:tcPr>
            <w:tcW w:w="51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w:t>
            </w: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Communication services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174,422</w:t>
            </w:r>
          </w:p>
        </w:tc>
        <w:tc>
          <w:tcPr>
            <w:tcW w:w="1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184,601</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(10,179)</w:t>
            </w:r>
          </w:p>
        </w:tc>
        <w:tc>
          <w:tcPr>
            <w:tcW w:w="920" w:type="dxa"/>
            <w:vAlign w:val="bottom"/>
            <w:gridSpan w:val="2"/>
          </w:tcPr>
          <w:p>
            <w:pPr>
              <w:jc w:val="right"/>
              <w:ind w:right="91"/>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(1,835)</w:t>
            </w:r>
          </w:p>
        </w:tc>
        <w:tc>
          <w:tcPr>
            <w:tcW w:w="92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2"/>
                <w:szCs w:val="12"/>
                <w:color w:val="auto"/>
              </w:rPr>
              <w:t>(90.0)</w:t>
            </w: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(571)</w:t>
            </w:r>
          </w:p>
        </w:tc>
        <w:tc>
          <w:tcPr>
            <w:tcW w:w="920" w:type="dxa"/>
            <w:vAlign w:val="bottom"/>
            <w:gridSpan w:val="2"/>
          </w:tcPr>
          <w:p>
            <w:pPr>
              <w:jc w:val="right"/>
              <w:ind w:right="191"/>
              <w:spacing w:after="0"/>
              <w:rPr>
                <w:sz w:val="20"/>
                <w:szCs w:val="20"/>
                <w:color w:val="auto"/>
              </w:rPr>
            </w:pPr>
            <w:r>
              <w:rPr>
                <w:rFonts w:ascii="Times New Roman" w:cs="Times New Roman" w:eastAsia="Times New Roman" w:hAnsi="Times New Roman"/>
                <w:sz w:val="12"/>
                <w:szCs w:val="12"/>
                <w:color w:val="auto"/>
              </w:rPr>
              <w:t>(13.0)</w:t>
            </w:r>
          </w:p>
        </w:tc>
      </w:tr>
      <w:tr>
        <w:trPr>
          <w:trHeight w:val="133"/>
        </w:trPr>
        <w:tc>
          <w:tcPr>
            <w:tcW w:w="51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178,451</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191,036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(12,585)</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240" w:type="dxa"/>
            <w:vAlign w:val="bottom"/>
            <w:tcBorders>
              <w:top w:val="single" w:sz="8" w:color="CCEEFF"/>
            </w:tcBorders>
            <w:shd w:val="clear" w:color="auto" w:fill="CCEEFF"/>
          </w:tcPr>
          <w:p>
            <w:pPr>
              <w:spacing w:after="0"/>
              <w:rPr>
                <w:sz w:val="11"/>
                <w:szCs w:val="11"/>
                <w:color w:val="auto"/>
              </w:rPr>
            </w:pPr>
          </w:p>
        </w:tc>
      </w:tr>
      <w:tr>
        <w:trPr>
          <w:trHeight w:val="133"/>
        </w:trPr>
        <w:tc>
          <w:tcPr>
            <w:tcW w:w="51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excluding depreciation and amortization unless otherwise indicated</w:t>
            </w: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communications services and other</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78,973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(1,394)</w:t>
            </w:r>
          </w:p>
        </w:tc>
        <w:tc>
          <w:tcPr>
            <w:tcW w:w="92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construction revenue</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(1,826)</w:t>
            </w:r>
          </w:p>
        </w:tc>
        <w:tc>
          <w:tcPr>
            <w:tcW w:w="920" w:type="dxa"/>
            <w:vAlign w:val="bottom"/>
            <w:gridSpan w:val="2"/>
          </w:tcPr>
          <w:p>
            <w:pPr>
              <w:jc w:val="right"/>
              <w:ind w:right="191"/>
              <w:spacing w:after="0"/>
              <w:rPr>
                <w:sz w:val="20"/>
                <w:szCs w:val="20"/>
                <w:color w:val="auto"/>
              </w:rPr>
            </w:pPr>
            <w:r>
              <w:rPr>
                <w:rFonts w:ascii="Times New Roman" w:cs="Times New Roman" w:eastAsia="Times New Roman" w:hAnsi="Times New Roman"/>
                <w:sz w:val="12"/>
                <w:szCs w:val="12"/>
                <w:color w:val="auto"/>
              </w:rPr>
              <w:t>(89.9)</w:t>
            </w: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53,601</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60,792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(7,191)</w:t>
            </w:r>
          </w:p>
        </w:tc>
        <w:tc>
          <w:tcPr>
            <w:tcW w:w="92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2"/>
                <w:szCs w:val="12"/>
                <w:color w:val="auto"/>
              </w:rPr>
              <w:t>(11.8)</w:t>
            </w: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(125)</w:t>
            </w:r>
          </w:p>
        </w:tc>
        <w:tc>
          <w:tcPr>
            <w:tcW w:w="920" w:type="dxa"/>
            <w:vAlign w:val="bottom"/>
            <w:gridSpan w:val="2"/>
          </w:tcPr>
          <w:p>
            <w:pPr>
              <w:jc w:val="right"/>
              <w:ind w:right="191"/>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Transaction-related charges</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3,791</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3,746</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8,324.4</w:t>
            </w:r>
          </w:p>
        </w:tc>
        <w:tc>
          <w:tcPr>
            <w:tcW w:w="240" w:type="dxa"/>
            <w:vAlign w:val="bottom"/>
            <w:shd w:val="clear" w:color="auto" w:fill="CCEEFF"/>
          </w:tcPr>
          <w:p>
            <w:pPr>
              <w:spacing w:after="0"/>
              <w:rPr>
                <w:sz w:val="12"/>
                <w:szCs w:val="12"/>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Restructuring charges</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240" w:type="dxa"/>
            <w:vAlign w:val="bottom"/>
          </w:tcPr>
          <w:p>
            <w:pPr>
              <w:spacing w:after="0"/>
              <w:rPr>
                <w:sz w:val="12"/>
                <w:szCs w:val="12"/>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2,929</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40" w:type="dxa"/>
            <w:vAlign w:val="bottom"/>
            <w:shd w:val="clear" w:color="auto" w:fill="CCEEFF"/>
          </w:tcPr>
          <w:p>
            <w:pPr>
              <w:spacing w:after="0"/>
              <w:rPr>
                <w:sz w:val="12"/>
                <w:szCs w:val="12"/>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(1,133)</w:t>
            </w:r>
          </w:p>
        </w:tc>
        <w:tc>
          <w:tcPr>
            <w:tcW w:w="920" w:type="dxa"/>
            <w:vAlign w:val="bottom"/>
            <w:gridSpan w:val="2"/>
          </w:tcPr>
          <w:p>
            <w:pPr>
              <w:jc w:val="right"/>
              <w:ind w:right="191"/>
              <w:spacing w:after="0"/>
              <w:rPr>
                <w:sz w:val="20"/>
                <w:szCs w:val="20"/>
                <w:color w:val="auto"/>
              </w:rPr>
            </w:pPr>
            <w:r>
              <w:rPr>
                <w:rFonts w:ascii="Times New Roman" w:cs="Times New Roman" w:eastAsia="Times New Roman" w:hAnsi="Times New Roman"/>
                <w:sz w:val="12"/>
                <w:szCs w:val="12"/>
                <w:color w:val="auto"/>
              </w:rPr>
              <w:t>(36.3)</w:t>
            </w: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Goodwill impairment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40" w:type="dxa"/>
            <w:vAlign w:val="bottom"/>
            <w:shd w:val="clear" w:color="auto" w:fill="CCEEFF"/>
          </w:tcPr>
          <w:p>
            <w:pPr>
              <w:spacing w:after="0"/>
              <w:rPr>
                <w:sz w:val="12"/>
                <w:szCs w:val="12"/>
                <w:color w:val="auto"/>
              </w:rPr>
            </w:pPr>
          </w:p>
        </w:tc>
      </w:tr>
      <w:tr>
        <w:trPr>
          <w:trHeight w:val="144"/>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Loss on disposition of long-lived assets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1,372</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1,039.4</w:t>
            </w:r>
          </w:p>
        </w:tc>
        <w:tc>
          <w:tcPr>
            <w:tcW w:w="240" w:type="dxa"/>
            <w:vAlign w:val="bottom"/>
            <w:tcBorders>
              <w:bottom w:val="single" w:sz="8" w:color="CCEEFF"/>
            </w:tcBorders>
          </w:tcPr>
          <w:p>
            <w:pPr>
              <w:spacing w:after="0"/>
              <w:rPr>
                <w:sz w:val="12"/>
                <w:szCs w:val="12"/>
                <w:color w:val="auto"/>
              </w:rPr>
            </w:pPr>
          </w:p>
        </w:tc>
      </w:tr>
      <w:tr>
        <w:trPr>
          <w:trHeight w:val="133"/>
        </w:trPr>
        <w:tc>
          <w:tcPr>
            <w:tcW w:w="516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216,809</w:t>
            </w:r>
          </w:p>
        </w:tc>
        <w:tc>
          <w:tcPr>
            <w:tcW w:w="1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184,200</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32,609</w:t>
            </w:r>
          </w:p>
        </w:tc>
        <w:tc>
          <w:tcPr>
            <w:tcW w:w="1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w:t>
            </w:r>
          </w:p>
        </w:tc>
        <w:tc>
          <w:tcPr>
            <w:tcW w:w="240" w:type="dxa"/>
            <w:vAlign w:val="bottom"/>
            <w:shd w:val="clear" w:color="auto" w:fill="CCEEFF"/>
          </w:tcPr>
          <w:p>
            <w:pPr>
              <w:spacing w:after="0"/>
              <w:rPr>
                <w:sz w:val="11"/>
                <w:szCs w:val="11"/>
                <w:color w:val="auto"/>
              </w:rPr>
            </w:pPr>
          </w:p>
        </w:tc>
      </w:tr>
      <w:tr>
        <w:trPr>
          <w:trHeight w:val="133"/>
        </w:trPr>
        <w:tc>
          <w:tcPr>
            <w:tcW w:w="516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Income from operations</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(38,358)</w:t>
            </w: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6,836</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(45,194)</w:t>
            </w:r>
          </w:p>
        </w:tc>
        <w:tc>
          <w:tcPr>
            <w:tcW w:w="1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(661.1)</w:t>
            </w:r>
          </w:p>
        </w:tc>
        <w:tc>
          <w:tcPr>
            <w:tcW w:w="240" w:type="dxa"/>
            <w:vAlign w:val="bottom"/>
            <w:tcBorders>
              <w:bottom w:val="single" w:sz="8" w:color="CCEEFF"/>
            </w:tcBorders>
          </w:tcPr>
          <w:p>
            <w:pPr>
              <w:spacing w:after="0"/>
              <w:rPr>
                <w:sz w:val="11"/>
                <w:szCs w:val="11"/>
                <w:color w:val="auto"/>
              </w:rPr>
            </w:pPr>
          </w:p>
        </w:tc>
      </w:tr>
      <w:tr>
        <w:trPr>
          <w:trHeight w:val="133"/>
        </w:trPr>
        <w:tc>
          <w:tcPr>
            <w:tcW w:w="5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INCOME (EXPENSE):</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240" w:type="dxa"/>
            <w:vAlign w:val="bottom"/>
          </w:tcPr>
          <w:p>
            <w:pPr>
              <w:spacing w:after="0"/>
              <w:rPr>
                <w:sz w:val="12"/>
                <w:szCs w:val="12"/>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(12,695)</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(11,445)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(1,250)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40" w:type="dxa"/>
            <w:vAlign w:val="bottom"/>
            <w:shd w:val="clear" w:color="auto" w:fill="CCEEFF"/>
          </w:tcPr>
          <w:p>
            <w:pPr>
              <w:spacing w:after="0"/>
              <w:rPr>
                <w:sz w:val="12"/>
                <w:szCs w:val="12"/>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income (expense)</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(645)</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(858)</w:t>
            </w:r>
          </w:p>
        </w:tc>
        <w:tc>
          <w:tcPr>
            <w:tcW w:w="920" w:type="dxa"/>
            <w:vAlign w:val="bottom"/>
            <w:gridSpan w:val="2"/>
          </w:tcPr>
          <w:p>
            <w:pPr>
              <w:jc w:val="right"/>
              <w:ind w:right="191"/>
              <w:spacing w:after="0"/>
              <w:rPr>
                <w:sz w:val="20"/>
                <w:szCs w:val="20"/>
                <w:color w:val="auto"/>
              </w:rPr>
            </w:pPr>
            <w:r>
              <w:rPr>
                <w:rFonts w:ascii="Times New Roman" w:cs="Times New Roman" w:eastAsia="Times New Roman" w:hAnsi="Times New Roman"/>
                <w:sz w:val="12"/>
                <w:szCs w:val="12"/>
                <w:color w:val="auto"/>
              </w:rPr>
              <w:t>(402.8)</w:t>
            </w:r>
          </w:p>
        </w:tc>
      </w:tr>
      <w:tr>
        <w:trPr>
          <w:trHeight w:val="133"/>
        </w:trPr>
        <w:tc>
          <w:tcPr>
            <w:tcW w:w="51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Other expense, net</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(13,128)</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(11,096)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(2,032)</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18.3</w:t>
            </w:r>
          </w:p>
        </w:tc>
        <w:tc>
          <w:tcPr>
            <w:tcW w:w="240" w:type="dxa"/>
            <w:vAlign w:val="bottom"/>
            <w:tcBorders>
              <w:top w:val="single" w:sz="8" w:color="CCEEFF"/>
            </w:tcBorders>
            <w:shd w:val="clear" w:color="auto" w:fill="CCEEFF"/>
          </w:tcPr>
          <w:p>
            <w:pPr>
              <w:spacing w:after="0"/>
              <w:rPr>
                <w:sz w:val="11"/>
                <w:szCs w:val="11"/>
                <w:color w:val="auto"/>
              </w:rPr>
            </w:pPr>
          </w:p>
        </w:tc>
      </w:tr>
      <w:tr>
        <w:trPr>
          <w:trHeight w:val="133"/>
        </w:trPr>
        <w:tc>
          <w:tcPr>
            <w:tcW w:w="51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BEFORE INCOME TAXES</w:t>
            </w:r>
          </w:p>
        </w:tc>
        <w:tc>
          <w:tcPr>
            <w:tcW w:w="18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(51,486)</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(4,260)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(47,226)</w:t>
            </w: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1,108.6</w:t>
            </w:r>
          </w:p>
        </w:tc>
        <w:tc>
          <w:tcPr>
            <w:tcW w:w="240" w:type="dxa"/>
            <w:vAlign w:val="bottom"/>
          </w:tcPr>
          <w:p>
            <w:pPr>
              <w:spacing w:after="0"/>
              <w:rPr>
                <w:sz w:val="11"/>
                <w:szCs w:val="11"/>
                <w:color w:val="auto"/>
              </w:rPr>
            </w:pPr>
          </w:p>
        </w:tc>
      </w:tr>
      <w:tr>
        <w:trPr>
          <w:trHeight w:val="144"/>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tax benefit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(12,035)</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(542)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(11,493)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2,120.5</w:t>
            </w:r>
          </w:p>
        </w:tc>
        <w:tc>
          <w:tcPr>
            <w:tcW w:w="240" w:type="dxa"/>
            <w:vAlign w:val="bottom"/>
            <w:shd w:val="clear" w:color="auto" w:fill="CCEEFF"/>
          </w:tcPr>
          <w:p>
            <w:pPr>
              <w:spacing w:after="0"/>
              <w:rPr>
                <w:sz w:val="12"/>
                <w:szCs w:val="12"/>
                <w:color w:val="auto"/>
              </w:rPr>
            </w:pPr>
          </w:p>
        </w:tc>
      </w:tr>
      <w:tr>
        <w:trPr>
          <w:trHeight w:val="133"/>
        </w:trPr>
        <w:tc>
          <w:tcPr>
            <w:tcW w:w="51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w:t>
            </w: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(39,451)</w:t>
            </w: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(3,718)</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(35,733)</w:t>
            </w:r>
          </w:p>
        </w:tc>
        <w:tc>
          <w:tcPr>
            <w:tcW w:w="180" w:type="dxa"/>
            <w:vAlign w:val="bottom"/>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961.1</w:t>
            </w:r>
          </w:p>
        </w:tc>
        <w:tc>
          <w:tcPr>
            <w:tcW w:w="240" w:type="dxa"/>
            <w:vAlign w:val="bottom"/>
          </w:tcPr>
          <w:p>
            <w:pPr>
              <w:spacing w:after="0"/>
              <w:rPr>
                <w:sz w:val="11"/>
                <w:szCs w:val="1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 attributable to noncontrolling interests, net of tax:</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6,760</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6,626</w:t>
            </w:r>
          </w:p>
        </w:tc>
        <w:tc>
          <w:tcPr>
            <w:tcW w:w="1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4,944.8</w:t>
            </w:r>
          </w:p>
        </w:tc>
        <w:tc>
          <w:tcPr>
            <w:tcW w:w="240" w:type="dxa"/>
            <w:vAlign w:val="bottom"/>
            <w:shd w:val="clear" w:color="auto" w:fill="CCEEFF"/>
          </w:tcPr>
          <w:p>
            <w:pPr>
              <w:spacing w:after="0"/>
              <w:rPr>
                <w:sz w:val="12"/>
                <w:szCs w:val="12"/>
                <w:color w:val="auto"/>
              </w:rPr>
            </w:pPr>
          </w:p>
        </w:tc>
      </w:tr>
      <w:tr>
        <w:trPr>
          <w:trHeight w:val="140"/>
        </w:trPr>
        <w:tc>
          <w:tcPr>
            <w:tcW w:w="51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 ATTRIBUTABLE TO ATN INTERNATIONAL, INC. STOCKHOLDERS</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(32,691)</w:t>
            </w: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(3,584)</w:t>
            </w: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(29,107)</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812.1</w:t>
            </w:r>
          </w:p>
        </w:tc>
        <w:tc>
          <w:tcPr>
            <w:tcW w:w="2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1"/>
              </w:rPr>
              <w:t>%</w:t>
            </w:r>
          </w:p>
        </w:tc>
      </w:tr>
      <w:tr>
        <w:trPr>
          <w:trHeight w:val="720"/>
        </w:trPr>
        <w:tc>
          <w:tcPr>
            <w:tcW w:w="5160" w:type="dxa"/>
            <w:vAlign w:val="bottom"/>
          </w:tcPr>
          <w:p>
            <w:pPr>
              <w:ind w:left="4420"/>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0"/>
        </w:trPr>
        <w:tc>
          <w:tcPr>
            <w:tcW w:w="5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Communications Services Revenue</w:t>
      </w:r>
    </w:p>
    <w:p>
      <w:pPr>
        <w:spacing w:after="0" w:line="177" w:lineRule="exact"/>
        <w:rPr>
          <w:sz w:val="20"/>
          <w:szCs w:val="20"/>
          <w:color w:val="auto"/>
        </w:rPr>
      </w:pPr>
    </w:p>
    <w:p>
      <w:pPr>
        <w:ind w:left="20" w:right="5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Mobility Revenue. </w:t>
      </w:r>
      <w:r>
        <w:rPr>
          <w:rFonts w:ascii="Times New Roman" w:cs="Times New Roman" w:eastAsia="Times New Roman" w:hAnsi="Times New Roman"/>
          <w:sz w:val="12"/>
          <w:szCs w:val="12"/>
          <w:color w:val="auto"/>
        </w:rPr>
        <w:t>Our Mobility revenue consists of retail revenue generated within both our International Telecom and US Telecom segments by providing retail mobile voice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data services over our wireless networks as well as through the sale and repair services of related equipment, such as handsets and other accessories, to our retail subscribers.</w:t>
      </w:r>
    </w:p>
    <w:p>
      <w:pPr>
        <w:spacing w:after="0" w:line="134"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Mobility revenue decreased by $1.2 million, or 4.2%, to $27.5 million for the three months ended September 30, 2024 from $28.7 million for the three months ended September 30, 2023. Mobility revenue from consumer customers decreased by $2.4 million partially offset by an increase in Mobility revenue from business customers of $1.2 million.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net decrease in Mobility revenue, within our segments, consisted of the following:</w:t>
      </w:r>
    </w:p>
    <w:p>
      <w:pPr>
        <w:spacing w:after="0" w:line="175" w:lineRule="exact"/>
        <w:rPr>
          <w:sz w:val="20"/>
          <w:szCs w:val="20"/>
          <w:color w:val="auto"/>
        </w:rPr>
      </w:pPr>
    </w:p>
    <w:p>
      <w:pPr>
        <w:ind w:left="680" w:right="79" w:hanging="208"/>
        <w:spacing w:after="0" w:line="261" w:lineRule="auto"/>
        <w:tabs>
          <w:tab w:leader="none" w:pos="6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Mobility revenue decreased by $1.0 million, or 3.6%, to $26.8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from $27.8 million for the three months ended September 30, 2023. This decrease was primarily related to a decrease in the demand for prepaid voice services partially offset by an increase in the demand for data services. Mobility revenue from consumer customers decreased $2.2 million partially offset by an increase in Mobility revenue from business customers of $1.2 million.</w:t>
      </w:r>
    </w:p>
    <w:p>
      <w:pPr>
        <w:spacing w:after="0" w:line="119" w:lineRule="exact"/>
        <w:rPr>
          <w:rFonts w:ascii="Times New Roman" w:cs="Times New Roman" w:eastAsia="Times New Roman" w:hAnsi="Times New Roman"/>
          <w:sz w:val="12"/>
          <w:szCs w:val="12"/>
          <w:color w:val="auto"/>
        </w:rPr>
      </w:pPr>
    </w:p>
    <w:p>
      <w:pPr>
        <w:ind w:left="680" w:right="79" w:hanging="208"/>
        <w:spacing w:after="0" w:line="266" w:lineRule="auto"/>
        <w:tabs>
          <w:tab w:leader="none" w:pos="6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US Telecom. </w:t>
      </w:r>
      <w:r>
        <w:rPr>
          <w:rFonts w:ascii="Times New Roman" w:cs="Times New Roman" w:eastAsia="Times New Roman" w:hAnsi="Times New Roman"/>
          <w:sz w:val="12"/>
          <w:szCs w:val="12"/>
          <w:color w:val="auto"/>
        </w:rPr>
        <w:t>Mobility revenue within our US Telecom segment decreased by $0.2 million, or 22.2%, to $0.7 million from $0.9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and 2023, respectively. Substantially all of the decrease related to a decrease in revenue from consumers within our retail operations due to a reduction in subscribers as we continue to put more emphasis on other revenue sources within this segment.</w:t>
      </w:r>
    </w:p>
    <w:p>
      <w:pPr>
        <w:spacing w:after="0" w:line="119"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Mobility revenue within our International Telecom may decrease as a result of increased competition and regulatory changes partially offset by our continued network upgrades, marketing efforts and conversion of our current subscriber base to higher margin prepaid and postpaid plans. We expect that Mobility revenue within our US Telecom segment will decrease over time as we put more emphasis on other revenue sources within that segment.</w:t>
      </w:r>
    </w:p>
    <w:p>
      <w:pPr>
        <w:spacing w:after="0" w:line="142" w:lineRule="exact"/>
        <w:rPr>
          <w:sz w:val="20"/>
          <w:szCs w:val="20"/>
          <w:color w:val="auto"/>
        </w:rPr>
      </w:pPr>
    </w:p>
    <w:p>
      <w:pPr>
        <w:ind w:left="20" w:right="3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Fixed Revenue. </w:t>
      </w:r>
      <w:r>
        <w:rPr>
          <w:rFonts w:ascii="Times New Roman" w:cs="Times New Roman" w:eastAsia="Times New Roman" w:hAnsi="Times New Roman"/>
          <w:sz w:val="12"/>
          <w:szCs w:val="12"/>
          <w:color w:val="auto"/>
        </w:rPr>
        <w:t>Fixed revenue is primarily generated by broadband, voice, and video service revenues provided to retail and business customers over our wireline networks.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Fixed revenue within our US Telecom segment also includes awards from the Connect America Fund Phase II program, the Enhanced Alternative Connect America Cost Model program, and the Alaska Universal Service Fund. In addition, and through early April 2024, Fixed revenue within the US Telecom segment also included revenue from the Emergency Connectivity Fund (ECF) and Affordable Care Program (ACP). Within our International Telecom segment, Fixed revenue includes funding under the FCC’s High Cost Program in the US Virgin Islands.</w:t>
      </w:r>
    </w:p>
    <w:p>
      <w:pPr>
        <w:spacing w:after="0" w:line="141"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Fixed revenue decreased by $5.5 million, or 4.6%, to $112.8 million from $118.3 million for the three months ended September 30, 2024 and 2023, respectively. Of this decrease, revenue from business and consumer customers decreased by $5.4 million and $0.1 million, respectively. The net decrease in Fixed revenue, within our segments, consisted of the following:</w:t>
      </w:r>
    </w:p>
    <w:p>
      <w:pPr>
        <w:spacing w:after="0" w:line="144" w:lineRule="exact"/>
        <w:rPr>
          <w:sz w:val="20"/>
          <w:szCs w:val="20"/>
          <w:color w:val="auto"/>
        </w:rPr>
      </w:pPr>
    </w:p>
    <w:p>
      <w:pPr>
        <w:ind w:left="680" w:right="339" w:hanging="208"/>
        <w:spacing w:after="0" w:line="261"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Fixed revenue increased by $1.8 million, or 3.0%, to $61.8 million from $60.0 million for the three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months ended September 30, 2024 and 2023, respectively. Of this increase, $1.1 million and $0.7 million relate to increases in revenue from business and consumer customers, respectively. This increase was a result of network upgrades and expansions which led to an increase in the number of homes passed by high-speed data solutions which allowed us to migrate legacy copper customers to more durable and higher revenue generating fiber services.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right="139" w:hanging="208"/>
        <w:spacing w:after="0" w:line="266" w:lineRule="auto"/>
        <w:tabs>
          <w:tab w:leader="none" w:pos="6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Fixed revenue within our US Telecom segment decreased by $7.3 million, or 12.5%, to $51.0 million from $58.3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and 2023, respectively. Revenue from business and consumer customers decreased by $6.1 million and $1.2 million, respectively, primarily as a result of the conclusion of the Emergency Connectivity Fund and Affordable Care Program, both of which provided revenue through April 2024.</w:t>
      </w:r>
    </w:p>
    <w:p>
      <w:pPr>
        <w:spacing w:after="0" w:line="146"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Fixed revenue within our International Telecom segment may continue to increase as we continue to add subscribers to our fiber and fiber-fed data solutions deployed to expand and enhance our network reach. We expect the popularity of video and audio streaming, the demand for cloud services and smart home, business and city solutions to increase the demand for broadband and other data services from consumers, businesses and governments. However, such increases may be offset by a decrease in demand for our services due to subscribers using alternative methods to receive video and audio content.</w:t>
      </w:r>
    </w:p>
    <w:p>
      <w:pPr>
        <w:spacing w:after="0" w:line="149" w:lineRule="exact"/>
        <w:rPr>
          <w:sz w:val="20"/>
          <w:szCs w:val="20"/>
          <w:color w:val="auto"/>
        </w:rPr>
      </w:pPr>
    </w:p>
    <w:p>
      <w:pPr>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Within our US Telecom segment, we expect Fixed revenue to decrease in the short term as a result of the impact of the expiration of the Emergency Connectivity Fund and Affordable Care Program. Over time, we expect these decreases to be partially offset by increases in other business revenue in Alaska and our western United States operations as we further deploy fiber and fiber-fed broadband access to both consumers and businesses.</w:t>
      </w:r>
    </w:p>
    <w:p>
      <w:pPr>
        <w:spacing w:after="0" w:line="133" w:lineRule="exact"/>
        <w:rPr>
          <w:sz w:val="20"/>
          <w:szCs w:val="20"/>
          <w:color w:val="auto"/>
        </w:rPr>
      </w:pPr>
    </w:p>
    <w:p>
      <w:pPr>
        <w:ind w:left="20" w:right="17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Carrier Services Revenue. </w:t>
      </w:r>
      <w:r>
        <w:rPr>
          <w:rFonts w:ascii="Times New Roman" w:cs="Times New Roman" w:eastAsia="Times New Roman" w:hAnsi="Times New Roman"/>
          <w:sz w:val="12"/>
          <w:szCs w:val="12"/>
          <w:color w:val="auto"/>
        </w:rPr>
        <w:t>Carrier Services revenue is generated by both our International Telecom and US Telecom segments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our International Telecom segment,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Agreement and Verizon Carrier Managed Services Agreement, wholesale roaming revenues, the provision of network switching services, tower lease revenue and other services provided to other carriers.</w:t>
      </w:r>
    </w:p>
    <w:p>
      <w:pPr>
        <w:spacing w:after="0" w:line="150"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Carrier Services revenue decreased by $3.1 million, or 8.7%, to $32.7 million from $35.8 million for the three months ended September 30, 2024 and 2023, respectively. The decrease, within our segments, consisted of the following:</w:t>
      </w:r>
    </w:p>
    <w:p>
      <w:pPr>
        <w:spacing w:after="0" w:line="136" w:lineRule="exact"/>
        <w:rPr>
          <w:sz w:val="20"/>
          <w:szCs w:val="20"/>
          <w:color w:val="auto"/>
        </w:rPr>
      </w:pPr>
    </w:p>
    <w:p>
      <w:pPr>
        <w:ind w:left="680" w:right="179" w:hanging="208"/>
        <w:spacing w:after="0" w:line="283" w:lineRule="auto"/>
        <w:tabs>
          <w:tab w:leader="none" w:pos="6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Carrier Services revenue decreased by $0.1 million, or 2.9%, to $3.3 million, from $3.4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September 30, 2024 and 2023, respectively, primarily as a result of a decrease in roaming revenues in some of our international markets.</w:t>
      </w:r>
    </w:p>
    <w:p>
      <w:pPr>
        <w:spacing w:after="0" w:line="106" w:lineRule="exact"/>
        <w:rPr>
          <w:rFonts w:ascii="Times New Roman" w:cs="Times New Roman" w:eastAsia="Times New Roman" w:hAnsi="Times New Roman"/>
          <w:sz w:val="12"/>
          <w:szCs w:val="12"/>
          <w:color w:val="auto"/>
        </w:rPr>
      </w:pPr>
    </w:p>
    <w:p>
      <w:pPr>
        <w:ind w:left="680" w:right="79" w:hanging="208"/>
        <w:spacing w:after="0" w:line="283" w:lineRule="auto"/>
        <w:tabs>
          <w:tab w:leader="none" w:pos="6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Carrier Services revenue within our US Telecom segment decreased by $2.9 million, or 9.0%, to $29.4 million from $32.3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and 2023, respectively, as a result of the transition of legacy roaming arrangements to carrier service management contracts.</w:t>
      </w:r>
    </w:p>
    <w:p>
      <w:pPr>
        <w:spacing w:after="0" w:line="12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Within our International Telecom segment, Carrier Services revenue may increase if international travel increases. Such increases, however, may be partially offset by a decrease within our international long-distance business in Guyana as consumers seek to use alternative technology services to place long-distance calls.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Within our US Telecom segment, Carrier Services revenue may increase as a result of recent carrier service management contracts.</w:t>
      </w:r>
    </w:p>
    <w:p>
      <w:pPr>
        <w:spacing w:after="0" w:line="173" w:lineRule="exact"/>
        <w:rPr>
          <w:sz w:val="20"/>
          <w:szCs w:val="20"/>
          <w:color w:val="auto"/>
        </w:rPr>
      </w:pPr>
    </w:p>
    <w:p>
      <w:pPr>
        <w:ind w:left="20" w:right="13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Other Communications Services Revenue. </w:t>
      </w:r>
      <w:r>
        <w:rPr>
          <w:rFonts w:ascii="Times New Roman" w:cs="Times New Roman" w:eastAsia="Times New Roman" w:hAnsi="Times New Roman"/>
          <w:sz w:val="12"/>
          <w:szCs w:val="12"/>
          <w:color w:val="auto"/>
        </w:rPr>
        <w:t>Other Communications Services revenue includes miscellaneous services that the operations within our International Telecom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segment provide to retail subscribers and project-related revenue generated within both our International and US Telecom segments. Other Communications Services revenue decreased by $0.4 million, or 22.2%, to $1.4 million from $1.8 million for the three months ended September 30, 2024</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and 2023, respectively, primarily as a result of non-recurring project-related revenue being recognized within both our International Telecom and US Telecom segments, during the three months ended September 30, 2024.</w:t>
      </w:r>
    </w:p>
    <w:p>
      <w:pPr>
        <w:spacing w:after="0" w:line="138"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We expect that other communications services revenue will decline to previously reported levels as the project-related fiber deployment engineering services revenue, reported during the quarter ended September 30, 2024, is not expected to continue subsequent to the completion of that project.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Revenue</w:t>
      </w:r>
    </w:p>
    <w:p>
      <w:pPr>
        <w:spacing w:after="0" w:line="172"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Construction revenue represents revenue generated within our US Telecom segment for the construction of network cell sites related to the FirstNet Agreement. During the three months ended September 30, 2024 and 2023, Construction revenue decreased to $0.2 million from $2.0 million, respectively, as a result of a decrease in the number of sites completed during 2024 as compared to 2023. We expect to substantially complete the build by the end of 2025 with the remainder to be completed in 2026.</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Revenue</w:t>
      </w:r>
    </w:p>
    <w:p>
      <w:pPr>
        <w:spacing w:after="0" w:line="177" w:lineRule="exact"/>
        <w:rPr>
          <w:sz w:val="20"/>
          <w:szCs w:val="20"/>
          <w:color w:val="auto"/>
        </w:rPr>
      </w:pPr>
    </w:p>
    <w:p>
      <w:pPr>
        <w:ind w:left="20" w:right="7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Managed Services Revenue. </w:t>
      </w:r>
      <w:r>
        <w:rPr>
          <w:rFonts w:ascii="Times New Roman" w:cs="Times New Roman" w:eastAsia="Times New Roman" w:hAnsi="Times New Roman"/>
          <w:sz w:val="12"/>
          <w:szCs w:val="12"/>
          <w:color w:val="auto"/>
        </w:rPr>
        <w:t>Managed Services revenue is generated within both our International and US Telecom segments and includes network, application, infrastructure,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hosting services. Managed Services revenue decreased $0.6 million, or 13.6%, to $3.8 million from $4.4 million during the three months ended September 30, 2024 and 2023, respectively. The net decrease in Managed Services revenue, within our segments, consisted of the following:</w:t>
      </w:r>
    </w:p>
    <w:p>
      <w:pPr>
        <w:spacing w:after="0" w:line="136"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Within our International Telecom segment, Managed Services revenue decreased $0.2 million, or 14.3%, to $1.2 million from $1.4 million for the three months ended September 30, 2024 and 2023, respectively.</w:t>
      </w:r>
    </w:p>
    <w:p>
      <w:pPr>
        <w:spacing w:after="0" w:line="138"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Within our US Telecom segment, Managed Services revenue decreased $0.4 million, or 13.3%, to $2.6 million from $3.0 million for the three months ended September 30, 2024 and 2023, respectively.</w:t>
      </w:r>
    </w:p>
    <w:p>
      <w:pPr>
        <w:spacing w:after="0" w:line="138"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Managed Services revenue may increase in both our US and International Telecom segments as a result of our continued effort to sell certain Managed Services solutions to both our consumer and business customers in all of our markets.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77" w:lineRule="exact"/>
        <w:rPr>
          <w:sz w:val="20"/>
          <w:szCs w:val="20"/>
          <w:color w:val="auto"/>
        </w:rPr>
      </w:pPr>
    </w:p>
    <w:p>
      <w:pPr>
        <w:ind w:left="20" w:right="3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Cost of communication services and other. </w:t>
      </w:r>
      <w:r>
        <w:rPr>
          <w:rFonts w:ascii="Times New Roman" w:cs="Times New Roman" w:eastAsia="Times New Roman" w:hAnsi="Times New Roman"/>
          <w:sz w:val="12"/>
          <w:szCs w:val="12"/>
          <w:color w:val="auto"/>
        </w:rPr>
        <w:t>Cost of communication services and other are charges that we incur for voice and data transport circuits (in particular, the circuits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150"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Cost of communication services and other decreased by $1.4 million, or 1.7%, to $79.0 million from $80.4 million for the three months ended September 30, 2024 and 2023, respectively. The net decrease in cost of communication services and other, within our segments, consisted of the following:</w:t>
      </w:r>
    </w:p>
    <w:p>
      <w:pPr>
        <w:spacing w:after="0" w:line="127" w:lineRule="exact"/>
        <w:rPr>
          <w:sz w:val="20"/>
          <w:szCs w:val="20"/>
          <w:color w:val="auto"/>
        </w:rPr>
      </w:pPr>
    </w:p>
    <w:p>
      <w:pPr>
        <w:jc w:val="both"/>
        <w:ind w:left="680" w:right="119" w:hanging="208"/>
        <w:spacing w:after="0" w:line="266" w:lineRule="auto"/>
        <w:tabs>
          <w:tab w:leader="none" w:pos="6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cost of communication services and other decreased $3.0 million, or 8.0%, to $34.4 million from $37.4</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for the three months ended September 30, 2024 and 2023, respectively. This segment incurred a decrease in its cost of communication services and other expenses as a result of the impact of certain cost savings initiatives that were implemented in the current and previous periods and lower transport and termination costs.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right="259" w:hanging="208"/>
        <w:spacing w:after="0" w:line="261" w:lineRule="auto"/>
        <w:tabs>
          <w:tab w:leader="none" w:pos="6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Cost of communication services and other within our US Telecom segment increased by $1.2 million, or 2.8%, to $44.5 million from $43.3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September 30, 2024 and 2023, respectively. Such increase was a result of an increase in transport and cell site costs partially offset by the beneficial impact of certain cost savings initiatives that were implemented in the current and previous periods as well as a reduction in the costs associated with the Emergency Connectivity Fund program which was terminated during the second quarter of 2024.</w:t>
      </w:r>
    </w:p>
    <w:p>
      <w:pPr>
        <w:spacing w:after="0" w:line="149" w:lineRule="exact"/>
        <w:rPr>
          <w:sz w:val="20"/>
          <w:szCs w:val="20"/>
          <w:color w:val="auto"/>
        </w:rPr>
      </w:pPr>
    </w:p>
    <w:p>
      <w:pPr>
        <w:ind w:left="20" w:right="419" w:firstLine="432"/>
        <w:spacing w:after="0" w:line="279" w:lineRule="auto"/>
        <w:rPr>
          <w:sz w:val="20"/>
          <w:szCs w:val="20"/>
          <w:color w:val="auto"/>
        </w:rPr>
      </w:pPr>
      <w:r>
        <w:rPr>
          <w:rFonts w:ascii="Times New Roman" w:cs="Times New Roman" w:eastAsia="Times New Roman" w:hAnsi="Times New Roman"/>
          <w:sz w:val="12"/>
          <w:szCs w:val="12"/>
          <w:color w:val="auto"/>
        </w:rPr>
        <w:t>Cost of communication services in both our International and US Telecom segments may decrease as a result of the ongoing cost reduction initiatives that commenced in previous periods but may be partially offset by future inflationary pressure.</w:t>
      </w:r>
    </w:p>
    <w:p>
      <w:pPr>
        <w:spacing w:after="0" w:line="134" w:lineRule="exact"/>
        <w:rPr>
          <w:sz w:val="20"/>
          <w:szCs w:val="20"/>
          <w:color w:val="auto"/>
        </w:rPr>
      </w:pPr>
    </w:p>
    <w:p>
      <w:pPr>
        <w:ind w:left="20" w:right="2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Cost of construction revenue. </w:t>
      </w:r>
      <w:r>
        <w:rPr>
          <w:rFonts w:ascii="Times New Roman" w:cs="Times New Roman" w:eastAsia="Times New Roman" w:hAnsi="Times New Roman"/>
          <w:sz w:val="12"/>
          <w:szCs w:val="12"/>
          <w:color w:val="auto"/>
        </w:rPr>
        <w:t>Cost of construction revenue includes the expenses incurred in connection with the construction of and the delivery to AT&amp;T of cell sites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accordance with our FirstNet Agreement. During the three months ended September 30, 2024 and 2023, cost of construction revenue decreased to $0.2 million from $2.0 million as a result of a decrease in the number of sites completed during 2024 as compared to 2023. We expect to substantially complete the build by the end of 2025 with the remainder to be completed in 2026.</w:t>
      </w:r>
    </w:p>
    <w:p>
      <w:pPr>
        <w:spacing w:after="0" w:line="135" w:lineRule="exact"/>
        <w:rPr>
          <w:sz w:val="20"/>
          <w:szCs w:val="20"/>
          <w:color w:val="auto"/>
        </w:rPr>
      </w:pPr>
    </w:p>
    <w:p>
      <w:pPr>
        <w:ind w:left="20" w:right="7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Selling, general and administrative expenses. </w:t>
      </w:r>
      <w:r>
        <w:rPr>
          <w:rFonts w:ascii="Times New Roman" w:cs="Times New Roman" w:eastAsia="Times New Roman" w:hAnsi="Times New Roman"/>
          <w:sz w:val="12"/>
          <w:szCs w:val="12"/>
          <w:color w:val="auto"/>
        </w:rPr>
        <w:t>Selling, general and administrative expenses include salaries and benefits we pay to sales personnel, customer service expenses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48"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decreased $7.2 million, or 11.8%, to $53.6 million from $60.8 million for the three months ended September 30, 2024 and 2023, respectively. The changes in selling, general and administrative expenses, within our segments, consisted of the following:</w:t>
      </w:r>
    </w:p>
    <w:p>
      <w:pPr>
        <w:spacing w:after="0" w:line="136" w:lineRule="exact"/>
        <w:rPr>
          <w:sz w:val="20"/>
          <w:szCs w:val="20"/>
          <w:color w:val="auto"/>
        </w:rPr>
      </w:pPr>
    </w:p>
    <w:p>
      <w:pPr>
        <w:ind w:left="680" w:right="159" w:hanging="208"/>
        <w:spacing w:after="0" w:line="261" w:lineRule="auto"/>
        <w:tabs>
          <w:tab w:leader="none" w:pos="6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our selling, general and administrative expenses decreased by $1.4 million, or 4.8%, to $27.6 million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from $29.0 million for the three months ended September 30, 2024 and 2023, respectively. This decrease was the result of the beneficial impact of certain cost savings initiatives that were implemented in the current and previous periods within most of our international markets partially offset by an increase in marketing costs incurred in connection with the rebranding of our operations in a certain market.</w:t>
      </w:r>
    </w:p>
    <w:p>
      <w:pPr>
        <w:spacing w:after="0" w:line="119" w:lineRule="exact"/>
        <w:rPr>
          <w:rFonts w:ascii="Times New Roman" w:cs="Times New Roman" w:eastAsia="Times New Roman" w:hAnsi="Times New Roman"/>
          <w:sz w:val="12"/>
          <w:szCs w:val="12"/>
          <w:color w:val="auto"/>
        </w:rPr>
      </w:pPr>
    </w:p>
    <w:p>
      <w:pPr>
        <w:ind w:left="680" w:right="59" w:hanging="208"/>
        <w:spacing w:after="0" w:line="266" w:lineRule="auto"/>
        <w:tabs>
          <w:tab w:leader="none" w:pos="6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Selling, general and administrative expenses decreased within our US Telecom segment by $3.3 million, or 13.2%, to $21.7 million from $25.0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September 30, 2024 and 2023, respectively. This decrease, which was incurred in all of our US markets, was primarily related to certain cost savings initiatives that were implemented in the current and previous periods, including lower compensation costs and professional fees.</w:t>
      </w:r>
    </w:p>
    <w:p>
      <w:pPr>
        <w:spacing w:after="0" w:line="117" w:lineRule="exact"/>
        <w:rPr>
          <w:rFonts w:ascii="Times New Roman" w:cs="Times New Roman" w:eastAsia="Times New Roman" w:hAnsi="Times New Roman"/>
          <w:sz w:val="12"/>
          <w:szCs w:val="12"/>
          <w:color w:val="auto"/>
        </w:rPr>
      </w:pPr>
    </w:p>
    <w:p>
      <w:pPr>
        <w:ind w:left="680" w:right="39" w:hanging="208"/>
        <w:spacing w:after="0" w:line="266" w:lineRule="auto"/>
        <w:tabs>
          <w:tab w:leader="none" w:pos="6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Corporate Overhead. </w:t>
      </w:r>
      <w:r>
        <w:rPr>
          <w:rFonts w:ascii="Times New Roman" w:cs="Times New Roman" w:eastAsia="Times New Roman" w:hAnsi="Times New Roman"/>
          <w:sz w:val="12"/>
          <w:szCs w:val="12"/>
          <w:color w:val="auto"/>
        </w:rPr>
        <w:t>Selling, general and administrative expenses within our corporate overhead decreased by $2.6 million, or 37.7%, to $4.3 million from $6.9 million,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the three months ended September 30, 2024 and 2023, respectively, primarily related to certain cost savings initiatives that were implemented in the current and previous periods and a decrease in professional fees.</w:t>
      </w:r>
    </w:p>
    <w:p>
      <w:pPr>
        <w:spacing w:after="0" w:line="137"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in both our International and US Telecom segments, as well as our Corporate Overhead, may continue to decrease as a result of the ongoing cost reduction initiatives that commenced in previous periods but may be partially offset by future inflationary pressure.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Stock-based compensation. </w:t>
      </w:r>
      <w:r>
        <w:rPr>
          <w:rFonts w:ascii="Times New Roman" w:cs="Times New Roman" w:eastAsia="Times New Roman" w:hAnsi="Times New Roman"/>
          <w:sz w:val="12"/>
          <w:szCs w:val="12"/>
          <w:color w:val="auto"/>
        </w:rPr>
        <w:t>Stock-based compensation represents a non-cash expense related to the amortization of grants of equity awards to employees and directors.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Stock-based compensation for the three months ended September 30, 2024 and 2023 was $1.8 million and $2.0 million, respectively.</w:t>
      </w:r>
    </w:p>
    <w:p>
      <w:pPr>
        <w:spacing w:after="0" w:line="173" w:lineRule="exact"/>
        <w:rPr>
          <w:sz w:val="20"/>
          <w:szCs w:val="20"/>
          <w:color w:val="auto"/>
        </w:rPr>
      </w:pPr>
    </w:p>
    <w:p>
      <w:pPr>
        <w:ind w:left="20" w:right="13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Transaction-related charges. </w:t>
      </w:r>
      <w:r>
        <w:rPr>
          <w:rFonts w:ascii="Times New Roman" w:cs="Times New Roman" w:eastAsia="Times New Roman" w:hAnsi="Times New Roman"/>
          <w:sz w:val="12"/>
          <w:szCs w:val="12"/>
          <w:color w:val="auto"/>
        </w:rPr>
        <w:t>Transaction-related charges include the external costs, such as legal, tax, accounting and consulting fees directly associated with acquisition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disposition-related activities and certain financing activities, and are expensed as incurred. Transaction-related charges do not include employee salary and travel-related expenses incurred in connection with acquisitions or dispositions or any integration-related costs.</w:t>
      </w:r>
    </w:p>
    <w:p>
      <w:pPr>
        <w:spacing w:after="0" w:line="145"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We incurred $3.8 million of transaction-related charges in connection with the refinancing of our Alaska subsidiary debt during the three months ended September 30, 2024 and a nominal amount during the three months ended September 30, 2023.</w:t>
      </w:r>
    </w:p>
    <w:p>
      <w:pPr>
        <w:spacing w:after="0" w:line="125" w:lineRule="exact"/>
        <w:rPr>
          <w:sz w:val="20"/>
          <w:szCs w:val="20"/>
          <w:color w:val="auto"/>
        </w:rPr>
      </w:pPr>
    </w:p>
    <w:p>
      <w:pPr>
        <w:ind w:left="20" w:right="9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Restructuring and reorganization expenses. </w:t>
      </w:r>
      <w:r>
        <w:rPr>
          <w:rFonts w:ascii="Times New Roman" w:cs="Times New Roman" w:eastAsia="Times New Roman" w:hAnsi="Times New Roman"/>
          <w:sz w:val="12"/>
          <w:szCs w:val="12"/>
          <w:color w:val="auto"/>
        </w:rPr>
        <w:t>In our efforts to advance our cost management actions to drive higher operating margins, we incurred certain reductions in force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contract termination costs totaling $2.3 million during the three months ended September 30, 2024. Of this amount, $0.3 million, $1.2 million and $0.8 million was incurred in the International Telecom segment, US Telecom segment and Corporate and Other segment, respectively.</w:t>
      </w:r>
    </w:p>
    <w:p>
      <w:pPr>
        <w:spacing w:after="0" w:line="145" w:lineRule="exact"/>
        <w:rPr>
          <w:sz w:val="20"/>
          <w:szCs w:val="20"/>
          <w:color w:val="auto"/>
        </w:rPr>
      </w:pPr>
    </w:p>
    <w:p>
      <w:pPr>
        <w:ind w:left="20" w:right="179" w:firstLine="462"/>
        <w:spacing w:after="0" w:line="279" w:lineRule="auto"/>
        <w:rPr>
          <w:sz w:val="20"/>
          <w:szCs w:val="20"/>
          <w:color w:val="auto"/>
        </w:rPr>
      </w:pPr>
      <w:r>
        <w:rPr>
          <w:rFonts w:ascii="Times New Roman" w:cs="Times New Roman" w:eastAsia="Times New Roman" w:hAnsi="Times New Roman"/>
          <w:sz w:val="12"/>
          <w:szCs w:val="12"/>
          <w:color w:val="auto"/>
        </w:rPr>
        <w:t>In connection with our repositioning of our legacy wholesale roaming operations in our US Telecom segment, we recorded a $4.6 million restructuring charge during the nine months ended September 30, 2023 primarily related to the decommissioning of certain cell sites.</w:t>
      </w:r>
    </w:p>
    <w:p>
      <w:pPr>
        <w:spacing w:after="0" w:line="134" w:lineRule="exact"/>
        <w:rPr>
          <w:sz w:val="20"/>
          <w:szCs w:val="20"/>
          <w:color w:val="auto"/>
        </w:rPr>
      </w:pPr>
    </w:p>
    <w:p>
      <w:pPr>
        <w:ind w:left="20" w:right="519" w:firstLine="46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Depreciation and amortization expenses. </w:t>
      </w:r>
      <w:r>
        <w:rPr>
          <w:rFonts w:ascii="Times New Roman" w:cs="Times New Roman" w:eastAsia="Times New Roman" w:hAnsi="Times New Roman"/>
          <w:sz w:val="12"/>
          <w:szCs w:val="12"/>
          <w:color w:val="auto"/>
        </w:rPr>
        <w:t>Depreciation and amortization expenses represent the depreciation and amortization charges we record on our property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equipment.</w:t>
      </w:r>
    </w:p>
    <w:p>
      <w:pPr>
        <w:spacing w:after="0" w:line="125"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expenses increased by $2.9 million, or 8.4%, to $37.3 million from $34.4 million for the three months ended September 30, 2024 and 2023, respectively. The net increase in depreciation and amortization expenses, within our segments, consisted primarily of the following:</w:t>
      </w:r>
    </w:p>
    <w:p>
      <w:pPr>
        <w:spacing w:after="0" w:line="136" w:lineRule="exact"/>
        <w:rPr>
          <w:sz w:val="20"/>
          <w:szCs w:val="20"/>
          <w:color w:val="auto"/>
        </w:rPr>
      </w:pPr>
    </w:p>
    <w:p>
      <w:pPr>
        <w:ind w:left="680" w:right="99" w:hanging="208"/>
        <w:spacing w:after="0" w:line="266" w:lineRule="auto"/>
        <w:tabs>
          <w:tab w:leader="none" w:pos="6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Depreciation and amortization expenses increased within our International Telecom segment by $4.0 million, or 27.8%, to $18.4 million from $14.4</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for three months ended September 30, 2024 and 2023, respectively. Increases were incurred in certain of our international markets as a result of recent capital expenditures used to expand and upgrade our network operations.</w:t>
      </w:r>
    </w:p>
    <w:p>
      <w:pPr>
        <w:spacing w:after="0" w:line="117" w:lineRule="exact"/>
        <w:rPr>
          <w:rFonts w:ascii="Times New Roman" w:cs="Times New Roman" w:eastAsia="Times New Roman" w:hAnsi="Times New Roman"/>
          <w:sz w:val="12"/>
          <w:szCs w:val="12"/>
          <w:color w:val="auto"/>
        </w:rPr>
      </w:pPr>
    </w:p>
    <w:p>
      <w:pPr>
        <w:ind w:left="680" w:right="79" w:hanging="208"/>
        <w:spacing w:after="0" w:line="283" w:lineRule="auto"/>
        <w:tabs>
          <w:tab w:leader="none" w:pos="6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Depreciation and amortization expenses decreased within our US Telecom segment by $0.7 million, or 3.6%, to $18.7 million from $19.4 million, for the three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months ended September 30, 2024 and 2023, respectively, primarily as a result of certain assets becoming fully depreciated in recent periods.</w:t>
      </w:r>
    </w:p>
    <w:p>
      <w:pPr>
        <w:spacing w:after="0" w:line="106" w:lineRule="exact"/>
        <w:rPr>
          <w:rFonts w:ascii="Times New Roman" w:cs="Times New Roman" w:eastAsia="Times New Roman" w:hAnsi="Times New Roman"/>
          <w:sz w:val="12"/>
          <w:szCs w:val="12"/>
          <w:color w:val="auto"/>
        </w:rPr>
      </w:pPr>
    </w:p>
    <w:p>
      <w:pPr>
        <w:ind w:left="680" w:right="39" w:hanging="208"/>
        <w:spacing w:after="0" w:line="283" w:lineRule="auto"/>
        <w:tabs>
          <w:tab w:leader="none" w:pos="6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Corporate Overhead</w:t>
      </w:r>
      <w:r>
        <w:rPr>
          <w:rFonts w:ascii="Times New Roman" w:cs="Times New Roman" w:eastAsia="Times New Roman" w:hAnsi="Times New Roman"/>
          <w:sz w:val="12"/>
          <w:szCs w:val="12"/>
          <w:color w:val="auto"/>
        </w:rPr>
        <w:t>. Depreciation and amortization expenses decreased within our corporate overhead by $0.4 million, or 66.7%, to $0.2 million from $0.6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September 30, 2024 and 2023, respectively, primarily as a result of certain assets becoming fully depreciated in recent periods.</w:t>
      </w:r>
    </w:p>
    <w:p>
      <w:pPr>
        <w:spacing w:after="0" w:line="136" w:lineRule="exact"/>
        <w:rPr>
          <w:sz w:val="20"/>
          <w:szCs w:val="20"/>
          <w:color w:val="auto"/>
        </w:rPr>
      </w:pPr>
    </w:p>
    <w:p>
      <w:pPr>
        <w:ind w:left="20" w:right="459" w:firstLine="432"/>
        <w:spacing w:after="0" w:line="279" w:lineRule="auto"/>
        <w:rPr>
          <w:sz w:val="20"/>
          <w:szCs w:val="20"/>
          <w:color w:val="auto"/>
        </w:rPr>
      </w:pPr>
      <w:r>
        <w:rPr>
          <w:rFonts w:ascii="Times New Roman" w:cs="Times New Roman" w:eastAsia="Times New Roman" w:hAnsi="Times New Roman"/>
          <w:sz w:val="12"/>
          <w:szCs w:val="12"/>
          <w:color w:val="auto"/>
        </w:rPr>
        <w:t>We expect depreciation and amortization expenses to increase in our International Telecom segment as a result of recent capital expenditures and decrease within our US Telecom segments as some of our tangible and intangible assets we acquired are now fully depreciated.</w:t>
      </w:r>
    </w:p>
    <w:p>
      <w:pPr>
        <w:spacing w:after="0" w:line="125" w:lineRule="exact"/>
        <w:rPr>
          <w:sz w:val="20"/>
          <w:szCs w:val="20"/>
          <w:color w:val="auto"/>
        </w:rPr>
      </w:pPr>
    </w:p>
    <w:p>
      <w:pPr>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Amortization of intangibles from acquisitions. </w:t>
      </w:r>
      <w:r>
        <w:rPr>
          <w:rFonts w:ascii="Times New Roman" w:cs="Times New Roman" w:eastAsia="Times New Roman" w:hAnsi="Times New Roman"/>
          <w:sz w:val="12"/>
          <w:szCs w:val="12"/>
          <w:color w:val="auto"/>
        </w:rPr>
        <w:t>Amortization of intangibles from acquisitions include the amortization of customer relationships and trade names related to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completed acquisitions.</w:t>
      </w:r>
    </w:p>
    <w:p>
      <w:pPr>
        <w:spacing w:after="0" w:line="134"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Amortization of intangibles from acquisitions decreased by $1.1 million to $2.0 million from $3.1 million for the three months ended September 30, 2024 and 2023, respectively, as a result of certain intangible assets becoming fully amortized in recent periods.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expect that amortization of intangibles from acquisitions will decrease in future periods as such costs continue to amortize.</w:t>
      </w:r>
    </w:p>
    <w:p>
      <w:pPr>
        <w:spacing w:after="0" w:line="173" w:lineRule="exact"/>
        <w:rPr>
          <w:sz w:val="20"/>
          <w:szCs w:val="20"/>
          <w:color w:val="auto"/>
        </w:rPr>
      </w:pPr>
    </w:p>
    <w:p>
      <w:pPr>
        <w:ind w:left="20" w:right="2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Gain (loss) on disposition of assets and transfers</w:t>
      </w:r>
      <w:r>
        <w:rPr>
          <w:rFonts w:ascii="Times New Roman" w:cs="Times New Roman" w:eastAsia="Times New Roman" w:hAnsi="Times New Roman"/>
          <w:sz w:val="12"/>
          <w:szCs w:val="12"/>
          <w:color w:val="auto"/>
        </w:rPr>
        <w:t>. During the three months ended September 30, 2024, we recorded a loss on the disposition and transfer of assets of $1.5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million primarily relating to the disposal of certain assets within our US Telecom segment.</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During the three months ended September 30, 2023, we recorded a loss on the disposition of long-lived assets of $0.2 million within our US Telecom segment.</w:t>
      </w:r>
    </w:p>
    <w:p>
      <w:pPr>
        <w:spacing w:after="0" w:line="164" w:lineRule="exact"/>
        <w:rPr>
          <w:sz w:val="20"/>
          <w:szCs w:val="20"/>
          <w:color w:val="auto"/>
        </w:rPr>
      </w:pPr>
    </w:p>
    <w:p>
      <w:pPr>
        <w:ind w:left="20" w:right="9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Goodwill impairment. </w:t>
      </w:r>
      <w:r>
        <w:rPr>
          <w:rFonts w:ascii="Times New Roman" w:cs="Times New Roman" w:eastAsia="Times New Roman" w:hAnsi="Times New Roman"/>
          <w:sz w:val="12"/>
          <w:szCs w:val="12"/>
          <w:color w:val="auto"/>
        </w:rPr>
        <w:t>During the quarter ended September 30, 2024, we completed our impairment assessment for our US Telecom segment after identifying events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indicate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a result of that analysis, we recorded an impairment of $35.3 million during the three months ended September 30, 2024.</w:t>
      </w:r>
    </w:p>
    <w:p>
      <w:pPr>
        <w:spacing w:after="0" w:line="173" w:lineRule="exact"/>
        <w:rPr>
          <w:sz w:val="20"/>
          <w:szCs w:val="20"/>
          <w:color w:val="auto"/>
        </w:rPr>
      </w:pPr>
    </w:p>
    <w:p>
      <w:pPr>
        <w:ind w:left="20" w:right="11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2"/>
          <w:szCs w:val="12"/>
          <w:color w:val="auto"/>
        </w:rPr>
        <w:t>Interest income represents interest earned on our cash, cash equivalents, restricted cash and short-term investment balances. Interest income was $0.2 million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 nominal amount for the three months ended September 30, 2024 and 2023, respectively. Such increase was the result of increased cash, cash equivalents and restricted cash balances.</w:t>
      </w:r>
    </w:p>
    <w:p>
      <w:pPr>
        <w:spacing w:after="0" w:line="132" w:lineRule="exact"/>
        <w:rPr>
          <w:sz w:val="20"/>
          <w:szCs w:val="20"/>
          <w:color w:val="auto"/>
        </w:rPr>
      </w:pPr>
    </w:p>
    <w:p>
      <w:pPr>
        <w:jc w:val="both"/>
        <w:ind w:left="20" w:right="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2"/>
          <w:szCs w:val="12"/>
          <w:color w:val="auto"/>
        </w:rPr>
        <w:t>We incur interest expense on the 2023 CoBank Credit Facility, the 2022 and 2024 Alaska Credit Facilities, the FirstNet Receivables Credit Facility, the GTT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Credit Facilities, the Sacred Wind Term Debt and the Viya Debt. In addition, interest expense includes commitment fees, letter of credit fees and the amortization of debt issuance costs.</w:t>
      </w:r>
    </w:p>
    <w:p>
      <w:pPr>
        <w:spacing w:after="0" w:line="134"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Interest expense increased to $12.7 million from $11.4 million for the three months ended September 30, 2024 and 2023, respectively, as additional interest expense was incurred as a result of an increase in borrowings under our credit facilities.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Interest expense may increase in future periods as a result of additional borrowings or an increase in interest rates.</w:t>
      </w:r>
    </w:p>
    <w:p>
      <w:pPr>
        <w:spacing w:after="0" w:line="164" w:lineRule="exact"/>
        <w:rPr>
          <w:sz w:val="20"/>
          <w:szCs w:val="20"/>
          <w:color w:val="auto"/>
        </w:rPr>
      </w:pPr>
    </w:p>
    <w:p>
      <w:pPr>
        <w:ind w:left="20" w:right="77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Other income (expense). </w:t>
      </w:r>
      <w:r>
        <w:rPr>
          <w:rFonts w:ascii="Times New Roman" w:cs="Times New Roman" w:eastAsia="Times New Roman" w:hAnsi="Times New Roman"/>
          <w:sz w:val="12"/>
          <w:szCs w:val="12"/>
          <w:color w:val="auto"/>
        </w:rPr>
        <w:t>For the three months ended September 30, 2024, other income (expense) was $0.6 million of expense primarily related to a loss 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extinguishment of the 2022 Alaska Credit Facility, as discussed below.</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the three months ended September 30, 2023, other income (expense) was $0.2 million of income primarily related to gains from our noncontrolling investments.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color w:val="auto"/>
        </w:rPr>
        <w:t>Our effective tax rate for the three months ended September 30, 2024 and 2023 was 23.4% and 12.7% respectively.</w:t>
      </w:r>
    </w:p>
    <w:p>
      <w:pPr>
        <w:spacing w:after="0" w:line="172" w:lineRule="exact"/>
        <w:rPr>
          <w:sz w:val="20"/>
          <w:szCs w:val="20"/>
          <w:color w:val="auto"/>
        </w:rPr>
      </w:pPr>
    </w:p>
    <w:p>
      <w:pPr>
        <w:jc w:val="both"/>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We recorded an income tax benefit of $12.0 million in relation to a pretax loss of $51.5 million for the three months ended September 30, 2024. The effective tax rate for the three months ended September 30, 2024 was primarily impacted by the following items (i) the mix of income generated among the jurisdictions in which we operate, (ii) net expense related to valuation allowances placed on certain deferred tax assets that are not expected to be realizable based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99"/>
        <w:spacing w:after="0" w:line="279" w:lineRule="auto"/>
        <w:rPr>
          <w:sz w:val="20"/>
          <w:szCs w:val="20"/>
          <w:color w:val="auto"/>
        </w:rPr>
      </w:pPr>
      <w:r>
        <w:rPr>
          <w:rFonts w:ascii="Times New Roman" w:cs="Times New Roman" w:eastAsia="Times New Roman" w:hAnsi="Times New Roman"/>
          <w:sz w:val="12"/>
          <w:szCs w:val="12"/>
          <w:color w:val="auto"/>
        </w:rPr>
        <w:t>on the weight of positive and negative evidence and (iii) discrete items including a $0.8 million expense associated with sale of a partnership interest , and a $0.8 million expense for interest on unrecognized tax positions.</w:t>
      </w:r>
    </w:p>
    <w:p>
      <w:pPr>
        <w:spacing w:after="0" w:line="138"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We recorded an income tax benefit of $0.5 million in relation to a pretax loss of $4.3 million for the three months ended September 30, 2023. The effective tax rate for the three months ended September 30, 2023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 including a $0.7 million expense for interest on unrecognized tax positions.</w:t>
      </w:r>
    </w:p>
    <w:p>
      <w:pPr>
        <w:spacing w:after="0" w:line="149"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139" w:lineRule="exact"/>
        <w:rPr>
          <w:sz w:val="20"/>
          <w:szCs w:val="20"/>
          <w:color w:val="auto"/>
        </w:rPr>
      </w:pPr>
    </w:p>
    <w:p>
      <w:pPr>
        <w:ind w:left="20" w:right="19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Net income (loss) attributable to noncontrolling interests, net of tax. </w:t>
      </w:r>
      <w:r>
        <w:rPr>
          <w:rFonts w:ascii="Times New Roman" w:cs="Times New Roman" w:eastAsia="Times New Roman" w:hAnsi="Times New Roman"/>
          <w:sz w:val="12"/>
          <w:szCs w:val="12"/>
          <w:color w:val="auto"/>
        </w:rPr>
        <w:t>Net income (loss) attributable to noncontrolling interests, net of tax reflected an allocation of $6.8</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million and $0.1 million of losses generated by our less than wholly owned subsidiaries for the three months ended September 30, 2024 and 2023, respectively. Changes in net income (loss) attributable to noncontrolling interests, net of tax, within our segments, consisted of the following:</w:t>
      </w:r>
    </w:p>
    <w:p>
      <w:pPr>
        <w:spacing w:after="0" w:line="143" w:lineRule="exact"/>
        <w:rPr>
          <w:sz w:val="20"/>
          <w:szCs w:val="20"/>
          <w:color w:val="auto"/>
        </w:rPr>
      </w:pPr>
    </w:p>
    <w:p>
      <w:pPr>
        <w:ind w:left="680" w:right="79" w:hanging="208"/>
        <w:spacing w:after="0" w:line="266" w:lineRule="auto"/>
        <w:tabs>
          <w:tab w:leader="none" w:pos="6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net income (loss) attributable to noncontrolling interests, net of tax increased by $0.1 million, or 5.6%,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 allocation of $1.9 million of our less than wholly owned subsidiaries’ income from an allocation of $1.8 million of income for the three months ended September 30, 2024 and 2023, respectively.</w:t>
      </w:r>
    </w:p>
    <w:p>
      <w:pPr>
        <w:spacing w:after="0" w:line="117"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Within our US Telecom segment, net income (loss) attributable to noncontrolling interests, net of tax decreased by $6.8 million to an allocation of losses of</w:t>
      </w:r>
    </w:p>
    <w:p>
      <w:pPr>
        <w:spacing w:after="0" w:line="18" w:lineRule="exact"/>
        <w:rPr>
          <w:rFonts w:ascii="Times New Roman" w:cs="Times New Roman" w:eastAsia="Times New Roman" w:hAnsi="Times New Roman"/>
          <w:sz w:val="12"/>
          <w:szCs w:val="12"/>
          <w:color w:val="auto"/>
        </w:rPr>
      </w:pPr>
    </w:p>
    <w:p>
      <w:pPr>
        <w:ind w:left="680" w:right="79"/>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$8.7 million from an allocation of losses of $1.9 million for the three months ended September 30, 2024 and 2023, respectively, as a result of increased losses, including the impact of the impairment of goodwill, at our less than wholly owned subsidiaries within this segment.</w:t>
      </w:r>
    </w:p>
    <w:p>
      <w:pPr>
        <w:spacing w:after="0" w:line="118" w:lineRule="exact"/>
        <w:rPr>
          <w:sz w:val="20"/>
          <w:szCs w:val="20"/>
          <w:color w:val="auto"/>
        </w:rPr>
      </w:pPr>
    </w:p>
    <w:p>
      <w:pPr>
        <w:ind w:left="20" w:right="2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Net loss attributable to ATN International, Inc. stockholders. </w:t>
      </w:r>
      <w:r>
        <w:rPr>
          <w:rFonts w:ascii="Times New Roman" w:cs="Times New Roman" w:eastAsia="Times New Roman" w:hAnsi="Times New Roman"/>
          <w:sz w:val="12"/>
          <w:szCs w:val="12"/>
          <w:color w:val="auto"/>
        </w:rPr>
        <w:t>Net loss attributable to ATN International, Inc. stockholders was $32.7 million for the three months 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September 30, 2024, as compared to $3.6 million for the three months ended September 30, 2023.</w:t>
      </w:r>
    </w:p>
    <w:p>
      <w:pPr>
        <w:spacing w:after="0" w:line="134" w:lineRule="exact"/>
        <w:rPr>
          <w:sz w:val="20"/>
          <w:szCs w:val="20"/>
          <w:color w:val="auto"/>
        </w:rPr>
      </w:pPr>
    </w:p>
    <w:p>
      <w:pPr>
        <w:jc w:val="both"/>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On a per diluted share basis, net loss per share was $2.26 per share for the three months ended September 30, 2024, as compared to $0.31 per share for the three months ended September 30, 2023. Such per share amounts were negatively impacted by accrued preferred dividends of $1.4 million and $1.3 million for the three months ended September 30, 2024 and 2023, respectively.</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Selected Segment Financial Information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selected segment information for the nine months ended September 30, 2024 and 2023 (in thousands):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US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5"/>
        </w:trPr>
        <w:tc>
          <w:tcPr>
            <w:tcW w:w="2860" w:type="dxa"/>
            <w:vAlign w:val="bottom"/>
            <w:tcBorders>
              <w:bottom w:val="single" w:sz="8" w:color="CCEEFF"/>
            </w:tcBorders>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14,747</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14,956</w:t>
            </w:r>
          </w:p>
        </w:tc>
      </w:tr>
      <w:tr>
        <w:trPr>
          <w:trHeight w:val="144"/>
        </w:trPr>
        <w:tc>
          <w:tcPr>
            <w:tcW w:w="2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64,910</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2,103</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67,013</w:t>
            </w:r>
          </w:p>
        </w:tc>
      </w:tr>
      <w:tr>
        <w:trPr>
          <w:trHeight w:val="133"/>
        </w:trPr>
        <w:tc>
          <w:tcPr>
            <w:tcW w:w="286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79,657</w:t>
            </w:r>
          </w:p>
        </w:tc>
        <w:tc>
          <w:tcPr>
            <w:tcW w:w="2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2,312</w:t>
            </w: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81,969</w:t>
            </w:r>
          </w:p>
        </w:tc>
      </w:tr>
      <w:tr>
        <w:trPr>
          <w:trHeight w:val="133"/>
        </w:trPr>
        <w:tc>
          <w:tcPr>
            <w:tcW w:w="28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55,939</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95,359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151,298</w:t>
            </w:r>
          </w:p>
        </w:tc>
      </w:tr>
      <w:tr>
        <w:trPr>
          <w:trHeight w:val="14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6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129,356</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66,033</w:t>
            </w: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195,389</w:t>
            </w:r>
          </w:p>
        </w:tc>
      </w:tr>
      <w:tr>
        <w:trPr>
          <w:trHeight w:val="133"/>
        </w:trPr>
        <w:tc>
          <w:tcPr>
            <w:tcW w:w="286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185,295</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161,392</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346,687</w:t>
            </w:r>
          </w:p>
        </w:tc>
      </w:tr>
      <w:tr>
        <w:trPr>
          <w:trHeight w:val="133"/>
        </w:trPr>
        <w:tc>
          <w:tcPr>
            <w:tcW w:w="28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10,481</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89,539</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100,020</w:t>
            </w:r>
          </w:p>
        </w:tc>
      </w:tr>
      <w:tr>
        <w:trPr>
          <w:trHeight w:val="144"/>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1,341</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4,379</w:t>
            </w:r>
          </w:p>
        </w:tc>
      </w:tr>
      <w:tr>
        <w:trPr>
          <w:trHeight w:val="133"/>
        </w:trPr>
        <w:tc>
          <w:tcPr>
            <w:tcW w:w="286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278,471</w:t>
            </w:r>
          </w:p>
        </w:tc>
        <w:tc>
          <w:tcPr>
            <w:tcW w:w="2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254,584</w:t>
            </w: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533,055</w:t>
            </w:r>
          </w:p>
        </w:tc>
      </w:tr>
      <w:tr>
        <w:trPr>
          <w:trHeight w:val="133"/>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2,609</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2,609</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4,226</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8,637</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12,863</w:t>
            </w:r>
          </w:p>
        </w:tc>
      </w:tr>
      <w:tr>
        <w:trPr>
          <w:trHeight w:val="133"/>
        </w:trPr>
        <w:tc>
          <w:tcPr>
            <w:tcW w:w="286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4,226</w:t>
            </w:r>
          </w:p>
        </w:tc>
        <w:tc>
          <w:tcPr>
            <w:tcW w:w="2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8,637</w:t>
            </w: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12,863</w:t>
            </w:r>
          </w:p>
        </w:tc>
      </w:tr>
      <w:tr>
        <w:trPr>
          <w:trHeight w:val="140"/>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282,697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265,830</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548,527</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50,814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56,052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107,196</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5,916</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6,521</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Goodwill impairment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35,269</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56,944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(42,852)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(9,467)</w:t>
            </w:r>
          </w:p>
        </w:tc>
      </w:tr>
    </w:tbl>
    <w:p>
      <w:pPr>
        <w:spacing w:after="0" w:line="133" w:lineRule="exact"/>
        <w:rPr>
          <w:sz w:val="20"/>
          <w:szCs w:val="20"/>
          <w:color w:val="auto"/>
        </w:rPr>
      </w:pPr>
    </w:p>
    <w:p>
      <w:pPr>
        <w:ind w:left="680" w:hanging="208"/>
        <w:spacing w:after="0"/>
        <w:tabs>
          <w:tab w:leader="none" w:pos="6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2"/>
          <w:szCs w:val="12"/>
          <w:color w:val="auto"/>
        </w:rPr>
      </w:pPr>
    </w:p>
    <w:p>
      <w:pPr>
        <w:spacing w:after="0" w:line="382"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US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5"/>
        </w:trPr>
        <w:tc>
          <w:tcPr>
            <w:tcW w:w="2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28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11,484</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11,899</w:t>
            </w:r>
          </w:p>
        </w:tc>
      </w:tr>
      <w:tr>
        <w:trPr>
          <w:trHeight w:val="144"/>
        </w:trPr>
        <w:tc>
          <w:tcPr>
            <w:tcW w:w="2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69,270</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71,936</w:t>
            </w:r>
          </w:p>
        </w:tc>
      </w:tr>
      <w:tr>
        <w:trPr>
          <w:trHeight w:val="133"/>
        </w:trPr>
        <w:tc>
          <w:tcPr>
            <w:tcW w:w="286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80,754</w:t>
            </w:r>
          </w:p>
        </w:tc>
        <w:tc>
          <w:tcPr>
            <w:tcW w:w="2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83,835</w:t>
            </w:r>
          </w:p>
        </w:tc>
      </w:tr>
      <w:tr>
        <w:trPr>
          <w:trHeight w:val="133"/>
        </w:trPr>
        <w:tc>
          <w:tcPr>
            <w:tcW w:w="28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52,602</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107,494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160,096</w:t>
            </w:r>
          </w:p>
        </w:tc>
      </w:tr>
      <w:tr>
        <w:trPr>
          <w:trHeight w:val="14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6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125,944</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193,796</w:t>
            </w:r>
          </w:p>
        </w:tc>
      </w:tr>
      <w:tr>
        <w:trPr>
          <w:trHeight w:val="133"/>
        </w:trPr>
        <w:tc>
          <w:tcPr>
            <w:tcW w:w="286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178,546</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175,346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353,892</w:t>
            </w:r>
          </w:p>
        </w:tc>
      </w:tr>
      <w:tr>
        <w:trPr>
          <w:trHeight w:val="133"/>
        </w:trPr>
        <w:tc>
          <w:tcPr>
            <w:tcW w:w="28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11,011</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95,978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106,989</w:t>
            </w:r>
          </w:p>
        </w:tc>
      </w:tr>
      <w:tr>
        <w:trPr>
          <w:trHeight w:val="144"/>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2,768</w:t>
            </w:r>
          </w:p>
        </w:tc>
      </w:tr>
      <w:tr>
        <w:trPr>
          <w:trHeight w:val="133"/>
        </w:trPr>
        <w:tc>
          <w:tcPr>
            <w:tcW w:w="286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272,395</w:t>
            </w:r>
          </w:p>
        </w:tc>
        <w:tc>
          <w:tcPr>
            <w:tcW w:w="2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275,089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547,484</w:t>
            </w:r>
          </w:p>
        </w:tc>
      </w:tr>
      <w:tr>
        <w:trPr>
          <w:trHeight w:val="133"/>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3,648</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3,648</w:t>
            </w: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4"/>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3,872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8,246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12,118</w:t>
            </w:r>
          </w:p>
        </w:tc>
      </w:tr>
      <w:tr>
        <w:trPr>
          <w:trHeight w:val="133"/>
        </w:trPr>
        <w:tc>
          <w:tcPr>
            <w:tcW w:w="286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3,872</w:t>
            </w:r>
          </w:p>
        </w:tc>
        <w:tc>
          <w:tcPr>
            <w:tcW w:w="2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8,246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12,118</w:t>
            </w:r>
          </w:p>
        </w:tc>
      </w:tr>
      <w:tr>
        <w:trPr>
          <w:trHeight w:val="140"/>
        </w:trPr>
        <w:tc>
          <w:tcPr>
            <w:tcW w:w="2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276,267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286,983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563,250</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42,646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62,315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106,991</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9,514</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6,473</w:t>
            </w:r>
          </w:p>
        </w:tc>
      </w:tr>
      <w:tr>
        <w:trPr>
          <w:trHeight w:val="155"/>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41,177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(3,719)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(27,547)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9,911</w:t>
            </w:r>
          </w:p>
        </w:tc>
      </w:tr>
    </w:tbl>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(1) Corporate and other items refer to corporate overhead costs and consolidating adjustments.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comparison of our segment results for the nine months ended September 30, 2024, and 2023 is as follows:</w:t>
      </w:r>
    </w:p>
    <w:p>
      <w:pPr>
        <w:spacing w:after="0" w:line="175" w:lineRule="exact"/>
        <w:rPr>
          <w:sz w:val="20"/>
          <w:szCs w:val="20"/>
          <w:color w:val="auto"/>
        </w:rPr>
      </w:pPr>
    </w:p>
    <w:p>
      <w:pPr>
        <w:ind w:left="20" w:right="19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Revenues within our International Telecom segment increased $6.4 million, or 2.3%, to $282.7 million from $276.3 million for the nine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and 2023, respectively, primarily as a result of an increase in Fixed Revenues which increased $6.8 million, or 3.8%, to $185.3 million from $178.5 million for the nine months ended September 30, 2024 and 2023, respectively. This increase in Fixed Revenues was primarily the result of network upgrades and expansions as well as improved customer care and marketing strategies which led to an increase in the number of homes passed by high-speed data solutions which allowed us to migrate legacy copper customers to more durable fiber services.</w:t>
      </w:r>
    </w:p>
    <w:p>
      <w:pPr>
        <w:spacing w:after="0" w:line="142" w:lineRule="exact"/>
        <w:rPr>
          <w:sz w:val="20"/>
          <w:szCs w:val="20"/>
          <w:color w:val="auto"/>
        </w:rPr>
      </w:pPr>
    </w:p>
    <w:p>
      <w:pPr>
        <w:ind w:left="20" w:right="159" w:firstLine="432"/>
        <w:spacing w:after="0" w:line="260" w:lineRule="auto"/>
        <w:rPr>
          <w:sz w:val="20"/>
          <w:szCs w:val="20"/>
          <w:color w:val="auto"/>
        </w:rPr>
      </w:pPr>
      <w:r>
        <w:rPr>
          <w:rFonts w:ascii="Times New Roman" w:cs="Times New Roman" w:eastAsia="Times New Roman" w:hAnsi="Times New Roman"/>
          <w:sz w:val="12"/>
          <w:szCs w:val="12"/>
          <w:color w:val="auto"/>
        </w:rPr>
        <w:t>Operating expenses within our International Telecom segment decreased by $9.3 million, or 4.0%, to $225.8 million from $235.1 million for the nine months ended September 30, 2024 and 2023, respectively. The net decrease was the result of a $15.7 million gain on the disposition of long-lived assets, primarily real estate, and certain cost savings initiatives that were implemented in the current and previous periods partially offset by a $1.5 million charge for restructuring and reorganization costs as well as an increase in other operating expenses.</w:t>
      </w:r>
    </w:p>
    <w:p>
      <w:pPr>
        <w:spacing w:after="0" w:line="149"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As a result, our International Telecom segment’s operating income increased $15.7 million, or 38.1%, to $56.9 million from $41.2 million for the nine months ended September 30, 2024 and 2023, respectively.</w:t>
      </w:r>
    </w:p>
    <w:p>
      <w:pPr>
        <w:spacing w:after="0" w:line="136" w:lineRule="exact"/>
        <w:rPr>
          <w:sz w:val="20"/>
          <w:szCs w:val="20"/>
          <w:color w:val="auto"/>
        </w:rPr>
      </w:pPr>
    </w:p>
    <w:p>
      <w:pPr>
        <w:ind w:left="20" w:right="2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Revenue within our US Telecom segment decreased by $21.2 million, or 7.4%, to $265.8 million from $287.0 million for the nine months ended September 30,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2024 and 2023, respectively, primarily as a result of the</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conclusion of the Emergency Connectivity Fund and Affordable Care Program, both of which provided revenue through April 2024.</w:t>
      </w:r>
    </w:p>
    <w:p>
      <w:pPr>
        <w:spacing w:after="0" w:line="177"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Operating expenses within our US Telecom segment increased $18.0 million, or 6.2%, to $308.7 million from $290.7 million for the nine months ended September 30, 2024 and 2023, respectively, as a result of the $35.3 million goodwill impairment charge that was recorded during the nine months ended September 30, 2024 as well as a $3.8 million increase in transaction-related expenses. Partially offsetting these increases was a $3.5 million decrease in the restructuring and reorganization expenses and the impact of certain cost savings initiatives that were implemented in the current and previous periods.</w:t>
      </w:r>
    </w:p>
    <w:p>
      <w:pPr>
        <w:spacing w:after="0" w:line="149"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As a result of the above, our US Telecom segment’s operating loss increased by $38.6 million to $42.9 million from $3.7 million for the nine months ended September 30, 2024 and 2023, respectively.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a year over year discussion and analysis of our results of operations for the nine months ended September 30, 2024 and 2023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7"/>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Amount of</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5"/>
          </w:tcPr>
          <w:p>
            <w:pPr>
              <w:jc w:val="center"/>
              <w:ind w:left="361"/>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Increase</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Increase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(Decrease)</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(Decrease)</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Communication services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533,055</w:t>
            </w:r>
          </w:p>
        </w:tc>
        <w:tc>
          <w:tcPr>
            <w:tcW w:w="100" w:type="dxa"/>
            <w:vAlign w:val="bottom"/>
          </w:tcPr>
          <w:p>
            <w:pPr>
              <w:spacing w:after="0"/>
              <w:rPr>
                <w:sz w:val="12"/>
                <w:szCs w:val="1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547,484</w:t>
            </w:r>
          </w:p>
        </w:tc>
        <w:tc>
          <w:tcPr>
            <w:tcW w:w="8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(14,429)</w:t>
            </w:r>
          </w:p>
        </w:tc>
        <w:tc>
          <w:tcPr>
            <w:tcW w:w="1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Construction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(1,039)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12,863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12,118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745</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548,527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563,250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(14,723)</w:t>
            </w:r>
          </w:p>
        </w:tc>
        <w:tc>
          <w:tcPr>
            <w:tcW w:w="18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excluding depreciation and amortization unless otherwise indicated</w:t>
            </w: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communication services and other</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235,499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237,125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(1,626)</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construction 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(1,047)</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172,580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(11,475)</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Transaction-related charges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Restructuring and reorganization expenses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(1,105)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(3,598)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Goodwill impairment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(Gain) loss on disposition of assets and transfers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(15,329)</w:t>
            </w: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(3,738.8)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shd w:val="clear" w:color="auto" w:fill="CCEEFF"/>
          </w:tcPr>
          <w:p>
            <w:pPr>
              <w:ind w:left="26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557,994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553,339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4,655</w:t>
            </w:r>
          </w:p>
        </w:tc>
        <w:tc>
          <w:tcPr>
            <w:tcW w:w="18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0.8</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Borders>
              <w:bottom w:val="single" w:sz="8" w:color="CCEEFF"/>
            </w:tcBorders>
          </w:tcPr>
          <w:p>
            <w:pPr>
              <w:ind w:left="260"/>
              <w:spacing w:after="0" w:line="133" w:lineRule="exact"/>
              <w:rPr>
                <w:sz w:val="20"/>
                <w:szCs w:val="20"/>
                <w:color w:val="auto"/>
              </w:rPr>
            </w:pPr>
            <w:r>
              <w:rPr>
                <w:rFonts w:ascii="Times New Roman" w:cs="Times New Roman" w:eastAsia="Times New Roman" w:hAnsi="Times New Roman"/>
                <w:sz w:val="12"/>
                <w:szCs w:val="12"/>
                <w:color w:val="auto"/>
              </w:rPr>
              <w:t>Income (loss) from operations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(9,467)</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9,911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(19,378)</w:t>
            </w:r>
          </w:p>
        </w:tc>
        <w:tc>
          <w:tcPr>
            <w:tcW w:w="1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(195.5)</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INCOME (EXPENSE):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(5,852)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income (expense)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(3,675)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(140.1)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Other expense, net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(36,805)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(27,715)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(9,090)</w:t>
            </w:r>
          </w:p>
        </w:tc>
        <w:tc>
          <w:tcPr>
            <w:tcW w:w="1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32.8</w:t>
            </w:r>
          </w:p>
        </w:tc>
        <w:tc>
          <w:tcPr>
            <w:tcW w:w="2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BEFORE INCOME TAXES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(46,272)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(17,804)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(28,468)</w:t>
            </w:r>
          </w:p>
        </w:tc>
        <w:tc>
          <w:tcPr>
            <w:tcW w:w="18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159.9</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Income tax benefit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(3,844)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(36,059)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(11,435)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(24,624)</w:t>
            </w:r>
          </w:p>
        </w:tc>
        <w:tc>
          <w:tcPr>
            <w:tcW w:w="180" w:type="dxa"/>
            <w:vAlign w:val="bottom"/>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215.3</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 attributable to noncontrolling interests, net of tax:</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3,326</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 ATTRIBUTABLE TO ATN INTERNATIONAL, INC. STOCKHOLDERS</w:t>
            </w:r>
          </w:p>
        </w:tc>
        <w:tc>
          <w:tcPr>
            <w:tcW w:w="2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(30,000)</w:t>
            </w:r>
          </w:p>
        </w:tc>
        <w:tc>
          <w:tcPr>
            <w:tcW w:w="100" w:type="dxa"/>
            <w:vAlign w:val="bottom"/>
          </w:tcPr>
          <w:p>
            <w:pPr>
              <w:spacing w:after="0"/>
              <w:rPr>
                <w:sz w:val="12"/>
                <w:szCs w:val="12"/>
                <w:color w:val="auto"/>
              </w:rPr>
            </w:pPr>
          </w:p>
        </w:tc>
        <w:tc>
          <w:tcPr>
            <w:tcW w:w="18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(8,702)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(21,298)</w:t>
            </w:r>
          </w:p>
        </w:tc>
        <w:tc>
          <w:tcPr>
            <w:tcW w:w="180" w:type="dxa"/>
            <w:vAlign w:val="bottom"/>
          </w:tcPr>
          <w:p>
            <w:pPr>
              <w:spacing w:after="0"/>
              <w:rPr>
                <w:sz w:val="12"/>
                <w:szCs w:val="12"/>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244.7</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432"/>
        </w:trPr>
        <w:tc>
          <w:tcPr>
            <w:tcW w:w="4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58</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Communications Services Revenue</w:t>
      </w:r>
    </w:p>
    <w:p>
      <w:pPr>
        <w:spacing w:after="0" w:line="177" w:lineRule="exact"/>
        <w:rPr>
          <w:sz w:val="20"/>
          <w:szCs w:val="20"/>
          <w:color w:val="auto"/>
        </w:rPr>
      </w:pPr>
    </w:p>
    <w:p>
      <w:pPr>
        <w:ind w:left="20" w:right="9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Mobility Revenue. </w:t>
      </w:r>
      <w:r>
        <w:rPr>
          <w:rFonts w:ascii="Times New Roman" w:cs="Times New Roman" w:eastAsia="Times New Roman" w:hAnsi="Times New Roman"/>
          <w:sz w:val="12"/>
          <w:szCs w:val="12"/>
          <w:color w:val="auto"/>
        </w:rPr>
        <w:t>Mobility revenue decreased by $1.8 million, or 2.1%, to $82.0 million for the nine months ended September 30, 2024 from $83.8 million for the nine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months ended September 30, 2023. Mobility revenue from consumer customers decreased by $4.9 million partially offset by an increase in Mobility revenue from business customers of $3.1 million.</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net decrease in Mobility revenue, within our segments, consisted of the following:</w:t>
      </w:r>
    </w:p>
    <w:p>
      <w:pPr>
        <w:spacing w:after="0" w:line="166" w:lineRule="exact"/>
        <w:rPr>
          <w:sz w:val="20"/>
          <w:szCs w:val="20"/>
          <w:color w:val="auto"/>
        </w:rPr>
      </w:pPr>
    </w:p>
    <w:p>
      <w:pPr>
        <w:ind w:left="680" w:right="79" w:hanging="208"/>
        <w:spacing w:after="0" w:line="261" w:lineRule="auto"/>
        <w:tabs>
          <w:tab w:leader="none" w:pos="6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Mobility revenue decreased by $1.1 million, or 1.4%, to $79.7 million for the nine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from $80.8 million for the nine months ended September 30, 2023. This decrease was primarily related to a decrease in the demand for prepaid voice services partially offset by an increase in the demand for data services. Mobility revenue from consumer customers decreased $4.4 million partially offset by an increase in Mobility revenue from business customers of $3.3 million.</w:t>
      </w:r>
    </w:p>
    <w:p>
      <w:pPr>
        <w:spacing w:after="0" w:line="119" w:lineRule="exact"/>
        <w:rPr>
          <w:rFonts w:ascii="Times New Roman" w:cs="Times New Roman" w:eastAsia="Times New Roman" w:hAnsi="Times New Roman"/>
          <w:sz w:val="12"/>
          <w:szCs w:val="12"/>
          <w:color w:val="auto"/>
        </w:rPr>
      </w:pPr>
    </w:p>
    <w:p>
      <w:pPr>
        <w:ind w:left="680" w:right="419" w:hanging="208"/>
        <w:spacing w:after="0" w:line="266" w:lineRule="auto"/>
        <w:tabs>
          <w:tab w:leader="none" w:pos="6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US Telecom. </w:t>
      </w:r>
      <w:r>
        <w:rPr>
          <w:rFonts w:ascii="Times New Roman" w:cs="Times New Roman" w:eastAsia="Times New Roman" w:hAnsi="Times New Roman"/>
          <w:sz w:val="12"/>
          <w:szCs w:val="12"/>
          <w:color w:val="auto"/>
        </w:rPr>
        <w:t>Mobility revenue within our US Telecom segment decreased by $0.8 million, or 25.8%, to $2.3 million from $3.1 million for the nine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and 2023, respectively. Mobility revenue from consumer and business customers decreased $0.6 million and $0.2 million, respectively, due to a reduction in subscribers as we continue to put more emphasis on other revenue sources within this segment.</w:t>
      </w:r>
    </w:p>
    <w:p>
      <w:pPr>
        <w:spacing w:after="0" w:line="142" w:lineRule="exact"/>
        <w:rPr>
          <w:sz w:val="20"/>
          <w:szCs w:val="20"/>
          <w:color w:val="auto"/>
        </w:rPr>
      </w:pPr>
    </w:p>
    <w:p>
      <w:pPr>
        <w:ind w:left="20" w:right="25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Fixed Revenue. </w:t>
      </w:r>
      <w:r>
        <w:rPr>
          <w:rFonts w:ascii="Times New Roman" w:cs="Times New Roman" w:eastAsia="Times New Roman" w:hAnsi="Times New Roman"/>
          <w:sz w:val="12"/>
          <w:szCs w:val="12"/>
          <w:color w:val="auto"/>
        </w:rPr>
        <w:t>Fixed revenue decreased by $7.2 million, or 2.0%, to $346.7 million from $353.9 million for the nine months ended September 30, 2024 and 2023,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respectively. Revenue from business customers decreased by $8.8 million, partially offset by an increase in revenue from consumer customers of $1.6 million. The decrease in Fixed revenue, within our segments, consisted of the following:</w:t>
      </w:r>
    </w:p>
    <w:p>
      <w:pPr>
        <w:spacing w:after="0" w:line="143" w:lineRule="exact"/>
        <w:rPr>
          <w:sz w:val="20"/>
          <w:szCs w:val="20"/>
          <w:color w:val="auto"/>
        </w:rPr>
      </w:pPr>
    </w:p>
    <w:p>
      <w:pPr>
        <w:ind w:left="680" w:right="239" w:hanging="208"/>
        <w:spacing w:after="0" w:line="261" w:lineRule="auto"/>
        <w:tabs>
          <w:tab w:leader="none" w:pos="6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Fixed revenue increased by $6.8 million, or 3.8%, to $185.3 million from $178.5 million for the nine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months ended September 30, 2024 and 2023, respectively. Of this increase, $3.3 million and $3.4 million relate to increases in revenue from business and consumer customers, respectively. This increase was a result of network upgrades and expansions which led to an increase in the number of homes passed by high-speed data solutions which allowed us to migrate legacy copper customers to more durable and higher revenue generating fiber services.</w:t>
      </w:r>
    </w:p>
    <w:p>
      <w:pPr>
        <w:spacing w:after="0" w:line="119" w:lineRule="exact"/>
        <w:rPr>
          <w:rFonts w:ascii="Times New Roman" w:cs="Times New Roman" w:eastAsia="Times New Roman" w:hAnsi="Times New Roman"/>
          <w:sz w:val="12"/>
          <w:szCs w:val="12"/>
          <w:color w:val="auto"/>
        </w:rPr>
      </w:pPr>
    </w:p>
    <w:p>
      <w:pPr>
        <w:ind w:left="680" w:right="79" w:hanging="208"/>
        <w:spacing w:after="0" w:line="266" w:lineRule="auto"/>
        <w:tabs>
          <w:tab w:leader="none" w:pos="6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Fixed revenue within our US Telecom segment decreased by $13.9 million, or 7.9%, to $161.4 million from $175.3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and 2023, respectively. Revenue from business and consumer customers decreased by $12.1 million and $1.8 million, respectively, primarily as a result of the conclusion of the Emergency Connectivity Fund and Affordable Care Programs, both of which provided revenue through April 2024.</w:t>
      </w:r>
    </w:p>
    <w:p>
      <w:pPr>
        <w:spacing w:after="0" w:line="133" w:lineRule="exact"/>
        <w:rPr>
          <w:sz w:val="20"/>
          <w:szCs w:val="20"/>
          <w:color w:val="auto"/>
        </w:rPr>
      </w:pPr>
    </w:p>
    <w:p>
      <w:pPr>
        <w:ind w:left="20" w:right="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Carrier Services Revenue. </w:t>
      </w:r>
      <w:r>
        <w:rPr>
          <w:rFonts w:ascii="Times New Roman" w:cs="Times New Roman" w:eastAsia="Times New Roman" w:hAnsi="Times New Roman"/>
          <w:sz w:val="12"/>
          <w:szCs w:val="12"/>
          <w:color w:val="auto"/>
        </w:rPr>
        <w:t>Carrier Services revenue decreased by $7.0 million, or 6.5%, to $100.0 million from $107.0 million for the nine months ended September 30, 2024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2023, respectively. The decrease, within our segments, consisted of the following:</w:t>
      </w:r>
    </w:p>
    <w:p>
      <w:pPr>
        <w:spacing w:after="0" w:line="132" w:lineRule="exact"/>
        <w:rPr>
          <w:sz w:val="20"/>
          <w:szCs w:val="20"/>
          <w:color w:val="auto"/>
        </w:rPr>
      </w:pPr>
    </w:p>
    <w:p>
      <w:pPr>
        <w:ind w:left="680" w:right="59" w:hanging="208"/>
        <w:spacing w:after="0" w:line="283" w:lineRule="auto"/>
        <w:tabs>
          <w:tab w:leader="none" w:pos="6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Carrier Services revenue decreased by $0.5 million, or 4.5%, to $10.5 million, from $11.0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September 30, 2024 and 2023, respectively, primarily as a result of a decrease in roaming revenues in some of our international markets.</w:t>
      </w:r>
    </w:p>
    <w:p>
      <w:pPr>
        <w:spacing w:after="0" w:line="106" w:lineRule="exact"/>
        <w:rPr>
          <w:rFonts w:ascii="Times New Roman" w:cs="Times New Roman" w:eastAsia="Times New Roman" w:hAnsi="Times New Roman"/>
          <w:sz w:val="12"/>
          <w:szCs w:val="12"/>
          <w:color w:val="auto"/>
        </w:rPr>
      </w:pPr>
    </w:p>
    <w:p>
      <w:pPr>
        <w:ind w:left="680" w:right="119" w:hanging="208"/>
        <w:spacing w:after="0" w:line="283" w:lineRule="auto"/>
        <w:tabs>
          <w:tab w:leader="none" w:pos="6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Carrier Services revenue within our US Telecom segment decreased by $6.5 million, or 6.8%, to $89.5 million from $96.0 million, for the nine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September 30, 2024 and 2023,</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respectively, as a result of the transition of legacy roaming arrangements to carrier service management contracts.</w:t>
      </w:r>
    </w:p>
    <w:p>
      <w:pPr>
        <w:spacing w:after="0" w:line="173" w:lineRule="exact"/>
        <w:rPr>
          <w:sz w:val="20"/>
          <w:szCs w:val="20"/>
          <w:color w:val="auto"/>
        </w:rPr>
      </w:pPr>
    </w:p>
    <w:p>
      <w:pPr>
        <w:ind w:left="20" w:right="15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Other Communications Services Revenue. </w:t>
      </w:r>
      <w:r>
        <w:rPr>
          <w:rFonts w:ascii="Times New Roman" w:cs="Times New Roman" w:eastAsia="Times New Roman" w:hAnsi="Times New Roman"/>
          <w:sz w:val="12"/>
          <w:szCs w:val="12"/>
          <w:color w:val="auto"/>
        </w:rPr>
        <w:t>Other Communications Services revenue increased by $2.3 million to $4.4 million from $2.1 million for the nine months 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September 30, 2024 and 2023, respectively, primarily as a result of non-recurring project-related revenue being recognized within our International Telecom and US Telecom segments, respectively, during the nine months ended September 30, 2024.</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Revenue</w:t>
      </w:r>
    </w:p>
    <w:p>
      <w:pPr>
        <w:spacing w:after="0" w:line="172"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During the nine months ended September 30, 2024 and 2023, Construction revenue decreased to $2.6 million from $3.6 million, respectively, as a result of a decrease in the number of sites completed during 2024 as compared to 2023.</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Revenue</w:t>
      </w:r>
    </w:p>
    <w:p>
      <w:pPr>
        <w:spacing w:after="0" w:line="177" w:lineRule="exact"/>
        <w:rPr>
          <w:sz w:val="20"/>
          <w:szCs w:val="20"/>
          <w:color w:val="auto"/>
        </w:rPr>
      </w:pPr>
    </w:p>
    <w:p>
      <w:pPr>
        <w:ind w:left="20" w:right="2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Managed Services Revenue. </w:t>
      </w:r>
      <w:r>
        <w:rPr>
          <w:rFonts w:ascii="Times New Roman" w:cs="Times New Roman" w:eastAsia="Times New Roman" w:hAnsi="Times New Roman"/>
          <w:sz w:val="12"/>
          <w:szCs w:val="12"/>
          <w:color w:val="auto"/>
        </w:rPr>
        <w:t>Managed Services revenue increased $0.8 million, or 6.6%, to $12.9 million from $12.1 million during the nine months ended September 30,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2024 and 2023, respectively. The net increase in Managed Services revenue, within our segments, consisted of the following:</w:t>
      </w:r>
    </w:p>
    <w:p>
      <w:pPr>
        <w:spacing w:after="0" w:line="125"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Within our International Telecom segment, Managed Services revenue increased $0.3 million, or 7.7%, to $4.2 million from $3.9 million for the nine months ended September 30, 2024 and 2023, respectively, as a result of our continued efforts to sell Managed Services solutions across all of our international markets.</w:t>
      </w:r>
    </w:p>
    <w:p>
      <w:pPr>
        <w:spacing w:after="0" w:line="138"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Within our US Telecom segment, Managed Services revenue increased $0.4 million, or 4.9%, to $8.6 million from $8.2 million for the nine months ended September 30, 2024 and 2023, respectively, as a result of our continued efforts to sell Managed Services solutions to all of our US markets.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68" w:lineRule="exact"/>
        <w:rPr>
          <w:sz w:val="20"/>
          <w:szCs w:val="20"/>
          <w:color w:val="auto"/>
        </w:rPr>
      </w:pPr>
    </w:p>
    <w:p>
      <w:pPr>
        <w:ind w:left="20" w:right="1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Cost of communication services and other. </w:t>
      </w:r>
      <w:r>
        <w:rPr>
          <w:rFonts w:ascii="Times New Roman" w:cs="Times New Roman" w:eastAsia="Times New Roman" w:hAnsi="Times New Roman"/>
          <w:sz w:val="12"/>
          <w:szCs w:val="12"/>
          <w:color w:val="auto"/>
        </w:rPr>
        <w:t>Cost of communication services and other decreased by $1.6 million, or 0.7%, to $235.5 million from $237.1 million for the nine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months ended September 30, 2024 and 2023, respectively. The net decrease in cost of communication services and other, within our segments, consisted of the following:</w:t>
      </w:r>
    </w:p>
    <w:p>
      <w:pPr>
        <w:spacing w:after="0" w:line="132" w:lineRule="exact"/>
        <w:rPr>
          <w:sz w:val="20"/>
          <w:szCs w:val="20"/>
          <w:color w:val="auto"/>
        </w:rPr>
      </w:pPr>
    </w:p>
    <w:p>
      <w:pPr>
        <w:ind w:left="680" w:hanging="208"/>
        <w:spacing w:after="0"/>
        <w:tabs>
          <w:tab w:leader="none" w:pos="6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cost of communication services and other decreased $3.7 million, or 3.5%, to $102.4 million from</w:t>
      </w:r>
    </w:p>
    <w:p>
      <w:pPr>
        <w:spacing w:after="0" w:line="18" w:lineRule="exact"/>
        <w:rPr>
          <w:rFonts w:ascii="Times New Roman" w:cs="Times New Roman" w:eastAsia="Times New Roman" w:hAnsi="Times New Roman"/>
          <w:sz w:val="12"/>
          <w:szCs w:val="12"/>
          <w:color w:val="auto"/>
        </w:rPr>
      </w:pPr>
    </w:p>
    <w:p>
      <w:pPr>
        <w:ind w:left="680" w:right="219"/>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$106.1 million for the nine months ended September 30, 2024 and 2023. This segment incurred a decrease in its cost of communication services and other expenses as a result of the impact of cost savings initiatives that were implemented in the current and previous periods partially offset by an increase in these costs to support this segment’s revenue growth.</w:t>
      </w:r>
    </w:p>
    <w:p>
      <w:pPr>
        <w:spacing w:after="0" w:line="78" w:lineRule="exact"/>
        <w:rPr>
          <w:rFonts w:ascii="Times New Roman" w:cs="Times New Roman" w:eastAsia="Times New Roman" w:hAnsi="Times New Roman"/>
          <w:sz w:val="12"/>
          <w:szCs w:val="12"/>
          <w:color w:val="auto"/>
        </w:rPr>
      </w:pPr>
    </w:p>
    <w:p>
      <w:pPr>
        <w:ind w:left="680" w:right="139" w:hanging="208"/>
        <w:spacing w:after="0" w:line="261" w:lineRule="auto"/>
        <w:tabs>
          <w:tab w:leader="none" w:pos="6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Cost of communication services and other within our US Telecom segment increased by $1.6 million, or 1.2%, to $133.3 million from $131.7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nine months ended September 30, 2024 and 2023, respectively. Such increase was primarily related to increases in transport costs as well as costs associated with the increase in project-related revenues. These increases, however, were partially offset by the beneficial impact of certain cost savings initiatives that commenced during previous periods as well as a reduction in the costs associated with the Emergency Connectivity Fund program, which was terminated during the second quarter of 2024.</w:t>
      </w:r>
    </w:p>
    <w:p>
      <w:pPr>
        <w:spacing w:after="0" w:line="145" w:lineRule="exact"/>
        <w:rPr>
          <w:sz w:val="20"/>
          <w:szCs w:val="20"/>
          <w:color w:val="auto"/>
        </w:rPr>
      </w:pPr>
    </w:p>
    <w:p>
      <w:pPr>
        <w:ind w:left="20" w:right="7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Cost of construction revenue. </w:t>
      </w:r>
      <w:r>
        <w:rPr>
          <w:rFonts w:ascii="Times New Roman" w:cs="Times New Roman" w:eastAsia="Times New Roman" w:hAnsi="Times New Roman"/>
          <w:sz w:val="12"/>
          <w:szCs w:val="12"/>
          <w:color w:val="auto"/>
        </w:rPr>
        <w:t>During the nine months ended September 30, 2024 and 2023, cost of construction revenue decreased to $2.6 million from $3.6 million as a result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 decrease in the number of sites completed during 2024 as compared to 2023.</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5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Selling, general and administrative expenses. </w:t>
      </w:r>
      <w:r>
        <w:rPr>
          <w:rFonts w:ascii="Times New Roman" w:cs="Times New Roman" w:eastAsia="Times New Roman" w:hAnsi="Times New Roman"/>
          <w:sz w:val="12"/>
          <w:szCs w:val="12"/>
          <w:color w:val="auto"/>
        </w:rPr>
        <w:t>Selling, general and administrative expenses decreased $11.5 million, or 6.2%, to $172.6 million from $184.1 million during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nine months ended September 30, 2024 and 2023, respectively. The changes in selling, general and administrative expenses, within our segments, consisted of the following:</w:t>
      </w:r>
    </w:p>
    <w:p>
      <w:pPr>
        <w:spacing w:after="0" w:line="132" w:lineRule="exact"/>
        <w:rPr>
          <w:sz w:val="20"/>
          <w:szCs w:val="20"/>
          <w:color w:val="auto"/>
        </w:rPr>
      </w:pPr>
    </w:p>
    <w:p>
      <w:pPr>
        <w:ind w:left="680" w:right="159" w:hanging="208"/>
        <w:spacing w:after="0" w:line="261" w:lineRule="auto"/>
        <w:tabs>
          <w:tab w:leader="none" w:pos="6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our selling, general and administrative expenses increased by $0.4 million, or 0.5%, to $85.5 million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from $85.1 million for the nine months ended September 30, 2024 and 2023, respectively. This decrease was the result of the beneficial impact of certain cost savings initiatives that were implemented in the current and previous periods within most of our international markets partially offset by an increase in marketing costs incurred in connection with the rebranding of our operations in a certain market.</w:t>
      </w:r>
    </w:p>
    <w:p>
      <w:pPr>
        <w:spacing w:after="0" w:line="119" w:lineRule="exact"/>
        <w:rPr>
          <w:rFonts w:ascii="Times New Roman" w:cs="Times New Roman" w:eastAsia="Times New Roman" w:hAnsi="Times New Roman"/>
          <w:sz w:val="12"/>
          <w:szCs w:val="12"/>
          <w:color w:val="auto"/>
        </w:rPr>
      </w:pPr>
    </w:p>
    <w:p>
      <w:pPr>
        <w:ind w:left="680" w:right="59" w:hanging="208"/>
        <w:spacing w:after="0" w:line="266" w:lineRule="auto"/>
        <w:tabs>
          <w:tab w:leader="none" w:pos="6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Selling, general and administrative expenses decreased within our US Telecom segment by $9.5 million, or 12.0%, to $69.7 million from $79.2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nine months ended September 30, 2024 and 2023, respectively. This decrease was primarily related to certain cost savings initiatives that were implemented in the current and previous periods.</w:t>
      </w:r>
    </w:p>
    <w:p>
      <w:pPr>
        <w:spacing w:after="0" w:line="288" w:lineRule="exact"/>
        <w:rPr>
          <w:rFonts w:ascii="Times New Roman" w:cs="Times New Roman" w:eastAsia="Times New Roman" w:hAnsi="Times New Roman"/>
          <w:sz w:val="12"/>
          <w:szCs w:val="12"/>
          <w:color w:val="auto"/>
        </w:rPr>
      </w:pPr>
    </w:p>
    <w:p>
      <w:pPr>
        <w:jc w:val="both"/>
        <w:ind w:left="680" w:right="59" w:hanging="208"/>
        <w:spacing w:after="0" w:line="266" w:lineRule="auto"/>
        <w:tabs>
          <w:tab w:leader="none" w:pos="6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Corporate Overhead. </w:t>
      </w:r>
      <w:r>
        <w:rPr>
          <w:rFonts w:ascii="Times New Roman" w:cs="Times New Roman" w:eastAsia="Times New Roman" w:hAnsi="Times New Roman"/>
          <w:sz w:val="12"/>
          <w:szCs w:val="12"/>
          <w:color w:val="auto"/>
        </w:rPr>
        <w:t>Selling, general and administrative expenses within our corporate overhead decreased by $2.3 million, or 11.7%, to $17.4 million from $19.7 million,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the nine months ended September 30, 2024 and 2023, respectively, primarily related to certain cost savings initiatives that were implemented in the current and previous periods.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Stock-based compensation. </w:t>
      </w:r>
      <w:r>
        <w:rPr>
          <w:rFonts w:ascii="Times New Roman" w:cs="Times New Roman" w:eastAsia="Times New Roman" w:hAnsi="Times New Roman"/>
          <w:sz w:val="12"/>
          <w:szCs w:val="12"/>
          <w:color w:val="auto"/>
        </w:rPr>
        <w:t>Stock-based compensation for each of the nine months ended September 30, 2024 and 2023 was $6.5 million.</w:t>
      </w:r>
    </w:p>
    <w:p>
      <w:pPr>
        <w:spacing w:after="0" w:line="177" w:lineRule="exact"/>
        <w:rPr>
          <w:sz w:val="20"/>
          <w:szCs w:val="20"/>
          <w:color w:val="auto"/>
        </w:rPr>
      </w:pPr>
    </w:p>
    <w:p>
      <w:pPr>
        <w:ind w:left="20" w:right="37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Transaction-related charges. </w:t>
      </w:r>
      <w:r>
        <w:rPr>
          <w:rFonts w:ascii="Times New Roman" w:cs="Times New Roman" w:eastAsia="Times New Roman" w:hAnsi="Times New Roman"/>
          <w:sz w:val="12"/>
          <w:szCs w:val="12"/>
          <w:color w:val="auto"/>
        </w:rPr>
        <w:t>We incurred $3.8 million of transaction-related charges during the nine months ended September 30, 2024 and $0.5 million during the nine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months ended September 30, 2023.</w:t>
      </w:r>
    </w:p>
    <w:p>
      <w:pPr>
        <w:spacing w:after="0" w:line="130" w:lineRule="exact"/>
        <w:rPr>
          <w:sz w:val="20"/>
          <w:szCs w:val="20"/>
          <w:color w:val="auto"/>
        </w:rPr>
      </w:pPr>
    </w:p>
    <w:p>
      <w:pPr>
        <w:ind w:left="20" w:right="15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Restructuring and reorganization expenses. </w:t>
      </w:r>
      <w:r>
        <w:rPr>
          <w:rFonts w:ascii="Times New Roman" w:cs="Times New Roman" w:eastAsia="Times New Roman" w:hAnsi="Times New Roman"/>
          <w:sz w:val="12"/>
          <w:szCs w:val="12"/>
          <w:color w:val="auto"/>
        </w:rPr>
        <w:t>In our efforts to advance our cost management actions to drive higher operating margins, we incurred contract terminations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reductions in force costs totaling $3.5 million during the nine months ended September 30, 2024. Of this amount, $1.5 million, $1.1 million and $0.9 million was incurred in the International Telecom segment, US Telecom segment and Corporate and Other segment, respectively.</w:t>
      </w:r>
    </w:p>
    <w:p>
      <w:pPr>
        <w:spacing w:after="0" w:line="136" w:lineRule="exact"/>
        <w:rPr>
          <w:sz w:val="20"/>
          <w:szCs w:val="20"/>
          <w:color w:val="auto"/>
        </w:rPr>
      </w:pPr>
    </w:p>
    <w:p>
      <w:pPr>
        <w:ind w:left="20" w:right="179" w:firstLine="462"/>
        <w:spacing w:after="0" w:line="279" w:lineRule="auto"/>
        <w:rPr>
          <w:sz w:val="20"/>
          <w:szCs w:val="20"/>
          <w:color w:val="auto"/>
        </w:rPr>
      </w:pPr>
      <w:r>
        <w:rPr>
          <w:rFonts w:ascii="Times New Roman" w:cs="Times New Roman" w:eastAsia="Times New Roman" w:hAnsi="Times New Roman"/>
          <w:sz w:val="12"/>
          <w:szCs w:val="12"/>
          <w:color w:val="auto"/>
        </w:rPr>
        <w:t>In connection with our repositioning of our legacy wholesale roaming operations in our US Telecom segment, we recorded a $4.6 million restructuring charge during the nine months ended September 30, 2023 primarily related to the decommissioning of certain cell sites.</w:t>
      </w:r>
    </w:p>
    <w:p>
      <w:pPr>
        <w:spacing w:after="0" w:line="134" w:lineRule="exact"/>
        <w:rPr>
          <w:sz w:val="20"/>
          <w:szCs w:val="20"/>
          <w:color w:val="auto"/>
        </w:rPr>
      </w:pPr>
    </w:p>
    <w:p>
      <w:pPr>
        <w:ind w:left="20" w:right="319" w:firstLine="46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Depreciation and amortization expenses. </w:t>
      </w:r>
      <w:r>
        <w:rPr>
          <w:rFonts w:ascii="Times New Roman" w:cs="Times New Roman" w:eastAsia="Times New Roman" w:hAnsi="Times New Roman"/>
          <w:sz w:val="12"/>
          <w:szCs w:val="12"/>
          <w:color w:val="auto"/>
        </w:rPr>
        <w:t>Depreciation and amortization expenses increased by $0.2 million, or 0.2%, to $107.2 million from $107.0 million for the nine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months ended September 30, 2024 and 2023, respectively. The net increase in depreciation and amortization expenses, within our segments, consisted primarily of the following:</w:t>
      </w:r>
    </w:p>
    <w:p>
      <w:pPr>
        <w:spacing w:after="0" w:line="132" w:lineRule="exact"/>
        <w:rPr>
          <w:sz w:val="20"/>
          <w:szCs w:val="20"/>
          <w:color w:val="auto"/>
        </w:rPr>
      </w:pPr>
    </w:p>
    <w:p>
      <w:pPr>
        <w:ind w:left="680" w:right="99" w:hanging="208"/>
        <w:spacing w:after="0" w:line="266" w:lineRule="auto"/>
        <w:tabs>
          <w:tab w:leader="none" w:pos="6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Depreciation and amortization expenses increased within our International Telecom segment by $8.2 million, or 19.2%, to $50.8 million from $42.6</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for nine months ended September 30, 2024 and 2023, respectively. Increases were incurred in certain of our international markets as a result of recent capital expenditures used to expand and upgrade our network operations.</w:t>
      </w:r>
    </w:p>
    <w:p>
      <w:pPr>
        <w:spacing w:after="0" w:line="117" w:lineRule="exact"/>
        <w:rPr>
          <w:rFonts w:ascii="Times New Roman" w:cs="Times New Roman" w:eastAsia="Times New Roman" w:hAnsi="Times New Roman"/>
          <w:sz w:val="12"/>
          <w:szCs w:val="12"/>
          <w:color w:val="auto"/>
        </w:rPr>
      </w:pPr>
    </w:p>
    <w:p>
      <w:pPr>
        <w:ind w:left="680" w:right="39" w:hanging="208"/>
        <w:spacing w:after="0" w:line="283" w:lineRule="auto"/>
        <w:tabs>
          <w:tab w:leader="none" w:pos="6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Depreciation and amortization expenses decreased within our US Telecom segment by $6.2 million, or 10.0%, to $56.1 million from $62.3 million, for the nine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months ended September 30, 2024 and 2023, respectively, primarily as a result of certain assets becoming fully depreciated in recent periods.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right="339" w:hanging="208"/>
        <w:spacing w:after="0" w:line="283" w:lineRule="auto"/>
        <w:tabs>
          <w:tab w:leader="none" w:pos="6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Corporate Overhead</w:t>
      </w:r>
      <w:r>
        <w:rPr>
          <w:rFonts w:ascii="Times New Roman" w:cs="Times New Roman" w:eastAsia="Times New Roman" w:hAnsi="Times New Roman"/>
          <w:sz w:val="12"/>
          <w:szCs w:val="12"/>
          <w:color w:val="auto"/>
        </w:rPr>
        <w:t>. Depreciation and amortization expenses decreased within our corporate overhead by $1.7 million to $0.3 million from $2.0 million, for the nine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months ended September 30, 2024 and 2023, respectively, primarily as a result of certain assets becoming fully depreciated in recent periods.</w:t>
      </w:r>
    </w:p>
    <w:p>
      <w:pPr>
        <w:spacing w:after="0" w:line="132" w:lineRule="exact"/>
        <w:rPr>
          <w:sz w:val="20"/>
          <w:szCs w:val="20"/>
          <w:color w:val="auto"/>
        </w:rPr>
      </w:pPr>
    </w:p>
    <w:p>
      <w:pPr>
        <w:ind w:left="20" w:right="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Amortization of intangibles from acquisitions. </w:t>
      </w:r>
      <w:r>
        <w:rPr>
          <w:rFonts w:ascii="Times New Roman" w:cs="Times New Roman" w:eastAsia="Times New Roman" w:hAnsi="Times New Roman"/>
          <w:sz w:val="12"/>
          <w:szCs w:val="12"/>
          <w:color w:val="auto"/>
        </w:rPr>
        <w:t>Amortization of intangibles from acquisitions decreased by $3.6 million to $5.9 million from $9.5 million for the nine months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ended September 30, 2024 and 2023, respectively, as a result of certain intangible assets becoming fully amortized in recent periods.</w:t>
      </w:r>
    </w:p>
    <w:p>
      <w:pPr>
        <w:spacing w:after="0" w:line="130" w:lineRule="exact"/>
        <w:rPr>
          <w:sz w:val="20"/>
          <w:szCs w:val="20"/>
          <w:color w:val="auto"/>
        </w:rPr>
      </w:pPr>
    </w:p>
    <w:p>
      <w:pPr>
        <w:ind w:left="20" w:right="17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Gain on disposition and transfer of assets</w:t>
      </w:r>
      <w:r>
        <w:rPr>
          <w:rFonts w:ascii="Times New Roman" w:cs="Times New Roman" w:eastAsia="Times New Roman" w:hAnsi="Times New Roman"/>
          <w:sz w:val="12"/>
          <w:szCs w:val="12"/>
          <w:color w:val="auto"/>
        </w:rPr>
        <w:t>. During the nine months ended September 30, 2024, we recorded a gain on the disposition of assets of $14.9 million. This gain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comprised primarily of a $15.5 million gain, mostly related to the sale of real estate within our International Telecom segment and a $0.5 million gain pertaining to the previously completed disposition of our renewable energy assets partially offset by a $1.5 million loss on the transfer of certain assets within our US Telecom segment.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During the nine months ended September 30, 2023, we recorded a loss on the disposition of long-lived assets of $0.4 million within our US Telecom segment.</w:t>
      </w:r>
    </w:p>
    <w:p>
      <w:pPr>
        <w:spacing w:after="0" w:line="173" w:lineRule="exact"/>
        <w:rPr>
          <w:sz w:val="20"/>
          <w:szCs w:val="20"/>
          <w:color w:val="auto"/>
        </w:rPr>
      </w:pPr>
    </w:p>
    <w:p>
      <w:pPr>
        <w:ind w:left="20" w:right="9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Goodwill impairment. </w:t>
      </w:r>
      <w:r>
        <w:rPr>
          <w:rFonts w:ascii="Times New Roman" w:cs="Times New Roman" w:eastAsia="Times New Roman" w:hAnsi="Times New Roman"/>
          <w:sz w:val="12"/>
          <w:szCs w:val="12"/>
          <w:color w:val="auto"/>
        </w:rPr>
        <w:t>During the nine months ended September 30, 2024, we completed our impairment assessment for our US Telecom segment after identifying events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indicate that the fair value of a reporting unit may be below its carrying value. These events included, the Company’s continued shift away from wholesale roaming and retail operations towards carrier managed services and fixed broadband services, delays in completing significant network upgrade projects, the conclusion of certain government subsidy programs leading to slower consumer growth, and delays in enterprise sales and delivery. The combination of these events led to the reporting unit being unable to meet key financial and operational forecasted targets.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a result of that analysis, we recorded an impairment of $35.3 million during the nine months ended September 30, 2024.</w:t>
      </w:r>
    </w:p>
    <w:p>
      <w:pPr>
        <w:spacing w:after="0" w:line="164" w:lineRule="exact"/>
        <w:rPr>
          <w:sz w:val="20"/>
          <w:szCs w:val="20"/>
          <w:color w:val="auto"/>
        </w:rPr>
      </w:pPr>
    </w:p>
    <w:p>
      <w:pPr>
        <w:ind w:left="20" w:right="5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2"/>
          <w:szCs w:val="12"/>
          <w:color w:val="auto"/>
        </w:rPr>
        <w:t>Interest income was $0.8 million and a nominal amount for the nine months ended September 30, 2024 and 2023, respectively. Such increase was the result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increased cash, cash equivalents and restricted cash balances.</w:t>
      </w:r>
    </w:p>
    <w:p>
      <w:pPr>
        <w:spacing w:after="0" w:line="130" w:lineRule="exact"/>
        <w:rPr>
          <w:sz w:val="20"/>
          <w:szCs w:val="20"/>
          <w:color w:val="auto"/>
        </w:rPr>
      </w:pPr>
    </w:p>
    <w:p>
      <w:pPr>
        <w:ind w:left="20" w:right="21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2"/>
          <w:szCs w:val="12"/>
          <w:color w:val="auto"/>
        </w:rPr>
        <w:t>Interest expense increased to $36.6 million from $30.7 million for the nine months ended September 30, 2024 and 2023, respectively, as additional interest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expense was incurred as a result of an increase in borrowings under our credit facilities.</w:t>
      </w:r>
    </w:p>
    <w:p>
      <w:pPr>
        <w:spacing w:after="0" w:line="130" w:lineRule="exact"/>
        <w:rPr>
          <w:sz w:val="20"/>
          <w:szCs w:val="20"/>
          <w:color w:val="auto"/>
        </w:rPr>
      </w:pPr>
    </w:p>
    <w:p>
      <w:pPr>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Other income (expense). </w:t>
      </w:r>
      <w:r>
        <w:rPr>
          <w:rFonts w:ascii="Times New Roman" w:cs="Times New Roman" w:eastAsia="Times New Roman" w:hAnsi="Times New Roman"/>
          <w:sz w:val="12"/>
          <w:szCs w:val="12"/>
          <w:color w:val="auto"/>
        </w:rPr>
        <w:t>For the nine months ended September 30, 2024, other income (expense) was $1.1 million of expense primarily related to a loss on the extinguishment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2022 Alaska Credit Facility, as discussed below, losses on foreign currency transactions and expenses incurred for certain employee benefit plans.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the nine months ended September 30, 2023, other income (expenses) was $2.6 million of income primarily related to gains from our noncontrolling investments.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color w:val="auto"/>
        </w:rPr>
        <w:t>Our effective tax rate for the nine months ended September 30, 2024 and 2023 was 22.1% and 35.8%, respectively.</w:t>
      </w:r>
    </w:p>
    <w:p>
      <w:pPr>
        <w:spacing w:after="0" w:line="181"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recorded an income tax benefit of $10.2 million in relation to a pretax loss of $46.3 million for the nine months ended September 30, 2024. The effective tax rate for the nine months ended September 30, 2024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$2.4 million expense to associated with the gain on sale of land in a foreign jurisdiction, a $3.7 million benefit from the reversal of an unrecognized tax</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79"/>
        <w:spacing w:after="0" w:line="279" w:lineRule="auto"/>
        <w:rPr>
          <w:sz w:val="20"/>
          <w:szCs w:val="20"/>
          <w:color w:val="auto"/>
        </w:rPr>
      </w:pPr>
      <w:r>
        <w:rPr>
          <w:rFonts w:ascii="Times New Roman" w:cs="Times New Roman" w:eastAsia="Times New Roman" w:hAnsi="Times New Roman"/>
          <w:sz w:val="12"/>
          <w:szCs w:val="12"/>
          <w:color w:val="auto"/>
        </w:rPr>
        <w:t>position due to a statute of limitations expiration, a $1.5 million expense to record an unrecognized tax position for the current year, $2.2 million expense for interest on unrecognized tax positions, and a $0.8 million expense associated with the sale of a partnership interest.</w:t>
      </w:r>
    </w:p>
    <w:p>
      <w:pPr>
        <w:spacing w:after="0" w:line="138" w:lineRule="exact"/>
        <w:rPr>
          <w:sz w:val="20"/>
          <w:szCs w:val="20"/>
          <w:color w:val="auto"/>
        </w:rPr>
      </w:pPr>
    </w:p>
    <w:p>
      <w:pPr>
        <w:jc w:val="both"/>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We recorded an income tax benefit of $6.4 million in relation to a pretax loss of $17.8 million for the nine months ended September 30, 2023. The effective tax rate for the nine months ended September 30, 2023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$2.0 million expense for interest on unrecognized tax positions.</w:t>
      </w:r>
    </w:p>
    <w:p>
      <w:pPr>
        <w:spacing w:after="0" w:line="149"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139" w:lineRule="exact"/>
        <w:rPr>
          <w:sz w:val="20"/>
          <w:szCs w:val="20"/>
          <w:color w:val="auto"/>
        </w:rPr>
      </w:pPr>
    </w:p>
    <w:p>
      <w:pPr>
        <w:ind w:left="20" w:right="9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Net income (loss) attributable to noncontrolling interests, net of tax. </w:t>
      </w:r>
      <w:r>
        <w:rPr>
          <w:rFonts w:ascii="Times New Roman" w:cs="Times New Roman" w:eastAsia="Times New Roman" w:hAnsi="Times New Roman"/>
          <w:sz w:val="12"/>
          <w:szCs w:val="12"/>
          <w:color w:val="auto"/>
        </w:rPr>
        <w:t>Net income (loss) attributable to noncontrolling interests, net of tax reflected an allocation of $6.1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million of income and $2.7 million of losses generated by our less than wholly owned subsidiaries for the nine months ended September 30, 2024 and 2023, respectively. Changes in net income (loss) attributable to noncontrolling interests, net of tax, within our segments, consisted of the following:</w:t>
      </w:r>
    </w:p>
    <w:p>
      <w:pPr>
        <w:spacing w:after="0" w:line="143" w:lineRule="exact"/>
        <w:rPr>
          <w:sz w:val="20"/>
          <w:szCs w:val="20"/>
          <w:color w:val="auto"/>
        </w:rPr>
      </w:pPr>
    </w:p>
    <w:p>
      <w:pPr>
        <w:jc w:val="both"/>
        <w:ind w:left="680" w:right="139" w:hanging="208"/>
        <w:spacing w:after="0" w:line="302" w:lineRule="auto"/>
        <w:tabs>
          <w:tab w:leader="none" w:pos="68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International Telecom</w:t>
      </w:r>
      <w:r>
        <w:rPr>
          <w:rFonts w:ascii="Times New Roman" w:cs="Times New Roman" w:eastAsia="Times New Roman" w:hAnsi="Times New Roman"/>
          <w:sz w:val="11"/>
          <w:szCs w:val="11"/>
          <w:color w:val="auto"/>
        </w:rPr>
        <w:t>. Within our International Telecom segment, net income (loss) attributable to noncontrolling interests, net of tax increased by $2.8 million, or 49.1%,</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to an allocation of $8.5 million of income from an allocation of $5.7 million of income for the nine months ended September 30, 2024 and 2023, respectively, largely as a result of the $15.5 million gain we recorded on the disposition of assets, primarily real estate, and increased profitability at certain less than wholly owned subsidiaries.</w:t>
      </w:r>
    </w:p>
    <w:p>
      <w:pPr>
        <w:spacing w:after="0" w:line="98" w:lineRule="exact"/>
        <w:rPr>
          <w:rFonts w:ascii="Times New Roman" w:cs="Times New Roman" w:eastAsia="Times New Roman" w:hAnsi="Times New Roman"/>
          <w:sz w:val="11"/>
          <w:szCs w:val="11"/>
          <w:color w:val="auto"/>
        </w:rPr>
      </w:pPr>
    </w:p>
    <w:p>
      <w:pPr>
        <w:ind w:left="680" w:hanging="208"/>
        <w:spacing w:after="0"/>
        <w:tabs>
          <w:tab w:leader="none" w:pos="6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Within our US Telecom segment, net income (loss) attributable to noncontrolling interests, net of tax decreased by $6.1 million to an allocation of losses of</w:t>
      </w:r>
    </w:p>
    <w:p>
      <w:pPr>
        <w:spacing w:after="0" w:line="18" w:lineRule="exact"/>
        <w:rPr>
          <w:rFonts w:ascii="Times New Roman" w:cs="Times New Roman" w:eastAsia="Times New Roman" w:hAnsi="Times New Roman"/>
          <w:sz w:val="12"/>
          <w:szCs w:val="12"/>
          <w:color w:val="auto"/>
        </w:rPr>
      </w:pPr>
    </w:p>
    <w:p>
      <w:pPr>
        <w:ind w:left="680" w:right="39"/>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$14.5 million from an allocation of losses of $8.4 million for the nine months ended September 30, 2024 and 2023, respectively, as a result of increased losses, including the impact of the an impairment of goodwill, at our less than wholly owned subsidiaries within this segment.</w:t>
      </w:r>
    </w:p>
    <w:p>
      <w:pPr>
        <w:spacing w:after="0" w:line="118" w:lineRule="exact"/>
        <w:rPr>
          <w:sz w:val="20"/>
          <w:szCs w:val="20"/>
          <w:color w:val="auto"/>
        </w:rPr>
      </w:pPr>
    </w:p>
    <w:p>
      <w:pPr>
        <w:ind w:left="20" w:right="3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Net loss attributable to ATN International, Inc. stockholders. </w:t>
      </w:r>
      <w:r>
        <w:rPr>
          <w:rFonts w:ascii="Times New Roman" w:cs="Times New Roman" w:eastAsia="Times New Roman" w:hAnsi="Times New Roman"/>
          <w:sz w:val="12"/>
          <w:szCs w:val="12"/>
          <w:color w:val="auto"/>
        </w:rPr>
        <w:t>Net loss attributable to ATN International, Inc. stockholders was $30.0 million for the nine months 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September 30, 2024 as compared to $8.7 million for the nine months ended September 30, 2023.</w:t>
      </w:r>
    </w:p>
    <w:p>
      <w:pPr>
        <w:spacing w:after="0" w:line="134" w:lineRule="exact"/>
        <w:rPr>
          <w:sz w:val="20"/>
          <w:szCs w:val="20"/>
          <w:color w:val="auto"/>
        </w:rPr>
      </w:pPr>
    </w:p>
    <w:p>
      <w:pPr>
        <w:ind w:left="20" w:right="299" w:firstLine="432"/>
        <w:spacing w:after="0" w:line="265" w:lineRule="auto"/>
        <w:rPr>
          <w:sz w:val="20"/>
          <w:szCs w:val="20"/>
          <w:color w:val="auto"/>
        </w:rPr>
      </w:pPr>
      <w:r>
        <w:rPr>
          <w:rFonts w:ascii="Times New Roman" w:cs="Times New Roman" w:eastAsia="Times New Roman" w:hAnsi="Times New Roman"/>
          <w:sz w:val="12"/>
          <w:szCs w:val="12"/>
          <w:color w:val="auto"/>
        </w:rPr>
        <w:t>On a per diluted share basis, net loss was $2.24 per diluted share for the nine months ended September 30, 2024 as compared to a loss of $0.80 per diluted share for the nine months ended September 30, 2023. Such per share amounts were negatively impacted by accrued preferred dividends of $4.2 million and $3.6 million for the nine months ended September 30, 2024 and 2023, respectively.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Regulatory and Tax Issues</w:t>
      </w:r>
    </w:p>
    <w:p>
      <w:pPr>
        <w:spacing w:after="0" w:line="181"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We are involved in a number of regulatory and tax proceedings. A material and adverse outcome in one or more of these proceedings could have a material adverse impact on our financial condition and future operations. For discussion of ongoing proceedings, see Note 14 to the Consolidated Financial Statements in this Report</w:t>
      </w:r>
      <w:r>
        <w:rPr>
          <w:rFonts w:ascii="Times New Roman" w:cs="Times New Roman" w:eastAsia="Times New Roman" w:hAnsi="Times New Roman"/>
          <w:sz w:val="12"/>
          <w:szCs w:val="12"/>
          <w:color w:val="212529"/>
        </w:rPr>
        <w: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72"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Historically, we have met our operational liquidity needs and have funded our capital expenditures and acquisitions through a combination of cash-on-hand, internally generated funds, borrowings under our credit facilities, proceeds from dispositions, and seller financings. We believe our current cash, cash equivalents, short term investments and availability under our current credit facilities will be sufficient to meet our cash needs for at least the next twelve months for working capital and capital expenditure requirements.</w:t>
      </w:r>
    </w:p>
    <w:p>
      <w:pPr>
        <w:spacing w:after="0" w:line="144" w:lineRule="exact"/>
        <w:rPr>
          <w:sz w:val="20"/>
          <w:szCs w:val="20"/>
          <w:color w:val="auto"/>
        </w:rPr>
      </w:pPr>
    </w:p>
    <w:p>
      <w:pPr>
        <w:ind w:left="20" w:right="2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Total liquidity. </w:t>
      </w:r>
      <w:r>
        <w:rPr>
          <w:rFonts w:ascii="Times New Roman" w:cs="Times New Roman" w:eastAsia="Times New Roman" w:hAnsi="Times New Roman"/>
          <w:sz w:val="12"/>
          <w:szCs w:val="12"/>
          <w:color w:val="auto"/>
        </w:rPr>
        <w:t>As of September 30, 2024, we had approximately $116.8 million in cash, cash equivalents, and restricted cash. Of this amount, $45.8 million was held by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foreign subsidiaries and is indefinitely invested outside the United States. In addition, we had approximately $568.9 million of debt, net of unamortized deferred financing costs, as of September 30, 2024. How and when we deploy our balance sheet capacity, including the availability under our various credit facilities (as further described below), will figure prominently in our longer-term growth prospects and stockholder returns.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Uses of Cash</w:t>
      </w:r>
    </w:p>
    <w:p>
      <w:pPr>
        <w:spacing w:after="0" w:line="179" w:lineRule="exact"/>
        <w:rPr>
          <w:sz w:val="20"/>
          <w:szCs w:val="20"/>
          <w:color w:val="auto"/>
        </w:rPr>
      </w:pPr>
    </w:p>
    <w:p>
      <w:pPr>
        <w:ind w:left="20" w:right="9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Acquisitions and investments. </w:t>
      </w:r>
      <w:r>
        <w:rPr>
          <w:rFonts w:ascii="Times New Roman" w:cs="Times New Roman" w:eastAsia="Times New Roman" w:hAnsi="Times New Roman"/>
          <w:sz w:val="12"/>
          <w:szCs w:val="12"/>
          <w:color w:val="auto"/>
        </w:rPr>
        <w:t>We have historically funded our acquisitions with a combination of cash-on-hand, borrowings under our credit facilities as well as equity investor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seller financings.</w:t>
      </w:r>
    </w:p>
    <w:p>
      <w:pPr>
        <w:spacing w:after="0" w:line="127"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147" w:lineRule="exact"/>
        <w:rPr>
          <w:sz w:val="20"/>
          <w:szCs w:val="20"/>
          <w:color w:val="auto"/>
        </w:rPr>
      </w:pPr>
    </w:p>
    <w:p>
      <w:pPr>
        <w:ind w:left="20" w:right="27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Cash used in investing activities. </w:t>
      </w:r>
      <w:r>
        <w:rPr>
          <w:rFonts w:ascii="Times New Roman" w:cs="Times New Roman" w:eastAsia="Times New Roman" w:hAnsi="Times New Roman"/>
          <w:sz w:val="12"/>
          <w:szCs w:val="12"/>
          <w:color w:val="auto"/>
        </w:rPr>
        <w:t>Cash used in investing activities decreased by $58.2 million to $66.4 million from $124.6 million for the nine months ended September 30,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2024 and 2023, respectively. This year-over-year decrease in cash used in investing activities was primarily the result of a $56.5 million increase in cash inflows related to the reimbursements of capital expenditures under certain government programs and the 2024 sale of certain assets, primarily within our International Telecom segment, which generated $18.7 million in cash proceeds. These amounts were partially offset by the increase in cash outflows for capital expenditures, including reimbursable amounts, of $16.6 million.</w:t>
      </w:r>
    </w:p>
    <w:p>
      <w:pPr>
        <w:spacing w:after="0" w:line="147" w:lineRule="exact"/>
        <w:rPr>
          <w:sz w:val="20"/>
          <w:szCs w:val="20"/>
          <w:color w:val="auto"/>
        </w:rPr>
      </w:pPr>
    </w:p>
    <w:p>
      <w:pPr>
        <w:jc w:val="both"/>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Working Capital. </w:t>
      </w:r>
      <w:r>
        <w:rPr>
          <w:rFonts w:ascii="Times New Roman" w:cs="Times New Roman" w:eastAsia="Times New Roman" w:hAnsi="Times New Roman"/>
          <w:sz w:val="12"/>
          <w:szCs w:val="12"/>
          <w:color w:val="auto"/>
        </w:rPr>
        <w:t>Historically, we have internally funded our working capital needs. Pursuant to the FirstNet Agreement, AT&amp;T has the option to repay construction costs,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 over an eight-year period. To fund the working capital needs created by AT&amp;T’s option to extend its payment terms, we completed the Receivables Credit Facility, as discussed below, on March 26, 2020.</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i w:val="1"/>
          <w:iCs w:val="1"/>
          <w:color w:val="auto"/>
        </w:rPr>
        <w:t xml:space="preserve">Capital expenditures. </w:t>
      </w:r>
      <w:r>
        <w:rPr>
          <w:rFonts w:ascii="Times New Roman" w:cs="Times New Roman" w:eastAsia="Times New Roman" w:hAnsi="Times New Roman"/>
          <w:sz w:val="12"/>
          <w:szCs w:val="12"/>
          <w:color w:val="auto"/>
        </w:rPr>
        <w:t>Historically, a significant use of our cash has been for capital expenditures to expand and upgrade our telecommunications networks and business support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systems.</w:t>
      </w:r>
    </w:p>
    <w:p>
      <w:pPr>
        <w:spacing w:after="0" w:line="166"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For the nine months ended September 30, 2024, we spent approximately $85.7 million for capital expenditures, net of $71.8 million of capital expenditures that are reimbursable under certain government programs. For the nine months ended September 30, 2023, we spent approximately $126.6 million for capital expenditures, net of $14.3 million of capital expenditures that are reimbursable under certain government programs. The following notes our capital expenditures, by operating segment, for these periods (in thousands):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3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Capital Expenditures</w:t>
            </w:r>
          </w:p>
        </w:tc>
        <w:tc>
          <w:tcPr>
            <w:tcW w:w="9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26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380" w:type="dxa"/>
            <w:vAlign w:val="bottom"/>
          </w:tcPr>
          <w:p>
            <w:pPr>
              <w:spacing w:after="0"/>
              <w:rPr>
                <w:sz w:val="20"/>
                <w:szCs w:val="20"/>
                <w:color w:val="auto"/>
              </w:rPr>
            </w:pPr>
          </w:p>
        </w:tc>
        <w:tc>
          <w:tcPr>
            <w:tcW w:w="96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400" w:type="dxa"/>
            <w:vAlign w:val="bottom"/>
          </w:tcPr>
          <w:p>
            <w:pPr>
              <w:spacing w:after="0"/>
              <w:rPr>
                <w:sz w:val="20"/>
                <w:szCs w:val="20"/>
                <w:color w:val="auto"/>
              </w:rPr>
            </w:pPr>
          </w:p>
        </w:tc>
        <w:tc>
          <w:tcPr>
            <w:tcW w:w="100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15"/>
        </w:trPr>
        <w:tc>
          <w:tcPr>
            <w:tcW w:w="33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00" w:type="dxa"/>
            <w:vAlign w:val="bottom"/>
          </w:tcPr>
          <w:p>
            <w:pPr>
              <w:spacing w:after="0"/>
              <w:rPr>
                <w:sz w:val="10"/>
                <w:szCs w:val="1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80" w:type="dxa"/>
            <w:vAlign w:val="bottom"/>
          </w:tcPr>
          <w:p>
            <w:pPr>
              <w:spacing w:after="0"/>
              <w:rPr>
                <w:sz w:val="10"/>
                <w:szCs w:val="10"/>
                <w:color w:val="auto"/>
              </w:rPr>
            </w:pPr>
          </w:p>
        </w:tc>
        <w:tc>
          <w:tcPr>
            <w:tcW w:w="960" w:type="dxa"/>
            <w:vAlign w:val="bottom"/>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4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2024</w:t>
            </w:r>
          </w:p>
        </w:tc>
        <w:tc>
          <w:tcPr>
            <w:tcW w:w="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39,440</w:t>
            </w: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116,220</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1,861</w:t>
            </w:r>
          </w:p>
        </w:tc>
        <w:tc>
          <w:tcPr>
            <w:tcW w:w="40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157,521</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57,610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83,291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140,901</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(1) Corporate and other items refer to corporate overhead costs and consolidating adjustments.</w:t>
      </w:r>
    </w:p>
    <w:p>
      <w:pPr>
        <w:spacing w:after="0" w:line="168" w:lineRule="exact"/>
        <w:rPr>
          <w:sz w:val="20"/>
          <w:szCs w:val="20"/>
          <w:color w:val="auto"/>
        </w:rPr>
      </w:pPr>
    </w:p>
    <w:p>
      <w:pPr>
        <w:jc w:val="both"/>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We are continuing to invest in our telecommunication networks along with our operating and business support systems in many of our markets. For the year ended December 31, 2024, such investments are expected to total approximately $100 million to $110 million, net of reimbursable amounts, and will primarily relate to network expansion and upgrades which are expected to further drive subscriber and revenue growth in future periods.</w:t>
      </w:r>
    </w:p>
    <w:p>
      <w:pPr>
        <w:spacing w:after="0" w:line="144" w:lineRule="exact"/>
        <w:rPr>
          <w:sz w:val="20"/>
          <w:szCs w:val="20"/>
          <w:color w:val="auto"/>
        </w:rPr>
      </w:pPr>
    </w:p>
    <w:p>
      <w:pPr>
        <w:jc w:val="both"/>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Income taxes. </w:t>
      </w:r>
      <w:r>
        <w:rPr>
          <w:rFonts w:ascii="Times New Roman" w:cs="Times New Roman" w:eastAsia="Times New Roman" w:hAnsi="Times New Roman"/>
          <w:sz w:val="12"/>
          <w:szCs w:val="12"/>
          <w:color w:val="auto"/>
        </w:rPr>
        <w:t>We have historically used cash-on-hand to make payments for income taxes. Our policy is to allocate capital where we believe we will get the best returns and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144" w:lineRule="exact"/>
        <w:rPr>
          <w:sz w:val="20"/>
          <w:szCs w:val="20"/>
          <w:color w:val="auto"/>
        </w:rPr>
      </w:pPr>
    </w:p>
    <w:p>
      <w:pPr>
        <w:jc w:val="both"/>
        <w:ind w:left="20" w:right="7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Dividends. </w:t>
      </w:r>
      <w:r>
        <w:rPr>
          <w:rFonts w:ascii="Times New Roman" w:cs="Times New Roman" w:eastAsia="Times New Roman" w:hAnsi="Times New Roman"/>
          <w:sz w:val="12"/>
          <w:szCs w:val="12"/>
          <w:color w:val="auto"/>
        </w:rPr>
        <w:t>During the nine months ended September 30, 2024, our Board of Directors declared $11.0 million of dividends to our stockholders which includes a $0.24 per share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dividend declared on September 19, 2024 and paid on October 4, 2024. We have declared quarterly dividends since the fourth quarter of 1998.</w:t>
      </w:r>
    </w:p>
    <w:p>
      <w:pPr>
        <w:spacing w:after="0" w:line="125" w:lineRule="exact"/>
        <w:rPr>
          <w:sz w:val="20"/>
          <w:szCs w:val="20"/>
          <w:color w:val="auto"/>
        </w:rPr>
      </w:pPr>
    </w:p>
    <w:p>
      <w:pPr>
        <w:ind w:left="20" w:right="11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Stock Repurchase Plan. </w:t>
      </w:r>
      <w:r>
        <w:rPr>
          <w:rFonts w:ascii="Times New Roman" w:cs="Times New Roman" w:eastAsia="Times New Roman" w:hAnsi="Times New Roman"/>
          <w:sz w:val="12"/>
          <w:szCs w:val="12"/>
          <w:color w:val="auto"/>
        </w:rPr>
        <w:t>On December 14, 2023, our Board of Directors authorized the repurchase of up to $25.0 million of our common stock, from time to time, on the open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or in privately negotiated transactions (the “2023 Repurchase Plan”). As of September 30, 2024, we had $15.0 million available to repurchase shares of our common stock under the 2023 Repurchase Plan. We did not repurchase any of our common stock during the three months ended September 30, 2024 and repurchased $4.9 million during the three months ended September 30, 2023. We repurchased $10.0 million and $11.7 million of our common stock during the nine months ended September 30, 2024 and 2023, respectively.</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Sources of Cash</w:t>
      </w:r>
    </w:p>
    <w:p>
      <w:pPr>
        <w:spacing w:after="0" w:line="179" w:lineRule="exact"/>
        <w:rPr>
          <w:sz w:val="20"/>
          <w:szCs w:val="20"/>
          <w:color w:val="auto"/>
        </w:rPr>
      </w:pPr>
    </w:p>
    <w:p>
      <w:pPr>
        <w:ind w:left="20" w:right="11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Cash provided by operations. </w:t>
      </w:r>
      <w:r>
        <w:rPr>
          <w:rFonts w:ascii="Times New Roman" w:cs="Times New Roman" w:eastAsia="Times New Roman" w:hAnsi="Times New Roman"/>
          <w:sz w:val="12"/>
          <w:szCs w:val="12"/>
          <w:color w:val="auto"/>
        </w:rPr>
        <w:t>Cash provided by operating activities was $97.5 million for the nine months ended September 30, 2024 as compared to $89.5 million for the nine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months ended September 30, 2023. The increase was primarily related to an increase in net income which, excluding the non-cash goodwill impairment charge and transaction-related charges that were recorded during the nine months ended September 30, 2024, increased by $14.4 million as compared to the nine months ended September 30, 2023.</w:t>
      </w:r>
    </w:p>
    <w:p>
      <w:pPr>
        <w:spacing w:after="0" w:line="135" w:lineRule="exact"/>
        <w:rPr>
          <w:sz w:val="20"/>
          <w:szCs w:val="20"/>
          <w:color w:val="auto"/>
        </w:rPr>
      </w:pPr>
    </w:p>
    <w:p>
      <w:pPr>
        <w:jc w:val="both"/>
        <w:ind w:left="20" w:right="1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Cash provided by financing activities. </w:t>
      </w:r>
      <w:r>
        <w:rPr>
          <w:rFonts w:ascii="Times New Roman" w:cs="Times New Roman" w:eastAsia="Times New Roman" w:hAnsi="Times New Roman"/>
          <w:sz w:val="12"/>
          <w:szCs w:val="12"/>
          <w:color w:val="auto"/>
        </w:rPr>
        <w:t>Cash provided by financing activities was $23.5 million and $48.5 million during the nine months ended September 30, 2024 and 2023,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respectively. The decrease in cash provided by financing activities of $25.0 million was primarily the result of an increase in cash used for debt repayments, net of borrowings, of $21.7 million, an increase in cash used to pay debt issuance costs of $2.8 million and an increase in cash used for the payment of dividends to our common stockholders of $1.1 million. These increases in cash used for</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19"/>
        <w:spacing w:after="0" w:line="279" w:lineRule="auto"/>
        <w:rPr>
          <w:sz w:val="20"/>
          <w:szCs w:val="20"/>
          <w:color w:val="auto"/>
        </w:rPr>
      </w:pPr>
      <w:r>
        <w:rPr>
          <w:rFonts w:ascii="Times New Roman" w:cs="Times New Roman" w:eastAsia="Times New Roman" w:hAnsi="Times New Roman"/>
          <w:sz w:val="12"/>
          <w:szCs w:val="12"/>
          <w:color w:val="auto"/>
        </w:rPr>
        <w:t>financing activities was partially offset by a decrease in cash used to repurchase our common stock (including shares repurchased from employees and directors to satisfy certain tax withholding obligations) of $1.2 million.</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2023 CoBank Credit Facility</w:t>
      </w:r>
    </w:p>
    <w:p>
      <w:pPr>
        <w:spacing w:after="0" w:line="181"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On July 13, 2023, we, along with certain of our subsidiaries as guarantors, entered into a new Credit Agreement with CoBank, ACB and a syndicate of other lenders (as may be amended from time to time, the “2023 CoBank Credit Facility”). On July 10, 2024, we amended our credit facility to add certain subsidiaries as guarantors and to provide further flexibility to take on certain grant and government program obligations.</w:t>
      </w:r>
    </w:p>
    <w:p>
      <w:pPr>
        <w:spacing w:after="0" w:line="137"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2023 CoBank Credit Facility provides for a five-year $170 million revolving credit facility (the “2023 CoBank Revolving Loan”) and a six-year $130 million term loan facility (the “2023 CoBank Term Loan”). We may use (i) up to $25 million under the 2023 CoBank Credit Facility for letters of credit, and (ii) up to $20 million under a swingline sub-facility. Upon the closing of the 2023 CoBank Credit Facility, we drew all of the 2023 CoBank Term Loan and approximately $13.6 million of the 2023 CoBank Revolving Loan. These borrowings were used to repay $139.5 million of debt outstanding under the 2019 CoBank Credit Facility at close.</w:t>
      </w:r>
    </w:p>
    <w:p>
      <w:pPr>
        <w:spacing w:after="0" w:line="149"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19" w:lineRule="exact"/>
        <w:rPr>
          <w:sz w:val="20"/>
          <w:szCs w:val="20"/>
          <w:color w:val="auto"/>
        </w:rPr>
      </w:pPr>
    </w:p>
    <w:tbl>
      <w:tblPr>
        <w:tblLayout w:type="fixed"/>
        <w:tblInd w:w="550" w:type="dxa"/>
        <w:tblCellMar>
          <w:top w:w="0" w:type="dxa"/>
          <w:left w:w="0" w:type="dxa"/>
          <w:bottom w:w="0" w:type="dxa"/>
          <w:right w:w="0" w:type="dxa"/>
        </w:tblCellMar>
      </w:tblPr>
      <w:tr>
        <w:trPr>
          <w:trHeight w:val="153"/>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 CoBank Term Loan Quarterly Payment Dates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 CoBank Term Loan Quarterly Repayments</w:t>
            </w:r>
          </w:p>
        </w:tc>
      </w:tr>
      <w:tr>
        <w:trPr>
          <w:trHeight w:val="142"/>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December 31, 2023 – June 30, 2025</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$812,500 (2.5% per annum)</w:t>
            </w:r>
          </w:p>
        </w:tc>
      </w:tr>
      <w:tr>
        <w:trPr>
          <w:trHeight w:val="142"/>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September 30, 2025 – June 30, 2026</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$1,625,000 (5% per annum)</w:t>
            </w:r>
          </w:p>
        </w:tc>
      </w:tr>
      <w:tr>
        <w:trPr>
          <w:trHeight w:val="142"/>
        </w:trPr>
        <w:tc>
          <w:tcPr>
            <w:tcW w:w="4100" w:type="dxa"/>
            <w:vAlign w:val="bottom"/>
            <w:tcBorders>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September 30, 2026 – June 30, 2029</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$2,437,500 (7.5% per annum)</w:t>
            </w:r>
          </w:p>
        </w:tc>
      </w:tr>
    </w:tbl>
    <w:p>
      <w:pPr>
        <w:spacing w:after="0" w:line="160" w:lineRule="exact"/>
        <w:rPr>
          <w:sz w:val="20"/>
          <w:szCs w:val="20"/>
          <w:color w:val="auto"/>
        </w:rPr>
      </w:pPr>
    </w:p>
    <w:p>
      <w:pPr>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our maximum Total Net Leverage Ratio. Under the terms of the 2023 CoBank Credit Agreement, we must also pay a fee ranging from 0.25% to 0.50% on the average daily unused portion of the 2023 CoBank Credit Facility over each calendar quarter.</w:t>
      </w:r>
    </w:p>
    <w:p>
      <w:pPr>
        <w:spacing w:after="0" w:line="144"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152"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We capitalized $4.5 million of fees associated with the 2023 CoBank Credit Facility which are being amortized over the life of the debt and $3.5 million were unamortized as of September 30, 2024.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We had $126.8 million outstanding under the 2023 CoBank Term Loan as of September 30, 2024. Under the 2023 CoBank Revolving Loan, we had $69.1 million outstanding and $100.9 million of availability as of September 30, 2024. We were in compliance with all financial covenants as of September 30, 2024.</w:t>
      </w:r>
    </w:p>
    <w:p>
      <w:pPr>
        <w:spacing w:after="0" w:line="138"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In October 2023, we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$(0.7) million and $(0.5) million as of September 30, 2024 and December 31, 2023.</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2019 CoBank Credit Facility</w:t>
      </w:r>
    </w:p>
    <w:p>
      <w:pPr>
        <w:spacing w:after="0" w:line="172"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April 10, 2019, we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146"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Amounts borrowed under the 2019 CoBank Credit Facility bore interest at a rate equal to, at our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we also paid a commitment fee ranging from 0.150% to 0.375% of the average daily unused portion of the 2019 CoBank Credit Facility over each calendar quarter.</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Letter of Credit Facility</w:t>
      </w:r>
    </w:p>
    <w:p>
      <w:pPr>
        <w:spacing w:after="0" w:line="172" w:lineRule="exact"/>
        <w:rPr>
          <w:sz w:val="20"/>
          <w:szCs w:val="20"/>
          <w:color w:val="auto"/>
        </w:rPr>
      </w:pPr>
    </w:p>
    <w:p>
      <w:pPr>
        <w:ind w:left="20" w:right="559" w:firstLine="432"/>
        <w:spacing w:after="0" w:line="279" w:lineRule="auto"/>
        <w:rPr>
          <w:sz w:val="20"/>
          <w:szCs w:val="20"/>
          <w:color w:val="auto"/>
        </w:rPr>
      </w:pPr>
      <w:r>
        <w:rPr>
          <w:rFonts w:ascii="Times New Roman" w:cs="Times New Roman" w:eastAsia="Times New Roman" w:hAnsi="Times New Roman"/>
          <w:sz w:val="12"/>
          <w:szCs w:val="12"/>
          <w:color w:val="auto"/>
        </w:rPr>
        <w:t>On November 14, 2022, we entered into a General Agreement of Indemnity to issue performance Standby Letters of Credit on behalf of us and our subsidiaries. As of September 30, 2024, $30.9 million of Standby Letters of Credit had been issued under this agreement.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2024 Alaska Credit Facility</w:t>
      </w:r>
    </w:p>
    <w:p>
      <w:pPr>
        <w:spacing w:after="0" w:line="181" w:lineRule="exact"/>
        <w:rPr>
          <w:sz w:val="20"/>
          <w:szCs w:val="20"/>
          <w:color w:val="auto"/>
        </w:rPr>
      </w:pPr>
    </w:p>
    <w:p>
      <w:pPr>
        <w:ind w:left="20" w:right="339" w:firstLine="432"/>
        <w:spacing w:after="0" w:line="265" w:lineRule="auto"/>
        <w:rPr>
          <w:sz w:val="20"/>
          <w:szCs w:val="20"/>
          <w:color w:val="auto"/>
        </w:rPr>
      </w:pPr>
      <w:r>
        <w:rPr>
          <w:rFonts w:ascii="Times New Roman" w:cs="Times New Roman" w:eastAsia="Times New Roman" w:hAnsi="Times New Roman"/>
          <w:sz w:val="12"/>
          <w:szCs w:val="12"/>
          <w:color w:val="auto"/>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spacing w:after="0" w:line="137"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September 30, 2024, $300.0 million was outstanding under the 2024 Alaska Term Facility.</w:t>
      </w:r>
    </w:p>
    <w:p>
      <w:pPr>
        <w:spacing w:after="0" w:line="146" w:lineRule="exact"/>
        <w:rPr>
          <w:sz w:val="20"/>
          <w:szCs w:val="20"/>
          <w:color w:val="auto"/>
        </w:rPr>
      </w:pPr>
    </w:p>
    <w:p>
      <w:pPr>
        <w:jc w:val="both"/>
        <w:ind w:left="20" w:right="259" w:firstLine="462"/>
        <w:spacing w:after="0" w:line="265" w:lineRule="auto"/>
        <w:rPr>
          <w:sz w:val="20"/>
          <w:szCs w:val="20"/>
          <w:color w:val="auto"/>
        </w:rPr>
      </w:pPr>
      <w:r>
        <w:rPr>
          <w:rFonts w:ascii="Times New Roman" w:cs="Times New Roman" w:eastAsia="Times New Roman" w:hAnsi="Times New Roman"/>
          <w:sz w:val="12"/>
          <w:szCs w:val="12"/>
          <w:color w:val="auto"/>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September 30, 2024, there were no outstanding borrowings under the 2024 Alaska Revolving Facility and $1.3 million</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of letters of credit were issued. As a result, $88.7 million was available under the 2024 Alaska Revolving Facility as of September 30, 2024.</w:t>
      </w:r>
    </w:p>
    <w:p>
      <w:pPr>
        <w:spacing w:after="0" w:line="177" w:lineRule="exact"/>
        <w:rPr>
          <w:sz w:val="20"/>
          <w:szCs w:val="20"/>
          <w:color w:val="auto"/>
        </w:rPr>
      </w:pPr>
    </w:p>
    <w:p>
      <w:pPr>
        <w:ind w:left="20" w:right="279" w:firstLine="460"/>
        <w:spacing w:after="0" w:line="279" w:lineRule="auto"/>
        <w:rPr>
          <w:sz w:val="20"/>
          <w:szCs w:val="20"/>
          <w:color w:val="auto"/>
        </w:rPr>
      </w:pPr>
      <w:r>
        <w:rPr>
          <w:rFonts w:ascii="Times New Roman" w:cs="Times New Roman" w:eastAsia="Times New Roman" w:hAnsi="Times New Roman"/>
          <w:sz w:val="12"/>
          <w:szCs w:val="12"/>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spacing w:after="0" w:line="138"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In connection the with 2024 Alaska Credit Facility, we incurred $6.9 million of fees and rolled over $2.1 million of fees for the 2022 Alaska Credit Facility to be amortized over the life of the debt. Additionally, we expensed $3.8 million of costs as transaction-related charges and $0.7 million of as a loss on extinguishment of debt included in other expense, within our statement of operations, during the three months ended September 30, 2024.</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maturity date for the 2024 Alaska Credit Facility is August 29, 2029.</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Amounts outstanding under the 2024 Alaska Credit Facility bear an interest rate of the following:</w:t>
      </w:r>
    </w:p>
    <w:p>
      <w:pPr>
        <w:spacing w:after="0" w:line="17" w:lineRule="exact"/>
        <w:rPr>
          <w:sz w:val="20"/>
          <w:szCs w:val="20"/>
          <w:color w:val="auto"/>
        </w:rPr>
      </w:pPr>
    </w:p>
    <w:tbl>
      <w:tblPr>
        <w:tblLayout w:type="fixed"/>
        <w:tblInd w:w="30" w:type="dxa"/>
        <w:tblCellMar>
          <w:top w:w="0" w:type="dxa"/>
          <w:left w:w="0" w:type="dxa"/>
          <w:bottom w:w="0" w:type="dxa"/>
          <w:right w:w="0" w:type="dxa"/>
        </w:tblCellMar>
      </w:tblPr>
      <w:tr>
        <w:trPr>
          <w:trHeight w:val="178"/>
        </w:trPr>
        <w:tc>
          <w:tcPr>
            <w:tcW w:w="660" w:type="dxa"/>
            <w:vAlign w:val="bottom"/>
            <w:tcBorders>
              <w:top w:val="single" w:sz="8" w:color="auto"/>
              <w:left w:val="single" w:sz="8" w:color="auto"/>
              <w:right w:val="single" w:sz="8" w:color="auto"/>
            </w:tcBorders>
          </w:tcPr>
          <w:p>
            <w:pPr>
              <w:spacing w:after="0"/>
              <w:rPr>
                <w:sz w:val="15"/>
                <w:szCs w:val="15"/>
                <w:color w:val="auto"/>
              </w:rPr>
            </w:pPr>
          </w:p>
        </w:tc>
        <w:tc>
          <w:tcPr>
            <w:tcW w:w="2900" w:type="dxa"/>
            <w:vAlign w:val="bottom"/>
            <w:tcBorders>
              <w:top w:val="single" w:sz="8" w:color="auto"/>
              <w:right w:val="single" w:sz="8" w:color="auto"/>
            </w:tcBorders>
          </w:tcPr>
          <w:p>
            <w:pPr>
              <w:spacing w:after="0"/>
              <w:rPr>
                <w:sz w:val="15"/>
                <w:szCs w:val="15"/>
                <w:color w:val="auto"/>
              </w:rPr>
            </w:pPr>
          </w:p>
        </w:tc>
        <w:tc>
          <w:tcPr>
            <w:tcW w:w="3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Applicable Margin for Term SOFR Loans and L/C</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Applicable Margin for</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Applicable Margin</w:t>
            </w:r>
          </w:p>
        </w:tc>
        <w:tc>
          <w:tcPr>
            <w:tcW w:w="0" w:type="dxa"/>
            <w:vAlign w:val="bottom"/>
          </w:tcPr>
          <w:p>
            <w:pPr>
              <w:spacing w:after="0"/>
              <w:rPr>
                <w:sz w:val="1"/>
                <w:szCs w:val="1"/>
                <w:color w:val="auto"/>
              </w:rPr>
            </w:pPr>
          </w:p>
        </w:tc>
      </w:tr>
      <w:tr>
        <w:trPr>
          <w:trHeight w:val="93"/>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Tier / Level</w:t>
            </w:r>
          </w:p>
        </w:tc>
        <w:tc>
          <w:tcPr>
            <w:tcW w:w="2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Alaska Communications Total Net Leverage Ratio</w:t>
            </w:r>
          </w:p>
        </w:tc>
        <w:tc>
          <w:tcPr>
            <w:tcW w:w="312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Base Rate Loans and</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Commitment</w:t>
            </w:r>
          </w:p>
        </w:tc>
        <w:tc>
          <w:tcPr>
            <w:tcW w:w="0" w:type="dxa"/>
            <w:vAlign w:val="bottom"/>
          </w:tcPr>
          <w:p>
            <w:pPr>
              <w:spacing w:after="0"/>
              <w:rPr>
                <w:sz w:val="1"/>
                <w:szCs w:val="1"/>
                <w:color w:val="auto"/>
              </w:rPr>
            </w:pPr>
          </w:p>
        </w:tc>
      </w:tr>
      <w:tr>
        <w:trPr>
          <w:trHeight w:val="72"/>
        </w:trPr>
        <w:tc>
          <w:tcPr>
            <w:tcW w:w="660" w:type="dxa"/>
            <w:vAlign w:val="bottom"/>
            <w:tcBorders>
              <w:left w:val="single" w:sz="8" w:color="auto"/>
              <w:right w:val="single" w:sz="8" w:color="auto"/>
            </w:tcBorders>
            <w:vMerge w:val="continue"/>
          </w:tcPr>
          <w:p>
            <w:pPr>
              <w:spacing w:after="0"/>
              <w:rPr>
                <w:sz w:val="6"/>
                <w:szCs w:val="6"/>
                <w:color w:val="auto"/>
              </w:rPr>
            </w:pPr>
          </w:p>
        </w:tc>
        <w:tc>
          <w:tcPr>
            <w:tcW w:w="2900" w:type="dxa"/>
            <w:vAlign w:val="bottom"/>
            <w:tcBorders>
              <w:right w:val="single" w:sz="8" w:color="auto"/>
            </w:tcBorders>
            <w:vMerge w:val="continue"/>
          </w:tcPr>
          <w:p>
            <w:pPr>
              <w:spacing w:after="0"/>
              <w:rPr>
                <w:sz w:val="6"/>
                <w:szCs w:val="6"/>
                <w:color w:val="auto"/>
              </w:rPr>
            </w:pP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Participation Fees</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Reimbursement</w:t>
            </w:r>
          </w:p>
        </w:tc>
        <w:tc>
          <w:tcPr>
            <w:tcW w:w="10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660" w:type="dxa"/>
            <w:vAlign w:val="bottom"/>
            <w:tcBorders>
              <w:left w:val="single" w:sz="8" w:color="auto"/>
              <w:right w:val="single" w:sz="8" w:color="auto"/>
            </w:tcBorders>
          </w:tcPr>
          <w:p>
            <w:pPr>
              <w:spacing w:after="0"/>
              <w:rPr>
                <w:sz w:val="6"/>
                <w:szCs w:val="6"/>
                <w:color w:val="auto"/>
              </w:rPr>
            </w:pPr>
          </w:p>
        </w:tc>
        <w:tc>
          <w:tcPr>
            <w:tcW w:w="2900" w:type="dxa"/>
            <w:vAlign w:val="bottom"/>
            <w:tcBorders>
              <w:right w:val="single" w:sz="8" w:color="auto"/>
            </w:tcBorders>
          </w:tcPr>
          <w:p>
            <w:pPr>
              <w:spacing w:after="0"/>
              <w:rPr>
                <w:sz w:val="6"/>
                <w:szCs w:val="6"/>
                <w:color w:val="auto"/>
              </w:rPr>
            </w:pPr>
          </w:p>
        </w:tc>
        <w:tc>
          <w:tcPr>
            <w:tcW w:w="3120" w:type="dxa"/>
            <w:vAlign w:val="bottom"/>
            <w:tcBorders>
              <w:right w:val="single" w:sz="8" w:color="auto"/>
            </w:tcBorders>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Fees</w:t>
            </w:r>
          </w:p>
        </w:tc>
        <w:tc>
          <w:tcPr>
            <w:tcW w:w="0" w:type="dxa"/>
            <w:vAlign w:val="bottom"/>
          </w:tcPr>
          <w:p>
            <w:pPr>
              <w:spacing w:after="0"/>
              <w:rPr>
                <w:sz w:val="1"/>
                <w:szCs w:val="1"/>
                <w:color w:val="auto"/>
              </w:rPr>
            </w:pPr>
          </w:p>
        </w:tc>
      </w:tr>
      <w:tr>
        <w:trPr>
          <w:trHeight w:val="87"/>
        </w:trPr>
        <w:tc>
          <w:tcPr>
            <w:tcW w:w="66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Obligations</w:t>
            </w:r>
          </w:p>
        </w:tc>
        <w:tc>
          <w:tcPr>
            <w:tcW w:w="1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tcBorders>
              <w:left w:val="single" w:sz="8" w:color="auto"/>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31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I</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Greater than 4.00:1.00</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4.50%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0.40%</w:t>
            </w:r>
          </w:p>
        </w:tc>
        <w:tc>
          <w:tcPr>
            <w:tcW w:w="0" w:type="dxa"/>
            <w:vAlign w:val="bottom"/>
          </w:tcPr>
          <w:p>
            <w:pPr>
              <w:spacing w:after="0"/>
              <w:rPr>
                <w:sz w:val="1"/>
                <w:szCs w:val="1"/>
                <w:color w:val="auto"/>
              </w:rPr>
            </w:pPr>
          </w:p>
        </w:tc>
      </w:tr>
      <w:tr>
        <w:trPr>
          <w:trHeight w:val="142"/>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II</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Less than or equal to 4.00:1.00 but greater than 3.25:1.00</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0.35%</w:t>
            </w:r>
          </w:p>
        </w:tc>
        <w:tc>
          <w:tcPr>
            <w:tcW w:w="0" w:type="dxa"/>
            <w:vAlign w:val="bottom"/>
          </w:tcPr>
          <w:p>
            <w:pPr>
              <w:spacing w:after="0"/>
              <w:rPr>
                <w:sz w:val="1"/>
                <w:szCs w:val="1"/>
                <w:color w:val="auto"/>
              </w:rPr>
            </w:pPr>
          </w:p>
        </w:tc>
      </w:tr>
      <w:tr>
        <w:trPr>
          <w:trHeight w:val="142"/>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III</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Less than or equal to 3.25:1.00 but greater than 2.50:1.00</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3.50%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0.30%</w:t>
            </w:r>
          </w:p>
        </w:tc>
        <w:tc>
          <w:tcPr>
            <w:tcW w:w="0" w:type="dxa"/>
            <w:vAlign w:val="bottom"/>
          </w:tcPr>
          <w:p>
            <w:pPr>
              <w:spacing w:after="0"/>
              <w:rPr>
                <w:sz w:val="1"/>
                <w:szCs w:val="1"/>
                <w:color w:val="auto"/>
              </w:rPr>
            </w:pPr>
          </w:p>
        </w:tc>
      </w:tr>
      <w:tr>
        <w:trPr>
          <w:trHeight w:val="142"/>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IV</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Less than or equal to 2.50:1.00</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0.25%</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spacing w:after="0" w:line="143" w:lineRule="exact"/>
        <w:rPr>
          <w:sz w:val="20"/>
          <w:szCs w:val="20"/>
          <w:color w:val="auto"/>
        </w:rPr>
      </w:pPr>
    </w:p>
    <w:p>
      <w:pPr>
        <w:ind w:left="20" w:right="79" w:firstLine="460"/>
        <w:spacing w:after="0" w:line="283" w:lineRule="auto"/>
        <w:rPr>
          <w:sz w:val="20"/>
          <w:szCs w:val="20"/>
          <w:color w:val="auto"/>
        </w:rPr>
      </w:pPr>
      <w:r>
        <w:rPr>
          <w:rFonts w:ascii="Times New Roman" w:cs="Times New Roman" w:eastAsia="Times New Roman" w:hAnsi="Times New Roman"/>
          <w:sz w:val="11"/>
          <w:szCs w:val="11"/>
          <w:color w:val="auto"/>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w:t>
      </w:r>
    </w:p>
    <w:p>
      <w:pPr>
        <w:spacing w:after="0" w:line="1" w:lineRule="exact"/>
        <w:rPr>
          <w:sz w:val="20"/>
          <w:szCs w:val="20"/>
          <w:color w:val="auto"/>
        </w:rPr>
      </w:pPr>
    </w:p>
    <w:p>
      <w:pPr>
        <w:ind w:left="20" w:right="159" w:firstLine="2"/>
        <w:spacing w:after="0" w:line="253" w:lineRule="auto"/>
        <w:tabs>
          <w:tab w:leader="none" w:pos="19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spacing w:after="0" w:line="154" w:lineRule="exact"/>
        <w:rPr>
          <w:sz w:val="20"/>
          <w:szCs w:val="20"/>
          <w:color w:val="auto"/>
        </w:rPr>
      </w:pPr>
    </w:p>
    <w:p>
      <w:pPr>
        <w:jc w:val="both"/>
        <w:ind w:left="20" w:right="99" w:firstLine="460"/>
        <w:spacing w:after="0" w:line="265" w:lineRule="auto"/>
        <w:rPr>
          <w:sz w:val="20"/>
          <w:szCs w:val="20"/>
          <w:color w:val="auto"/>
        </w:rPr>
      </w:pPr>
      <w:r>
        <w:rPr>
          <w:rFonts w:ascii="Times New Roman" w:cs="Times New Roman" w:eastAsia="Times New Roman" w:hAnsi="Times New Roman"/>
          <w:sz w:val="12"/>
          <w:szCs w:val="12"/>
          <w:color w:val="auto"/>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99" w:firstLine="460"/>
        <w:spacing w:after="0" w:line="256" w:lineRule="auto"/>
        <w:rPr>
          <w:sz w:val="20"/>
          <w:szCs w:val="20"/>
          <w:color w:val="auto"/>
        </w:rPr>
      </w:pPr>
      <w:r>
        <w:rPr>
          <w:rFonts w:ascii="Times New Roman" w:cs="Times New Roman" w:eastAsia="Times New Roman" w:hAnsi="Times New Roman"/>
          <w:sz w:val="12"/>
          <w:szCs w:val="12"/>
          <w:color w:val="auto"/>
        </w:rPr>
        <w:t>The 2024 Alaska Credit Agreement contains usual and customary affirmative and negative covenants of the parties for credit facilities of this type or as otherwise deemed appropriate by the administrative agent, subject to customary exceptions and materiality standards. The 2024 Alaska Credit Agreement also contains certain customary covenants and events of default, as well as, in the event of an occurrence of an “Event of Default,” customary remedies for the lenders, including the acceleration of any amounts outstanding under the 2024 Alaska Credit Facility. Holdings and its wholly owned subsidiaries are guarantors of the Borrower’s obligations under the 2024 Alaska Credit Agreement. The Company is not a guarantor under the 2024 Alaska Credit Agreement, and the lenders have no recourse against the Company in the event of an occurrence of an “Event of Default.” Additionally, the 2024 Alaska Credit Agreement includes certain customary conditions that must be met for the Borrower to borrow under the 2024 Alaska Credit Agreement from time to time.</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2022 Alaska Credit Facility</w:t>
      </w:r>
    </w:p>
    <w:p>
      <w:pPr>
        <w:spacing w:after="0" w:line="181" w:lineRule="exact"/>
        <w:rPr>
          <w:sz w:val="20"/>
          <w:szCs w:val="20"/>
          <w:color w:val="auto"/>
        </w:rPr>
      </w:pPr>
    </w:p>
    <w:p>
      <w:pPr>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On December 23, 2022, Alaska Communications entered into a Credit Agreement (the “2022 Alaska Credit Facility”) with Fifth Third Bank, National Association, as Administrative Agent, and a syndicate of lenders to provide a Revolving Credit Commitment of $75.0 million (the “2022 Alaska Revolving Facility”) and Term Loan Commitment of $230.0 million (the “2022 Alaska Term Loan”).</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key terms and conditions of the 2022 Alaska Credit Facility included the following:</w:t>
      </w:r>
    </w:p>
    <w:p>
      <w:pPr>
        <w:spacing w:after="0" w:line="177" w:lineRule="exact"/>
        <w:rPr>
          <w:sz w:val="20"/>
          <w:szCs w:val="20"/>
          <w:color w:val="auto"/>
        </w:rPr>
      </w:pPr>
    </w:p>
    <w:p>
      <w:pPr>
        <w:ind w:left="680" w:right="59" w:hanging="208"/>
        <w:spacing w:after="0" w:line="265" w:lineRule="auto"/>
        <w:tabs>
          <w:tab w:leader="none" w:pos="6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outstanding bore an interest rate of the forward-looking SOFR rate with a one-month interest period, plus the SOFR Spread Adjustment of 10 basis points, plus a margin ranging from 3.00% to 4.00% based on Alaska Communications’ Consolidated Total Net Leverage Ratio (as defined in the Credit Agreement) or at an alternate base rate at a margin that is 1% lower than the counterpart SOFR margin;</w:t>
      </w:r>
    </w:p>
    <w:p>
      <w:pPr>
        <w:spacing w:after="0" w:line="118"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repayments of $1.4 million were made quarterly commencing with the fourth quarter of 2023;</w:t>
      </w:r>
    </w:p>
    <w:p>
      <w:pPr>
        <w:spacing w:after="0" w:line="150" w:lineRule="exact"/>
        <w:rPr>
          <w:rFonts w:ascii="Times New Roman" w:cs="Times New Roman" w:eastAsia="Times New Roman" w:hAnsi="Times New Roman"/>
          <w:sz w:val="12"/>
          <w:szCs w:val="12"/>
          <w:color w:val="auto"/>
        </w:rPr>
      </w:pPr>
    </w:p>
    <w:p>
      <w:pPr>
        <w:ind w:left="680" w:right="119" w:hanging="208"/>
        <w:spacing w:after="0" w:line="257" w:lineRule="auto"/>
        <w:tabs>
          <w:tab w:leader="none" w:pos="6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25" w:lineRule="exact"/>
        <w:rPr>
          <w:rFonts w:ascii="Times New Roman" w:cs="Times New Roman" w:eastAsia="Times New Roman" w:hAnsi="Times New Roman"/>
          <w:sz w:val="12"/>
          <w:szCs w:val="12"/>
          <w:color w:val="auto"/>
        </w:rPr>
      </w:pPr>
    </w:p>
    <w:p>
      <w:pPr>
        <w:ind w:left="680" w:right="239" w:hanging="208"/>
        <w:spacing w:after="0" w:line="279" w:lineRule="auto"/>
        <w:tabs>
          <w:tab w:leader="none" w:pos="6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2022 Alaska Credit Facility was non-recourse to us and was secured by substantially all of the personal property and certain material real property owned by Alaska Communications.</w:t>
      </w:r>
    </w:p>
    <w:p>
      <w:pPr>
        <w:spacing w:after="0" w:line="111"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On August 29, 2024, all outstanding amounts under the 2022 Alaska Credit Facility were repaid in full using the proceeds received upon the completion of the 2024 Alaska Credit Facility.</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Term Facility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June 15, 2022, Holdings entered into a secured lending arrangement with Bristol Bay Industrial, LLC (the “Alaska Term Facility”).</w:t>
      </w:r>
    </w:p>
    <w:p>
      <w:pPr>
        <w:spacing w:after="0" w:line="177" w:lineRule="exact"/>
        <w:rPr>
          <w:sz w:val="20"/>
          <w:szCs w:val="20"/>
          <w:color w:val="auto"/>
        </w:rPr>
      </w:pPr>
    </w:p>
    <w:p>
      <w:pPr>
        <w:ind w:left="20" w:right="259" w:firstLine="432"/>
        <w:spacing w:after="0" w:line="327" w:lineRule="auto"/>
        <w:rPr>
          <w:sz w:val="20"/>
          <w:szCs w:val="20"/>
          <w:color w:val="auto"/>
        </w:rPr>
      </w:pPr>
      <w:r>
        <w:rPr>
          <w:rFonts w:ascii="Times New Roman" w:cs="Times New Roman" w:eastAsia="Times New Roman" w:hAnsi="Times New Roman"/>
          <w:sz w:val="11"/>
          <w:szCs w:val="11"/>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of principal commenced on March 31, 2023. The Alaska Term Facility was repaid in full during the three months ended June 30, 2024.</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Interest Rate Swap Agreements</w:t>
      </w:r>
    </w:p>
    <w:p>
      <w:pPr>
        <w:spacing w:after="0" w:line="181" w:lineRule="exact"/>
        <w:rPr>
          <w:sz w:val="20"/>
          <w:szCs w:val="20"/>
          <w:color w:val="auto"/>
        </w:rPr>
      </w:pPr>
    </w:p>
    <w:p>
      <w:pPr>
        <w:jc w:val="both"/>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In November 2023, Alaska Communications entered into two forward starting 1-month floating to fixed SOFR interest rate swap agreements. The total non-amortizing notional amount of the agreements is $200.0 million, with fixed SOFR rates of 4.8695% and 4.8980% and both agreements mature on June 30, 2025. The swap agreements had an aggregate fair value of $(1.3) and $(1.2) million as of September 30, 2024 and December 31, 2023, respectively.</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Receivables Credit Facility</w:t>
      </w:r>
    </w:p>
    <w:p>
      <w:pPr>
        <w:spacing w:after="0" w:line="181"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On March 26, 2020, Commnet Finance, a wholly owned subsidiary of Commnet Wireless, entered into a receivables credit facility with us, Commnet Wireless, and CoBank, ACB (the “Receivables Credit Facility”).</w:t>
      </w:r>
    </w:p>
    <w:p>
      <w:pPr>
        <w:spacing w:after="0" w:line="138"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December 19, 2023, CoBank amended the Receivables Credit Facility and extended the delayed draw period to December 31, 2024.</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maturity date for each loan will be set by CoBank and will match the weighted average maturity of the certain receivables financed.</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Interest on the loans accrue at a fixed annual interest rate to be quoted by CoBank.</w:t>
      </w:r>
    </w:p>
    <w:p>
      <w:pPr>
        <w:spacing w:after="0" w:line="16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138"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As of September 30, 2024, Commnet Wireless had $46.6 million outstanding, of which $7.9 million was classified as being current on our balance sheet, and $9.2 million of availability under the Receivables Credit Facility. Commnet Wireless capitalized $0.8 million in fees associated with the Receivables Credit Facility which are being amortized over the life of the debt and $0.4 million were unamortized as of September 30, 2024.</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One Communications (Guyana) Credit Facilities</w:t>
      </w:r>
    </w:p>
    <w:p>
      <w:pPr>
        <w:spacing w:after="0" w:line="172"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On October 12, 2022, One Communications (Guyana) f/k/a GTT received approval from Republic Bank (Guyana) Limited for a $2.9 million term facility and a $5.7 million overdraft facility (the “Guyana Credit Facilities”).</w:t>
      </w:r>
    </w:p>
    <w:p>
      <w:pPr>
        <w:spacing w:after="0" w:line="138"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Guyana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February 28, 2025.</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there were no outstanding amounts under the GTT Credit Facilities.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Sacred Wind Term Debt</w:t>
      </w:r>
    </w:p>
    <w:p>
      <w:pPr>
        <w:spacing w:after="0" w:line="181" w:lineRule="exact"/>
        <w:rPr>
          <w:sz w:val="20"/>
          <w:szCs w:val="20"/>
          <w:color w:val="auto"/>
        </w:rPr>
      </w:pPr>
    </w:p>
    <w:p>
      <w:pPr>
        <w:jc w:val="both"/>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Sacred Wind acquisition completed on November 7, 2022, we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146"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129"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September 30, 2024, we were in compliance with that corrective action plan.</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$25.8 million was outstanding under the Sacred Wind Term Debt. Of that amount, $3.4 million was current and $22.4 million was long term.</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mortgage notes carry fixed interest rates ranging from 0.88% to 5.0%.</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Viya Debt</w:t>
      </w:r>
    </w:p>
    <w:p>
      <w:pPr>
        <w:spacing w:after="0" w:line="181"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w:t>
      </w:r>
    </w:p>
    <w:p>
      <w:pPr>
        <w:spacing w:after="0" w:line="152"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We paid a fee of $0.9 million in 2016 to lock the interest rate at 4% per annum over the term of the Viya Debt. The fee was recorded as a reduction to the Viya Debt carrying amount and is being amortized over the life of the loan.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September 30, 2024, $60.0 million of the Viya Debt remained outstanding and $0.2 million of the rate lock fee was unamortized.</w:t>
      </w:r>
    </w:p>
    <w:p>
      <w:pPr>
        <w:spacing w:after="0" w:line="17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May 5, 2022, RTFC agreed to amend the Net Leverage Ratio to 7.0 to 1.0 through the maturity date of July 1, 2026. The Ratio is tested annually, and we were in compliance with the Net Leverage Ratio as of December 31, 2023.</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Debt Maturity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table below summarizes the annual maturities of our debt instruments (amounts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4"/>
              </w:rPr>
              <w:t>Customer</w:t>
            </w: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220" w:type="dxa"/>
            <w:vAlign w:val="bottom"/>
          </w:tcPr>
          <w:p>
            <w:pPr>
              <w:spacing w:after="0"/>
              <w:rPr>
                <w:sz w:val="14"/>
                <w:szCs w:val="14"/>
                <w:color w:val="auto"/>
              </w:rPr>
            </w:pPr>
          </w:p>
        </w:tc>
        <w:tc>
          <w:tcPr>
            <w:tcW w:w="760" w:type="dxa"/>
            <w:vAlign w:val="bottom"/>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Pr>
          <w:p>
            <w:pPr>
              <w:spacing w:after="0"/>
              <w:rPr>
                <w:sz w:val="14"/>
                <w:szCs w:val="14"/>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5"/>
              </w:rPr>
              <w:t>Receivable</w:t>
            </w:r>
          </w:p>
        </w:tc>
      </w:tr>
      <w:tr>
        <w:trPr>
          <w:trHeight w:val="152"/>
        </w:trPr>
        <w:tc>
          <w:tcPr>
            <w:tcW w:w="3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Amounts Maturing During</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220" w:type="dxa"/>
            <w:vAlign w:val="bottom"/>
          </w:tcPr>
          <w:p>
            <w:pPr>
              <w:spacing w:after="0"/>
              <w:rPr>
                <w:sz w:val="13"/>
                <w:szCs w:val="13"/>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Debt</w:t>
            </w:r>
          </w:p>
        </w:tc>
        <w:tc>
          <w:tcPr>
            <w:tcW w:w="160" w:type="dxa"/>
            <w:vAlign w:val="bottom"/>
          </w:tcPr>
          <w:p>
            <w:pPr>
              <w:spacing w:after="0"/>
              <w:rPr>
                <w:sz w:val="13"/>
                <w:szCs w:val="13"/>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5"/>
              </w:rPr>
              <w:t>Credit Facility</w:t>
            </w:r>
          </w:p>
        </w:tc>
      </w:tr>
      <w:tr>
        <w:trPr>
          <w:trHeight w:val="133"/>
        </w:trPr>
        <w:tc>
          <w:tcPr>
            <w:tcW w:w="3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October 1, 2024 through December 31, 2024</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813</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1,732</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1,950</w:t>
            </w:r>
          </w:p>
        </w:tc>
      </w:tr>
      <w:tr>
        <w:trPr>
          <w:trHeight w:val="144"/>
        </w:trPr>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 2025</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8,344</w:t>
            </w: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8,027</w:t>
            </w:r>
          </w:p>
        </w:tc>
      </w:tr>
      <w:tr>
        <w:trPr>
          <w:trHeight w:val="14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ending December 31, 2026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73,594</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8,405</w:t>
            </w:r>
          </w:p>
        </w:tc>
      </w:tr>
      <w:tr>
        <w:trPr>
          <w:trHeight w:val="144"/>
        </w:trPr>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Year ending December 31, 2027</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22,848</w:t>
            </w: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8,803</w:t>
            </w:r>
          </w:p>
        </w:tc>
      </w:tr>
      <w:tr>
        <w:trPr>
          <w:trHeight w:val="14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ending December 31, 2028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78,870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97,728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9,224</w:t>
            </w:r>
          </w:p>
        </w:tc>
      </w:tr>
      <w:tr>
        <w:trPr>
          <w:trHeight w:val="144"/>
        </w:trPr>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93,437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377,379</w:t>
            </w: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10,198</w:t>
            </w:r>
          </w:p>
        </w:tc>
      </w:tr>
      <w:tr>
        <w:trPr>
          <w:trHeight w:val="133"/>
        </w:trPr>
        <w:tc>
          <w:tcPr>
            <w:tcW w:w="3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325,755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60,000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195,870</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581,625</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46,607</w:t>
            </w:r>
          </w:p>
        </w:tc>
      </w:tr>
      <w:tr>
        <w:trPr>
          <w:trHeight w:val="133"/>
        </w:trPr>
        <w:tc>
          <w:tcPr>
            <w:tcW w:w="36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Debt Discounts</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(9,083)</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(3,461)</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(12,719)</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(398)</w:t>
            </w:r>
          </w:p>
        </w:tc>
      </w:tr>
      <w:tr>
        <w:trPr>
          <w:trHeight w:val="133"/>
        </w:trPr>
        <w:tc>
          <w:tcPr>
            <w:tcW w:w="3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Book Value as of September 30, 2024</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316,672</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59,825</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192,409</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568,906</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46,209</w:t>
            </w:r>
          </w:p>
        </w:tc>
      </w:tr>
    </w:tbl>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Factors Affecting Sources of Liquidity</w:t>
      </w:r>
    </w:p>
    <w:p>
      <w:pPr>
        <w:spacing w:after="0" w:line="170" w:lineRule="exact"/>
        <w:rPr>
          <w:sz w:val="20"/>
          <w:szCs w:val="20"/>
          <w:color w:val="auto"/>
        </w:rPr>
      </w:pPr>
    </w:p>
    <w:p>
      <w:pPr>
        <w:ind w:left="20" w:right="1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Internally generated funds. </w:t>
      </w:r>
      <w:r>
        <w:rPr>
          <w:rFonts w:ascii="Times New Roman" w:cs="Times New Roman" w:eastAsia="Times New Roman" w:hAnsi="Times New Roman"/>
          <w:sz w:val="12"/>
          <w:szCs w:val="12"/>
          <w:color w:val="auto"/>
        </w:rPr>
        <w:t>The key factors affecting our internally generated funds are demand for our services, competition, regulatory developments, economic conditions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markets where we operate our businesses and industry trends within the telecommunications industry.</w:t>
      </w:r>
    </w:p>
    <w:p>
      <w:pPr>
        <w:spacing w:after="0" w:line="134" w:lineRule="exact"/>
        <w:rPr>
          <w:sz w:val="20"/>
          <w:szCs w:val="20"/>
          <w:color w:val="auto"/>
        </w:rPr>
      </w:pPr>
    </w:p>
    <w:p>
      <w:pPr>
        <w:jc w:val="both"/>
        <w:ind w:left="20" w:right="3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Restrictions under Credit Facility. </w:t>
      </w:r>
      <w:r>
        <w:rPr>
          <w:rFonts w:ascii="Times New Roman" w:cs="Times New Roman" w:eastAsia="Times New Roman" w:hAnsi="Times New Roman"/>
          <w:sz w:val="12"/>
          <w:szCs w:val="12"/>
          <w:color w:val="auto"/>
        </w:rPr>
        <w:t>Our 2023 CoBank Credit Facility contains customary representations, warranties and covenants, including covenants limiting additional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indebtedness, liens, guaranties, mergers and consolidations, substantial asset sales, investments and loans, sale and leasebacks, transactions with affiliates and fundamental changes.</w:t>
      </w:r>
    </w:p>
    <w:p>
      <w:pPr>
        <w:spacing w:after="0" w:line="136"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In addition, the 2023 CoBank Credit Facility contains a financial covenant that imposes a maximum ratio of indebtedness to EBITDA. As of September 30, 2024, we were in compliance with all of the financial covenants of the 2023 CoBank Credit Facility.</w:t>
      </w:r>
    </w:p>
    <w:p>
      <w:pPr>
        <w:spacing w:after="0" w:line="127" w:lineRule="exact"/>
        <w:rPr>
          <w:sz w:val="20"/>
          <w:szCs w:val="20"/>
          <w:color w:val="auto"/>
        </w:rPr>
      </w:pPr>
    </w:p>
    <w:p>
      <w:pPr>
        <w:ind w:left="20" w:right="1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Capital markets. </w:t>
      </w:r>
      <w:r>
        <w:rPr>
          <w:rFonts w:ascii="Times New Roman" w:cs="Times New Roman" w:eastAsia="Times New Roman" w:hAnsi="Times New Roman"/>
          <w:sz w:val="12"/>
          <w:szCs w:val="12"/>
          <w:color w:val="auto"/>
        </w:rPr>
        <w:t>Our ability to raise funds in the capital markets depends on, among other things, general economic conditions, the conditions of the telecommunications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industry, our financial performance, the state of the capital markets and our compliance with SEC requirements for the offering of securities. In August 2022, we filed a new “universal” shelf registration statement with the SEC, to register potential future offerings of up to $300 million of our securities.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w:t>
      </w:r>
    </w:p>
    <w:p>
      <w:pPr>
        <w:spacing w:after="0" w:line="181"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each of the three months ended September 30, 2024 and 2023, we recorded $0.1 million and $0.3 million, respectively, in losses on foreign currency transactions. During each of the nine months ended September 30, 2024 and 2023, we recorded $0.6 million and $0.9 million, respectively, in losses on foreign currency transactions. We will continue to assess the impact of our exposure to the Guyana Dollar.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Inflation</w:t>
      </w:r>
    </w:p>
    <w:p>
      <w:pPr>
        <w:spacing w:after="0" w:line="181"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Refer to Note 2.</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54" w:lineRule="exact"/>
        <w:rPr>
          <w:sz w:val="20"/>
          <w:szCs w:val="20"/>
          <w:color w:val="auto"/>
        </w:rPr>
      </w:pPr>
    </w:p>
    <w:p>
      <w:pPr>
        <w:ind w:left="20" w:right="299" w:firstLine="367"/>
        <w:spacing w:after="0" w:line="279" w:lineRule="auto"/>
        <w:rPr>
          <w:sz w:val="20"/>
          <w:szCs w:val="20"/>
          <w:color w:val="auto"/>
        </w:rPr>
      </w:pPr>
      <w:r>
        <w:rPr>
          <w:rFonts w:ascii="Times New Roman" w:cs="Times New Roman" w:eastAsia="Times New Roman" w:hAnsi="Times New Roman"/>
          <w:sz w:val="12"/>
          <w:szCs w:val="12"/>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2023.</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70" w:lineRule="exact"/>
        <w:rPr>
          <w:sz w:val="20"/>
          <w:szCs w:val="20"/>
          <w:color w:val="auto"/>
        </w:rPr>
      </w:pPr>
    </w:p>
    <w:p>
      <w:pPr>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Translation and Remeasurement. </w:t>
      </w:r>
      <w:r>
        <w:rPr>
          <w:rFonts w:ascii="Times New Roman" w:cs="Times New Roman" w:eastAsia="Times New Roman" w:hAnsi="Times New Roman"/>
          <w:sz w:val="12"/>
          <w:szCs w:val="12"/>
          <w:color w:val="auto"/>
        </w:rPr>
        <w:t>We translate the assets and liabilities of our foreign subsidiaries from their respective functional currencies, primarily the Guyana Dollar, to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14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consolidated statements of operations.</w:t>
      </w:r>
    </w:p>
    <w:p>
      <w:pPr>
        <w:spacing w:after="0" w:line="136"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Employee Benefit Plans. </w:t>
      </w:r>
      <w:r>
        <w:rPr>
          <w:rFonts w:ascii="Times New Roman" w:cs="Times New Roman" w:eastAsia="Times New Roman" w:hAnsi="Times New Roman"/>
          <w:sz w:val="12"/>
          <w:szCs w:val="12"/>
          <w:color w:val="auto"/>
        </w:rPr>
        <w:t>We sponsor pension and other postretirement benefit plans for employees of certain subsidiaries. Net periodic pension expense is recognized in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consolidated statements of operations. We recognize a pension or other postretirement plan’s funded status as either an asset or liability in our consolidated balance sheets. Actuarial gains and losses are reported as a component of other comprehensive income and amortized through other income in subsequent periods.</w:t>
      </w:r>
    </w:p>
    <w:p>
      <w:pPr>
        <w:spacing w:after="0" w:line="135" w:lineRule="exact"/>
        <w:rPr>
          <w:sz w:val="20"/>
          <w:szCs w:val="20"/>
          <w:color w:val="auto"/>
        </w:rPr>
      </w:pPr>
    </w:p>
    <w:p>
      <w:pPr>
        <w:ind w:left="20" w:right="15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Interest Rate Sensitivity. </w:t>
      </w:r>
      <w:r>
        <w:rPr>
          <w:rFonts w:ascii="Times New Roman" w:cs="Times New Roman" w:eastAsia="Times New Roman" w:hAnsi="Times New Roman"/>
          <w:sz w:val="12"/>
          <w:szCs w:val="12"/>
          <w:color w:val="auto"/>
        </w:rPr>
        <w:t>As of September 30, 2024, we had $245.9 million of variable rate debt outstanding, which is subject to fluctuations in interest rates. Our interest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 may be affected by changes in interest rates. We believe that a 100-basis-point change in the interest rates on our variable rate debt would result in a $2.5 million change in our annual interest expense. We may have additional exposure to fluctuations in interest rates if we again borrow amounts under our revolver loans within our credit facilities.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81" w:lineRule="exact"/>
        <w:rPr>
          <w:sz w:val="20"/>
          <w:szCs w:val="20"/>
          <w:color w:val="auto"/>
        </w:rPr>
      </w:pPr>
    </w:p>
    <w:p>
      <w:pPr>
        <w:ind w:left="20" w:right="59" w:firstLine="432"/>
        <w:spacing w:after="0" w:line="253"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evaluated the effectiveness of our disclosure controls and procedures as of September 30, 2024.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that occurred during the three months ended September 30, 2024 that have materially affected, or are reasonably likely to materially affect, our internal control over financial reporting.</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II—OTHER INFORMATION</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See Note 14 to the Unaudited Condensed Consolidated Financial Statements included in this Report.</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72" w:lineRule="exact"/>
        <w:rPr>
          <w:sz w:val="20"/>
          <w:szCs w:val="20"/>
          <w:color w:val="auto"/>
        </w:rPr>
      </w:pPr>
    </w:p>
    <w:p>
      <w:pPr>
        <w:jc w:val="both"/>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under Part I, Item 1A “Risk Factors” of our 2023 Annual Report on Form 10-K. The risks described herein and in our 2023 Annual Report on Form 10-K, as amended,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Purchases of Equity Securities by the Issuer</w:t>
      </w:r>
    </w:p>
    <w:p>
      <w:pPr>
        <w:spacing w:after="0" w:line="170"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December 14, 2023, our Board of Directors authorized the repurchase of up to $25.0 million of our common stock, from time to time, on the open market or in privately negotiated transactions (the “2023 Repurchase Plan”). We did not repurchase any of our common stock during the three months ended September 30, 2024 and have $15.0 million available to be repurchased under the 2023 Repurchase Plan as of September 30, 2024.</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Rule 10b5-1 Trading Arrangements</w:t>
      </w:r>
    </w:p>
    <w:p>
      <w:pPr>
        <w:spacing w:after="0" w:line="17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While the Company does allow for its officers and directors to enter into trading arrangements intended to satisfy the affirmative defense conditions of Rule 10b5-1 with the Company’s prior approval, during the quarter ended September 30, 2024, none of the Company's directors or officers informed the Company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138"/>
        </w:trPr>
        <w:tc>
          <w:tcPr>
            <w:tcW w:w="8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7"/>
              </w:rPr>
              <w:t>Table of Contents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862"/>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9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3"/>
        </w:trPr>
        <w:tc>
          <w:tcPr>
            <w:tcW w:w="8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10.1</w:t>
            </w:r>
          </w:p>
        </w:tc>
        <w:tc>
          <w:tcPr>
            <w:tcW w:w="280" w:type="dxa"/>
            <w:vAlign w:val="bottom"/>
          </w:tcPr>
          <w:p>
            <w:pPr>
              <w:spacing w:after="0"/>
              <w:rPr>
                <w:sz w:val="24"/>
                <w:szCs w:val="24"/>
                <w:color w:val="auto"/>
              </w:rPr>
            </w:pPr>
          </w:p>
        </w:tc>
        <w:tc>
          <w:tcPr>
            <w:tcW w:w="7620" w:type="dxa"/>
            <w:vAlign w:val="bottom"/>
            <w:tcBorders>
              <w:bottom w:val="single" w:sz="8" w:color="0000EE"/>
            </w:tcBorders>
            <w:gridSpan w:val="8"/>
          </w:tcPr>
          <w:p>
            <w:pPr>
              <w:spacing w:after="0"/>
              <w:rPr>
                <w:rFonts w:ascii="Times New Roman" w:cs="Times New Roman" w:eastAsia="Times New Roman" w:hAnsi="Times New Roman"/>
                <w:sz w:val="12"/>
                <w:szCs w:val="12"/>
                <w:color w:val="0000EE"/>
              </w:rPr>
            </w:pPr>
            <w:hyperlink r:id="rId99">
              <w:r>
                <w:rPr>
                  <w:rFonts w:ascii="Times New Roman" w:cs="Times New Roman" w:eastAsia="Times New Roman" w:hAnsi="Times New Roman"/>
                  <w:sz w:val="12"/>
                  <w:szCs w:val="12"/>
                  <w:color w:val="0000EE"/>
                </w:rPr>
                <w:t>Joinder, Consent, First Amendment and Reaffirmation Agreement, dated July 10, 2024, among ATN International, Inc as Borrower, SWC Telesolutions, Inc.,</w:t>
              </w:r>
            </w:hyperlink>
          </w:p>
        </w:tc>
        <w:tc>
          <w:tcPr>
            <w:tcW w:w="180" w:type="dxa"/>
            <w:vAlign w:val="bottom"/>
            <w:gridSpan w:val="4"/>
          </w:tcPr>
          <w:p>
            <w:pPr>
              <w:spacing w:after="0"/>
              <w:rPr>
                <w:sz w:val="24"/>
                <w:szCs w:val="24"/>
                <w:color w:val="auto"/>
              </w:rPr>
            </w:pP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70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99">
              <w:r>
                <w:rPr>
                  <w:rFonts w:ascii="Times New Roman" w:cs="Times New Roman" w:eastAsia="Times New Roman" w:hAnsi="Times New Roman"/>
                  <w:sz w:val="12"/>
                  <w:szCs w:val="12"/>
                  <w:color w:val="0000EE"/>
                  <w:w w:val="99"/>
                </w:rPr>
                <w:t>ATN International Telecom Group, LLC, CoBank, ACB, as Administrative Agent, Fifth Third Bank, N.A., MUFG Bank, Ltd. and the Guarantors party thereto,</w:t>
              </w:r>
            </w:hyperlink>
          </w:p>
        </w:tc>
        <w:tc>
          <w:tcPr>
            <w:tcW w:w="10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0" w:type="dxa"/>
            <w:vAlign w:val="bottom"/>
            <w:gridSpan w:val="12"/>
          </w:tcPr>
          <w:p>
            <w:pPr>
              <w:spacing w:after="0" w:line="124" w:lineRule="exact"/>
              <w:rPr>
                <w:rFonts w:ascii="Times New Roman" w:cs="Times New Roman" w:eastAsia="Times New Roman" w:hAnsi="Times New Roman"/>
                <w:sz w:val="12"/>
                <w:szCs w:val="12"/>
                <w:color w:val="0000EE"/>
              </w:rPr>
            </w:pPr>
            <w:hyperlink r:id="rId99">
              <w:r>
                <w:rPr>
                  <w:rFonts w:ascii="Times New Roman" w:cs="Times New Roman" w:eastAsia="Times New Roman" w:hAnsi="Times New Roman"/>
                  <w:sz w:val="12"/>
                  <w:szCs w:val="12"/>
                  <w:color w:val="0000EE"/>
                </w:rPr>
                <w:t>incorporated by reference to Exhibit 10.1 to the Company’s Quarterly Report on Form 10-Q (file No. 001-12593) filed on August 9, 2024.</w:t>
              </w:r>
            </w:hyperlink>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860" w:type="dxa"/>
            <w:vAlign w:val="bottom"/>
          </w:tcPr>
          <w:p>
            <w:pPr>
              <w:jc w:val="center"/>
              <w:ind w:left="20"/>
              <w:spacing w:after="0" w:line="124" w:lineRule="exact"/>
              <w:rPr>
                <w:sz w:val="20"/>
                <w:szCs w:val="20"/>
                <w:color w:val="auto"/>
              </w:rPr>
            </w:pPr>
            <w:r>
              <w:rPr>
                <w:rFonts w:ascii="Times New Roman" w:cs="Times New Roman" w:eastAsia="Times New Roman" w:hAnsi="Times New Roman"/>
                <w:sz w:val="12"/>
                <w:szCs w:val="12"/>
                <w:color w:val="auto"/>
              </w:rPr>
              <w:t>10.2</w:t>
            </w:r>
          </w:p>
        </w:tc>
        <w:tc>
          <w:tcPr>
            <w:tcW w:w="280" w:type="dxa"/>
            <w:vAlign w:val="bottom"/>
          </w:tcPr>
          <w:p>
            <w:pPr>
              <w:spacing w:after="0"/>
              <w:rPr>
                <w:sz w:val="10"/>
                <w:szCs w:val="10"/>
                <w:color w:val="auto"/>
              </w:rPr>
            </w:pPr>
          </w:p>
        </w:tc>
        <w:tc>
          <w:tcPr>
            <w:tcW w:w="760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100">
              <w:r>
                <w:rPr>
                  <w:rFonts w:ascii="Times New Roman" w:cs="Times New Roman" w:eastAsia="Times New Roman" w:hAnsi="Times New Roman"/>
                  <w:sz w:val="12"/>
                  <w:szCs w:val="12"/>
                  <w:color w:val="0000EE"/>
                  <w:w w:val="99"/>
                </w:rPr>
                <w:t>Credit Agreement, dated as of August 29, 2024 among Alaska Communications Systems Group, Inc., as borrower (the “Borrower”), and its holding company,</w:t>
              </w:r>
            </w:hyperlink>
          </w:p>
        </w:tc>
        <w:tc>
          <w:tcPr>
            <w:tcW w:w="200" w:type="dxa"/>
            <w:vAlign w:val="bottom"/>
            <w:gridSpan w:val="5"/>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70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100">
              <w:r>
                <w:rPr>
                  <w:rFonts w:ascii="Times New Roman" w:cs="Times New Roman" w:eastAsia="Times New Roman" w:hAnsi="Times New Roman"/>
                  <w:sz w:val="12"/>
                  <w:szCs w:val="12"/>
                  <w:color w:val="0000EE"/>
                  <w:w w:val="99"/>
                </w:rPr>
                <w:t>Alaska Management, Inc. (“Holdings”), and certain of Holdings’ direct and indirect subsidiaries, as guarantors, Bank of America, N.A., as administrative agent,</w:t>
              </w:r>
            </w:hyperlink>
          </w:p>
        </w:tc>
        <w:tc>
          <w:tcPr>
            <w:tcW w:w="10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0" w:type="dxa"/>
            <w:vAlign w:val="bottom"/>
            <w:gridSpan w:val="12"/>
          </w:tcPr>
          <w:p>
            <w:pPr>
              <w:spacing w:after="0" w:line="124" w:lineRule="exact"/>
              <w:rPr>
                <w:rFonts w:ascii="Times New Roman" w:cs="Times New Roman" w:eastAsia="Times New Roman" w:hAnsi="Times New Roman"/>
                <w:sz w:val="12"/>
                <w:szCs w:val="12"/>
                <w:color w:val="0000EE"/>
              </w:rPr>
            </w:pPr>
            <w:hyperlink r:id="rId100">
              <w:r>
                <w:rPr>
                  <w:rFonts w:ascii="Times New Roman" w:cs="Times New Roman" w:eastAsia="Times New Roman" w:hAnsi="Times New Roman"/>
                  <w:sz w:val="12"/>
                  <w:szCs w:val="12"/>
                  <w:color w:val="0000EE"/>
                </w:rPr>
                <w:t>an L/C issuer and swing line lender, Fifth Third Bank, National Association, as an L/C issuer, the lenders party thereto, and BofA Securities, Inc, Fifth Third</w:t>
              </w:r>
            </w:hyperlink>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100">
              <w:r>
                <w:rPr>
                  <w:rFonts w:ascii="Times New Roman" w:cs="Times New Roman" w:eastAsia="Times New Roman" w:hAnsi="Times New Roman"/>
                  <w:sz w:val="12"/>
                  <w:szCs w:val="12"/>
                  <w:color w:val="0000EE"/>
                  <w:w w:val="99"/>
                </w:rPr>
                <w:t>Bank, National Association, BMO Bank NA, The Huntington Bank National Association, and MUFG Bank Ltd., as joint lead arrangers, and BofA Securities, Inc,</w:t>
              </w:r>
            </w:hyperlink>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74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100">
              <w:r>
                <w:rPr>
                  <w:rFonts w:ascii="Times New Roman" w:cs="Times New Roman" w:eastAsia="Times New Roman" w:hAnsi="Times New Roman"/>
                  <w:sz w:val="12"/>
                  <w:szCs w:val="12"/>
                  <w:color w:val="0000EE"/>
                  <w:w w:val="99"/>
                </w:rPr>
                <w:t>Fifth Third Bank, National Association, and MUFG Union Bank, N.A., as joint bookrunners, and Fifth Third Bank, National Association, and MUFG Bank Ltd.,</w:t>
              </w:r>
            </w:hyperlink>
          </w:p>
        </w:tc>
        <w:tc>
          <w:tcPr>
            <w:tcW w:w="60" w:type="dxa"/>
            <w:vAlign w:val="bottom"/>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52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rPr>
            </w:pPr>
            <w:hyperlink r:id="rId100">
              <w:r>
                <w:rPr>
                  <w:rFonts w:ascii="Times New Roman" w:cs="Times New Roman" w:eastAsia="Times New Roman" w:hAnsi="Times New Roman"/>
                  <w:sz w:val="12"/>
                  <w:szCs w:val="12"/>
                  <w:color w:val="0000EE"/>
                </w:rPr>
                <w:t>as co-syndication agents, and BMO Bank NA, The Huntington Bank National Association and CoBank ACB, as co-documentation agents, incorporated by</w:t>
              </w:r>
            </w:hyperlink>
          </w:p>
        </w:tc>
        <w:tc>
          <w:tcPr>
            <w:tcW w:w="280" w:type="dxa"/>
            <w:vAlign w:val="bottom"/>
            <w:gridSpan w:val="6"/>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0" w:type="dxa"/>
            <w:vAlign w:val="bottom"/>
            <w:gridSpan w:val="12"/>
          </w:tcPr>
          <w:p>
            <w:pPr>
              <w:spacing w:after="0" w:line="124" w:lineRule="exact"/>
              <w:rPr>
                <w:rFonts w:ascii="Times New Roman" w:cs="Times New Roman" w:eastAsia="Times New Roman" w:hAnsi="Times New Roman"/>
                <w:sz w:val="12"/>
                <w:szCs w:val="12"/>
                <w:color w:val="0000EE"/>
              </w:rPr>
            </w:pPr>
            <w:hyperlink r:id="rId100">
              <w:r>
                <w:rPr>
                  <w:rFonts w:ascii="Times New Roman" w:cs="Times New Roman" w:eastAsia="Times New Roman" w:hAnsi="Times New Roman"/>
                  <w:sz w:val="12"/>
                  <w:szCs w:val="12"/>
                  <w:color w:val="0000EE"/>
                </w:rPr>
                <w:t>reference to Exhibit 10.1 to the Company’s Current Report on Form 8-K (file No. 001-12593) filed on August 29, 2024.</w:t>
              </w:r>
            </w:hyperlink>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24"/>
        </w:trPr>
        <w:tc>
          <w:tcPr>
            <w:tcW w:w="860" w:type="dxa"/>
            <w:vAlign w:val="bottom"/>
          </w:tcPr>
          <w:p>
            <w:pPr>
              <w:jc w:val="center"/>
              <w:ind w:left="20"/>
              <w:spacing w:after="0" w:line="124" w:lineRule="exact"/>
              <w:rPr>
                <w:sz w:val="20"/>
                <w:szCs w:val="20"/>
                <w:color w:val="auto"/>
              </w:rPr>
            </w:pPr>
            <w:r>
              <w:rPr>
                <w:rFonts w:ascii="Times New Roman" w:cs="Times New Roman" w:eastAsia="Times New Roman" w:hAnsi="Times New Roman"/>
                <w:sz w:val="12"/>
                <w:szCs w:val="12"/>
                <w:color w:val="auto"/>
                <w:w w:val="96"/>
              </w:rPr>
              <w:t>31.1*</w:t>
            </w:r>
          </w:p>
        </w:tc>
        <w:tc>
          <w:tcPr>
            <w:tcW w:w="280" w:type="dxa"/>
            <w:vAlign w:val="bottom"/>
          </w:tcPr>
          <w:p>
            <w:pPr>
              <w:spacing w:after="0"/>
              <w:rPr>
                <w:sz w:val="10"/>
                <w:szCs w:val="10"/>
                <w:color w:val="auto"/>
              </w:rPr>
            </w:pPr>
          </w:p>
        </w:tc>
        <w:tc>
          <w:tcPr>
            <w:tcW w:w="78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Certification of Chief Executive Officer pursuant to Rule 13a-14(a) of the Securities Exchange Act of 1934, as adopted pursuant to Section 302 of the Sarbanes-</w:t>
            </w: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Oxley Act of 2002.</w:t>
            </w:r>
          </w:p>
        </w:tc>
        <w:tc>
          <w:tcPr>
            <w:tcW w:w="6760" w:type="dxa"/>
            <w:vAlign w:val="bottom"/>
            <w:tcBorders>
              <w:top w:val="single" w:sz="8" w:color="0000EE"/>
            </w:tcBorders>
            <w:gridSpan w:val="9"/>
          </w:tcPr>
          <w:p>
            <w:pPr>
              <w:spacing w:after="0"/>
              <w:rPr>
                <w:sz w:val="10"/>
                <w:szCs w:val="10"/>
                <w:color w:val="auto"/>
              </w:rPr>
            </w:pPr>
          </w:p>
        </w:tc>
        <w:tc>
          <w:tcPr>
            <w:tcW w:w="100" w:type="dxa"/>
            <w:vAlign w:val="bottom"/>
            <w:gridSpan w:val="2"/>
          </w:tcPr>
          <w:p>
            <w:pPr>
              <w:spacing w:after="0"/>
              <w:rPr>
                <w:sz w:val="10"/>
                <w:szCs w:val="10"/>
                <w:color w:val="auto"/>
              </w:rPr>
            </w:pPr>
          </w:p>
        </w:tc>
      </w:tr>
      <w:tr>
        <w:trPr>
          <w:trHeight w:val="124"/>
        </w:trPr>
        <w:tc>
          <w:tcPr>
            <w:tcW w:w="860" w:type="dxa"/>
            <w:vAlign w:val="bottom"/>
          </w:tcPr>
          <w:p>
            <w:pPr>
              <w:jc w:val="center"/>
              <w:ind w:left="20"/>
              <w:spacing w:after="0" w:line="124" w:lineRule="exact"/>
              <w:rPr>
                <w:sz w:val="20"/>
                <w:szCs w:val="20"/>
                <w:color w:val="auto"/>
              </w:rPr>
            </w:pPr>
            <w:r>
              <w:rPr>
                <w:rFonts w:ascii="Times New Roman" w:cs="Times New Roman" w:eastAsia="Times New Roman" w:hAnsi="Times New Roman"/>
                <w:sz w:val="12"/>
                <w:szCs w:val="12"/>
                <w:color w:val="auto"/>
                <w:w w:val="96"/>
              </w:rPr>
              <w:t>31.2*</w:t>
            </w:r>
          </w:p>
        </w:tc>
        <w:tc>
          <w:tcPr>
            <w:tcW w:w="280" w:type="dxa"/>
            <w:vAlign w:val="bottom"/>
          </w:tcPr>
          <w:p>
            <w:pPr>
              <w:spacing w:after="0"/>
              <w:rPr>
                <w:sz w:val="10"/>
                <w:szCs w:val="10"/>
                <w:color w:val="auto"/>
              </w:rPr>
            </w:pPr>
          </w:p>
        </w:tc>
        <w:tc>
          <w:tcPr>
            <w:tcW w:w="780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0000EE"/>
              </w:rPr>
              <w:t>Certification of Chief Financial Officer pursuant to Rule 13a-14(a) of the Securities Exchange Act of 1934, as adopted pursuant to Section 302 of the Sarbanes-</w:t>
            </w:r>
          </w:p>
        </w:tc>
      </w:tr>
      <w:tr>
        <w:trPr>
          <w:trHeight w:val="124"/>
        </w:trPr>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Oxley Act of 2002.</w:t>
            </w:r>
          </w:p>
        </w:tc>
        <w:tc>
          <w:tcPr>
            <w:tcW w:w="6720" w:type="dxa"/>
            <w:vAlign w:val="bottom"/>
            <w:tcBorders>
              <w:top w:val="single" w:sz="8" w:color="0000EE"/>
            </w:tcBorders>
            <w:gridSpan w:val="8"/>
          </w:tcPr>
          <w:p>
            <w:pPr>
              <w:spacing w:after="0"/>
              <w:rPr>
                <w:sz w:val="10"/>
                <w:szCs w:val="10"/>
                <w:color w:val="auto"/>
              </w:rPr>
            </w:pPr>
          </w:p>
        </w:tc>
        <w:tc>
          <w:tcPr>
            <w:tcW w:w="140" w:type="dxa"/>
            <w:vAlign w:val="bottom"/>
            <w:gridSpan w:val="3"/>
          </w:tcPr>
          <w:p>
            <w:pPr>
              <w:spacing w:after="0"/>
              <w:rPr>
                <w:sz w:val="10"/>
                <w:szCs w:val="10"/>
                <w:color w:val="auto"/>
              </w:rPr>
            </w:pPr>
          </w:p>
        </w:tc>
      </w:tr>
      <w:tr>
        <w:trPr>
          <w:trHeight w:val="124"/>
        </w:trPr>
        <w:tc>
          <w:tcPr>
            <w:tcW w:w="860" w:type="dxa"/>
            <w:vAlign w:val="bottom"/>
          </w:tcPr>
          <w:p>
            <w:pPr>
              <w:jc w:val="center"/>
              <w:ind w:left="20"/>
              <w:spacing w:after="0" w:line="124" w:lineRule="exact"/>
              <w:rPr>
                <w:sz w:val="20"/>
                <w:szCs w:val="20"/>
                <w:color w:val="auto"/>
              </w:rPr>
            </w:pPr>
            <w:r>
              <w:rPr>
                <w:rFonts w:ascii="Times New Roman" w:cs="Times New Roman" w:eastAsia="Times New Roman" w:hAnsi="Times New Roman"/>
                <w:sz w:val="12"/>
                <w:szCs w:val="12"/>
                <w:color w:val="auto"/>
              </w:rPr>
              <w:t>32.1**</w:t>
            </w:r>
          </w:p>
        </w:tc>
        <w:tc>
          <w:tcPr>
            <w:tcW w:w="280" w:type="dxa"/>
            <w:vAlign w:val="bottom"/>
          </w:tcPr>
          <w:p>
            <w:pPr>
              <w:spacing w:after="0"/>
              <w:rPr>
                <w:sz w:val="10"/>
                <w:szCs w:val="10"/>
                <w:color w:val="auto"/>
              </w:rPr>
            </w:pPr>
          </w:p>
        </w:tc>
        <w:tc>
          <w:tcPr>
            <w:tcW w:w="704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9"/>
              </w:rPr>
              <w:t>Certification of Chief Executive Officer pursuant to 18 USC Section 1350, as adopted pursuant to Section 906 of the Sarbanes-Oxley Act of 2002.</w:t>
            </w:r>
          </w:p>
        </w:tc>
        <w:tc>
          <w:tcPr>
            <w:tcW w:w="760" w:type="dxa"/>
            <w:vAlign w:val="bottom"/>
            <w:gridSpan w:val="7"/>
          </w:tcPr>
          <w:p>
            <w:pPr>
              <w:spacing w:after="0"/>
              <w:rPr>
                <w:sz w:val="10"/>
                <w:szCs w:val="10"/>
                <w:color w:val="auto"/>
              </w:rPr>
            </w:pPr>
          </w:p>
        </w:tc>
      </w:tr>
      <w:tr>
        <w:trPr>
          <w:trHeight w:val="124"/>
        </w:trPr>
        <w:tc>
          <w:tcPr>
            <w:tcW w:w="860" w:type="dxa"/>
            <w:vAlign w:val="bottom"/>
          </w:tcPr>
          <w:p>
            <w:pPr>
              <w:jc w:val="center"/>
              <w:ind w:left="20"/>
              <w:spacing w:after="0" w:line="124" w:lineRule="exact"/>
              <w:rPr>
                <w:sz w:val="20"/>
                <w:szCs w:val="20"/>
                <w:color w:val="auto"/>
              </w:rPr>
            </w:pPr>
            <w:r>
              <w:rPr>
                <w:rFonts w:ascii="Times New Roman" w:cs="Times New Roman" w:eastAsia="Times New Roman" w:hAnsi="Times New Roman"/>
                <w:sz w:val="12"/>
                <w:szCs w:val="12"/>
                <w:color w:val="auto"/>
              </w:rPr>
              <w:t>32.2**</w:t>
            </w:r>
          </w:p>
        </w:tc>
        <w:tc>
          <w:tcPr>
            <w:tcW w:w="280" w:type="dxa"/>
            <w:vAlign w:val="bottom"/>
          </w:tcPr>
          <w:p>
            <w:pPr>
              <w:spacing w:after="0"/>
              <w:rPr>
                <w:sz w:val="10"/>
                <w:szCs w:val="10"/>
                <w:color w:val="auto"/>
              </w:rPr>
            </w:pPr>
          </w:p>
        </w:tc>
        <w:tc>
          <w:tcPr>
            <w:tcW w:w="7000" w:type="dxa"/>
            <w:vAlign w:val="bottom"/>
            <w:tcBorders>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Certification of Chief Financial Officer pursuant to 18 USC Section 1350, as adopted pursuant to Section 906 of the Sarbanes-Oxley Act of 2002.</w:t>
            </w:r>
          </w:p>
        </w:tc>
        <w:tc>
          <w:tcPr>
            <w:tcW w:w="800" w:type="dxa"/>
            <w:vAlign w:val="bottom"/>
            <w:gridSpan w:val="8"/>
          </w:tcPr>
          <w:p>
            <w:pPr>
              <w:spacing w:after="0"/>
              <w:rPr>
                <w:sz w:val="10"/>
                <w:szCs w:val="10"/>
                <w:color w:val="auto"/>
              </w:rPr>
            </w:pPr>
          </w:p>
        </w:tc>
      </w:tr>
      <w:tr>
        <w:trPr>
          <w:trHeight w:val="140"/>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101.INS</w:t>
            </w:r>
          </w:p>
        </w:tc>
        <w:tc>
          <w:tcPr>
            <w:tcW w:w="780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its XBRL tags are embedded within the Inline</w:t>
            </w:r>
          </w:p>
        </w:tc>
      </w:tr>
      <w:tr>
        <w:trPr>
          <w:trHeight w:val="144"/>
        </w:trPr>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XBRL document</w:t>
            </w:r>
          </w:p>
        </w:tc>
      </w:tr>
      <w:tr>
        <w:trPr>
          <w:trHeight w:val="144"/>
        </w:trPr>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101.SCH*</w:t>
            </w:r>
          </w:p>
        </w:tc>
        <w:tc>
          <w:tcPr>
            <w:tcW w:w="780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144"/>
        </w:trPr>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7"/>
              </w:rPr>
              <w:t>101.CAL*</w:t>
            </w:r>
          </w:p>
        </w:tc>
        <w:tc>
          <w:tcPr>
            <w:tcW w:w="780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144"/>
        </w:trPr>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101.DEF*</w:t>
            </w:r>
          </w:p>
        </w:tc>
        <w:tc>
          <w:tcPr>
            <w:tcW w:w="780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144"/>
        </w:trPr>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7"/>
              </w:rPr>
              <w:t>101.LAB*</w:t>
            </w:r>
          </w:p>
        </w:tc>
        <w:tc>
          <w:tcPr>
            <w:tcW w:w="780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155"/>
        </w:trPr>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101.PRE*</w:t>
            </w:r>
          </w:p>
        </w:tc>
        <w:tc>
          <w:tcPr>
            <w:tcW w:w="780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bl>
    <w:p>
      <w:pPr>
        <w:ind w:left="1160" w:hanging="765"/>
        <w:spacing w:after="0"/>
        <w:tabs>
          <w:tab w:leader="none" w:pos="1160"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and embedded within Exhibit 101).</w:t>
      </w:r>
    </w:p>
    <w:p>
      <w:pPr>
        <w:spacing w:after="0" w:line="157" w:lineRule="exact"/>
        <w:rPr>
          <w:rFonts w:ascii="Times New Roman" w:cs="Times New Roman" w:eastAsia="Times New Roman" w:hAnsi="Times New Roman"/>
          <w:sz w:val="12"/>
          <w:szCs w:val="12"/>
          <w:color w:val="auto"/>
        </w:rPr>
      </w:pPr>
    </w:p>
    <w:p>
      <w:pPr>
        <w:ind w:left="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Filed herewith.</w:t>
      </w:r>
    </w:p>
    <w:p>
      <w:pPr>
        <w:spacing w:after="0" w:line="150" w:lineRule="exact"/>
        <w:rPr>
          <w:rFonts w:ascii="Times New Roman" w:cs="Times New Roman" w:eastAsia="Times New Roman" w:hAnsi="Times New Roman"/>
          <w:sz w:val="12"/>
          <w:szCs w:val="12"/>
          <w:color w:val="auto"/>
        </w:rPr>
      </w:pPr>
    </w:p>
    <w:p>
      <w:pPr>
        <w:ind w:left="20" w:right="179" w:firstLine="2"/>
        <w:spacing w:after="0" w:line="279" w:lineRule="auto"/>
        <w:tabs>
          <w:tab w:leader="none" w:pos="17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80" w:right="1440"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right="51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12, 2024</w:t>
            </w:r>
          </w:p>
        </w:tc>
        <w:tc>
          <w:tcPr>
            <w:tcW w:w="16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Brad W. Martin</w:t>
            </w:r>
          </w:p>
        </w:tc>
      </w:tr>
      <w:tr>
        <w:trPr>
          <w:trHeight w:val="122"/>
        </w:trPr>
        <w:tc>
          <w:tcPr>
            <w:tcW w:w="28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4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Brad W. Martin</w:t>
            </w:r>
          </w:p>
        </w:tc>
      </w:tr>
      <w:tr>
        <w:trPr>
          <w:trHeight w:val="155"/>
        </w:trPr>
        <w:tc>
          <w:tcPr>
            <w:tcW w:w="2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12, 2024</w:t>
            </w:r>
          </w:p>
        </w:tc>
        <w:tc>
          <w:tcPr>
            <w:tcW w:w="16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Carlos R. Doglioli</w:t>
            </w:r>
          </w:p>
        </w:tc>
      </w:tr>
      <w:tr>
        <w:trPr>
          <w:trHeight w:val="122"/>
        </w:trPr>
        <w:tc>
          <w:tcPr>
            <w:tcW w:w="28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4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Carlos R. Doglioli</w:t>
            </w:r>
          </w:p>
        </w:tc>
      </w:tr>
      <w:tr>
        <w:trPr>
          <w:trHeight w:val="155"/>
        </w:trPr>
        <w:tc>
          <w:tcPr>
            <w:tcW w:w="2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729"/>
        </w:trPr>
        <w:tc>
          <w:tcPr>
            <w:tcW w:w="2840" w:type="dxa"/>
            <w:vAlign w:val="bottom"/>
          </w:tcPr>
          <w:p>
            <w:pPr>
              <w:spacing w:after="0"/>
              <w:rPr>
                <w:sz w:val="24"/>
                <w:szCs w:val="24"/>
                <w:color w:val="auto"/>
              </w:rPr>
            </w:pPr>
          </w:p>
        </w:tc>
        <w:tc>
          <w:tcPr>
            <w:tcW w:w="6120" w:type="dxa"/>
            <w:vAlign w:val="bottom"/>
            <w:gridSpan w:val="2"/>
          </w:tcPr>
          <w:p>
            <w:pPr>
              <w:jc w:val="right"/>
              <w:ind w:right="4360"/>
              <w:spacing w:after="0"/>
              <w:rPr>
                <w:sz w:val="20"/>
                <w:szCs w:val="20"/>
                <w:color w:val="auto"/>
              </w:rPr>
            </w:pPr>
            <w:r>
              <w:rPr>
                <w:rFonts w:ascii="Times New Roman" w:cs="Times New Roman" w:eastAsia="Times New Roman" w:hAnsi="Times New Roman"/>
                <w:sz w:val="12"/>
                <w:szCs w:val="12"/>
                <w:color w:val="auto"/>
              </w:rPr>
              <w:t>77</w:t>
            </w:r>
          </w:p>
        </w:tc>
      </w:tr>
      <w:tr>
        <w:trPr>
          <w:trHeight w:val="367"/>
        </w:trPr>
        <w:tc>
          <w:tcPr>
            <w:tcW w:w="2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 13a-14(a) OR RULE 15d-14(a),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Brad W. Martin, certify that:</w:t>
      </w:r>
    </w:p>
    <w:p>
      <w:pPr>
        <w:spacing w:after="0" w:line="150" w:lineRule="exact"/>
        <w:rPr>
          <w:sz w:val="20"/>
          <w:szCs w:val="20"/>
          <w:color w:val="auto"/>
        </w:rPr>
      </w:pPr>
    </w:p>
    <w:p>
      <w:pPr>
        <w:ind w:left="580" w:hanging="295"/>
        <w:spacing w:after="0"/>
        <w:tabs>
          <w:tab w:leader="none" w:pos="5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ATN International, Inc.;</w:t>
      </w:r>
    </w:p>
    <w:p>
      <w:pPr>
        <w:spacing w:after="0" w:line="105" w:lineRule="exact"/>
        <w:rPr>
          <w:rFonts w:ascii="Times New Roman" w:cs="Times New Roman" w:eastAsia="Times New Roman" w:hAnsi="Times New Roman"/>
          <w:sz w:val="12"/>
          <w:szCs w:val="12"/>
          <w:color w:val="auto"/>
        </w:rPr>
      </w:pPr>
    </w:p>
    <w:p>
      <w:pPr>
        <w:ind w:left="580" w:right="200" w:hanging="295"/>
        <w:spacing w:after="0" w:line="279" w:lineRule="auto"/>
        <w:tabs>
          <w:tab w:leader="none" w:pos="5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12"/>
          <w:szCs w:val="12"/>
          <w:color w:val="auto"/>
        </w:rPr>
      </w:pPr>
    </w:p>
    <w:p>
      <w:pPr>
        <w:ind w:left="580" w:right="20" w:hanging="295"/>
        <w:spacing w:after="0" w:line="279" w:lineRule="auto"/>
        <w:tabs>
          <w:tab w:leader="none" w:pos="5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12"/>
          <w:szCs w:val="12"/>
          <w:color w:val="auto"/>
        </w:rPr>
      </w:pPr>
    </w:p>
    <w:p>
      <w:pPr>
        <w:ind w:left="580" w:right="300" w:hanging="295"/>
        <w:spacing w:after="0" w:line="279" w:lineRule="auto"/>
        <w:tabs>
          <w:tab w:leader="none" w:pos="5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12"/>
          <w:szCs w:val="12"/>
          <w:color w:val="auto"/>
        </w:rPr>
      </w:pPr>
    </w:p>
    <w:p>
      <w:pPr>
        <w:ind w:left="1240" w:right="160" w:hanging="289"/>
        <w:spacing w:after="0" w:line="279" w:lineRule="auto"/>
        <w:tabs>
          <w:tab w:leader="none" w:pos="124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12"/>
          <w:szCs w:val="12"/>
          <w:color w:val="auto"/>
        </w:rPr>
      </w:pPr>
    </w:p>
    <w:p>
      <w:pPr>
        <w:ind w:left="1240" w:right="340" w:hanging="289"/>
        <w:spacing w:after="0" w:line="279" w:lineRule="auto"/>
        <w:tabs>
          <w:tab w:leader="none" w:pos="124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12"/>
          <w:szCs w:val="12"/>
          <w:color w:val="auto"/>
        </w:rPr>
      </w:pPr>
    </w:p>
    <w:p>
      <w:pPr>
        <w:ind w:left="1240" w:right="500" w:hanging="289"/>
        <w:spacing w:after="0" w:line="279" w:lineRule="auto"/>
        <w:tabs>
          <w:tab w:leader="none" w:pos="124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12"/>
          <w:szCs w:val="12"/>
          <w:color w:val="auto"/>
        </w:rPr>
      </w:pPr>
    </w:p>
    <w:p>
      <w:pPr>
        <w:ind w:left="1240" w:right="200" w:hanging="289"/>
        <w:spacing w:after="0" w:line="279" w:lineRule="auto"/>
        <w:tabs>
          <w:tab w:leader="none" w:pos="124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2"/>
          <w:szCs w:val="12"/>
          <w:color w:val="auto"/>
        </w:rPr>
      </w:pPr>
    </w:p>
    <w:p>
      <w:pPr>
        <w:ind w:left="580" w:right="80" w:hanging="295"/>
        <w:spacing w:after="0" w:line="279" w:lineRule="auto"/>
        <w:tabs>
          <w:tab w:leader="none" w:pos="5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12"/>
          <w:szCs w:val="12"/>
          <w:color w:val="auto"/>
        </w:rPr>
      </w:pPr>
    </w:p>
    <w:p>
      <w:pPr>
        <w:ind w:left="1240" w:right="240" w:hanging="289"/>
        <w:spacing w:after="0" w:line="279" w:lineRule="auto"/>
        <w:tabs>
          <w:tab w:leader="none" w:pos="124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12"/>
          <w:szCs w:val="12"/>
          <w:color w:val="auto"/>
        </w:rPr>
      </w:pPr>
    </w:p>
    <w:p>
      <w:pPr>
        <w:ind w:left="1240" w:hanging="289"/>
        <w:spacing w:after="0"/>
        <w:tabs>
          <w:tab w:leader="none" w:pos="124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12, 2024</w:t>
            </w:r>
          </w:p>
        </w:tc>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Brad W. Martin</w:t>
            </w:r>
          </w:p>
        </w:tc>
      </w:tr>
      <w:tr>
        <w:trPr>
          <w:trHeight w:val="122"/>
        </w:trPr>
        <w:tc>
          <w:tcPr>
            <w:tcW w:w="5480" w:type="dxa"/>
            <w:vAlign w:val="bottom"/>
          </w:tcPr>
          <w:p>
            <w:pPr>
              <w:spacing w:after="0"/>
              <w:rPr>
                <w:sz w:val="10"/>
                <w:szCs w:val="10"/>
                <w:color w:val="auto"/>
              </w:rPr>
            </w:pPr>
          </w:p>
        </w:tc>
        <w:tc>
          <w:tcPr>
            <w:tcW w:w="48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Brad W. Martin</w:t>
            </w:r>
          </w:p>
        </w:tc>
        <w:tc>
          <w:tcPr>
            <w:tcW w:w="20" w:type="dxa"/>
            <w:vAlign w:val="bottom"/>
          </w:tcPr>
          <w:p>
            <w:pPr>
              <w:spacing w:after="0"/>
              <w:rPr>
                <w:sz w:val="10"/>
                <w:szCs w:val="10"/>
                <w:color w:val="auto"/>
              </w:rPr>
            </w:pPr>
          </w:p>
        </w:tc>
      </w:tr>
      <w:tr>
        <w:trPr>
          <w:trHeight w:val="155"/>
        </w:trPr>
        <w:tc>
          <w:tcPr>
            <w:tcW w:w="54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529"/>
        </w:trPr>
        <w:tc>
          <w:tcPr>
            <w:tcW w:w="54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300"/>
          </w:cols>
          <w:pgMar w:left="800" w:top="125" w:right="7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 13a-14(a) OR RULE 15d-14(a),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Carlos R. Doglioli, certify that:</w:t>
      </w:r>
    </w:p>
    <w:p>
      <w:pPr>
        <w:spacing w:after="0" w:line="150" w:lineRule="exact"/>
        <w:rPr>
          <w:sz w:val="20"/>
          <w:szCs w:val="20"/>
          <w:color w:val="auto"/>
        </w:rPr>
      </w:pPr>
    </w:p>
    <w:p>
      <w:pPr>
        <w:ind w:left="580" w:hanging="295"/>
        <w:spacing w:after="0"/>
        <w:tabs>
          <w:tab w:leader="none" w:pos="5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ATN International, Inc.;</w:t>
      </w:r>
    </w:p>
    <w:p>
      <w:pPr>
        <w:spacing w:after="0" w:line="105" w:lineRule="exact"/>
        <w:rPr>
          <w:rFonts w:ascii="Times New Roman" w:cs="Times New Roman" w:eastAsia="Times New Roman" w:hAnsi="Times New Roman"/>
          <w:sz w:val="12"/>
          <w:szCs w:val="12"/>
          <w:color w:val="auto"/>
        </w:rPr>
      </w:pPr>
    </w:p>
    <w:p>
      <w:pPr>
        <w:ind w:left="580" w:right="200" w:hanging="295"/>
        <w:spacing w:after="0" w:line="279" w:lineRule="auto"/>
        <w:tabs>
          <w:tab w:leader="none" w:pos="5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12"/>
          <w:szCs w:val="12"/>
          <w:color w:val="auto"/>
        </w:rPr>
      </w:pPr>
    </w:p>
    <w:p>
      <w:pPr>
        <w:ind w:left="580" w:right="20" w:hanging="295"/>
        <w:spacing w:after="0" w:line="279" w:lineRule="auto"/>
        <w:tabs>
          <w:tab w:leader="none" w:pos="5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12"/>
          <w:szCs w:val="12"/>
          <w:color w:val="auto"/>
        </w:rPr>
      </w:pPr>
    </w:p>
    <w:p>
      <w:pPr>
        <w:ind w:left="580" w:right="300" w:hanging="295"/>
        <w:spacing w:after="0" w:line="279" w:lineRule="auto"/>
        <w:tabs>
          <w:tab w:leader="none" w:pos="5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12"/>
          <w:szCs w:val="12"/>
          <w:color w:val="auto"/>
        </w:rPr>
      </w:pPr>
    </w:p>
    <w:p>
      <w:pPr>
        <w:ind w:left="1240" w:right="160" w:hanging="289"/>
        <w:spacing w:after="0" w:line="279" w:lineRule="auto"/>
        <w:tabs>
          <w:tab w:leader="none" w:pos="124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12"/>
          <w:szCs w:val="12"/>
          <w:color w:val="auto"/>
        </w:rPr>
      </w:pPr>
    </w:p>
    <w:p>
      <w:pPr>
        <w:ind w:left="1240" w:right="340" w:hanging="289"/>
        <w:spacing w:after="0" w:line="279" w:lineRule="auto"/>
        <w:tabs>
          <w:tab w:leader="none" w:pos="124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12"/>
          <w:szCs w:val="12"/>
          <w:color w:val="auto"/>
        </w:rPr>
      </w:pPr>
    </w:p>
    <w:p>
      <w:pPr>
        <w:ind w:left="1240" w:right="500" w:hanging="289"/>
        <w:spacing w:after="0" w:line="279" w:lineRule="auto"/>
        <w:tabs>
          <w:tab w:leader="none" w:pos="124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12"/>
          <w:szCs w:val="12"/>
          <w:color w:val="auto"/>
        </w:rPr>
      </w:pPr>
    </w:p>
    <w:p>
      <w:pPr>
        <w:ind w:left="1240" w:right="200" w:hanging="298"/>
        <w:spacing w:after="0" w:line="279" w:lineRule="auto"/>
        <w:tabs>
          <w:tab w:leader="none" w:pos="124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2"/>
          <w:szCs w:val="12"/>
          <w:color w:val="auto"/>
        </w:rPr>
      </w:pPr>
    </w:p>
    <w:p>
      <w:pPr>
        <w:ind w:left="580" w:right="80" w:hanging="295"/>
        <w:spacing w:after="0" w:line="279" w:lineRule="auto"/>
        <w:tabs>
          <w:tab w:leader="none" w:pos="5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12"/>
          <w:szCs w:val="12"/>
          <w:color w:val="auto"/>
        </w:rPr>
      </w:pPr>
    </w:p>
    <w:p>
      <w:pPr>
        <w:ind w:left="1240" w:right="240" w:hanging="298"/>
        <w:spacing w:after="0" w:line="279" w:lineRule="auto"/>
        <w:tabs>
          <w:tab w:leader="none" w:pos="124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12"/>
          <w:szCs w:val="12"/>
          <w:color w:val="auto"/>
        </w:rPr>
      </w:pPr>
    </w:p>
    <w:p>
      <w:pPr>
        <w:ind w:left="1240" w:hanging="289"/>
        <w:spacing w:after="0"/>
        <w:tabs>
          <w:tab w:leader="none" w:pos="124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7100" w:type="dxa"/>
            <w:vAlign w:val="bottom"/>
            <w:gridSpan w:val="3"/>
          </w:tcPr>
          <w:p>
            <w:pPr>
              <w:ind w:left="1960"/>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12, 2024</w:t>
            </w:r>
          </w:p>
        </w:tc>
        <w:tc>
          <w:tcPr>
            <w:tcW w:w="240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Carlos R. Doglioli</w:t>
            </w:r>
          </w:p>
        </w:tc>
      </w:tr>
      <w:tr>
        <w:trPr>
          <w:trHeight w:val="122"/>
        </w:trPr>
        <w:tc>
          <w:tcPr>
            <w:tcW w:w="32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6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Carlos R. Doglioli</w:t>
            </w:r>
          </w:p>
        </w:tc>
        <w:tc>
          <w:tcPr>
            <w:tcW w:w="20" w:type="dxa"/>
            <w:vAlign w:val="bottom"/>
          </w:tcPr>
          <w:p>
            <w:pPr>
              <w:spacing w:after="0"/>
              <w:rPr>
                <w:sz w:val="10"/>
                <w:szCs w:val="10"/>
                <w:color w:val="auto"/>
              </w:rPr>
            </w:pPr>
          </w:p>
        </w:tc>
      </w:tr>
      <w:tr>
        <w:trPr>
          <w:trHeight w:val="155"/>
        </w:trPr>
        <w:tc>
          <w:tcPr>
            <w:tcW w:w="32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529"/>
        </w:trPr>
        <w:tc>
          <w:tcPr>
            <w:tcW w:w="3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300"/>
          </w:cols>
          <w:pgMar w:left="800" w:top="125" w:right="799" w:bottom="1440" w:gutter="0" w:footer="0" w:header="0"/>
        </w:sectPr>
      </w:pPr>
    </w:p>
    <w:bookmarkStart w:id="79" w:name="page80"/>
    <w:bookmarkEnd w:id="79"/>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20" w:right="99" w:firstLine="294"/>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on Form 10-Q of ATN International, Inc. (the “Company”) for the period ended September 30, 2024 as filed with the Securities and Exchange Commission on the date hereof (the “Report”), I, Brad W. Martin, Chief Executive Officer of the Company, certify, pursuant to 18 U.S.C. § 1350, as adopted pursuant to § 906 of the Sarbanes-Oxley Act of 2002, that:</w:t>
      </w:r>
    </w:p>
    <w:p>
      <w:pPr>
        <w:spacing w:after="0" w:line="119" w:lineRule="exact"/>
        <w:rPr>
          <w:sz w:val="20"/>
          <w:szCs w:val="20"/>
          <w:color w:val="auto"/>
        </w:rPr>
      </w:pPr>
    </w:p>
    <w:p>
      <w:pPr>
        <w:ind w:left="600" w:hanging="297"/>
        <w:spacing w:after="0"/>
        <w:tabs>
          <w:tab w:leader="none" w:pos="60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600" w:hanging="297"/>
        <w:spacing w:after="0"/>
        <w:tabs>
          <w:tab w:leader="none" w:pos="60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900" w:type="dxa"/>
            <w:vAlign w:val="bottom"/>
          </w:tcPr>
          <w:p>
            <w:pPr>
              <w:spacing w:after="0"/>
              <w:rPr>
                <w:sz w:val="13"/>
                <w:szCs w:val="13"/>
                <w:color w:val="auto"/>
              </w:rPr>
            </w:pPr>
          </w:p>
        </w:tc>
        <w:tc>
          <w:tcPr>
            <w:tcW w:w="6080" w:type="dxa"/>
            <w:vAlign w:val="bottom"/>
            <w:gridSpan w:val="3"/>
          </w:tcPr>
          <w:p>
            <w:pPr>
              <w:ind w:left="1680"/>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29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12, 2024</w:t>
            </w:r>
          </w:p>
        </w:tc>
        <w:tc>
          <w:tcPr>
            <w:tcW w:w="6080" w:type="dxa"/>
            <w:vAlign w:val="bottom"/>
            <w:gridSpan w:val="3"/>
          </w:tcPr>
          <w:p>
            <w:pPr>
              <w:ind w:left="1680"/>
              <w:spacing w:after="0"/>
              <w:rPr>
                <w:sz w:val="20"/>
                <w:szCs w:val="20"/>
                <w:color w:val="auto"/>
              </w:rPr>
            </w:pPr>
            <w:r>
              <w:rPr>
                <w:rFonts w:ascii="Times New Roman" w:cs="Times New Roman" w:eastAsia="Times New Roman" w:hAnsi="Times New Roman"/>
                <w:sz w:val="12"/>
                <w:szCs w:val="12"/>
                <w:color w:val="auto"/>
              </w:rPr>
              <w:t>By:  /s/ Brad W. Martin</w:t>
            </w:r>
          </w:p>
        </w:tc>
      </w:tr>
      <w:tr>
        <w:trPr>
          <w:trHeight w:val="122"/>
        </w:trPr>
        <w:tc>
          <w:tcPr>
            <w:tcW w:w="29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1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Brad W. Martin</w:t>
            </w:r>
          </w:p>
        </w:tc>
        <w:tc>
          <w:tcPr>
            <w:tcW w:w="20" w:type="dxa"/>
            <w:vAlign w:val="bottom"/>
          </w:tcPr>
          <w:p>
            <w:pPr>
              <w:spacing w:after="0"/>
              <w:rPr>
                <w:sz w:val="10"/>
                <w:szCs w:val="10"/>
                <w:color w:val="auto"/>
              </w:rPr>
            </w:pPr>
          </w:p>
        </w:tc>
      </w:tr>
      <w:tr>
        <w:trPr>
          <w:trHeight w:val="155"/>
        </w:trPr>
        <w:tc>
          <w:tcPr>
            <w:tcW w:w="2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529"/>
        </w:trPr>
        <w:tc>
          <w:tcPr>
            <w:tcW w:w="2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80" w:name="page81"/>
    <w:bookmarkEnd w:id="80"/>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20" w:right="299" w:firstLine="294"/>
        <w:spacing w:after="0" w:line="283" w:lineRule="auto"/>
        <w:rPr>
          <w:sz w:val="20"/>
          <w:szCs w:val="20"/>
          <w:color w:val="auto"/>
        </w:rPr>
      </w:pPr>
      <w:r>
        <w:rPr>
          <w:rFonts w:ascii="Times New Roman" w:cs="Times New Roman" w:eastAsia="Times New Roman" w:hAnsi="Times New Roman"/>
          <w:sz w:val="11"/>
          <w:szCs w:val="11"/>
          <w:color w:val="auto"/>
        </w:rPr>
        <w:t>In connection with the quarterly report on Form 10-Q of ATN International, Inc. (the “Company”) for the period ended September 30, 2024 as filed with the Securities and Exchange Commission on the date hereof (the “Report”), I, Carlos R. Doglioli, Chief Financial Officer of the Company, certify, pursuant to 18 U.S.C. § 1350, as adopted pursuant to</w:t>
      </w:r>
    </w:p>
    <w:p>
      <w:pPr>
        <w:spacing w:after="0" w:line="1" w:lineRule="exact"/>
        <w:rPr>
          <w:sz w:val="20"/>
          <w:szCs w:val="20"/>
          <w:color w:val="auto"/>
        </w:rPr>
      </w:pPr>
    </w:p>
    <w:p>
      <w:pPr>
        <w:ind w:left="100" w:hanging="85"/>
        <w:spacing w:after="0"/>
        <w:tabs>
          <w:tab w:leader="none" w:pos="1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906 of the Sarbanes-Oxley Act of 2002, that:</w:t>
      </w:r>
    </w:p>
    <w:p>
      <w:pPr>
        <w:spacing w:after="0" w:line="139" w:lineRule="exact"/>
        <w:rPr>
          <w:rFonts w:ascii="Times New Roman" w:cs="Times New Roman" w:eastAsia="Times New Roman" w:hAnsi="Times New Roman"/>
          <w:sz w:val="12"/>
          <w:szCs w:val="12"/>
          <w:color w:val="auto"/>
        </w:rPr>
      </w:pPr>
    </w:p>
    <w:p>
      <w:pPr>
        <w:ind w:left="600" w:hanging="297"/>
        <w:spacing w:after="0"/>
        <w:tabs>
          <w:tab w:leader="none" w:pos="60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600" w:hanging="297"/>
        <w:spacing w:after="0"/>
        <w:tabs>
          <w:tab w:leader="none" w:pos="60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900" w:type="dxa"/>
            <w:vAlign w:val="bottom"/>
          </w:tcPr>
          <w:p>
            <w:pPr>
              <w:spacing w:after="0"/>
              <w:rPr>
                <w:sz w:val="13"/>
                <w:szCs w:val="13"/>
                <w:color w:val="auto"/>
              </w:rPr>
            </w:pPr>
          </w:p>
        </w:tc>
        <w:tc>
          <w:tcPr>
            <w:tcW w:w="6080" w:type="dxa"/>
            <w:vAlign w:val="bottom"/>
            <w:gridSpan w:val="3"/>
          </w:tcPr>
          <w:p>
            <w:pPr>
              <w:ind w:left="1660"/>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29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12, 2024</w:t>
            </w:r>
          </w:p>
        </w:tc>
        <w:tc>
          <w:tcPr>
            <w:tcW w:w="6080" w:type="dxa"/>
            <w:vAlign w:val="bottom"/>
            <w:gridSpan w:val="3"/>
          </w:tcPr>
          <w:p>
            <w:pPr>
              <w:ind w:left="1660"/>
              <w:spacing w:after="0"/>
              <w:rPr>
                <w:sz w:val="20"/>
                <w:szCs w:val="20"/>
                <w:color w:val="auto"/>
              </w:rPr>
            </w:pPr>
            <w:r>
              <w:rPr>
                <w:rFonts w:ascii="Times New Roman" w:cs="Times New Roman" w:eastAsia="Times New Roman" w:hAnsi="Times New Roman"/>
                <w:sz w:val="12"/>
                <w:szCs w:val="12"/>
                <w:color w:val="auto"/>
              </w:rPr>
              <w:t>By:  /s/ Carlos R. Doglioli</w:t>
            </w:r>
          </w:p>
        </w:tc>
      </w:tr>
      <w:tr>
        <w:trPr>
          <w:trHeight w:val="122"/>
        </w:trPr>
        <w:tc>
          <w:tcPr>
            <w:tcW w:w="29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41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Carlos R. Doglioli</w:t>
            </w:r>
          </w:p>
        </w:tc>
        <w:tc>
          <w:tcPr>
            <w:tcW w:w="20" w:type="dxa"/>
            <w:vAlign w:val="bottom"/>
          </w:tcPr>
          <w:p>
            <w:pPr>
              <w:spacing w:after="0"/>
              <w:rPr>
                <w:sz w:val="10"/>
                <w:szCs w:val="10"/>
                <w:color w:val="auto"/>
              </w:rPr>
            </w:pPr>
          </w:p>
        </w:tc>
      </w:tr>
      <w:tr>
        <w:trPr>
          <w:trHeight w:val="155"/>
        </w:trPr>
        <w:tc>
          <w:tcPr>
            <w:tcW w:w="29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529"/>
        </w:trPr>
        <w:tc>
          <w:tcPr>
            <w:tcW w:w="29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Roman"/>
      <w:start w:val="2"/>
    </w:lvl>
  </w:abstractNum>
  <w:abstractNum w:abstractNumId="6">
    <w:nsid w:val="79838CB2"/>
    <w:multiLevelType w:val="hybridMultilevel"/>
    <w:lvl w:ilvl="0">
      <w:lvlJc w:val="left"/>
      <w:lvlText w:val="(%1)"/>
      <w:numFmt w:val="lowerRoman"/>
      <w:start w:val="2"/>
    </w:lvl>
  </w:abstractNum>
  <w:abstractNum w:abstractNumId="7">
    <w:nsid w:val="4353D0CD"/>
    <w:multiLevelType w:val="hybridMultilevel"/>
    <w:lvl w:ilvl="0">
      <w:lvlJc w:val="left"/>
      <w:lvlText w:val="(%1)"/>
      <w:numFmt w:val="lowerRoman"/>
      <w:start w:val="2"/>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lvl w:ilvl="1">
      <w:lvlJc w:val="left"/>
      <w:lvlText w:val="(%2)"/>
      <w:numFmt w:val="decimal"/>
      <w:start w:val="1"/>
    </w:lvl>
  </w:abstractNum>
  <w:abstractNum w:abstractNumId="13">
    <w:nsid w:val="836C40E"/>
    <w:multiLevelType w:val="hybridMultilevel"/>
    <w:lvl w:ilvl="0">
      <w:lvlJc w:val="left"/>
      <w:lvlText w:val="%1."/>
      <w:numFmt w:val="decimal"/>
      <w:start w:val="14"/>
    </w:lvl>
    <w:lvl w:ilvl="1">
      <w:lvlJc w:val="left"/>
      <w:lvlText w:val="%2"/>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Letter"/>
      <w:start w:val="2"/>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lvl w:ilvl="1">
      <w:lvlJc w:val="left"/>
      <w:lvlText w:val="%2"/>
      <w:numFmt w:val="decimal"/>
      <w:start w:val="104"/>
    </w:lvl>
  </w:abstractNum>
  <w:abstractNum w:abstractNumId="38">
    <w:nsid w:val="153EA438"/>
    <w:multiLevelType w:val="hybridMultilevel"/>
    <w:lvl w:ilvl="0">
      <w:lvlJc w:val="left"/>
      <w:lvlText w:val="**"/>
      <w:numFmt w:val="bullet"/>
      <w:start w:val="1"/>
    </w:lvl>
    <w:lvl w:ilvl="1">
      <w:lvlJc w:val="left"/>
      <w:lvlText w:val="%2"/>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99" Type="http://schemas.openxmlformats.org/officeDocument/2006/relationships/hyperlink" Target="https://www.sec.gov/Archives/edgar/data/879585/000155837024011708/atni-20240630xex10d1.htm" TargetMode="External"/><Relationship Id="rId100" Type="http://schemas.openxmlformats.org/officeDocument/2006/relationships/hyperlink" Target="https://www.sec.gov/Archives/edgar/data/879585/000110465924095322/tm242291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2024-11-12T14:35:06Z</dcterms:created>
  <dcterms:modified xsi:type="dcterms:W3CDTF">2024-11-12T14:35:06Z</dcterms:modified>
</cp:coreProperties>
</file>