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66675</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76200</wp:posOffset>
            </wp:positionV>
            <wp:extent cx="16344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10" w:lineRule="exact"/>
        <w:rPr>
          <w:sz w:val="24"/>
          <w:szCs w:val="24"/>
          <w:color w:val="auto"/>
        </w:rPr>
      </w:pPr>
    </w:p>
    <w:p>
      <w:pPr>
        <w:ind w:left="1380" w:hanging="741"/>
        <w:spacing w:after="0"/>
        <w:tabs>
          <w:tab w:leader="none" w:pos="138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For the fiscal year ended December 31, 2022</w:t>
      </w:r>
    </w:p>
    <w:p>
      <w:pPr>
        <w:jc w:val="center"/>
        <w:spacing w:after="0"/>
        <w:rPr>
          <w:sz w:val="20"/>
          <w:szCs w:val="20"/>
          <w:color w:val="auto"/>
        </w:rPr>
      </w:pPr>
      <w:r>
        <w:rPr>
          <w:rFonts w:ascii="Times New Roman" w:cs="Times New Roman" w:eastAsia="Times New Roman" w:hAnsi="Times New Roman"/>
          <w:sz w:val="8"/>
          <w:szCs w:val="8"/>
          <w:b w:val="1"/>
          <w:bCs w:val="1"/>
          <w:color w:val="auto"/>
        </w:rPr>
        <w:t>Or</w:t>
      </w:r>
    </w:p>
    <w:p>
      <w:pPr>
        <w:ind w:left="1380" w:hanging="741"/>
        <w:spacing w:after="0"/>
        <w:tabs>
          <w:tab w:leader="none" w:pos="138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09"/>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ind w:left="580"/>
              <w:spacing w:after="0"/>
              <w:rPr>
                <w:sz w:val="20"/>
                <w:szCs w:val="20"/>
                <w:color w:val="auto"/>
              </w:rPr>
            </w:pPr>
            <w:r>
              <w:rPr>
                <w:rFonts w:ascii="Times New Roman" w:cs="Times New Roman" w:eastAsia="Times New Roman" w:hAnsi="Times New Roman"/>
                <w:sz w:val="8"/>
                <w:szCs w:val="8"/>
                <w:b w:val="1"/>
                <w:bCs w:val="1"/>
                <w:color w:val="auto"/>
              </w:rPr>
              <w:t>For the transition period from</w:t>
            </w:r>
          </w:p>
        </w:tc>
        <w:tc>
          <w:tcPr>
            <w:tcW w:w="4660" w:type="dxa"/>
            <w:vAlign w:val="bottom"/>
            <w:gridSpan w:val="3"/>
          </w:tcPr>
          <w:p>
            <w:pPr>
              <w:ind w:left="40"/>
              <w:spacing w:after="0"/>
              <w:rPr>
                <w:sz w:val="20"/>
                <w:szCs w:val="20"/>
                <w:color w:val="auto"/>
              </w:rPr>
            </w:pPr>
            <w:r>
              <w:rPr>
                <w:rFonts w:ascii="Times New Roman" w:cs="Times New Roman" w:eastAsia="Times New Roman" w:hAnsi="Times New Roman"/>
                <w:sz w:val="8"/>
                <w:szCs w:val="8"/>
                <w:b w:val="1"/>
                <w:bCs w:val="1"/>
                <w:color w:val="auto"/>
              </w:rPr>
              <w:t>to</w:t>
            </w:r>
          </w:p>
        </w:tc>
      </w:tr>
      <w:tr>
        <w:trPr>
          <w:trHeight w:val="160"/>
        </w:trPr>
        <w:tc>
          <w:tcPr>
            <w:tcW w:w="3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20" w:type="dxa"/>
            <w:vAlign w:val="bottom"/>
            <w:gridSpan w:val="4"/>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w w:val="98"/>
              </w:rPr>
              <w:t>Commission File No. 001-12593</w:t>
            </w:r>
          </w:p>
        </w:tc>
      </w:tr>
      <w:tr>
        <w:trPr>
          <w:trHeight w:val="243"/>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20" w:type="dxa"/>
            <w:vAlign w:val="bottom"/>
            <w:gridSpan w:val="4"/>
          </w:tcPr>
          <w:p>
            <w:pPr>
              <w:jc w:val="center"/>
              <w:ind w:right="3416"/>
              <w:spacing w:after="0"/>
              <w:rPr>
                <w:sz w:val="20"/>
                <w:szCs w:val="20"/>
                <w:color w:val="auto"/>
              </w:rPr>
            </w:pPr>
            <w:r>
              <w:rPr>
                <w:rFonts w:ascii="Times New Roman" w:cs="Times New Roman" w:eastAsia="Times New Roman" w:hAnsi="Times New Roman"/>
                <w:sz w:val="17"/>
                <w:szCs w:val="17"/>
                <w:b w:val="1"/>
                <w:bCs w:val="1"/>
                <w:color w:val="auto"/>
                <w:w w:val="97"/>
              </w:rPr>
              <w:t>ATN INTERNATIONAL, INC.</w:t>
            </w:r>
          </w:p>
        </w:tc>
      </w:tr>
      <w:tr>
        <w:trPr>
          <w:trHeight w:val="162"/>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gridSpan w:val="4"/>
          </w:tcPr>
          <w:p>
            <w:pPr>
              <w:jc w:val="center"/>
              <w:ind w:right="3416"/>
              <w:spacing w:after="0"/>
              <w:rPr>
                <w:sz w:val="20"/>
                <w:szCs w:val="20"/>
                <w:color w:val="auto"/>
              </w:rPr>
            </w:pPr>
            <w:r>
              <w:rPr>
                <w:rFonts w:ascii="Times New Roman" w:cs="Times New Roman" w:eastAsia="Times New Roman" w:hAnsi="Times New Roman"/>
                <w:sz w:val="11"/>
                <w:szCs w:val="11"/>
                <w:color w:val="auto"/>
                <w:w w:val="98"/>
              </w:rPr>
              <w:t>(Exact name of registrant as specified in its charter)</w:t>
            </w:r>
          </w:p>
        </w:tc>
      </w:tr>
      <w:tr>
        <w:trPr>
          <w:trHeight w:val="128"/>
        </w:trPr>
        <w:tc>
          <w:tcPr>
            <w:tcW w:w="3460" w:type="dxa"/>
            <w:vAlign w:val="bottom"/>
            <w:gridSpan w:val="2"/>
          </w:tcPr>
          <w:p>
            <w:pPr>
              <w:ind w:left="2400"/>
              <w:spacing w:after="0"/>
              <w:rPr>
                <w:sz w:val="20"/>
                <w:szCs w:val="20"/>
                <w:color w:val="auto"/>
              </w:rPr>
            </w:pPr>
            <w:r>
              <w:rPr>
                <w:rFonts w:ascii="Times New Roman" w:cs="Times New Roman" w:eastAsia="Times New Roman" w:hAnsi="Times New Roman"/>
                <w:sz w:val="8"/>
                <w:szCs w:val="8"/>
                <w:b w:val="1"/>
                <w:bCs w:val="1"/>
                <w:color w:val="auto"/>
              </w:rPr>
              <w:t>Delaware</w:t>
            </w:r>
          </w:p>
        </w:tc>
        <w:tc>
          <w:tcPr>
            <w:tcW w:w="2160" w:type="dxa"/>
            <w:vAlign w:val="bottom"/>
          </w:tcPr>
          <w:p>
            <w:pPr>
              <w:spacing w:after="0"/>
              <w:rPr>
                <w:sz w:val="11"/>
                <w:szCs w:val="11"/>
                <w:color w:val="auto"/>
              </w:rPr>
            </w:pPr>
          </w:p>
        </w:tc>
        <w:tc>
          <w:tcPr>
            <w:tcW w:w="4660" w:type="dxa"/>
            <w:vAlign w:val="bottom"/>
            <w:gridSpan w:val="3"/>
          </w:tcPr>
          <w:p>
            <w:pPr>
              <w:jc w:val="right"/>
              <w:ind w:right="2316"/>
              <w:spacing w:after="0"/>
              <w:rPr>
                <w:sz w:val="20"/>
                <w:szCs w:val="20"/>
                <w:color w:val="auto"/>
              </w:rPr>
            </w:pPr>
            <w:r>
              <w:rPr>
                <w:rFonts w:ascii="Times New Roman" w:cs="Times New Roman" w:eastAsia="Times New Roman" w:hAnsi="Times New Roman"/>
                <w:sz w:val="8"/>
                <w:szCs w:val="8"/>
                <w:b w:val="1"/>
                <w:bCs w:val="1"/>
                <w:color w:val="auto"/>
              </w:rPr>
              <w:t>47-0728886</w:t>
            </w:r>
          </w:p>
        </w:tc>
      </w:tr>
      <w:tr>
        <w:trPr>
          <w:trHeight w:val="90"/>
        </w:trPr>
        <w:tc>
          <w:tcPr>
            <w:tcW w:w="3460" w:type="dxa"/>
            <w:vAlign w:val="bottom"/>
            <w:gridSpan w:val="2"/>
          </w:tcPr>
          <w:p>
            <w:pPr>
              <w:jc w:val="center"/>
              <w:ind w:left="1756"/>
              <w:spacing w:after="0" w:line="90" w:lineRule="exact"/>
              <w:rPr>
                <w:sz w:val="20"/>
                <w:szCs w:val="20"/>
                <w:color w:val="auto"/>
              </w:rPr>
            </w:pPr>
            <w:r>
              <w:rPr>
                <w:rFonts w:ascii="Times New Roman" w:cs="Times New Roman" w:eastAsia="Times New Roman" w:hAnsi="Times New Roman"/>
                <w:sz w:val="8"/>
                <w:szCs w:val="8"/>
                <w:color w:val="auto"/>
              </w:rPr>
              <w:t>(State or other jurisdiction of</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jc w:val="center"/>
              <w:ind w:right="1856"/>
              <w:spacing w:after="0" w:line="90" w:lineRule="exact"/>
              <w:rPr>
                <w:sz w:val="20"/>
                <w:szCs w:val="20"/>
                <w:color w:val="auto"/>
              </w:rPr>
            </w:pPr>
            <w:r>
              <w:rPr>
                <w:rFonts w:ascii="Times New Roman" w:cs="Times New Roman" w:eastAsia="Times New Roman" w:hAnsi="Times New Roman"/>
                <w:sz w:val="8"/>
                <w:szCs w:val="8"/>
                <w:color w:val="auto"/>
              </w:rPr>
              <w:t>(I.R.S. Employer</w:t>
            </w:r>
          </w:p>
        </w:tc>
      </w:tr>
      <w:tr>
        <w:trPr>
          <w:trHeight w:val="88"/>
        </w:trPr>
        <w:tc>
          <w:tcPr>
            <w:tcW w:w="3460" w:type="dxa"/>
            <w:vAlign w:val="bottom"/>
            <w:gridSpan w:val="2"/>
          </w:tcPr>
          <w:p>
            <w:pPr>
              <w:jc w:val="center"/>
              <w:ind w:left="1756"/>
              <w:spacing w:after="0" w:line="88" w:lineRule="exact"/>
              <w:rPr>
                <w:sz w:val="20"/>
                <w:szCs w:val="20"/>
                <w:color w:val="auto"/>
              </w:rPr>
            </w:pPr>
            <w:r>
              <w:rPr>
                <w:rFonts w:ascii="Times New Roman" w:cs="Times New Roman" w:eastAsia="Times New Roman" w:hAnsi="Times New Roman"/>
                <w:sz w:val="8"/>
                <w:szCs w:val="8"/>
                <w:color w:val="auto"/>
              </w:rPr>
              <w:t>incorporation or organization)</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jc w:val="center"/>
              <w:ind w:right="1856"/>
              <w:spacing w:after="0" w:line="88" w:lineRule="exact"/>
              <w:rPr>
                <w:sz w:val="20"/>
                <w:szCs w:val="20"/>
                <w:color w:val="auto"/>
              </w:rPr>
            </w:pPr>
            <w:r>
              <w:rPr>
                <w:rFonts w:ascii="Times New Roman" w:cs="Times New Roman" w:eastAsia="Times New Roman" w:hAnsi="Times New Roman"/>
                <w:sz w:val="8"/>
                <w:szCs w:val="8"/>
                <w:color w:val="auto"/>
              </w:rPr>
              <w:t>Identification No.)</w:t>
            </w:r>
          </w:p>
        </w:tc>
      </w:tr>
      <w:tr>
        <w:trPr>
          <w:trHeight w:val="90"/>
        </w:trPr>
        <w:tc>
          <w:tcPr>
            <w:tcW w:w="3460" w:type="dxa"/>
            <w:vAlign w:val="bottom"/>
            <w:gridSpan w:val="2"/>
          </w:tcPr>
          <w:p>
            <w:pPr>
              <w:jc w:val="center"/>
              <w:ind w:left="1756"/>
              <w:spacing w:after="0" w:line="90" w:lineRule="exact"/>
              <w:rPr>
                <w:sz w:val="20"/>
                <w:szCs w:val="20"/>
                <w:color w:val="auto"/>
              </w:rPr>
            </w:pPr>
            <w:r>
              <w:rPr>
                <w:rFonts w:ascii="Times New Roman" w:cs="Times New Roman" w:eastAsia="Times New Roman" w:hAnsi="Times New Roman"/>
                <w:sz w:val="8"/>
                <w:szCs w:val="8"/>
                <w:b w:val="1"/>
                <w:bCs w:val="1"/>
                <w:color w:val="auto"/>
              </w:rPr>
              <w:t>500 Cummings Center</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92"/>
        </w:trPr>
        <w:tc>
          <w:tcPr>
            <w:tcW w:w="3460" w:type="dxa"/>
            <w:vAlign w:val="bottom"/>
            <w:gridSpan w:val="2"/>
          </w:tcPr>
          <w:p>
            <w:pPr>
              <w:jc w:val="center"/>
              <w:ind w:left="1776"/>
              <w:spacing w:after="0"/>
              <w:rPr>
                <w:sz w:val="20"/>
                <w:szCs w:val="20"/>
                <w:color w:val="auto"/>
              </w:rPr>
            </w:pPr>
            <w:r>
              <w:rPr>
                <w:rFonts w:ascii="Times New Roman" w:cs="Times New Roman" w:eastAsia="Times New Roman" w:hAnsi="Times New Roman"/>
                <w:sz w:val="8"/>
                <w:szCs w:val="8"/>
                <w:b w:val="1"/>
                <w:bCs w:val="1"/>
                <w:color w:val="auto"/>
              </w:rPr>
              <w:t>Beverly, Massachusetts</w:t>
            </w:r>
          </w:p>
        </w:tc>
        <w:tc>
          <w:tcPr>
            <w:tcW w:w="2160" w:type="dxa"/>
            <w:vAlign w:val="bottom"/>
          </w:tcPr>
          <w:p>
            <w:pPr>
              <w:spacing w:after="0"/>
              <w:rPr>
                <w:sz w:val="8"/>
                <w:szCs w:val="8"/>
                <w:color w:val="auto"/>
              </w:rPr>
            </w:pPr>
          </w:p>
        </w:tc>
        <w:tc>
          <w:tcPr>
            <w:tcW w:w="4660" w:type="dxa"/>
            <w:vAlign w:val="bottom"/>
            <w:gridSpan w:val="3"/>
          </w:tcPr>
          <w:p>
            <w:pPr>
              <w:jc w:val="right"/>
              <w:ind w:right="2416"/>
              <w:spacing w:after="0"/>
              <w:rPr>
                <w:sz w:val="20"/>
                <w:szCs w:val="20"/>
                <w:color w:val="auto"/>
              </w:rPr>
            </w:pPr>
            <w:r>
              <w:rPr>
                <w:rFonts w:ascii="Times New Roman" w:cs="Times New Roman" w:eastAsia="Times New Roman" w:hAnsi="Times New Roman"/>
                <w:sz w:val="8"/>
                <w:szCs w:val="8"/>
                <w:b w:val="1"/>
                <w:bCs w:val="1"/>
                <w:color w:val="auto"/>
              </w:rPr>
              <w:t>01915</w:t>
            </w:r>
          </w:p>
        </w:tc>
      </w:tr>
      <w:tr>
        <w:trPr>
          <w:trHeight w:val="107"/>
        </w:trPr>
        <w:tc>
          <w:tcPr>
            <w:tcW w:w="3460" w:type="dxa"/>
            <w:vAlign w:val="bottom"/>
            <w:gridSpan w:val="2"/>
          </w:tcPr>
          <w:p>
            <w:pPr>
              <w:jc w:val="center"/>
              <w:ind w:left="1756"/>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2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20" w:type="dxa"/>
            <w:vAlign w:val="bottom"/>
          </w:tcPr>
          <w:p>
            <w:pPr>
              <w:jc w:val="center"/>
              <w:ind w:right="1856"/>
              <w:spacing w:after="0"/>
              <w:rPr>
                <w:sz w:val="20"/>
                <w:szCs w:val="20"/>
                <w:color w:val="auto"/>
              </w:rPr>
            </w:pPr>
            <w:r>
              <w:rPr>
                <w:rFonts w:ascii="Times New Roman" w:cs="Times New Roman" w:eastAsia="Times New Roman" w:hAnsi="Times New Roman"/>
                <w:sz w:val="8"/>
                <w:szCs w:val="8"/>
                <w:color w:val="auto"/>
              </w:rPr>
              <w:t>(Zip Code)</w:t>
            </w:r>
          </w:p>
        </w:tc>
      </w:tr>
      <w:tr>
        <w:trPr>
          <w:trHeight w:val="124"/>
        </w:trPr>
        <w:tc>
          <w:tcPr>
            <w:tcW w:w="3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tcPr>
          <w:p>
            <w:pPr>
              <w:jc w:val="center"/>
              <w:ind w:left="1147"/>
              <w:spacing w:after="0"/>
              <w:rPr>
                <w:sz w:val="20"/>
                <w:szCs w:val="20"/>
                <w:color w:val="auto"/>
              </w:rPr>
            </w:pPr>
            <w:r>
              <w:rPr>
                <w:rFonts w:ascii="Times New Roman" w:cs="Times New Roman" w:eastAsia="Times New Roman" w:hAnsi="Times New Roman"/>
                <w:sz w:val="10"/>
                <w:szCs w:val="10"/>
                <w:b w:val="1"/>
                <w:bCs w:val="1"/>
                <w:color w:val="auto"/>
                <w:w w:val="95"/>
              </w:rPr>
              <w:t>(978) 619-1300</w:t>
            </w: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20" w:type="dxa"/>
            <w:vAlign w:val="bottom"/>
          </w:tcPr>
          <w:p>
            <w:pPr>
              <w:spacing w:after="0"/>
              <w:rPr>
                <w:sz w:val="10"/>
                <w:szCs w:val="10"/>
                <w:color w:val="auto"/>
              </w:rPr>
            </w:pPr>
          </w:p>
        </w:tc>
      </w:tr>
      <w:tr>
        <w:trPr>
          <w:trHeight w:val="123"/>
        </w:trPr>
        <w:tc>
          <w:tcPr>
            <w:tcW w:w="3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tcPr>
          <w:p>
            <w:pPr>
              <w:jc w:val="center"/>
              <w:ind w:left="1147"/>
              <w:spacing w:after="0"/>
              <w:rPr>
                <w:sz w:val="20"/>
                <w:szCs w:val="20"/>
                <w:color w:val="auto"/>
              </w:rPr>
            </w:pPr>
            <w:r>
              <w:rPr>
                <w:rFonts w:ascii="Times New Roman" w:cs="Times New Roman" w:eastAsia="Times New Roman" w:hAnsi="Times New Roman"/>
                <w:sz w:val="10"/>
                <w:szCs w:val="10"/>
                <w:color w:val="auto"/>
                <w:w w:val="94"/>
              </w:rPr>
              <w:t>(Registrant’s telephone</w:t>
            </w: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20" w:type="dxa"/>
            <w:vAlign w:val="bottom"/>
          </w:tcPr>
          <w:p>
            <w:pPr>
              <w:spacing w:after="0"/>
              <w:rPr>
                <w:sz w:val="10"/>
                <w:szCs w:val="10"/>
                <w:color w:val="auto"/>
              </w:rPr>
            </w:pPr>
          </w:p>
        </w:tc>
      </w:tr>
      <w:tr>
        <w:trPr>
          <w:trHeight w:val="135"/>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20" w:type="dxa"/>
            <w:vAlign w:val="bottom"/>
            <w:gridSpan w:val="4"/>
          </w:tcPr>
          <w:p>
            <w:pPr>
              <w:jc w:val="center"/>
              <w:ind w:right="3376"/>
              <w:spacing w:after="0"/>
              <w:rPr>
                <w:sz w:val="20"/>
                <w:szCs w:val="20"/>
                <w:color w:val="auto"/>
              </w:rPr>
            </w:pPr>
            <w:r>
              <w:rPr>
                <w:rFonts w:ascii="Times New Roman" w:cs="Times New Roman" w:eastAsia="Times New Roman" w:hAnsi="Times New Roman"/>
                <w:sz w:val="10"/>
                <w:szCs w:val="10"/>
                <w:color w:val="auto"/>
                <w:w w:val="95"/>
              </w:rPr>
              <w:t>number, including area code)</w:t>
            </w:r>
          </w:p>
        </w:tc>
      </w:tr>
      <w:tr>
        <w:trPr>
          <w:trHeight w:val="135"/>
        </w:trPr>
        <w:tc>
          <w:tcPr>
            <w:tcW w:w="34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2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07"/>
        </w:trPr>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212529"/>
                <w:w w:val="94"/>
              </w:rPr>
              <w:t>Title of Each Class</w:t>
            </w:r>
          </w:p>
        </w:tc>
        <w:tc>
          <w:tcPr>
            <w:tcW w:w="2160" w:type="dxa"/>
            <w:vAlign w:val="bottom"/>
          </w:tcPr>
          <w:p>
            <w:pPr>
              <w:jc w:val="center"/>
              <w:ind w:left="987"/>
              <w:spacing w:after="0"/>
              <w:rPr>
                <w:sz w:val="20"/>
                <w:szCs w:val="20"/>
                <w:color w:val="auto"/>
              </w:rPr>
            </w:pPr>
            <w:r>
              <w:rPr>
                <w:rFonts w:ascii="Times New Roman" w:cs="Times New Roman" w:eastAsia="Times New Roman" w:hAnsi="Times New Roman"/>
                <w:sz w:val="10"/>
                <w:szCs w:val="10"/>
                <w:b w:val="1"/>
                <w:bCs w:val="1"/>
                <w:color w:val="212529"/>
                <w:w w:val="94"/>
              </w:rPr>
              <w:t>Trading Symbol(s)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12529"/>
                <w:w w:val="95"/>
              </w:rPr>
              <w:t>Name of each exchange on which registered</w:t>
            </w:r>
          </w:p>
        </w:tc>
      </w:tr>
      <w:tr>
        <w:trPr>
          <w:trHeight w:val="53"/>
        </w:trPr>
        <w:tc>
          <w:tcPr>
            <w:tcW w:w="32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r>
        <w:trPr>
          <w:trHeight w:val="152"/>
        </w:trPr>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212529"/>
                <w:w w:val="95"/>
              </w:rPr>
              <w:t>Common Stock, par value $.01 per share</w:t>
            </w:r>
          </w:p>
        </w:tc>
        <w:tc>
          <w:tcPr>
            <w:tcW w:w="2160" w:type="dxa"/>
            <w:vAlign w:val="bottom"/>
          </w:tcPr>
          <w:p>
            <w:pPr>
              <w:jc w:val="center"/>
              <w:ind w:left="967"/>
              <w:spacing w:after="0"/>
              <w:rPr>
                <w:sz w:val="20"/>
                <w:szCs w:val="20"/>
                <w:color w:val="auto"/>
              </w:rPr>
            </w:pPr>
            <w:r>
              <w:rPr>
                <w:rFonts w:ascii="Times New Roman" w:cs="Times New Roman" w:eastAsia="Times New Roman" w:hAnsi="Times New Roman"/>
                <w:sz w:val="10"/>
                <w:szCs w:val="10"/>
                <w:color w:val="212529"/>
                <w:w w:val="91"/>
              </w:rPr>
              <w:t>ATNI</w:t>
            </w: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0"/>
                <w:szCs w:val="10"/>
                <w:color w:val="212529"/>
                <w:w w:val="95"/>
              </w:rPr>
              <w:t>The Nasdaq Stock Market LLC</w:t>
            </w:r>
          </w:p>
        </w:tc>
      </w:tr>
    </w:tbl>
    <w:p>
      <w:pPr>
        <w:spacing w:after="0" w:line="6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p>
      <w:pPr>
        <w:spacing w:after="0" w:line="2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0"/>
          <w:szCs w:val="10"/>
          <w:color w:val="auto"/>
        </w:rPr>
        <w:t>(Title of each class)</w:t>
      </w:r>
    </w:p>
    <w:p>
      <w:pPr>
        <w:spacing w:after="0" w:line="17" w:lineRule="exact"/>
        <w:rPr>
          <w:sz w:val="24"/>
          <w:szCs w:val="24"/>
          <w:color w:val="auto"/>
        </w:rPr>
      </w:pPr>
    </w:p>
    <w:p>
      <w:pPr>
        <w:ind w:left="420"/>
        <w:spacing w:after="0" w:line="134"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19" w:lineRule="exact"/>
        <w:rPr>
          <w:sz w:val="24"/>
          <w:szCs w:val="24"/>
          <w:color w:val="auto"/>
        </w:rPr>
      </w:pPr>
    </w:p>
    <w:p>
      <w:pPr>
        <w:ind w:left="420"/>
        <w:spacing w:after="0" w:line="134"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22" w:lineRule="exact"/>
        <w:rPr>
          <w:sz w:val="24"/>
          <w:szCs w:val="24"/>
          <w:color w:val="auto"/>
        </w:rPr>
      </w:pPr>
    </w:p>
    <w:p>
      <w:pPr>
        <w:ind w:right="80" w:firstLine="432"/>
        <w:spacing w:after="0" w:line="121"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11" w:lineRule="exact"/>
        <w:rPr>
          <w:sz w:val="24"/>
          <w:szCs w:val="24"/>
          <w:color w:val="auto"/>
        </w:rPr>
      </w:pPr>
    </w:p>
    <w:p>
      <w:pPr>
        <w:ind w:right="300" w:firstLine="432"/>
        <w:spacing w:after="0" w:line="121"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11" w:lineRule="exact"/>
        <w:rPr>
          <w:sz w:val="24"/>
          <w:szCs w:val="24"/>
          <w:color w:val="auto"/>
        </w:rPr>
      </w:pPr>
    </w:p>
    <w:p>
      <w:pPr>
        <w:ind w:right="60" w:firstLine="432"/>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800" w:top="489" w:right="819" w:bottom="1440" w:gutter="0" w:footer="0" w:header="0"/>
        </w:sectPr>
      </w:pPr>
    </w:p>
    <w:p>
      <w:pPr>
        <w:spacing w:after="0" w:line="68" w:lineRule="exact"/>
        <w:rPr>
          <w:sz w:val="24"/>
          <w:szCs w:val="24"/>
          <w:color w:val="auto"/>
        </w:rPr>
      </w:pPr>
    </w:p>
    <w:p>
      <w:pPr>
        <w:ind w:left="900"/>
        <w:spacing w:after="0" w:line="108" w:lineRule="exact"/>
        <w:rPr>
          <w:sz w:val="20"/>
          <w:szCs w:val="20"/>
          <w:color w:val="auto"/>
        </w:rPr>
      </w:pPr>
      <w:r>
        <w:rPr>
          <w:rFonts w:ascii="Times New Roman" w:cs="Times New Roman" w:eastAsia="Times New Roman" w:hAnsi="Times New Roman"/>
          <w:sz w:val="8"/>
          <w:szCs w:val="8"/>
          <w:color w:val="auto"/>
        </w:rPr>
        <w:t xml:space="preserve">Large 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860"/>
        <w:spacing w:after="0" w:line="108" w:lineRule="exact"/>
        <w:rPr>
          <w:sz w:val="20"/>
          <w:szCs w:val="20"/>
          <w:color w:val="auto"/>
        </w:rPr>
      </w:pPr>
      <w:r>
        <w:rPr>
          <w:rFonts w:ascii="Times New Roman" w:cs="Times New Roman" w:eastAsia="Times New Roman" w:hAnsi="Times New Roman"/>
          <w:sz w:val="8"/>
          <w:szCs w:val="8"/>
          <w:color w:val="auto"/>
        </w:rPr>
        <w:t xml:space="preserve">Non-accelerated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Smaller reporting company </w:t>
      </w:r>
      <w:r>
        <w:rPr>
          <w:rFonts w:ascii="Arial Unicode MS" w:cs="Arial Unicode MS" w:eastAsia="Arial Unicode MS" w:hAnsi="Arial Unicode MS"/>
          <w:sz w:val="8"/>
          <w:szCs w:val="8"/>
          <w:color w:val="auto"/>
        </w:rPr>
        <w:t>☐</w:t>
      </w:r>
    </w:p>
    <w:p>
      <w:pPr>
        <w:spacing w:after="0" w:line="35"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Emerging growth company </w:t>
      </w:r>
      <w:r>
        <w:rPr>
          <w:rFonts w:ascii="Arial Unicode MS" w:cs="Arial Unicode MS" w:eastAsia="Arial Unicode MS" w:hAnsi="Arial Unicode MS"/>
          <w:sz w:val="8"/>
          <w:szCs w:val="8"/>
          <w:color w:val="auto"/>
        </w:rPr>
        <w:t>☐</w:t>
      </w:r>
    </w:p>
    <w:p>
      <w:pPr>
        <w:spacing w:after="0" w:line="20" w:lineRule="exact"/>
        <w:rPr>
          <w:sz w:val="24"/>
          <w:szCs w:val="24"/>
          <w:color w:val="auto"/>
        </w:rPr>
      </w:pPr>
    </w:p>
    <w:p>
      <w:pPr>
        <w:sectPr>
          <w:pgSz w:w="11900" w:h="16838" w:orient="portrait"/>
          <w:cols w:equalWidth="0" w:num="4">
            <w:col w:w="2800" w:space="720"/>
            <w:col w:w="1500" w:space="720"/>
            <w:col w:w="1780" w:space="720"/>
            <w:col w:w="2040"/>
          </w:cols>
          <w:pgMar w:left="800" w:top="489" w:right="819" w:bottom="1440" w:gutter="0" w:footer="0" w:header="0"/>
          <w:type w:val="continuous"/>
        </w:sectPr>
      </w:pPr>
    </w:p>
    <w:p>
      <w:pPr>
        <w:ind w:left="420"/>
        <w:spacing w:after="0" w:line="108" w:lineRule="exact"/>
        <w:rPr>
          <w:sz w:val="20"/>
          <w:szCs w:val="20"/>
          <w:color w:val="auto"/>
        </w:rPr>
      </w:pPr>
      <w:r>
        <w:rPr>
          <w:rFonts w:ascii="Times New Roman" w:cs="Times New Roman" w:eastAsia="Times New Roman" w:hAnsi="Times New Roman"/>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8"/>
          <w:szCs w:val="8"/>
          <w:color w:val="auto"/>
        </w:rPr>
        <w:t>☐</w:t>
      </w:r>
    </w:p>
    <w:p>
      <w:pPr>
        <w:spacing w:after="0" w:line="52" w:lineRule="exact"/>
        <w:rPr>
          <w:sz w:val="24"/>
          <w:szCs w:val="24"/>
          <w:color w:val="auto"/>
        </w:rPr>
      </w:pPr>
    </w:p>
    <w:p>
      <w:pPr>
        <w:ind w:right="20" w:firstLine="432"/>
        <w:spacing w:after="0" w:line="116"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0"/>
          <w:szCs w:val="10"/>
          <w:color w:val="auto"/>
        </w:rPr>
        <w:t>☒</w:t>
      </w:r>
    </w:p>
    <w:p>
      <w:pPr>
        <w:ind w:left="420"/>
        <w:spacing w:after="0" w:line="112"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0"/>
          <w:szCs w:val="10"/>
          <w:color w:val="auto"/>
        </w:rPr>
        <w:t>☐</w:t>
      </w:r>
    </w:p>
    <w:p>
      <w:pPr>
        <w:ind w:right="400" w:firstLine="432"/>
        <w:spacing w:after="0" w:line="111"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0"/>
          <w:szCs w:val="10"/>
          <w:color w:val="auto"/>
        </w:rPr>
        <w:t>☐</w:t>
      </w:r>
    </w:p>
    <w:p>
      <w:pPr>
        <w:ind w:left="420"/>
        <w:spacing w:after="0" w:line="112"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ind w:left="420"/>
        <w:spacing w:after="0"/>
        <w:rPr>
          <w:sz w:val="20"/>
          <w:szCs w:val="20"/>
          <w:color w:val="auto"/>
        </w:rPr>
      </w:pPr>
      <w:r>
        <w:rPr>
          <w:rFonts w:ascii="Times New Roman" w:cs="Times New Roman" w:eastAsia="Times New Roman" w:hAnsi="Times New Roman"/>
          <w:sz w:val="8"/>
          <w:szCs w:val="8"/>
          <w:color w:val="auto"/>
        </w:rPr>
        <w:t>The aggregate market value of Common Stock held by non-affiliates of the registrant as of June 30, 2022, was approximately $509 million based on the closing price of the registrant’s Common Stock as reported on the Nasdaq Global Select Market.</w:t>
      </w:r>
    </w:p>
    <w:p>
      <w:pPr>
        <w:spacing w:after="0" w:line="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color w:val="auto"/>
        </w:rPr>
        <w:t>As of March 15, 2023, the registrant had 15,715,061.outstanding shares of Common Stock, $.01 par value.</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4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1"/>
          <w:szCs w:val="11"/>
          <w:color w:val="auto"/>
        </w:rPr>
        <w:t>Portions of the registrant’s Definitive Proxy Statement for the 2023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65379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62865</wp:posOffset>
            </wp:positionV>
            <wp:extent cx="653796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537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10280"/>
          </w:cols>
          <w:pgMar w:left="800" w:top="489" w:right="81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20" w:type="dxa"/>
            <w:vAlign w:val="bottom"/>
            <w:gridSpan w:val="6"/>
          </w:tcPr>
          <w:p>
            <w:pPr>
              <w:ind w:left="2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99"/>
        </w:trPr>
        <w:tc>
          <w:tcPr>
            <w:tcW w:w="8240" w:type="dxa"/>
            <w:vAlign w:val="bottom"/>
            <w:gridSpan w:val="37"/>
          </w:tcPr>
          <w:p>
            <w:pPr>
              <w:spacing w:after="0" w:line="79" w:lineRule="exact"/>
              <w:rPr>
                <w:sz w:val="20"/>
                <w:szCs w:val="20"/>
                <w:color w:val="auto"/>
              </w:rPr>
            </w:pPr>
            <w:r>
              <w:rPr>
                <w:rFonts w:ascii="Times New Roman" w:cs="Times New Roman" w:eastAsia="Times New Roman" w:hAnsi="Times New Roman"/>
                <w:sz w:val="9"/>
                <w:szCs w:val="9"/>
                <w:color w:val="0000EE"/>
              </w:rPr>
              <w:t>Special Note Regarding Forward Looking Statements</w:t>
            </w: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9"/>
                <w:szCs w:val="9"/>
                <w:color w:val="auto"/>
              </w:rPr>
              <w:t>1</w:t>
            </w:r>
          </w:p>
        </w:tc>
        <w:tc>
          <w:tcPr>
            <w:tcW w:w="20" w:type="dxa"/>
            <w:vAlign w:val="bottom"/>
          </w:tcPr>
          <w:p>
            <w:pPr>
              <w:spacing w:after="0"/>
              <w:rPr>
                <w:sz w:val="8"/>
                <w:szCs w:val="8"/>
                <w:color w:val="auto"/>
              </w:rPr>
            </w:pPr>
          </w:p>
        </w:tc>
      </w:tr>
      <w:tr>
        <w:trPr>
          <w:trHeight w:val="124"/>
        </w:trPr>
        <w:tc>
          <w:tcPr>
            <w:tcW w:w="64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1"/>
                <w:szCs w:val="11"/>
                <w:color w:val="0000EE"/>
              </w:rPr>
              <w:t>PART I</w:t>
            </w: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1</w:t>
            </w:r>
          </w:p>
        </w:tc>
      </w:tr>
      <w:tr>
        <w:trPr>
          <w:trHeight w:val="115"/>
        </w:trPr>
        <w:tc>
          <w:tcPr>
            <w:tcW w:w="320" w:type="dxa"/>
            <w:vAlign w:val="bottom"/>
            <w:tcBorders>
              <w:top w:val="single" w:sz="8" w:color="0000EE"/>
            </w:tcBorders>
            <w:gridSpan w:val="2"/>
          </w:tcPr>
          <w:p>
            <w:pPr>
              <w:spacing w:after="0" w:line="115" w:lineRule="exact"/>
              <w:rPr>
                <w:sz w:val="20"/>
                <w:szCs w:val="20"/>
                <w:color w:val="auto"/>
              </w:rPr>
            </w:pPr>
            <w:r>
              <w:rPr>
                <w:rFonts w:ascii="Times New Roman" w:cs="Times New Roman" w:eastAsia="Times New Roman" w:hAnsi="Times New Roman"/>
                <w:sz w:val="11"/>
                <w:szCs w:val="11"/>
                <w:color w:val="0000EE"/>
                <w:w w:val="96"/>
              </w:rPr>
              <w:t>Item 1.</w:t>
            </w:r>
          </w:p>
        </w:tc>
        <w:tc>
          <w:tcPr>
            <w:tcW w:w="320" w:type="dxa"/>
            <w:vAlign w:val="bottom"/>
            <w:gridSpan w:val="3"/>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Business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w:t>
            </w:r>
          </w:p>
        </w:tc>
      </w:tr>
      <w:tr>
        <w:trPr>
          <w:trHeight w:val="20"/>
        </w:trPr>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0000EE"/>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color w:val="0000EE"/>
                <w:w w:val="92"/>
              </w:rPr>
              <w:t>Overview</w:t>
            </w:r>
          </w:p>
        </w:tc>
        <w:tc>
          <w:tcPr>
            <w:tcW w:w="7140" w:type="dxa"/>
            <w:vAlign w:val="bottom"/>
            <w:gridSpan w:val="30"/>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bottom w:val="single" w:sz="8" w:color="0000EE"/>
            </w:tcBorders>
          </w:tcPr>
          <w:p>
            <w:pPr>
              <w:ind w:left="20"/>
              <w:spacing w:after="0" w:line="115" w:lineRule="exact"/>
              <w:rPr>
                <w:sz w:val="20"/>
                <w:szCs w:val="20"/>
                <w:color w:val="auto"/>
              </w:rPr>
            </w:pPr>
            <w:r>
              <w:rPr>
                <w:rFonts w:ascii="Times New Roman" w:cs="Times New Roman" w:eastAsia="Times New Roman" w:hAnsi="Times New Roman"/>
                <w:sz w:val="11"/>
                <w:szCs w:val="11"/>
                <w:color w:val="0000EE"/>
                <w:w w:val="92"/>
              </w:rPr>
              <w:t>Strategy</w:t>
            </w:r>
          </w:p>
        </w:tc>
        <w:tc>
          <w:tcPr>
            <w:tcW w:w="7200" w:type="dxa"/>
            <w:vAlign w:val="bottom"/>
            <w:gridSpan w:val="31"/>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Communications Services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0000EE"/>
            </w:tcBorders>
            <w:gridSpan w:val="11"/>
          </w:tcPr>
          <w:p>
            <w:pPr>
              <w:ind w:left="20"/>
              <w:spacing w:after="0" w:line="115" w:lineRule="exact"/>
              <w:rPr>
                <w:sz w:val="20"/>
                <w:szCs w:val="20"/>
                <w:color w:val="auto"/>
              </w:rPr>
            </w:pPr>
            <w:r>
              <w:rPr>
                <w:rFonts w:ascii="Times New Roman" w:cs="Times New Roman" w:eastAsia="Times New Roman" w:hAnsi="Times New Roman"/>
                <w:sz w:val="11"/>
                <w:szCs w:val="11"/>
                <w:color w:val="0000EE"/>
              </w:rPr>
              <w:t>Human Capital</w:t>
            </w:r>
          </w:p>
        </w:tc>
        <w:tc>
          <w:tcPr>
            <w:tcW w:w="6460" w:type="dxa"/>
            <w:vAlign w:val="bottom"/>
            <w:gridSpan w:val="21"/>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11</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0000EE"/>
            </w:tcBorders>
            <w:gridSpan w:val="4"/>
          </w:tcPr>
          <w:p>
            <w:pPr>
              <w:ind w:left="20"/>
              <w:spacing w:after="0" w:line="115" w:lineRule="exact"/>
              <w:rPr>
                <w:sz w:val="20"/>
                <w:szCs w:val="20"/>
                <w:color w:val="auto"/>
              </w:rPr>
            </w:pPr>
            <w:r>
              <w:rPr>
                <w:rFonts w:ascii="Times New Roman" w:cs="Times New Roman" w:eastAsia="Times New Roman" w:hAnsi="Times New Roman"/>
                <w:sz w:val="11"/>
                <w:szCs w:val="11"/>
                <w:color w:val="0000EE"/>
              </w:rPr>
              <w:t>Regulation</w:t>
            </w:r>
          </w:p>
        </w:tc>
        <w:tc>
          <w:tcPr>
            <w:tcW w:w="6940" w:type="dxa"/>
            <w:vAlign w:val="bottom"/>
            <w:gridSpan w:val="28"/>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12</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0000EE"/>
            </w:tcBorders>
            <w:gridSpan w:val="8"/>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US Federal Regulation</w:t>
            </w:r>
          </w:p>
        </w:tc>
        <w:tc>
          <w:tcPr>
            <w:tcW w:w="6600" w:type="dxa"/>
            <w:vAlign w:val="bottom"/>
            <w:gridSpan w:val="24"/>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12</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bottom w:val="single" w:sz="8" w:color="0000EE"/>
            </w:tcBorders>
            <w:gridSpan w:val="6"/>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US State Regulation</w:t>
            </w:r>
          </w:p>
        </w:tc>
        <w:tc>
          <w:tcPr>
            <w:tcW w:w="6700" w:type="dxa"/>
            <w:vAlign w:val="bottom"/>
            <w:gridSpan w:val="26"/>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19</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US Virgin Islands Regulation</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20</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0000EE"/>
            </w:tcBorders>
            <w:gridSpan w:val="14"/>
          </w:tcPr>
          <w:p>
            <w:pPr>
              <w:ind w:left="20"/>
              <w:spacing w:after="0" w:line="115" w:lineRule="exact"/>
              <w:rPr>
                <w:sz w:val="20"/>
                <w:szCs w:val="20"/>
                <w:color w:val="auto"/>
              </w:rPr>
            </w:pPr>
            <w:r>
              <w:rPr>
                <w:rFonts w:ascii="Times New Roman" w:cs="Times New Roman" w:eastAsia="Times New Roman" w:hAnsi="Times New Roman"/>
                <w:sz w:val="11"/>
                <w:szCs w:val="11"/>
                <w:color w:val="0000EE"/>
              </w:rPr>
              <w:t>Guyana Regulation</w:t>
            </w:r>
          </w:p>
        </w:tc>
        <w:tc>
          <w:tcPr>
            <w:tcW w:w="6320" w:type="dxa"/>
            <w:vAlign w:val="bottom"/>
            <w:gridSpan w:val="18"/>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21</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Bermuda Regulation</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22</w:t>
            </w: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1A.</w:t>
            </w:r>
          </w:p>
        </w:tc>
        <w:tc>
          <w:tcPr>
            <w:tcW w:w="240" w:type="dxa"/>
            <w:vAlign w:val="bottom"/>
          </w:tcPr>
          <w:p>
            <w:pPr>
              <w:spacing w:after="0"/>
              <w:rPr>
                <w:sz w:val="10"/>
                <w:szCs w:val="10"/>
                <w:color w:val="auto"/>
              </w:rPr>
            </w:pPr>
          </w:p>
        </w:tc>
        <w:tc>
          <w:tcPr>
            <w:tcW w:w="560" w:type="dxa"/>
            <w:vAlign w:val="bottom"/>
            <w:tcBorders>
              <w:top w:val="single" w:sz="8" w:color="0000EE"/>
              <w:bottom w:val="single" w:sz="8" w:color="0000EE"/>
            </w:tcBorders>
            <w:gridSpan w:val="3"/>
          </w:tcPr>
          <w:p>
            <w:pPr>
              <w:ind w:left="20"/>
              <w:spacing w:after="0" w:line="115" w:lineRule="exact"/>
              <w:rPr>
                <w:sz w:val="20"/>
                <w:szCs w:val="20"/>
                <w:color w:val="auto"/>
              </w:rPr>
            </w:pPr>
            <w:r>
              <w:rPr>
                <w:rFonts w:ascii="Times New Roman" w:cs="Times New Roman" w:eastAsia="Times New Roman" w:hAnsi="Times New Roman"/>
                <w:sz w:val="11"/>
                <w:szCs w:val="11"/>
                <w:color w:val="0000EE"/>
                <w:w w:val="93"/>
              </w:rPr>
              <w:t>Risk Factors</w:t>
            </w:r>
          </w:p>
        </w:tc>
        <w:tc>
          <w:tcPr>
            <w:tcW w:w="340" w:type="dxa"/>
            <w:vAlign w:val="bottom"/>
            <w:tcBorders>
              <w:top w:val="single" w:sz="8" w:color="0000EE"/>
            </w:tcBorders>
            <w:gridSpan w:val="3"/>
          </w:tcPr>
          <w:p>
            <w:pPr>
              <w:spacing w:after="0"/>
              <w:rPr>
                <w:sz w:val="10"/>
                <w:szCs w:val="10"/>
                <w:color w:val="auto"/>
              </w:rPr>
            </w:pPr>
          </w:p>
        </w:tc>
        <w:tc>
          <w:tcPr>
            <w:tcW w:w="6700" w:type="dxa"/>
            <w:vAlign w:val="bottom"/>
            <w:gridSpan w:val="26"/>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23</w:t>
            </w:r>
          </w:p>
        </w:tc>
      </w:tr>
      <w:tr>
        <w:trPr>
          <w:trHeight w:val="115"/>
        </w:trPr>
        <w:tc>
          <w:tcPr>
            <w:tcW w:w="36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1B.</w:t>
            </w:r>
          </w:p>
        </w:tc>
        <w:tc>
          <w:tcPr>
            <w:tcW w:w="280" w:type="dxa"/>
            <w:vAlign w:val="bottom"/>
            <w:gridSpan w:val="2"/>
          </w:tcPr>
          <w:p>
            <w:pPr>
              <w:spacing w:after="0"/>
              <w:rPr>
                <w:sz w:val="10"/>
                <w:szCs w:val="10"/>
                <w:color w:val="auto"/>
              </w:rPr>
            </w:pPr>
          </w:p>
        </w:tc>
        <w:tc>
          <w:tcPr>
            <w:tcW w:w="1240" w:type="dxa"/>
            <w:vAlign w:val="bottom"/>
            <w:tcBorders>
              <w:bottom w:val="single" w:sz="8" w:color="0000EE"/>
            </w:tcBorders>
            <w:gridSpan w:val="13"/>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Unresolved Staff Comments</w:t>
            </w:r>
          </w:p>
        </w:tc>
        <w:tc>
          <w:tcPr>
            <w:tcW w:w="6360" w:type="dxa"/>
            <w:vAlign w:val="bottom"/>
            <w:gridSpan w:val="19"/>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35</w:t>
            </w: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2.</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Properties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35</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3.</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Legal Proceedings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35</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4.</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Mine Safety Disclosures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37</w:t>
            </w:r>
          </w:p>
        </w:tc>
      </w:tr>
      <w:tr>
        <w:trPr>
          <w:trHeight w:val="20"/>
        </w:trPr>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Information About Our Executive Officers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38</w:t>
            </w: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PART II</w:t>
            </w: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39</w:t>
            </w:r>
          </w:p>
        </w:tc>
      </w:tr>
      <w:tr>
        <w:trPr>
          <w:trHeight w:val="115"/>
        </w:trPr>
        <w:tc>
          <w:tcPr>
            <w:tcW w:w="360" w:type="dxa"/>
            <w:vAlign w:val="bottom"/>
            <w:tcBorders>
              <w:top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rPr>
              <w:t>Item 5.</w:t>
            </w:r>
          </w:p>
        </w:tc>
        <w:tc>
          <w:tcPr>
            <w:tcW w:w="280" w:type="dxa"/>
            <w:vAlign w:val="bottom"/>
            <w:gridSpan w:val="2"/>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Market for Registrant’s Common Equity, Related Stockholder Matters and Issuer Purchases of Equity Securities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39</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7.</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Management’s Discussion and Analysis of Financial Condition and Results of Operations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41</w:t>
            </w:r>
          </w:p>
        </w:tc>
      </w:tr>
      <w:tr>
        <w:trPr>
          <w:trHeight w:val="115"/>
        </w:trPr>
        <w:tc>
          <w:tcPr>
            <w:tcW w:w="30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top w:val="single" w:sz="8" w:color="0000EE"/>
              <w:bottom w:val="single" w:sz="8" w:color="0000EE"/>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color w:val="0000EE"/>
                <w:w w:val="92"/>
              </w:rPr>
              <w:t>Overview</w:t>
            </w:r>
          </w:p>
        </w:tc>
        <w:tc>
          <w:tcPr>
            <w:tcW w:w="3420" w:type="dxa"/>
            <w:vAlign w:val="bottom"/>
            <w:tcBorders>
              <w:top w:val="single" w:sz="8" w:color="0000EE"/>
            </w:tcBorders>
            <w:gridSpan w:val="26"/>
          </w:tcPr>
          <w:p>
            <w:pPr>
              <w:spacing w:after="0"/>
              <w:rPr>
                <w:sz w:val="10"/>
                <w:szCs w:val="10"/>
                <w:color w:val="auto"/>
              </w:rPr>
            </w:pPr>
          </w:p>
        </w:tc>
        <w:tc>
          <w:tcPr>
            <w:tcW w:w="3720" w:type="dxa"/>
            <w:vAlign w:val="bottom"/>
            <w:gridSpan w:val="4"/>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41</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Results of Operations: Years Ended December 31, 2022 and 2021</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49</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0000EE"/>
              <w:bottom w:val="single" w:sz="8" w:color="0000EE"/>
            </w:tcBorders>
            <w:gridSpan w:val="12"/>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Regulatory and Tax Issues</w:t>
            </w:r>
          </w:p>
        </w:tc>
        <w:tc>
          <w:tcPr>
            <w:tcW w:w="1680" w:type="dxa"/>
            <w:vAlign w:val="bottom"/>
            <w:tcBorders>
              <w:top w:val="single" w:sz="8" w:color="0000EE"/>
            </w:tcBorders>
            <w:gridSpan w:val="13"/>
          </w:tcPr>
          <w:p>
            <w:pPr>
              <w:spacing w:after="0"/>
              <w:rPr>
                <w:sz w:val="10"/>
                <w:szCs w:val="10"/>
                <w:color w:val="auto"/>
              </w:rPr>
            </w:pPr>
          </w:p>
        </w:tc>
        <w:tc>
          <w:tcPr>
            <w:tcW w:w="4760" w:type="dxa"/>
            <w:vAlign w:val="bottom"/>
            <w:gridSpan w:val="7"/>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56</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Liquidity and Capital Resources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56</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Recent Accounting Pronouncements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66</w:t>
            </w: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4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7A.</w:t>
            </w: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Quantitative and Qualitative Disclosures About Market Risk</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66</w:t>
            </w:r>
          </w:p>
        </w:tc>
      </w:tr>
      <w:tr>
        <w:trPr>
          <w:trHeight w:val="115"/>
        </w:trPr>
        <w:tc>
          <w:tcPr>
            <w:tcW w:w="400" w:type="dxa"/>
            <w:vAlign w:val="bottom"/>
            <w:tcBorders>
              <w:top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rPr>
              <w:t>Item 8.</w:t>
            </w:r>
          </w:p>
        </w:tc>
        <w:tc>
          <w:tcPr>
            <w:tcW w:w="240" w:type="dxa"/>
            <w:vAlign w:val="bottom"/>
          </w:tcPr>
          <w:p>
            <w:pPr>
              <w:spacing w:after="0"/>
              <w:rPr>
                <w:sz w:val="10"/>
                <w:szCs w:val="10"/>
                <w:color w:val="auto"/>
              </w:rPr>
            </w:pPr>
          </w:p>
        </w:tc>
        <w:tc>
          <w:tcPr>
            <w:tcW w:w="2620" w:type="dxa"/>
            <w:vAlign w:val="bottom"/>
            <w:tcBorders>
              <w:top w:val="single" w:sz="8" w:color="0000EE"/>
            </w:tcBorders>
            <w:gridSpan w:val="24"/>
          </w:tcPr>
          <w:p>
            <w:pPr>
              <w:ind w:left="20"/>
              <w:spacing w:after="0" w:line="115" w:lineRule="exact"/>
              <w:rPr>
                <w:sz w:val="20"/>
                <w:szCs w:val="20"/>
                <w:color w:val="auto"/>
              </w:rPr>
            </w:pPr>
            <w:r>
              <w:rPr>
                <w:rFonts w:ascii="Times New Roman" w:cs="Times New Roman" w:eastAsia="Times New Roman" w:hAnsi="Times New Roman"/>
                <w:sz w:val="11"/>
                <w:szCs w:val="11"/>
                <w:color w:val="0000EE"/>
              </w:rPr>
              <w:t>Financial Statements and Supplementary Data</w:t>
            </w:r>
          </w:p>
        </w:tc>
        <w:tc>
          <w:tcPr>
            <w:tcW w:w="4980" w:type="dxa"/>
            <w:vAlign w:val="bottom"/>
            <w:gridSpan w:val="8"/>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67</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9.</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Changes in and Disagreements With Accountants on Accounting and Financial Disclosure</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67</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9A.</w:t>
            </w:r>
          </w:p>
        </w:tc>
        <w:tc>
          <w:tcPr>
            <w:tcW w:w="240" w:type="dxa"/>
            <w:vAlign w:val="bottom"/>
          </w:tcPr>
          <w:p>
            <w:pPr>
              <w:spacing w:after="0"/>
              <w:rPr>
                <w:sz w:val="10"/>
                <w:szCs w:val="10"/>
                <w:color w:val="auto"/>
              </w:rPr>
            </w:pPr>
          </w:p>
        </w:tc>
        <w:tc>
          <w:tcPr>
            <w:tcW w:w="1080" w:type="dxa"/>
            <w:vAlign w:val="bottom"/>
            <w:tcBorders>
              <w:bottom w:val="single" w:sz="8" w:color="0000EE"/>
            </w:tcBorders>
            <w:gridSpan w:val="9"/>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Controls and Procedures</w:t>
            </w:r>
          </w:p>
        </w:tc>
        <w:tc>
          <w:tcPr>
            <w:tcW w:w="6520" w:type="dxa"/>
            <w:vAlign w:val="bottom"/>
            <w:gridSpan w:val="23"/>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67</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80" w:type="dxa"/>
            <w:vAlign w:val="bottom"/>
            <w:tcBorders>
              <w:bottom w:val="single" w:sz="8" w:color="0000EE"/>
            </w:tcBorders>
            <w:gridSpan w:val="21"/>
          </w:tcPr>
          <w:p>
            <w:pPr>
              <w:ind w:left="20"/>
              <w:spacing w:after="0" w:line="115" w:lineRule="exact"/>
              <w:rPr>
                <w:sz w:val="20"/>
                <w:szCs w:val="20"/>
                <w:color w:val="auto"/>
              </w:rPr>
            </w:pPr>
            <w:r>
              <w:rPr>
                <w:rFonts w:ascii="Times New Roman" w:cs="Times New Roman" w:eastAsia="Times New Roman" w:hAnsi="Times New Roman"/>
                <w:sz w:val="11"/>
                <w:szCs w:val="11"/>
                <w:color w:val="0000EE"/>
                <w:w w:val="97"/>
              </w:rPr>
              <w:t>Evaluation of Disclosure Controls and Procedures</w:t>
            </w:r>
          </w:p>
        </w:tc>
        <w:tc>
          <w:tcPr>
            <w:tcW w:w="5420" w:type="dxa"/>
            <w:vAlign w:val="bottom"/>
            <w:gridSpan w:val="11"/>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67</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Management’s Report on Internal Control over Financial Reporting</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67</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Borders>
              <w:top w:val="single" w:sz="8" w:color="0000EE"/>
              <w:bottom w:val="single" w:sz="8" w:color="0000EE"/>
            </w:tcBorders>
            <w:gridSpan w:val="22"/>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Changes in Internal Control over Financial Reporting</w:t>
            </w:r>
          </w:p>
        </w:tc>
        <w:tc>
          <w:tcPr>
            <w:tcW w:w="660" w:type="dxa"/>
            <w:vAlign w:val="bottom"/>
            <w:tcBorders>
              <w:top w:val="single" w:sz="8" w:color="0000EE"/>
            </w:tcBorders>
            <w:gridSpan w:val="4"/>
          </w:tcPr>
          <w:p>
            <w:pPr>
              <w:spacing w:after="0"/>
              <w:rPr>
                <w:sz w:val="10"/>
                <w:szCs w:val="10"/>
                <w:color w:val="auto"/>
              </w:rPr>
            </w:pPr>
          </w:p>
        </w:tc>
        <w:tc>
          <w:tcPr>
            <w:tcW w:w="4620" w:type="dxa"/>
            <w:vAlign w:val="bottom"/>
            <w:gridSpan w:val="6"/>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115"/>
        </w:trPr>
        <w:tc>
          <w:tcPr>
            <w:tcW w:w="36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9B.</w:t>
            </w:r>
          </w:p>
        </w:tc>
        <w:tc>
          <w:tcPr>
            <w:tcW w:w="280" w:type="dxa"/>
            <w:vAlign w:val="bottom"/>
            <w:gridSpan w:val="2"/>
          </w:tcPr>
          <w:p>
            <w:pPr>
              <w:spacing w:after="0"/>
              <w:rPr>
                <w:sz w:val="10"/>
                <w:szCs w:val="10"/>
                <w:color w:val="auto"/>
              </w:rPr>
            </w:pPr>
          </w:p>
        </w:tc>
        <w:tc>
          <w:tcPr>
            <w:tcW w:w="820" w:type="dxa"/>
            <w:vAlign w:val="bottom"/>
            <w:tcBorders>
              <w:bottom w:val="single" w:sz="8" w:color="0000EE"/>
            </w:tcBorders>
            <w:gridSpan w:val="5"/>
          </w:tcPr>
          <w:p>
            <w:pPr>
              <w:ind w:left="20"/>
              <w:spacing w:after="0" w:line="115" w:lineRule="exact"/>
              <w:rPr>
                <w:sz w:val="20"/>
                <w:szCs w:val="20"/>
                <w:color w:val="auto"/>
              </w:rPr>
            </w:pPr>
            <w:r>
              <w:rPr>
                <w:rFonts w:ascii="Times New Roman" w:cs="Times New Roman" w:eastAsia="Times New Roman" w:hAnsi="Times New Roman"/>
                <w:sz w:val="11"/>
                <w:szCs w:val="11"/>
                <w:color w:val="0000EE"/>
                <w:w w:val="94"/>
              </w:rPr>
              <w:t>Other Information</w:t>
            </w:r>
          </w:p>
        </w:tc>
        <w:tc>
          <w:tcPr>
            <w:tcW w:w="6780" w:type="dxa"/>
            <w:vAlign w:val="bottom"/>
            <w:gridSpan w:val="27"/>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115"/>
        </w:trPr>
        <w:tc>
          <w:tcPr>
            <w:tcW w:w="3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9C.</w:t>
            </w:r>
          </w:p>
        </w:tc>
        <w:tc>
          <w:tcPr>
            <w:tcW w:w="280" w:type="dxa"/>
            <w:vAlign w:val="bottom"/>
            <w:gridSpan w:val="2"/>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Disclosure Regarding Foreign Jurisdictions That Prevent Inspections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0"/>
              </w:rPr>
              <w:t>PART III</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10.</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Directors, Executive Officers and Corporate Governance</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115"/>
        </w:trPr>
        <w:tc>
          <w:tcPr>
            <w:tcW w:w="360" w:type="dxa"/>
            <w:vAlign w:val="bottom"/>
            <w:tcBorders>
              <w:top w:val="single" w:sz="8" w:color="0000EE"/>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7"/>
              </w:rPr>
              <w:t>Item 11.</w:t>
            </w:r>
          </w:p>
        </w:tc>
        <w:tc>
          <w:tcPr>
            <w:tcW w:w="280" w:type="dxa"/>
            <w:vAlign w:val="bottom"/>
            <w:gridSpan w:val="2"/>
          </w:tcPr>
          <w:p>
            <w:pPr>
              <w:spacing w:after="0"/>
              <w:rPr>
                <w:sz w:val="10"/>
                <w:szCs w:val="10"/>
                <w:color w:val="auto"/>
              </w:rPr>
            </w:pPr>
          </w:p>
        </w:tc>
        <w:tc>
          <w:tcPr>
            <w:tcW w:w="1100" w:type="dxa"/>
            <w:vAlign w:val="bottom"/>
            <w:tcBorders>
              <w:top w:val="single" w:sz="8" w:color="0000EE"/>
              <w:bottom w:val="single" w:sz="8" w:color="0000EE"/>
            </w:tcBorders>
            <w:gridSpan w:val="10"/>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Executive Compensation</w:t>
            </w:r>
          </w:p>
        </w:tc>
        <w:tc>
          <w:tcPr>
            <w:tcW w:w="1360" w:type="dxa"/>
            <w:vAlign w:val="bottom"/>
            <w:tcBorders>
              <w:top w:val="single" w:sz="8" w:color="0000EE"/>
            </w:tcBorders>
            <w:gridSpan w:val="13"/>
          </w:tcPr>
          <w:p>
            <w:pPr>
              <w:spacing w:after="0"/>
              <w:rPr>
                <w:sz w:val="10"/>
                <w:szCs w:val="10"/>
                <w:color w:val="auto"/>
              </w:rPr>
            </w:pPr>
          </w:p>
        </w:tc>
        <w:tc>
          <w:tcPr>
            <w:tcW w:w="5140" w:type="dxa"/>
            <w:vAlign w:val="bottom"/>
            <w:gridSpan w:val="9"/>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70</w:t>
            </w: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12.</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Security Ownership of Certain Beneficial Owners and Management and Related Stockholder Matters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70</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tcBorders>
              <w:right w:val="single" w:sz="8" w:color="0000EE"/>
            </w:tcBorders>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13.</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Certain Relationships and Related Transactions, and Director Independence</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70</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tcBorders>
              <w:right w:val="single" w:sz="8" w:color="0000EE"/>
            </w:tcBorders>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14.</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Principal Accountant Fees and Services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71</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PART IV</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71</w:t>
            </w:r>
          </w:p>
        </w:tc>
      </w:tr>
      <w:tr>
        <w:trPr>
          <w:trHeight w:val="115"/>
        </w:trPr>
        <w:tc>
          <w:tcPr>
            <w:tcW w:w="400" w:type="dxa"/>
            <w:vAlign w:val="bottom"/>
            <w:tcBorders>
              <w:top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rPr>
              <w:t>Item 15.</w:t>
            </w: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Exhibits and Financial Statement Schedules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71</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64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16.</w:t>
            </w: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Form 10-K Summary</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74</w:t>
            </w:r>
          </w:p>
        </w:tc>
      </w:tr>
      <w:tr>
        <w:trPr>
          <w:trHeight w:val="115"/>
        </w:trPr>
        <w:tc>
          <w:tcPr>
            <w:tcW w:w="3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0000EE"/>
            </w:tcBorders>
            <w:gridSpan w:val="7"/>
          </w:tcPr>
          <w:p>
            <w:pPr>
              <w:ind w:left="20"/>
              <w:spacing w:after="0" w:line="115" w:lineRule="exact"/>
              <w:rPr>
                <w:sz w:val="20"/>
                <w:szCs w:val="20"/>
                <w:color w:val="auto"/>
              </w:rPr>
            </w:pPr>
            <w:r>
              <w:rPr>
                <w:rFonts w:ascii="Times New Roman" w:cs="Times New Roman" w:eastAsia="Times New Roman" w:hAnsi="Times New Roman"/>
                <w:sz w:val="11"/>
                <w:szCs w:val="11"/>
                <w:color w:val="0000EE"/>
              </w:rPr>
              <w:t>Signatures</w:t>
            </w:r>
          </w:p>
        </w:tc>
        <w:tc>
          <w:tcPr>
            <w:tcW w:w="6660" w:type="dxa"/>
            <w:vAlign w:val="bottom"/>
            <w:gridSpan w:val="25"/>
          </w:tcPr>
          <w:p>
            <w:pPr>
              <w:spacing w:after="0"/>
              <w:rPr>
                <w:sz w:val="10"/>
                <w:szCs w:val="10"/>
                <w:color w:val="auto"/>
              </w:rPr>
            </w:pP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75</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0" w:type="dxa"/>
            <w:vAlign w:val="bottom"/>
            <w:gridSpan w:val="32"/>
          </w:tcPr>
          <w:p>
            <w:pPr>
              <w:ind w:left="20"/>
              <w:spacing w:after="0" w:line="115" w:lineRule="exact"/>
              <w:rPr>
                <w:sz w:val="20"/>
                <w:szCs w:val="20"/>
                <w:color w:val="auto"/>
              </w:rPr>
            </w:pPr>
            <w:r>
              <w:rPr>
                <w:rFonts w:ascii="Times New Roman" w:cs="Times New Roman" w:eastAsia="Times New Roman" w:hAnsi="Times New Roman"/>
                <w:sz w:val="11"/>
                <w:szCs w:val="11"/>
                <w:color w:val="0000EE"/>
              </w:rPr>
              <w:t>Index to Consolidated Financial Statements</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F-1</w:t>
            </w:r>
          </w:p>
        </w:tc>
      </w:tr>
      <w:tr>
        <w:trPr>
          <w:trHeight w:val="1022"/>
        </w:trPr>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54"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This Annual Report on Form 10-K (this “Report”) contains forward-looking statements relating to, among other matters, our future financial performance and results of operations; the impact of federal support program revenues; expectations regarding future revenue, operating income, EBITDA and capital expenditures; the competitive environment in our key markets, demand for our services and industry trends; our expectations regarding construction progress under our agreement as part of the FirstNet Transaction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and the retention of and future growth of our subscriber base and ARPU; (2) our ability to replace and remove all prohibited mobile telecommunications equipment in our U.S. network on the timeframe and at the cost approved by the FCC; (3) our reliance on a limited number of key suppliers and vendors for timely supply of equipment and services relating to our network infrastructure; (4) our ability to satisfy the needs and demands of our major carrier customers; (5) our ability to realize cost synergies for its newly acquired businesses and expansion plans for its fiber markets; (6) the adequacy and expansion capabilities of our network capacity and customer service system to support our customer growth;</w:t>
      </w:r>
    </w:p>
    <w:p>
      <w:pPr>
        <w:spacing w:after="0" w:line="2" w:lineRule="exact"/>
        <w:rPr>
          <w:sz w:val="20"/>
          <w:szCs w:val="20"/>
          <w:color w:val="auto"/>
        </w:rPr>
      </w:pPr>
    </w:p>
    <w:p>
      <w:pPr>
        <w:jc w:val="both"/>
        <w:ind w:left="20" w:right="39" w:firstLine="2"/>
        <w:spacing w:after="0" w:line="251" w:lineRule="auto"/>
        <w:tabs>
          <w:tab w:leader="none" w:pos="22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efficiently and cost-effectively upgrade our networks and information technology platforms to address rapid and significant technological changes in the telecommunications industry; (8) continued access to capital and credit markets on terms we deem favorable; (9) government subsidy program availability and regulation of our businesses, which may impact our telecommunications licenses, revenue and operating costs; (10) our ability to successfully transition our US Telecom business away from wholesale wireless to other carrier and consumer-based services; (11) increased risk of an economic downturn, political, geopolitical and other risks and opportunities facing our operations, including those resulting from the persistence of high inflation and other macroeconomic headwinds including increased costs and supply chain disruptions; (12) the loss of, or an inability to recruit skilled personnel in our various jurisdictions, including key members of management; (13) our ability to find investment or acquisition or disposition opportunities that fit our strategic goals; (14) the occurrence of weather events and natural catastrophes and our ability to secure the appropriate level of insurance coverage for these assets; (15) increased competition; and (16) our ability to successfully secure the expected benefits of our recent acquisitions.</w:t>
      </w:r>
    </w:p>
    <w:p>
      <w:pPr>
        <w:spacing w:after="0" w:line="131" w:lineRule="exact"/>
        <w:rPr>
          <w:sz w:val="20"/>
          <w:szCs w:val="20"/>
          <w:color w:val="auto"/>
        </w:rPr>
      </w:pPr>
    </w:p>
    <w:p>
      <w:pPr>
        <w:jc w:val="both"/>
        <w:ind w:left="20" w:right="39" w:firstLine="416"/>
        <w:spacing w:after="0" w:line="260" w:lineRule="auto"/>
        <w:rPr>
          <w:sz w:val="20"/>
          <w:szCs w:val="20"/>
          <w:color w:val="auto"/>
        </w:rPr>
      </w:pPr>
      <w:r>
        <w:rPr>
          <w:rFonts w:ascii="Times New Roman" w:cs="Times New Roman" w:eastAsia="Times New Roman" w:hAnsi="Times New Roman"/>
          <w:sz w:val="12"/>
          <w:szCs w:val="12"/>
          <w:color w:val="auto"/>
        </w:rPr>
        <w:t>Please keep in mind that any forward-looking statement made by us in this Report or elsewhere speaks only as of the date on which we make it. New risks and uncertainties arise from time to time, and it is impossible for us to predict these events or how they may affect us. In any event, these and other important factors may cause actual results to differ materially from those indicated by our forward-looking statements, including those set forth in Item 1A of this Report under the caption “Risk Factors.” We have no duty to, and do not intend to, update or revise the forward-looking statements made by us in this Report after the date of this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38735</wp:posOffset>
            </wp:positionV>
            <wp:extent cx="142303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02"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References to dollars ($) refer to US dollars unless otherwise specifically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56515</wp:posOffset>
            </wp:positionV>
            <wp:extent cx="142303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81" w:lineRule="exact"/>
        <w:rPr>
          <w:sz w:val="20"/>
          <w:szCs w:val="20"/>
          <w:color w:val="auto"/>
        </w:rPr>
      </w:pPr>
    </w:p>
    <w:p>
      <w:pPr>
        <w:ind w:left="40" w:right="99" w:firstLine="317"/>
        <w:spacing w:after="0" w:line="279" w:lineRule="auto"/>
        <w:rPr>
          <w:sz w:val="20"/>
          <w:szCs w:val="20"/>
          <w:color w:val="auto"/>
        </w:rPr>
      </w:pPr>
      <w:r>
        <w:rPr>
          <w:rFonts w:ascii="Times New Roman" w:cs="Times New Roman" w:eastAsia="Times New Roman" w:hAnsi="Times New Roman"/>
          <w:sz w:val="12"/>
          <w:szCs w:val="12"/>
          <w:color w:val="auto"/>
        </w:rPr>
        <w:t>We provide digital infrastructure and communications services in the United States and internationally, including in the Caribbean region, with a focus on smaller markets, many of which are rural or remote, with a growing demand for infrastructure investments, Through our operating subsidiaries, we primarily provide: (i) carrier and enterprise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right="99"/>
        <w:spacing w:after="0" w:line="279" w:lineRule="auto"/>
        <w:rPr>
          <w:sz w:val="20"/>
          <w:szCs w:val="20"/>
          <w:color w:val="auto"/>
        </w:rPr>
      </w:pPr>
      <w:r>
        <w:rPr>
          <w:rFonts w:ascii="Times New Roman" w:cs="Times New Roman" w:eastAsia="Times New Roman" w:hAnsi="Times New Roman"/>
          <w:sz w:val="12"/>
          <w:szCs w:val="12"/>
          <w:color w:val="auto"/>
        </w:rPr>
        <w:t>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38" w:lineRule="exact"/>
        <w:rPr>
          <w:sz w:val="20"/>
          <w:szCs w:val="20"/>
          <w:color w:val="auto"/>
        </w:rPr>
      </w:pPr>
    </w:p>
    <w:p>
      <w:pPr>
        <w:jc w:val="both"/>
        <w:ind w:left="40" w:right="199" w:firstLine="317"/>
        <w:spacing w:after="0" w:line="254" w:lineRule="auto"/>
        <w:rPr>
          <w:sz w:val="20"/>
          <w:szCs w:val="20"/>
          <w:color w:val="auto"/>
        </w:rPr>
      </w:pPr>
      <w:r>
        <w:rPr>
          <w:rFonts w:ascii="Times New Roman" w:cs="Times New Roman" w:eastAsia="Times New Roman" w:hAnsi="Times New Roman"/>
          <w:sz w:val="12"/>
          <w:szCs w:val="12"/>
          <w:color w:val="auto"/>
        </w:rPr>
        <w:t>At the holding company level, we oversee the allocation of capital within and among our subsidiaries, affiliates, new investments, and stockholders. We have developed significant operational expertise and resources that we use to augment the capabilities of our individual operating subsidiaries in our local markets. We have built a platform of resources and expertise to support our operating subsidiaries and to improve their quality of service with greater economies of scale and expertise than would typically be available at the operating subsidiary level. We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“first to fiber”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53" w:lineRule="exact"/>
        <w:rPr>
          <w:sz w:val="20"/>
          <w:szCs w:val="20"/>
          <w:color w:val="auto"/>
        </w:rPr>
      </w:pPr>
    </w:p>
    <w:p>
      <w:pPr>
        <w:ind w:left="40" w:right="339" w:firstLine="317"/>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14 to the Consolidated Financial Statements included in this Report.</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December 31, 2022, we offered the following types of services to our customers:</w:t>
      </w:r>
    </w:p>
    <w:p>
      <w:pPr>
        <w:spacing w:after="0" w:line="173" w:lineRule="exact"/>
        <w:rPr>
          <w:sz w:val="20"/>
          <w:szCs w:val="20"/>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Mobility Telecommunications Services</w:t>
      </w:r>
      <w:r>
        <w:rPr>
          <w:rFonts w:ascii="Times New Roman" w:cs="Times New Roman" w:eastAsia="Times New Roman" w:hAnsi="Times New Roman"/>
          <w:sz w:val="12"/>
          <w:szCs w:val="12"/>
          <w:color w:val="auto"/>
        </w:rPr>
        <w:t>. We offer mobile communications services over our wireless networks and related equipment (such as handsets) to both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to business and consumer customers. These services include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broadband and high 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to other telecommunications providers such as the leasing of critical network infrastructure such as tower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transport facilities, wholesale roaming,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31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such as network, application, infrastructure and hosting services to both our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to complement our fixed services in our existing markets.</w:t>
      </w:r>
    </w:p>
    <w:p>
      <w:pPr>
        <w:spacing w:after="0" w:line="107" w:lineRule="exact"/>
        <w:rPr>
          <w:sz w:val="20"/>
          <w:szCs w:val="20"/>
          <w:color w:val="auto"/>
        </w:rPr>
      </w:pPr>
    </w:p>
    <w:p>
      <w:pPr>
        <w:ind w:left="40" w:right="539" w:firstLine="317"/>
        <w:spacing w:after="0" w:line="279" w:lineRule="auto"/>
        <w:rPr>
          <w:sz w:val="20"/>
          <w:szCs w:val="20"/>
          <w:color w:val="auto"/>
        </w:rPr>
      </w:pPr>
      <w:r>
        <w:rPr>
          <w:rFonts w:ascii="Times New Roman" w:cs="Times New Roman" w:eastAsia="Times New Roman" w:hAnsi="Times New Roman"/>
          <w:sz w:val="12"/>
          <w:szCs w:val="12"/>
          <w:color w:val="auto"/>
        </w:rPr>
        <w:t>Through December 31, 2022, we had identified two operating segments to manage and review our operations and to facilitate investor presentations of our results. These operating segments are as follows:</w:t>
      </w:r>
    </w:p>
    <w:p>
      <w:pPr>
        <w:spacing w:after="0" w:line="107" w:lineRule="exact"/>
        <w:rPr>
          <w:sz w:val="20"/>
          <w:szCs w:val="20"/>
          <w:color w:val="auto"/>
        </w:rPr>
      </w:pPr>
    </w:p>
    <w:p>
      <w:pPr>
        <w:ind w:left="820" w:right="339" w:hanging="222"/>
        <w:spacing w:after="0" w:line="286"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 US Virgin Islands.</w:t>
      </w:r>
    </w:p>
    <w:p>
      <w:pPr>
        <w:spacing w:after="0" w:line="103" w:lineRule="exact"/>
        <w:rPr>
          <w:rFonts w:ascii="Times New Roman" w:cs="Times New Roman" w:eastAsia="Times New Roman" w:hAnsi="Times New Roman"/>
          <w:sz w:val="12"/>
          <w:szCs w:val="12"/>
          <w:color w:val="auto"/>
        </w:rPr>
      </w:pPr>
    </w:p>
    <w:p>
      <w:pPr>
        <w:ind w:left="820" w:right="99" w:hanging="222"/>
        <w:spacing w:after="0" w:line="268"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we offer fixed services, carrier services, and managed services to business customers and consumers in Alaska and the western United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States. As of December 31, 2022 we provided mobility services to retail customers in the western United States. In the first quarter of 2022, we discontinued providing private network services in this segment.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our principal subsidiaries, the segments in which we reported our revenue and the markets we served during 2022.</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Segment</w:t>
            </w: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8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0"/>
                <w:szCs w:val="10"/>
                <w:b w:val="1"/>
                <w:bCs w:val="1"/>
                <w:color w:val="auto"/>
              </w:rPr>
              <w:t>Markets</w:t>
            </w:r>
          </w:p>
        </w:tc>
        <w:tc>
          <w:tcPr>
            <w:tcW w:w="60" w:type="dxa"/>
            <w:vAlign w:val="bottom"/>
            <w:tcBorders>
              <w:bottom w:val="single" w:sz="8" w:color="CCEEFF"/>
            </w:tcBorders>
          </w:tcPr>
          <w:p>
            <w:pPr>
              <w:spacing w:after="0"/>
              <w:rPr>
                <w:sz w:val="10"/>
                <w:szCs w:val="10"/>
                <w:color w:val="auto"/>
              </w:rPr>
            </w:pPr>
          </w:p>
        </w:tc>
        <w:tc>
          <w:tcPr>
            <w:tcW w:w="45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0"/>
                <w:szCs w:val="10"/>
                <w:b w:val="1"/>
                <w:bCs w:val="1"/>
                <w:color w:val="auto"/>
              </w:rPr>
              <w:t>Tradenames</w:t>
            </w:r>
          </w:p>
        </w:tc>
      </w:tr>
      <w:tr>
        <w:trPr>
          <w:trHeight w:val="118"/>
        </w:trPr>
        <w:tc>
          <w:tcPr>
            <w:tcW w:w="10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International</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Mobility</w:t>
            </w:r>
          </w:p>
        </w:tc>
        <w:tc>
          <w:tcPr>
            <w:tcW w:w="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Bermuda, Guyana, US Virgin Islands</w:t>
            </w:r>
          </w:p>
        </w:tc>
        <w:tc>
          <w:tcPr>
            <w:tcW w:w="6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One, GTT, Viya</w:t>
            </w:r>
          </w:p>
        </w:tc>
      </w:tr>
      <w:tr>
        <w:trPr>
          <w:trHeight w:val="159"/>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Services</w:t>
            </w:r>
          </w:p>
        </w:tc>
        <w:tc>
          <w:tcPr>
            <w:tcW w:w="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r>
      <w:tr>
        <w:trPr>
          <w:trHeight w:val="133"/>
        </w:trPr>
        <w:tc>
          <w:tcPr>
            <w:tcW w:w="108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Bermuda, Cayman Islands, Guyana, US Virgin</w:t>
            </w:r>
          </w:p>
        </w:tc>
        <w:tc>
          <w:tcPr>
            <w:tcW w:w="46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r>
      <w:tr>
        <w:trPr>
          <w:trHeight w:val="155"/>
        </w:trPr>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Islands</w:t>
            </w:r>
          </w:p>
        </w:tc>
        <w:tc>
          <w:tcPr>
            <w:tcW w:w="60" w:type="dxa"/>
            <w:vAlign w:val="bottom"/>
          </w:tcPr>
          <w:p>
            <w:pPr>
              <w:spacing w:after="0"/>
              <w:rPr>
                <w:sz w:val="13"/>
                <w:szCs w:val="13"/>
                <w:color w:val="auto"/>
              </w:rPr>
            </w:pPr>
          </w:p>
        </w:tc>
        <w:tc>
          <w:tcPr>
            <w:tcW w:w="4580" w:type="dxa"/>
            <w:vAlign w:val="bottom"/>
          </w:tcPr>
          <w:p>
            <w:pPr>
              <w:spacing w:after="0"/>
              <w:rPr>
                <w:sz w:val="13"/>
                <w:szCs w:val="13"/>
                <w:color w:val="auto"/>
              </w:rPr>
            </w:pPr>
          </w:p>
        </w:tc>
      </w:tr>
      <w:tr>
        <w:trPr>
          <w:trHeight w:val="144"/>
        </w:trPr>
        <w:tc>
          <w:tcPr>
            <w:tcW w:w="10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7"/>
              </w:rPr>
              <w:t>Carrier Services</w:t>
            </w:r>
          </w:p>
        </w:tc>
        <w:tc>
          <w:tcPr>
            <w:tcW w:w="2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Bermuda, Guyana, US Virgin Islands</w:t>
            </w:r>
          </w:p>
        </w:tc>
        <w:tc>
          <w:tcPr>
            <w:tcW w:w="4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108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Managed</w:t>
            </w:r>
          </w:p>
        </w:tc>
        <w:tc>
          <w:tcPr>
            <w:tcW w:w="2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Bermuda, Cayman Islands, US Virgin Islands,</w:t>
            </w:r>
          </w:p>
        </w:tc>
        <w:tc>
          <w:tcPr>
            <w:tcW w:w="46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Fireminds, One, Logic, GTT, Viya</w:t>
            </w:r>
          </w:p>
        </w:tc>
      </w:tr>
      <w:tr>
        <w:trPr>
          <w:trHeight w:val="155"/>
        </w:trPr>
        <w:tc>
          <w:tcPr>
            <w:tcW w:w="108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Services</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Guyana</w:t>
            </w:r>
          </w:p>
        </w:tc>
        <w:tc>
          <w:tcPr>
            <w:tcW w:w="60" w:type="dxa"/>
            <w:vAlign w:val="bottom"/>
          </w:tcPr>
          <w:p>
            <w:pPr>
              <w:spacing w:after="0"/>
              <w:rPr>
                <w:sz w:val="13"/>
                <w:szCs w:val="13"/>
                <w:color w:val="auto"/>
              </w:rPr>
            </w:pPr>
          </w:p>
        </w:tc>
        <w:tc>
          <w:tcPr>
            <w:tcW w:w="4580" w:type="dxa"/>
            <w:vAlign w:val="bottom"/>
          </w:tcPr>
          <w:p>
            <w:pPr>
              <w:spacing w:after="0"/>
              <w:rPr>
                <w:sz w:val="13"/>
                <w:szCs w:val="13"/>
                <w:color w:val="auto"/>
              </w:rPr>
            </w:pPr>
          </w:p>
        </w:tc>
      </w:tr>
      <w:tr>
        <w:trPr>
          <w:trHeight w:val="122"/>
        </w:trPr>
        <w:tc>
          <w:tcPr>
            <w:tcW w:w="10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US Telecom</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w:t>
            </w:r>
          </w:p>
        </w:tc>
        <w:tc>
          <w:tcPr>
            <w:tcW w:w="80" w:type="dxa"/>
            <w:vAlign w:val="bottom"/>
            <w:tcBorders>
              <w:top w:val="single" w:sz="8" w:color="CCEEFF"/>
            </w:tcBorders>
            <w:shd w:val="clear" w:color="auto" w:fill="CCEEFF"/>
          </w:tcPr>
          <w:p>
            <w:pPr>
              <w:spacing w:after="0"/>
              <w:rPr>
                <w:sz w:val="10"/>
                <w:szCs w:val="10"/>
                <w:color w:val="auto"/>
              </w:rPr>
            </w:pPr>
          </w:p>
        </w:tc>
        <w:tc>
          <w:tcPr>
            <w:tcW w:w="23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 markets)</w:t>
            </w:r>
          </w:p>
        </w:tc>
        <w:tc>
          <w:tcPr>
            <w:tcW w:w="60" w:type="dxa"/>
            <w:vAlign w:val="bottom"/>
            <w:tcBorders>
              <w:top w:val="single" w:sz="8" w:color="CCEEFF"/>
            </w:tcBorders>
            <w:shd w:val="clear" w:color="auto" w:fill="CCEEFF"/>
          </w:tcPr>
          <w:p>
            <w:pPr>
              <w:spacing w:after="0"/>
              <w:rPr>
                <w:sz w:val="10"/>
                <w:szCs w:val="10"/>
                <w:color w:val="auto"/>
              </w:rPr>
            </w:pPr>
          </w:p>
        </w:tc>
        <w:tc>
          <w:tcPr>
            <w:tcW w:w="45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Choice, Choice NTUA Wireless</w:t>
            </w:r>
          </w:p>
        </w:tc>
      </w:tr>
      <w:tr>
        <w:trPr>
          <w:trHeight w:val="155"/>
        </w:trPr>
        <w:tc>
          <w:tcPr>
            <w:tcW w:w="10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Services</w:t>
            </w:r>
          </w:p>
        </w:tc>
        <w:tc>
          <w:tcPr>
            <w:tcW w:w="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r>
      <w:tr>
        <w:trPr>
          <w:trHeight w:val="133"/>
        </w:trPr>
        <w:tc>
          <w:tcPr>
            <w:tcW w:w="108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46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Alaska Communications, Commnet, Choice, Choice NTUA Wireless, Sacred Wind</w:t>
            </w:r>
          </w:p>
        </w:tc>
      </w:tr>
      <w:tr>
        <w:trPr>
          <w:trHeight w:val="155"/>
        </w:trPr>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Communications, Ethos</w:t>
            </w:r>
          </w:p>
        </w:tc>
      </w:tr>
      <w:tr>
        <w:trPr>
          <w:trHeight w:val="144"/>
        </w:trPr>
        <w:tc>
          <w:tcPr>
            <w:tcW w:w="10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7"/>
              </w:rPr>
              <w:t>Carrier Services</w:t>
            </w:r>
          </w:p>
        </w:tc>
        <w:tc>
          <w:tcPr>
            <w:tcW w:w="2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4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Alaska Communications, Commnet, Essextel, Sacred Wind Communications</w:t>
            </w:r>
          </w:p>
        </w:tc>
      </w:tr>
      <w:tr>
        <w:trPr>
          <w:trHeight w:val="133"/>
        </w:trPr>
        <w:tc>
          <w:tcPr>
            <w:tcW w:w="108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Managed</w:t>
            </w:r>
          </w:p>
        </w:tc>
        <w:tc>
          <w:tcPr>
            <w:tcW w:w="2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46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10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Services</w:t>
            </w:r>
          </w:p>
        </w:tc>
        <w:tc>
          <w:tcPr>
            <w:tcW w:w="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r>
    </w:tbl>
    <w:p>
      <w:pPr>
        <w:spacing w:after="0" w:line="30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principal corporate offices are located at 500 Cummings Center, Suite 2450, Beverly, Massachusetts, 01915. The telephone number at our principal corporate offices is (978) 619-1300</w:t>
      </w:r>
      <w:r>
        <w:rPr>
          <w:rFonts w:ascii="Times New Roman" w:cs="Times New Roman" w:eastAsia="Times New Roman" w:hAnsi="Times New Roman"/>
          <w:sz w:val="12"/>
          <w:szCs w:val="12"/>
          <w:b w:val="1"/>
          <w:bCs w:val="1"/>
          <w:color w:val="auto"/>
        </w:rPr>
        <w:t>.</w:t>
      </w:r>
    </w:p>
    <w:p>
      <w:pPr>
        <w:spacing w:after="0" w:line="138"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file with or submit to the SEC our annual, quarterly, current reports, proxy statements and other information meeting the informational requirements of the Securities Exchange Act of 1934, as amended (“the Exchange Act”). We make available, free of charge, on our website our proxy statement, annual report on Form 10-K, quarterly reports on Form 10-Q, current reports on Form 8-K and amendments to those reports and other publicly filed information available as soon as reasonably practicable after we electronically file such material with, or furnish it to the SEC. Our Internet address where these documents and other information can be found is www.atni.com. Information contained on our website is not incorporated by reference into this Report, and you should not consider that information to be part of this Report. Our annual, quarterly, periodic and current reports, proxy statements and other public filings are also available free of charge on the EDGAR Database on the SEC's Internet website at www.sec.gov.</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181" w:lineRule="exact"/>
        <w:rPr>
          <w:sz w:val="20"/>
          <w:szCs w:val="20"/>
          <w:color w:val="auto"/>
        </w:rPr>
      </w:pPr>
    </w:p>
    <w:p>
      <w:pPr>
        <w:jc w:val="both"/>
        <w:ind w:left="40" w:right="39" w:firstLine="348"/>
        <w:spacing w:after="0" w:line="257" w:lineRule="auto"/>
        <w:rPr>
          <w:sz w:val="20"/>
          <w:szCs w:val="20"/>
          <w:color w:val="auto"/>
        </w:rPr>
      </w:pPr>
      <w:r>
        <w:rPr>
          <w:rFonts w:ascii="Times New Roman" w:cs="Times New Roman" w:eastAsia="Times New Roman" w:hAnsi="Times New Roman"/>
          <w:sz w:val="12"/>
          <w:szCs w:val="12"/>
          <w:color w:val="auto"/>
        </w:rPr>
        <w:t>Our mission is to digitally empower people and communities so that they can connect with the world and prosper. We believe that access to reliable, high-quality communications services is fundamental to the economic growth and well-being of every community. To that end, we seek to empower the local communities with the services they need to access healthcare, education, and economic opportunities by providing reliable, high speed broadband access through fiber or fiber-like services to business, consumer, and carrier customers. To execute on this mission, our strategy is to be a leading provider of critical network and digital infrastructure services in our current operating region, focusing in particular on historically underbuilt or poorly served areas and segments. The key elements of our strategy consist of the following:</w:t>
      </w:r>
    </w:p>
    <w:p>
      <w:pPr>
        <w:spacing w:after="0" w:line="292" w:lineRule="exact"/>
        <w:rPr>
          <w:sz w:val="20"/>
          <w:szCs w:val="20"/>
          <w:color w:val="auto"/>
        </w:rPr>
      </w:pPr>
    </w:p>
    <w:p>
      <w:pPr>
        <w:jc w:val="both"/>
        <w:ind w:left="620" w:right="79" w:hanging="211"/>
        <w:spacing w:after="0" w:line="262" w:lineRule="auto"/>
        <w:tabs>
          <w:tab w:leader="none" w:pos="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First to Fiber</w:t>
      </w:r>
      <w:r>
        <w:rPr>
          <w:rFonts w:ascii="Times New Roman" w:cs="Times New Roman" w:eastAsia="Times New Roman" w:hAnsi="Times New Roman"/>
          <w:sz w:val="12"/>
          <w:szCs w:val="12"/>
          <w:color w:val="auto"/>
        </w:rPr>
        <w:t>. We utilize a “first to fiber” smart build strategy targeting underbuilt parts of our operating area and adjacencies to “close the digital divide” in our rural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remote markets. We use a variety of approaches to accomplish this while ensuring a viable return on our investment, including a focus on last-mile investments as well as a glass and steel ownership model where we seek to enable connectivity through owned backhaul and owned towers. In our US Telecom segment, we are connecting new communities and schools utilizing federal, state, local or tribal government funding incentives and programs, or using “anchor</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20" w:right="99"/>
        <w:spacing w:after="0" w:line="257" w:lineRule="auto"/>
        <w:rPr>
          <w:sz w:val="20"/>
          <w:szCs w:val="20"/>
          <w:color w:val="auto"/>
        </w:rPr>
      </w:pPr>
      <w:r>
        <w:rPr>
          <w:rFonts w:ascii="Times New Roman" w:cs="Times New Roman" w:eastAsia="Times New Roman" w:hAnsi="Times New Roman"/>
          <w:sz w:val="12"/>
          <w:szCs w:val="12"/>
          <w:color w:val="auto"/>
        </w:rPr>
        <w:t>tenant” fiber builds for wireless carrier backhaul or large enterprise customers. In many cases, we rely on several of those subsidy or revenue sources to enable a high quality and sustainable network investment. In our International Telecom segment, in some markets, we are primarily focused on increasing the capacity and capability of our core and edge networks and serving the customer base with a mixture of fixed and mobile high-speed solutions. In others, such as Guyana, we also are rapidly expanding the reach of our fiber and other high speed data solutions as demand and need grows. We believe that every community, regardless of its population size or geographic location, should experience the rich benefit of a quality digital connection.</w:t>
      </w:r>
    </w:p>
    <w:p>
      <w:pPr>
        <w:spacing w:after="0" w:line="121" w:lineRule="exact"/>
        <w:rPr>
          <w:sz w:val="20"/>
          <w:szCs w:val="20"/>
          <w:color w:val="auto"/>
        </w:rPr>
      </w:pPr>
    </w:p>
    <w:p>
      <w:pPr>
        <w:jc w:val="both"/>
        <w:ind w:left="620" w:right="99" w:hanging="211"/>
        <w:spacing w:after="0" w:line="257" w:lineRule="auto"/>
        <w:tabs>
          <w:tab w:leader="none" w:pos="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Target Underbuilt Market Segments. </w:t>
      </w:r>
      <w:r>
        <w:rPr>
          <w:rFonts w:ascii="Times New Roman" w:cs="Times New Roman" w:eastAsia="Times New Roman" w:hAnsi="Times New Roman"/>
          <w:sz w:val="12"/>
          <w:szCs w:val="12"/>
          <w:color w:val="auto"/>
        </w:rPr>
        <w:t>We operate our communications businesses primarily in smaller, often remote or rural, historically under-served markets where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are, or we believe we will be, one of the leading providers of communications services. We seek opportunities to build, manage, and own critical communications infrastructure in areas with high unmet demand for connectivity where we have the potential for generating substantial and steady cash flows over extended periods of time. By supplementing the business with our operational capabilities and experience at the holding company level, we are able to take on unproven markets with more difficult operating or political environments. We strive to improve and expand our product and service offerings in the locations we serve to better satisfy customer needs, expand our customer base and revenues, and ensure the business is efficient and economically viable.</w:t>
      </w:r>
    </w:p>
    <w:p>
      <w:pPr>
        <w:spacing w:after="0" w:line="121" w:lineRule="exact"/>
        <w:rPr>
          <w:rFonts w:ascii="Times New Roman" w:cs="Times New Roman" w:eastAsia="Times New Roman" w:hAnsi="Times New Roman"/>
          <w:sz w:val="12"/>
          <w:szCs w:val="12"/>
          <w:color w:val="auto"/>
        </w:rPr>
      </w:pPr>
    </w:p>
    <w:p>
      <w:pPr>
        <w:jc w:val="both"/>
        <w:ind w:left="620" w:right="99" w:hanging="211"/>
        <w:spacing w:after="0" w:line="259" w:lineRule="auto"/>
        <w:tabs>
          <w:tab w:leader="none" w:pos="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Provide Operational Expertise in Collaboration with Local Management. </w:t>
      </w:r>
      <w:r>
        <w:rPr>
          <w:rFonts w:ascii="Times New Roman" w:cs="Times New Roman" w:eastAsia="Times New Roman" w:hAnsi="Times New Roman"/>
          <w:sz w:val="12"/>
          <w:szCs w:val="12"/>
          <w:color w:val="auto"/>
        </w:rPr>
        <w:t>We believe that strong local management enhances our close relationship with customers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reduces risk. Our businesses typically have strong local brand identities that help them become leaders in the markets they serve. Wherever feasible, we seek to partner with local investors, owners or management teams who have demonstrated a successful track record or have extensive knowledge of the industry or markets in which we operate, and who have local credibility. By maintaining these relationships and leveraging our comprehensive management experience and operational, technical, and financial expertise, we can assist these local management teams in further improving operations and growing their businesses.</w:t>
      </w:r>
    </w:p>
    <w:p>
      <w:pPr>
        <w:spacing w:after="0" w:line="290" w:lineRule="exact"/>
        <w:rPr>
          <w:rFonts w:ascii="Times New Roman" w:cs="Times New Roman" w:eastAsia="Times New Roman" w:hAnsi="Times New Roman"/>
          <w:sz w:val="12"/>
          <w:szCs w:val="12"/>
          <w:color w:val="auto"/>
        </w:rPr>
      </w:pPr>
    </w:p>
    <w:p>
      <w:pPr>
        <w:jc w:val="both"/>
        <w:ind w:left="620" w:right="199" w:hanging="211"/>
        <w:spacing w:after="0" w:line="254" w:lineRule="auto"/>
        <w:tabs>
          <w:tab w:leader="none" w:pos="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Disciplined Approach to Capital Allocation Designed for Long-Term Investment. </w:t>
      </w:r>
      <w:r>
        <w:rPr>
          <w:rFonts w:ascii="Times New Roman" w:cs="Times New Roman" w:eastAsia="Times New Roman" w:hAnsi="Times New Roman"/>
          <w:sz w:val="12"/>
          <w:szCs w:val="12"/>
          <w:color w:val="auto"/>
        </w:rPr>
        <w:t>We take a long-term view of our businesses, which we believe increases our chances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success and lowers risk. We have extensive transactional experience and a proven ability to source, develop, and exit investment opportunities and to take on the difficult task of integrating and optimizing acquired assets and businesses. In addition, we believe that our long, public track record of successful management and operations of critical communications networks is a key value that makes us an attractive partner for investment funds and other equity investments looking to make direct investments in businesses that own and operate communications infrastructure. When evaluating investment opportunities, whether externally or internally, we seek out infrastructure-based services that result in steady, long-term cash flows. The durability of these businesses generates steady excess cash flows over extended periods of time that we then utilize to re-invest in organic growth in our existing businesses, make strategic investments in additional businesses, and return cash to our investors through dividends or stock repurchases. In managing our more mature businesses, we seek to solidify our brands, improve customer satisfaction, add new services, control costs and preserve cash flow. In managing newer, early-stage businesses, we seek to invest capital to improve our competitive position, increase our market share and generate strong long-term revenue and cash flow potential. We consider new investments, acquisitions and dispositions on a disciplined, return-on-investment basis.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International Telecom Segment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w:t>
      </w:r>
    </w:p>
    <w:p>
      <w:pPr>
        <w:spacing w:after="0" w:line="181" w:lineRule="exact"/>
        <w:rPr>
          <w:sz w:val="20"/>
          <w:szCs w:val="20"/>
          <w:color w:val="auto"/>
        </w:rPr>
      </w:pPr>
    </w:p>
    <w:p>
      <w:pPr>
        <w:ind w:left="40" w:right="79" w:firstLine="317"/>
        <w:spacing w:after="0" w:line="279" w:lineRule="auto"/>
        <w:rPr>
          <w:sz w:val="20"/>
          <w:szCs w:val="20"/>
          <w:color w:val="auto"/>
        </w:rPr>
      </w:pPr>
      <w:r>
        <w:rPr>
          <w:rFonts w:ascii="Times New Roman" w:cs="Times New Roman" w:eastAsia="Times New Roman" w:hAnsi="Times New Roman"/>
          <w:sz w:val="12"/>
          <w:szCs w:val="12"/>
          <w:color w:val="auto"/>
        </w:rPr>
        <w:t>Our International Telecom segment generates mobility services, fixed services, carrier services, and managed services revenues in Bermuda, the Cayman Islands, Guyana and the US Virgin Islands. Revenues from our International</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Telecom segment were approximately 49% and 57% of our consolidated revenues for fiscal years 2022 and 2021, respectively.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79" w:lineRule="exact"/>
        <w:rPr>
          <w:sz w:val="20"/>
          <w:szCs w:val="20"/>
          <w:color w:val="auto"/>
        </w:rPr>
      </w:pPr>
    </w:p>
    <w:p>
      <w:pPr>
        <w:jc w:val="both"/>
        <w:ind w:left="40" w:right="159" w:firstLine="349"/>
        <w:spacing w:after="0" w:line="266" w:lineRule="auto"/>
        <w:rPr>
          <w:sz w:val="20"/>
          <w:szCs w:val="20"/>
          <w:color w:val="auto"/>
        </w:rPr>
      </w:pPr>
      <w:r>
        <w:rPr>
          <w:rFonts w:ascii="Times New Roman" w:cs="Times New Roman" w:eastAsia="Times New Roman" w:hAnsi="Times New Roman"/>
          <w:sz w:val="12"/>
          <w:szCs w:val="12"/>
          <w:i w:val="1"/>
          <w:iCs w:val="1"/>
          <w:color w:val="auto"/>
        </w:rPr>
        <w:t>High-speed data and related services</w:t>
      </w:r>
      <w:r>
        <w:rPr>
          <w:rFonts w:ascii="Times New Roman" w:cs="Times New Roman" w:eastAsia="Times New Roman" w:hAnsi="Times New Roman"/>
          <w:sz w:val="12"/>
          <w:szCs w:val="12"/>
          <w:color w:val="auto"/>
        </w:rPr>
        <w:t>. We offer high-speed broadband services to both residential and business customers in all our International Telecom markets. We provide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number of broadband internet plans with varying speeds to address different customer needs and price requirements in our various markets. As of December 31, 2022, we had approximately 148,300 broadband customers across our international markets and approximately 74% of those customers had access to high speed services.</w:t>
      </w:r>
    </w:p>
    <w:p>
      <w:pPr>
        <w:spacing w:after="0" w:line="135" w:lineRule="exact"/>
        <w:rPr>
          <w:sz w:val="20"/>
          <w:szCs w:val="20"/>
          <w:color w:val="auto"/>
        </w:rPr>
      </w:pPr>
    </w:p>
    <w:p>
      <w:pPr>
        <w:jc w:val="both"/>
        <w:ind w:left="40" w:right="159" w:firstLine="34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Voice services. </w:t>
      </w:r>
      <w:r>
        <w:rPr>
          <w:rFonts w:ascii="Times New Roman" w:cs="Times New Roman" w:eastAsia="Times New Roman" w:hAnsi="Times New Roman"/>
          <w:sz w:val="12"/>
          <w:szCs w:val="12"/>
          <w:color w:val="auto"/>
        </w:rPr>
        <w:t>We offer fixed voice services that include local exchange, regional and long distance calling and voice messaging services in Bermuda, Guyana, and the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Virgin Islands. As of December 31, 2022, we had an aggregate of approximately 168,000 access lines in service in our markets, which serve both residential and business subscribers. With respect to our international long</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distance business, we also collect payments from foreign carriers for handling international long</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distance calls originating from the foreign carriers’ countries and terminating on our network. We also make payments to foreign carriers for international calls originating on one of our networks and terminating in the foreign carrier’s countries and collect from our subscribers or a local originating carrier a rate that is market-based or set by regulatory tariff.</w:t>
      </w:r>
    </w:p>
    <w:p>
      <w:pPr>
        <w:spacing w:after="0" w:line="149" w:lineRule="exact"/>
        <w:rPr>
          <w:sz w:val="20"/>
          <w:szCs w:val="20"/>
          <w:color w:val="auto"/>
        </w:rPr>
      </w:pPr>
    </w:p>
    <w:p>
      <w:pPr>
        <w:jc w:val="both"/>
        <w:ind w:left="40" w:right="19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Video services</w:t>
      </w:r>
      <w:r>
        <w:rPr>
          <w:rFonts w:ascii="Times New Roman" w:cs="Times New Roman" w:eastAsia="Times New Roman" w:hAnsi="Times New Roman"/>
          <w:sz w:val="12"/>
          <w:szCs w:val="12"/>
          <w:color w:val="auto"/>
        </w:rPr>
        <w:t>. We offer video services in Bermuda, the Cayman Islands, and the US Virgin Islands. As of December 31, 2022, we had approximately 32,000 video customers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across our markets. We have several offerings available to our video customers, including basic and tiered local and cable TV channels grouped into various content categories, such as news, sports and entertainment.</w:t>
      </w:r>
    </w:p>
    <w:p>
      <w:pPr>
        <w:spacing w:after="0" w:line="144" w:lineRule="exact"/>
        <w:rPr>
          <w:sz w:val="20"/>
          <w:szCs w:val="20"/>
          <w:color w:val="auto"/>
        </w:rPr>
      </w:pPr>
    </w:p>
    <w:p>
      <w:pPr>
        <w:jc w:val="both"/>
        <w:ind w:left="40" w:right="139" w:firstLine="3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Network. </w:t>
      </w:r>
      <w:r>
        <w:rPr>
          <w:rFonts w:ascii="Times New Roman" w:cs="Times New Roman" w:eastAsia="Times New Roman" w:hAnsi="Times New Roman"/>
          <w:sz w:val="12"/>
          <w:szCs w:val="12"/>
          <w:color w:val="auto"/>
        </w:rPr>
        <w:t>We offer our fixed services over our fiber-optic, copper and coaxial cable networks in our international markets. All fixed access lines in our network are digitally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switched from our switching centers in the US Virgin Islands, Bermuda and Guyana. Our switching centers provide dedicated monitoring of our network to ensure quality and reliable service to our customers.</w:t>
      </w:r>
    </w:p>
    <w:p>
      <w:pPr>
        <w:spacing w:after="0" w:line="137" w:lineRule="exact"/>
        <w:rPr>
          <w:sz w:val="20"/>
          <w:szCs w:val="20"/>
          <w:color w:val="auto"/>
        </w:rPr>
      </w:pPr>
    </w:p>
    <w:p>
      <w:pPr>
        <w:jc w:val="both"/>
        <w:ind w:left="40" w:right="119" w:firstLine="317"/>
        <w:spacing w:after="0" w:line="260" w:lineRule="auto"/>
        <w:rPr>
          <w:sz w:val="20"/>
          <w:szCs w:val="20"/>
          <w:color w:val="auto"/>
        </w:rPr>
      </w:pPr>
      <w:r>
        <w:rPr>
          <w:rFonts w:ascii="Times New Roman" w:cs="Times New Roman" w:eastAsia="Times New Roman" w:hAnsi="Times New Roman"/>
          <w:sz w:val="12"/>
          <w:szCs w:val="12"/>
          <w:color w:val="auto"/>
        </w:rPr>
        <w:t>In Bermuda and the US Virgin Islands, we deliver our services via a hybrid fiber coaxial (“HFC”) cable network and via fiber-optic network. In the Cayman Islands and Guyana, we also provide fixed services via fiber-optic network, DSL and FWA. These networks give us expanded Internet access coverage within our International Telecom segment. Following hurricanes Irma and Maria in 2017, service to our customers over the HFC network was impacted due to both the loss of power and damage to our network. We have completed remediation efforts to our network such as building tower structures to 160 MPH ratings and adding underground and alternate routes wherever possible.</w:t>
      </w:r>
    </w:p>
    <w:p>
      <w:pPr>
        <w:spacing w:after="0" w:line="145" w:lineRule="exact"/>
        <w:rPr>
          <w:sz w:val="20"/>
          <w:szCs w:val="20"/>
          <w:color w:val="auto"/>
        </w:rPr>
      </w:pPr>
    </w:p>
    <w:p>
      <w:pPr>
        <w:jc w:val="both"/>
        <w:ind w:left="40" w:right="99" w:firstLine="317"/>
        <w:spacing w:after="0" w:line="259" w:lineRule="auto"/>
        <w:rPr>
          <w:sz w:val="20"/>
          <w:szCs w:val="20"/>
          <w:color w:val="auto"/>
        </w:rPr>
      </w:pPr>
      <w:r>
        <w:rPr>
          <w:rFonts w:ascii="Times New Roman" w:cs="Times New Roman" w:eastAsia="Times New Roman" w:hAnsi="Times New Roman"/>
          <w:sz w:val="12"/>
          <w:szCs w:val="12"/>
          <w:color w:val="auto"/>
        </w:rPr>
        <w:t>Our international voice and data networks link with the rest of the world principally through our ownership and investments in six undersea fiber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optic cables in the Caribbean and Atlantic regions. These cables are crucial arteries that supply access to communications services for islands and remote markets like the ones in which we operate. For example, in Guyana we co</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own with Telesur, the government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owned telecommunications provider in Suriname, the Suriname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Guyana Submarine Cable System. We believe that this submarine cable system provides us with more robust redundancy, the capacity to meet growing data demands in Guyana, and the opportunity to provide new and enhanced services such as Internet service. In Bermuda, we own the Challenger Bermuda cable that provides us with capacity from Bermuda to the United States.</w:t>
      </w:r>
    </w:p>
    <w:p>
      <w:pPr>
        <w:spacing w:after="0" w:line="148" w:lineRule="exact"/>
        <w:rPr>
          <w:sz w:val="20"/>
          <w:szCs w:val="20"/>
          <w:color w:val="auto"/>
        </w:rPr>
      </w:pPr>
    </w:p>
    <w:p>
      <w:pPr>
        <w:jc w:val="both"/>
        <w:ind w:left="40" w:right="99" w:firstLine="34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We provide fixed services, fixed account management and fixed Wi-Fi connectivity devices through six main distribution channels: digital,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owned and operated retail/pop-up retail, authorized dealers and agents, direct sales, inside sales and tele sales. Business and residential customers are able to purchase any of our stand alone or bundled data, managed services, security services, and voice services, POTs, Fiber Data, Digital Subscriber Line (DSL) Data, or Fixed Wireless Data thorough any of the above channels. Customers post-pay for fixed services on a monthly basis. Customers are also able to purchase devices such as modems, routers, home security systems and accessories to enhance their services through these same channels. We bundle data connectivity devices and add-on</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right="119"/>
        <w:spacing w:after="0" w:line="279" w:lineRule="auto"/>
        <w:rPr>
          <w:sz w:val="20"/>
          <w:szCs w:val="20"/>
          <w:color w:val="auto"/>
        </w:rPr>
      </w:pPr>
      <w:r>
        <w:rPr>
          <w:rFonts w:ascii="Times New Roman" w:cs="Times New Roman" w:eastAsia="Times New Roman" w:hAnsi="Times New Roman"/>
          <w:sz w:val="12"/>
          <w:szCs w:val="12"/>
          <w:color w:val="auto"/>
        </w:rPr>
        <w:t>accessories similar to what is available in most other countries. Our sales channels are strategically located throughout our service areas manned by trained, branded, and supported sales and service representatives.</w:t>
      </w:r>
    </w:p>
    <w:p>
      <w:pPr>
        <w:spacing w:after="0" w:line="136" w:lineRule="exact"/>
        <w:rPr>
          <w:sz w:val="20"/>
          <w:szCs w:val="20"/>
          <w:color w:val="auto"/>
        </w:rPr>
      </w:pPr>
    </w:p>
    <w:p>
      <w:pPr>
        <w:jc w:val="both"/>
        <w:ind w:left="40" w:right="25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We compete with a limited number of other providers, including Digicel and Liberty Latin America in select markets, with respect to various services.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believe our breadth of services and local economies of scale provide us with a strong competitive position and the ability to win and retain an economically viable share of those markets.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Mobility</w:t>
      </w:r>
    </w:p>
    <w:p>
      <w:pPr>
        <w:spacing w:after="0" w:line="172" w:lineRule="exact"/>
        <w:rPr>
          <w:sz w:val="20"/>
          <w:szCs w:val="20"/>
          <w:color w:val="auto"/>
        </w:rPr>
      </w:pPr>
    </w:p>
    <w:p>
      <w:pPr>
        <w:jc w:val="both"/>
        <w:ind w:left="40" w:right="199" w:firstLine="317"/>
        <w:spacing w:after="0" w:line="265" w:lineRule="auto"/>
        <w:rPr>
          <w:sz w:val="20"/>
          <w:szCs w:val="20"/>
          <w:color w:val="auto"/>
        </w:rPr>
      </w:pPr>
      <w:r>
        <w:rPr>
          <w:rFonts w:ascii="Times New Roman" w:cs="Times New Roman" w:eastAsia="Times New Roman" w:hAnsi="Times New Roman"/>
          <w:sz w:val="12"/>
          <w:szCs w:val="12"/>
          <w:color w:val="auto"/>
        </w:rPr>
        <w:t>We provide mobile, data, and voice services to retail and business customers in Bermuda under the “One” brand name, in Guyana under the “GTT” brand name and in the US Virgin Islands under the “Viya” brand name. We also provide roaming services for many of the largest US providers’ customers visiting these locations. As of December 31, 2022, we had approximately 378,000 mobile subscribers in our International Telecom segment and over 85% of those subscribers were on prepaid plans.</w:t>
      </w:r>
    </w:p>
    <w:p>
      <w:pPr>
        <w:spacing w:after="0" w:line="144" w:lineRule="exact"/>
        <w:rPr>
          <w:sz w:val="20"/>
          <w:szCs w:val="20"/>
          <w:color w:val="auto"/>
        </w:rPr>
      </w:pPr>
    </w:p>
    <w:p>
      <w:pPr>
        <w:jc w:val="both"/>
        <w:ind w:left="40" w:right="15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Products and Services. </w:t>
      </w:r>
      <w:r>
        <w:rPr>
          <w:rFonts w:ascii="Times New Roman" w:cs="Times New Roman" w:eastAsia="Times New Roman" w:hAnsi="Times New Roman"/>
          <w:sz w:val="12"/>
          <w:szCs w:val="12"/>
          <w:color w:val="auto"/>
        </w:rPr>
        <w:t>A significant majority of our customers in our International Telecom segment subscribe to one of our prepaid plans, which require customers to purchase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amount of voice minutes, text messages or data prior to use. A smaller minority of customers subscribe to our postpaid plans that allow customers to select a plan with voice minutes, text messaging, a given amount of data and other features that recur on a monthly basis, which services are billed at the end of the service period.</w:t>
      </w:r>
    </w:p>
    <w:p>
      <w:pPr>
        <w:spacing w:after="0" w:line="144"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Network and Operations: </w:t>
      </w:r>
      <w:r>
        <w:rPr>
          <w:rFonts w:ascii="Times New Roman" w:cs="Times New Roman" w:eastAsia="Times New Roman" w:hAnsi="Times New Roman"/>
          <w:sz w:val="12"/>
          <w:szCs w:val="12"/>
          <w:color w:val="auto"/>
        </w:rPr>
        <w:t>We offer our mobility services over our 3G (WDCMA) 4G (LTE) wireless network in Bermuda and the U.S. Virgin Islands. In Guyana we offer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mobility services over our 2G (GSM), 3G (WCDMA) and 4G (LTE) wireless network. As of December 2022, we owned and operated a total of 1,024 base stations on 454 owned and leased sites in the international markets. All of our mobile networks have their core supporting facilities in the home network in the US Virgin Islands, Bermuda and Guyana. Our local NOCs provide dedicated monitoring of our network to ensure quality and reliable service to our customers and during off hours, weekends and holidays our NOC in the mainland USA provides extended support to ensure we have 24-hour, year-round monitoring of all our wireless and wireline markets.</w:t>
      </w:r>
    </w:p>
    <w:p>
      <w:pPr>
        <w:spacing w:after="0" w:line="142" w:lineRule="exact"/>
        <w:rPr>
          <w:sz w:val="20"/>
          <w:szCs w:val="20"/>
          <w:color w:val="auto"/>
        </w:rPr>
      </w:pPr>
    </w:p>
    <w:p>
      <w:pPr>
        <w:jc w:val="both"/>
        <w:ind w:left="40" w:right="199" w:firstLine="317"/>
        <w:spacing w:after="0" w:line="257" w:lineRule="auto"/>
        <w:rPr>
          <w:sz w:val="20"/>
          <w:szCs w:val="20"/>
          <w:color w:val="auto"/>
        </w:rPr>
      </w:pPr>
      <w:r>
        <w:rPr>
          <w:rFonts w:ascii="Times New Roman" w:cs="Times New Roman" w:eastAsia="Times New Roman" w:hAnsi="Times New Roman"/>
          <w:sz w:val="12"/>
          <w:szCs w:val="12"/>
          <w:color w:val="auto"/>
        </w:rPr>
        <w:t>The transport networks in all the markets are primarily fiber based with route diversity provided by the deployment of fiber rings where possible and supplemental microwave deployments. The vast majority of the networks are IP Based utilizing MPLS for redundancy to provide high availability networks. Standby power is provided by back up battery and generators. In the US Virgin Islands where we have experienced extreme hurricane events, network hardening has been added to the network such as building tower structures to 160 MPH ratings and adding underground and alternate routes wherever possible. All the markets connect to the world through sub-sea fiber networks described in our “</w:t>
      </w:r>
      <w:r>
        <w:rPr>
          <w:rFonts w:ascii="Times New Roman" w:cs="Times New Roman" w:eastAsia="Times New Roman" w:hAnsi="Times New Roman"/>
          <w:sz w:val="12"/>
          <w:szCs w:val="12"/>
          <w:i w:val="1"/>
          <w:iCs w:val="1"/>
          <w:color w:val="auto"/>
        </w:rPr>
        <w:t>International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Telecom – Fixed – Network</w:t>
      </w:r>
      <w:r>
        <w:rPr>
          <w:rFonts w:ascii="Times New Roman" w:cs="Times New Roman" w:eastAsia="Times New Roman" w:hAnsi="Times New Roman"/>
          <w:sz w:val="12"/>
          <w:szCs w:val="12"/>
          <w:color w:val="auto"/>
        </w:rPr>
        <w:t>” section below.</w:t>
      </w:r>
    </w:p>
    <w:p>
      <w:pPr>
        <w:spacing w:after="0" w:line="150" w:lineRule="exact"/>
        <w:rPr>
          <w:sz w:val="20"/>
          <w:szCs w:val="20"/>
          <w:color w:val="auto"/>
        </w:rPr>
      </w:pPr>
    </w:p>
    <w:p>
      <w:pPr>
        <w:jc w:val="both"/>
        <w:ind w:left="40" w:right="299" w:firstLine="317"/>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We provide services, mobile connectivity devices and account management through six main distribution channels: digital, Company owned retail/pop-up retail, authorized dealers/agents, direct sales, inside sales and telesales. Business and residential customers are able to purchase any of our services, Prepaid Mobile, Postpaid Mobile, and Mobile Data, through any of the above channels. Customers are also able to purchase devices, and accessories to enhance their services through these same channels. We offer a full suite of mobile devices and add on accessories similar to what is available in most other countries in the world. Our sales channels are strategically located throughout our service areas manned by trained, branded, and supported sales and service representatives.</w:t>
      </w:r>
    </w:p>
    <w:p>
      <w:pPr>
        <w:spacing w:after="0" w:line="149" w:lineRule="exact"/>
        <w:rPr>
          <w:sz w:val="20"/>
          <w:szCs w:val="20"/>
          <w:color w:val="auto"/>
        </w:rPr>
      </w:pPr>
    </w:p>
    <w:p>
      <w:pPr>
        <w:jc w:val="both"/>
        <w:ind w:left="40" w:right="179" w:firstLine="317"/>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Handsets and Accessories. </w:t>
      </w:r>
      <w:r>
        <w:rPr>
          <w:rFonts w:ascii="Times New Roman" w:cs="Times New Roman" w:eastAsia="Times New Roman" w:hAnsi="Times New Roman"/>
          <w:sz w:val="12"/>
          <w:szCs w:val="12"/>
          <w:color w:val="auto"/>
        </w:rPr>
        <w:t>We offer a diverse line of wireless devices and accessories designed to meet both the personal and professional needs of our customers. Our device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assortment includes a wide range of smartphones including those featuring the Android™ and iOS™ operating systems in addition to a full line of feature phones, wireless hot spots and various wireless solutions for small businesses. To complement our phone offerings, we sell a complete range of original equipment manufacturer and after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market accessories that allow our customers to</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personalize their wireless experience, including phone protection, battery charging solutions and Bluetooth hands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free kits.</w:t>
      </w:r>
    </w:p>
    <w:p>
      <w:pPr>
        <w:spacing w:after="0" w:line="179" w:lineRule="exact"/>
        <w:rPr>
          <w:sz w:val="20"/>
          <w:szCs w:val="20"/>
          <w:color w:val="auto"/>
        </w:rPr>
      </w:pPr>
    </w:p>
    <w:p>
      <w:pPr>
        <w:jc w:val="both"/>
        <w:ind w:left="20" w:right="159" w:firstLine="341"/>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We believe we compete for wireless retail customers in our international markets based on features, price, technology deployed, network coverage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through roaming arrangements), quality of service and customer care. We compete against Digicel and Liberty Latin America in the Caribbean region, other smaller local providers, and in some markets, against one or more US national operators.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US Telecom Segment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Communication Services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Our US Telecom segment generates fixed services, carrier services, mobility services, and managed services revenues in Alaska and parts of the western United States.</w:t>
      </w:r>
    </w:p>
    <w:p>
      <w:pPr>
        <w:spacing w:after="0" w:line="177" w:lineRule="exact"/>
        <w:rPr>
          <w:sz w:val="20"/>
          <w:szCs w:val="20"/>
          <w:color w:val="auto"/>
        </w:rPr>
      </w:pPr>
    </w:p>
    <w:p>
      <w:pPr>
        <w:jc w:val="both"/>
        <w:ind w:left="40" w:right="79" w:firstLine="335"/>
        <w:spacing w:after="0" w:line="257" w:lineRule="auto"/>
        <w:rPr>
          <w:sz w:val="20"/>
          <w:szCs w:val="20"/>
          <w:color w:val="auto"/>
        </w:rPr>
      </w:pPr>
      <w:r>
        <w:rPr>
          <w:rFonts w:ascii="Times New Roman" w:cs="Times New Roman" w:eastAsia="Times New Roman" w:hAnsi="Times New Roman"/>
          <w:sz w:val="12"/>
          <w:szCs w:val="12"/>
          <w:color w:val="auto"/>
        </w:rPr>
        <w:t>In July 2021, we completed the acquisition of Alaska Communications Systems Group, Inc. (“Alaska Communications”), an Alaska based entity that provides fixed services, carrier services and managed services to primarily carrier and business customers in the State of Alaska and beyond using its statewide and interstate telecommunications network. At the same time, we entered into an agreement with affiliates and investment funds managed by Freedom 3 Capital, LLC as well as other institutional investors (collectively the “Freedom 3 Investors”) to fund the Alaska Transaction. As a result of the Alaska Transaction, we now own approximately 52% of the common equity of Alaska Communications and control its operations and management. Beginning on July 22, 2021, the results of the Alaska Transaction are included in our US Telecom segment.</w:t>
      </w:r>
    </w:p>
    <w:p>
      <w:pPr>
        <w:spacing w:after="0" w:line="143" w:lineRule="exact"/>
        <w:rPr>
          <w:sz w:val="20"/>
          <w:szCs w:val="20"/>
          <w:color w:val="auto"/>
        </w:rPr>
      </w:pPr>
    </w:p>
    <w:p>
      <w:pPr>
        <w:jc w:val="both"/>
        <w:ind w:left="20" w:right="39" w:firstLine="294"/>
        <w:spacing w:after="0" w:line="260" w:lineRule="auto"/>
        <w:rPr>
          <w:sz w:val="20"/>
          <w:szCs w:val="20"/>
          <w:color w:val="auto"/>
        </w:rPr>
      </w:pPr>
      <w:r>
        <w:rPr>
          <w:rFonts w:ascii="Times New Roman" w:cs="Times New Roman" w:eastAsia="Times New Roman" w:hAnsi="Times New Roman"/>
          <w:sz w:val="12"/>
          <w:szCs w:val="12"/>
          <w:color w:val="auto"/>
        </w:rPr>
        <w:t>In November 2022, we acquired all of the issued and outstanding stock of Sacred Wind Enterprises, Inc. (“Sacred Wind”), a rural telecommunications provider in New Mexico (the “Sacred Wind Transaction”). As part of the Sacred Wind Transaction, the Company paid a combination of cash and equity for Sacred Wind, resulting in the Sacred Wind Stockholders becoming minority owners in the combined Commnet and Sacred Wind businesses. Beginning on November 7, 2022, the results of the Sacred Wind Transaction are included in our US Telecom segment.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Revenues from our US Telecom segment were approximately 51% and 43% of our consolidated revenues for fiscal years 2022 and 2021, respectively.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Carrier Services</w:t>
      </w:r>
    </w:p>
    <w:p>
      <w:pPr>
        <w:spacing w:after="0" w:line="170" w:lineRule="exact"/>
        <w:rPr>
          <w:sz w:val="20"/>
          <w:szCs w:val="20"/>
          <w:color w:val="auto"/>
        </w:rPr>
      </w:pPr>
    </w:p>
    <w:p>
      <w:pPr>
        <w:jc w:val="both"/>
        <w:ind w:left="40" w:right="13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Carrier Services. </w:t>
      </w:r>
      <w:r>
        <w:rPr>
          <w:rFonts w:ascii="Times New Roman" w:cs="Times New Roman" w:eastAsia="Times New Roman" w:hAnsi="Times New Roman"/>
          <w:sz w:val="12"/>
          <w:szCs w:val="12"/>
          <w:color w:val="auto"/>
        </w:rPr>
        <w:t>In Alaska, we provide wholesale voice and internet connectivity to carrier customers. In the western United States, we provide wholesale mobile voice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data roaming services in rural markets and wholesale transport services on a smaller scale to national, regional, local and selected international wireless carriers as part of our carrier services as well as tower rental, backhaul and maintenance services. Our largest wholesale networks are located principally in the western United States.</w:t>
      </w:r>
    </w:p>
    <w:p>
      <w:pPr>
        <w:spacing w:after="0" w:line="146" w:lineRule="exact"/>
        <w:rPr>
          <w:sz w:val="20"/>
          <w:szCs w:val="20"/>
          <w:color w:val="auto"/>
        </w:rPr>
      </w:pPr>
    </w:p>
    <w:p>
      <w:pPr>
        <w:ind w:left="20" w:right="439" w:firstLine="341"/>
        <w:spacing w:after="0" w:line="279" w:lineRule="auto"/>
        <w:rPr>
          <w:sz w:val="20"/>
          <w:szCs w:val="20"/>
          <w:color w:val="auto"/>
        </w:rPr>
      </w:pPr>
      <w:r>
        <w:rPr>
          <w:rFonts w:ascii="Times New Roman" w:cs="Times New Roman" w:eastAsia="Times New Roman" w:hAnsi="Times New Roman"/>
          <w:sz w:val="12"/>
          <w:szCs w:val="12"/>
          <w:color w:val="auto"/>
        </w:rPr>
        <w:t>In Alaska, we provide connectivity to our wholesale customers, either through direct sales of wholesale transport over our terrestrial or subsea networks or by entering into transactions whereby we agree to build, host or maintain networks on behalf of another carrier over a contracted term.</w:t>
      </w:r>
    </w:p>
    <w:p>
      <w:pPr>
        <w:spacing w:after="0" w:line="138" w:lineRule="exact"/>
        <w:rPr>
          <w:sz w:val="20"/>
          <w:szCs w:val="20"/>
          <w:color w:val="auto"/>
        </w:rPr>
      </w:pPr>
    </w:p>
    <w:p>
      <w:pPr>
        <w:jc w:val="both"/>
        <w:ind w:left="40" w:right="139" w:firstLine="317"/>
        <w:spacing w:after="0" w:line="260" w:lineRule="auto"/>
        <w:rPr>
          <w:sz w:val="20"/>
          <w:szCs w:val="20"/>
          <w:color w:val="auto"/>
        </w:rPr>
      </w:pPr>
      <w:r>
        <w:rPr>
          <w:rFonts w:ascii="Times New Roman" w:cs="Times New Roman" w:eastAsia="Times New Roman" w:hAnsi="Times New Roman"/>
          <w:sz w:val="12"/>
          <w:szCs w:val="12"/>
          <w:color w:val="auto"/>
        </w:rPr>
        <w:t>We currently have roaming agreements with each of the three US national wireless network carriers (AT&amp;T, T-Mobile, and Verizon Wireless) along with several other wireless service providers. Other than these agreements with the national carriers, our standard roaming agreements are usually terminable within 90 days. While we continue to provide services pursuant to these roaming agreements, due to demand from our carrier customers, we have shifted our business focus away from traditional roaming and toward a network infrastructure model of carrier services further described below. In 2022, the three national mobile service providers together accounted for 65% of our carrier services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revenues, with AT&amp;T and Verizon accounting for an aggregate of approximately 12% of our total consolidated Communication Services revenue for the year.</w:t>
      </w:r>
    </w:p>
    <w:p>
      <w:pPr>
        <w:spacing w:after="0" w:line="177" w:lineRule="exact"/>
        <w:rPr>
          <w:sz w:val="20"/>
          <w:szCs w:val="20"/>
          <w:color w:val="auto"/>
        </w:rPr>
      </w:pPr>
    </w:p>
    <w:p>
      <w:pPr>
        <w:jc w:val="both"/>
        <w:ind w:left="40" w:right="99" w:firstLine="317"/>
        <w:spacing w:after="0" w:line="254" w:lineRule="auto"/>
        <w:rPr>
          <w:sz w:val="20"/>
          <w:szCs w:val="20"/>
          <w:color w:val="auto"/>
        </w:rPr>
      </w:pPr>
      <w:r>
        <w:rPr>
          <w:rFonts w:ascii="Times New Roman" w:cs="Times New Roman" w:eastAsia="Times New Roman" w:hAnsi="Times New Roman"/>
          <w:sz w:val="12"/>
          <w:szCs w:val="12"/>
          <w:color w:val="auto"/>
        </w:rPr>
        <w:t>In the western United States, we are increasingly providing network infrastructure services as part of our expanded carrier services, such as tower leasing and transport facilities to our carrier partners, to supplement our historic revenue base. In July 2019, we agreed to build a portion of AT&amp;T’s network for the First Responder Network Authority (“FirstNet”) as well as a commercial wireless network in or near its current operating area in the western United States pursuant to a Network Build and Maintenance Agreement with AT&amp;T (the “FirstNet Transaction”). Pursuant to the FirstNet Transaction and subject to certain limitations contained therein, we expect to substantially complete the build by the end of 2023. Following the acceptance of a cell site pursuant to the FirstNet Agreement, AT&amp;T owns the radio equipment constructed on the cell site and we assign to AT&amp;T any third-party tower lease applicable to such cell site. If the cell site is located on a communications tower we own, AT&amp;T pays us pursuant to a separate lease agreement for an initial term of eight years. In addition to building the network, we are providing ongoing equipment and site maintenance and high-capacity transport from these cell sites to AT&amp;T’s core network for an initial term ending in 2029.</w:t>
      </w:r>
    </w:p>
    <w:p>
      <w:pPr>
        <w:spacing w:after="0" w:line="155" w:lineRule="exact"/>
        <w:rPr>
          <w:sz w:val="20"/>
          <w:szCs w:val="20"/>
          <w:color w:val="auto"/>
        </w:rPr>
      </w:pPr>
    </w:p>
    <w:p>
      <w:pPr>
        <w:jc w:val="both"/>
        <w:ind w:left="40" w:right="119" w:firstLine="317"/>
        <w:spacing w:after="0" w:line="265" w:lineRule="auto"/>
        <w:rPr>
          <w:sz w:val="20"/>
          <w:szCs w:val="20"/>
          <w:color w:val="auto"/>
        </w:rPr>
      </w:pPr>
      <w:r>
        <w:rPr>
          <w:rFonts w:ascii="Times New Roman" w:cs="Times New Roman" w:eastAsia="Times New Roman" w:hAnsi="Times New Roman"/>
          <w:sz w:val="12"/>
          <w:szCs w:val="12"/>
          <w:color w:val="auto"/>
        </w:rPr>
        <w:t>Pursuant to the FirstNet Transaction, AT&amp;T has the option to repay construction costs, with interest, over an eight year period. Accordingly, we entered into a receivables credit facility with CoBank, ACB (the “Receivables Credit Facility”) to assist with this repayment option. The Receivables Credit Facility provides for a senior secured delayed draw term loan in an aggregate principal amount of up to $75 million with the proceeds being used to acquire the receivables related to the construction costs.</w:t>
      </w:r>
    </w:p>
    <w:p>
      <w:pPr>
        <w:spacing w:after="0" w:line="135" w:lineRule="exact"/>
        <w:rPr>
          <w:sz w:val="20"/>
          <w:szCs w:val="20"/>
          <w:color w:val="auto"/>
        </w:rPr>
      </w:pPr>
    </w:p>
    <w:p>
      <w:pPr>
        <w:ind w:left="40" w:right="239" w:firstLine="317"/>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Our wholesale transport customers are predominately communications carriers such as local exchange carriers, wireless carriers, internet service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providers and interstate integrated providers.</w:t>
      </w:r>
    </w:p>
    <w:p>
      <w:pPr>
        <w:spacing w:after="0" w:line="136" w:lineRule="exact"/>
        <w:rPr>
          <w:sz w:val="20"/>
          <w:szCs w:val="20"/>
          <w:color w:val="auto"/>
        </w:rPr>
      </w:pPr>
    </w:p>
    <w:p>
      <w:pPr>
        <w:jc w:val="both"/>
        <w:ind w:left="20" w:right="39" w:firstLine="341"/>
        <w:spacing w:after="0" w:line="260" w:lineRule="auto"/>
        <w:rPr>
          <w:sz w:val="20"/>
          <w:szCs w:val="20"/>
          <w:color w:val="auto"/>
        </w:rPr>
      </w:pPr>
      <w:r>
        <w:rPr>
          <w:rFonts w:ascii="Times New Roman" w:cs="Times New Roman" w:eastAsia="Times New Roman" w:hAnsi="Times New Roman"/>
          <w:sz w:val="12"/>
          <w:szCs w:val="12"/>
          <w:color w:val="auto"/>
        </w:rPr>
        <w:t>We believe that our ability to deliver reliable, high capacity backhaul across multiple provider footprints, both from licensed fixed wireless microwave and fiber access solutions, creates value for our customers who are typically unable to scale their rural access capacities as rapidly and successfully as they can in less remote markets. We are investing in the expansion of our regional fiber and network asset footprint, and in enhanced network reliability and route diversity, in the expectation that our carrier customers will have greater demand for higher capacity, higher reliability and lower latency backhaul to support their own investments in 5G network deployments.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Mobility Services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 xml:space="preserve">Mobility Services. </w:t>
      </w:r>
      <w:r>
        <w:rPr>
          <w:rFonts w:ascii="Times New Roman" w:cs="Times New Roman" w:eastAsia="Times New Roman" w:hAnsi="Times New Roman"/>
          <w:sz w:val="12"/>
          <w:szCs w:val="12"/>
          <w:color w:val="auto"/>
        </w:rPr>
        <w:t>We also offer mobile services to retail customers in certain rural markets already covered by our wholesale networks in the Southwestern United States.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We do not offer mobility services in Alaska.</w:t>
      </w:r>
    </w:p>
    <w:p>
      <w:pPr>
        <w:spacing w:after="0" w:line="166" w:lineRule="exact"/>
        <w:rPr>
          <w:sz w:val="20"/>
          <w:szCs w:val="20"/>
          <w:color w:val="auto"/>
        </w:rPr>
      </w:pPr>
    </w:p>
    <w:p>
      <w:pPr>
        <w:jc w:val="both"/>
        <w:ind w:left="40" w:right="119" w:firstLine="317"/>
        <w:spacing w:after="0" w:line="254" w:lineRule="auto"/>
        <w:rPr>
          <w:sz w:val="20"/>
          <w:szCs w:val="20"/>
          <w:color w:val="auto"/>
        </w:rPr>
      </w:pPr>
      <w:r>
        <w:rPr>
          <w:rFonts w:ascii="Times New Roman" w:cs="Times New Roman" w:eastAsia="Times New Roman" w:hAnsi="Times New Roman"/>
          <w:sz w:val="12"/>
          <w:szCs w:val="12"/>
          <w:color w:val="auto"/>
        </w:rPr>
        <w:t>As of December 31, 2022, we owned and operated a total of 319 towers and 293 fiber connected towers,, a Network Operations Center (or “NOC”), and a switching center. In July 2022, we were approved to participate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that have been deemed to pose a national security risk. Pursuant to the Replace and Remove Program, we have been allocated up to approximately $206 million to replace, remove and securely destroy all prohibited communications equipment in our Southwestern United States network. We have also been approved to receive approximately $1 million to replace, remove and securely destroy all prohibited communications equipment in our network in the US Virgin Islands. The Replace and Remove Program requires us to complete our first request for reimbursement for services performed under the program no later than July 14, 2023 and that we complete the project no later than one year from submitting our initial reimbursement request.</w:t>
      </w:r>
    </w:p>
    <w:p>
      <w:pPr>
        <w:spacing w:after="0" w:line="153" w:lineRule="exact"/>
        <w:rPr>
          <w:sz w:val="20"/>
          <w:szCs w:val="20"/>
          <w:color w:val="auto"/>
        </w:rPr>
      </w:pPr>
    </w:p>
    <w:p>
      <w:pPr>
        <w:jc w:val="both"/>
        <w:ind w:left="40" w:right="9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Network and Operations. </w:t>
      </w:r>
      <w:r>
        <w:rPr>
          <w:rFonts w:ascii="Times New Roman" w:cs="Times New Roman" w:eastAsia="Times New Roman" w:hAnsi="Times New Roman"/>
          <w:sz w:val="12"/>
          <w:szCs w:val="12"/>
          <w:color w:val="auto"/>
        </w:rPr>
        <w:t>Our roaming network has historically offered mobile communications service through a digital wireless voice and data network that utilizes multiple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cellular mobile technologies including UMTS/HSPA, CDMA/EvDO and LTE that often will be deployed at a single cell site location to maximize revenue opportunities. As we undertake our Replace and Remove build, we will no longer provide UMTS/HSPA or CDMA/EvDO services and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40" w:right="99"/>
        <w:spacing w:after="0" w:line="257" w:lineRule="auto"/>
        <w:rPr>
          <w:sz w:val="20"/>
          <w:szCs w:val="20"/>
          <w:color w:val="auto"/>
        </w:rPr>
      </w:pPr>
      <w:r>
        <w:rPr>
          <w:rFonts w:ascii="Times New Roman" w:cs="Times New Roman" w:eastAsia="Times New Roman" w:hAnsi="Times New Roman"/>
          <w:sz w:val="12"/>
          <w:szCs w:val="12"/>
          <w:color w:val="auto"/>
        </w:rPr>
        <w:t>will transition away from providing roaming services to a network infrastructure-based services framework whereby we provide tower lease space, the use of carrier equipment and backhaul in lieu of roaming to support carrier services. We provide wireless communications network products and services with owned and leased cellular, PCS, BRS, EBS, AWS, and Citizens Broadband Radio Services (“CBRS”) spectrum. Our networks comprise base stations and radio transceivers located on owned or leased towers and buildings, telecommunications switches and owned or leased transport facilities. We design and construct our network in a manner intended to provide high-quality service to substantially all types of compatible wireless devices. Network reliability is carefully considered and redundancy is employed in many aspects of our network design.</w:t>
      </w:r>
    </w:p>
    <w:p>
      <w:pPr>
        <w:spacing w:after="0" w:line="152" w:lineRule="exact"/>
        <w:rPr>
          <w:sz w:val="20"/>
          <w:szCs w:val="20"/>
          <w:color w:val="auto"/>
        </w:rPr>
      </w:pPr>
    </w:p>
    <w:p>
      <w:pPr>
        <w:jc w:val="both"/>
        <w:ind w:left="40" w:right="79" w:firstLine="349"/>
        <w:spacing w:after="0" w:line="257" w:lineRule="auto"/>
        <w:rPr>
          <w:sz w:val="20"/>
          <w:szCs w:val="20"/>
          <w:color w:val="auto"/>
        </w:rPr>
      </w:pPr>
      <w:r>
        <w:rPr>
          <w:rFonts w:ascii="Times New Roman" w:cs="Times New Roman" w:eastAsia="Times New Roman" w:hAnsi="Times New Roman"/>
          <w:sz w:val="12"/>
          <w:szCs w:val="12"/>
          <w:color w:val="auto"/>
        </w:rPr>
        <w:t>Route diversity, redundant equipment, ring topologies, battery backup and the use of emergency standby power are used to enhance network reliability and minimize service disruptions from any particular network element failure. We operate high-capacity, carrier-class digital wireless switching systems that are capable of serving multiple markets through a single mobile telephone switching office. Centralized equipment used for network and data management is located in high-availability facilities supported by multiple levels of power and network redundancy. Our systems are designed to incorporate Internet Protocol (IP) packet-based Ethernet technology, which allows for increased data capacity and a more efficient network. Interconnection between the mobile telephone switching office and the cell sites utilizes Ethernet technology over fiber or microwave links for virtually all of our sites.</w:t>
      </w:r>
    </w:p>
    <w:p>
      <w:pPr>
        <w:spacing w:after="0" w:line="150" w:lineRule="exact"/>
        <w:rPr>
          <w:sz w:val="20"/>
          <w:szCs w:val="20"/>
          <w:color w:val="auto"/>
        </w:rPr>
      </w:pPr>
    </w:p>
    <w:p>
      <w:pPr>
        <w:jc w:val="both"/>
        <w:ind w:left="40" w:right="139" w:firstLine="317"/>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With respect to our carrier services, we compete with mobile service providers that operate networks in our markets and offer wholesale roaming services.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Historically, the most significant competitive challenge we face in our US wholesale wireless business is the extent to which our carrier customers choose not to roam on our networks or elect to build or acquire their own infrastructure in a market in which we operate, reducing or eliminating their need for our roaming services in those markets. We are addressing this competitive threat mainly by offering a managed carrier services solution to build and maintain base stations and provide backhaul between our sites and the carrier’s mobile telephone switching office, thereby delivering a native coverage experience to the carrier’s end-customers. While these solutions are similarly vulnerable to competitive overbuild, managed carrier services are offered under longer-term agreements providing us with a predictable source of revenue to support our operating costs.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79" w:lineRule="exact"/>
        <w:rPr>
          <w:sz w:val="20"/>
          <w:szCs w:val="20"/>
          <w:color w:val="auto"/>
        </w:rPr>
      </w:pPr>
    </w:p>
    <w:p>
      <w:pPr>
        <w:jc w:val="both"/>
        <w:ind w:left="20" w:right="39" w:firstLine="341"/>
        <w:spacing w:after="0" w:line="257" w:lineRule="auto"/>
        <w:rPr>
          <w:sz w:val="20"/>
          <w:szCs w:val="20"/>
          <w:color w:val="auto"/>
        </w:rPr>
      </w:pPr>
      <w:r>
        <w:rPr>
          <w:rFonts w:ascii="Times New Roman" w:cs="Times New Roman" w:eastAsia="Times New Roman" w:hAnsi="Times New Roman"/>
          <w:sz w:val="12"/>
          <w:szCs w:val="12"/>
          <w:i w:val="1"/>
          <w:iCs w:val="1"/>
          <w:color w:val="auto"/>
        </w:rPr>
        <w:t>Services</w:t>
      </w:r>
      <w:r>
        <w:rPr>
          <w:rFonts w:ascii="Times New Roman" w:cs="Times New Roman" w:eastAsia="Times New Roman" w:hAnsi="Times New Roman"/>
          <w:sz w:val="12"/>
          <w:szCs w:val="12"/>
          <w:color w:val="auto"/>
        </w:rPr>
        <w:t>. In Alaska, we provide fiber broadband and managed IT services, offering technology and service enabled customer solutions to business and wholesale customers in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out of Alaska. We also provide telecommunication services to consumers in the most populated communities throughout the state. Our facilities-based communications network connects to the contiguous states via our two diverse undersea fiber optic cable systems. We provide high-capacity data networking, internet connectivity, voice communications and IT Services. Networking services include Ethernet and IP routed services as well as switched and dedicated voice services. In addition, we offer other value-added services such as network hosting, managed IT services and long-distance services. Our network is among the most expansive in Alaska and forms the foundation of service to our customers. We operate in a largely two-player terrestrial wireline market and our customers are primarily business customers.</w:t>
      </w:r>
    </w:p>
    <w:p>
      <w:pPr>
        <w:spacing w:after="0" w:line="150" w:lineRule="exact"/>
        <w:rPr>
          <w:sz w:val="20"/>
          <w:szCs w:val="20"/>
          <w:color w:val="auto"/>
        </w:rPr>
      </w:pPr>
    </w:p>
    <w:p>
      <w:pPr>
        <w:jc w:val="both"/>
        <w:ind w:left="20" w:right="39" w:firstLine="341"/>
        <w:spacing w:after="0" w:line="279" w:lineRule="auto"/>
        <w:rPr>
          <w:sz w:val="20"/>
          <w:szCs w:val="20"/>
          <w:color w:val="auto"/>
        </w:rPr>
      </w:pPr>
      <w:r>
        <w:rPr>
          <w:rFonts w:ascii="Times New Roman" w:cs="Times New Roman" w:eastAsia="Times New Roman" w:hAnsi="Times New Roman"/>
          <w:sz w:val="12"/>
          <w:szCs w:val="12"/>
          <w:color w:val="auto"/>
        </w:rPr>
        <w:t>In the western United States, we provide fixed services to business customers such as schools, libraries, mine operators and state and local governments as well as residential customers.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December 31, 2022, we pass roughly 442,000 premises with broadband connectivity of some kind in our U.S. Telecom segment.</w:t>
      </w:r>
    </w:p>
    <w:p>
      <w:pPr>
        <w:spacing w:after="0" w:line="175"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Network. </w:t>
      </w:r>
      <w:r>
        <w:rPr>
          <w:rFonts w:ascii="Times New Roman" w:cs="Times New Roman" w:eastAsia="Times New Roman" w:hAnsi="Times New Roman"/>
          <w:sz w:val="12"/>
          <w:szCs w:val="12"/>
          <w:color w:val="auto"/>
        </w:rPr>
        <w:t>In Alaska, we provide communications and IT solutions that connect Alaskans, as well as customers in the continental United States, to the world. This is based on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extensive facilities-based wireline telecommunications network in Alaska that we operate. We continuously upgrade our network to provide higher levels of performance, higher bandwidth speeds, increased levels of security and additional value-added services to our customers. We operate significant terrestrial and submarine fiber miles which serve as the backbone of our network as well as now serving over 1,000 buildings with fiber. Our networks are monitored for performance around the clock in redundant monitoring centers to provide a high level of reliability and performance. Our network is extensive within Alaska’s urban areas and connects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our largest markets, including Anchorage, Fairbanks and Juneau with each other and the contiguous states as well as many rural areas. Residential broadband customers are served in Alaska with copper-based DSL internet access, and in 2022 we began deploying fiber-to-the-home broadband service to certain markets. Beginning in the summer of 2022, we began offering to deliver fiber-optic network connectivity directly to select homes and businesses in Anchorage, Fairbanks and select smaller markets. As of December 31, 2022, we advanced our initial pilot program by passing over homes with this next generation broadband technology and we currently intend to continue to expand our fiber to the home build. We continue to utilize fixed wireless technology over spectrum to reach even more customers, and we expanded our Multi-Dwelling Unit (“MDU”) offering utilizing fiber or fixed wireless backhaul.</w:t>
      </w:r>
    </w:p>
    <w:p>
      <w:pPr>
        <w:spacing w:after="0" w:line="152" w:lineRule="exact"/>
        <w:rPr>
          <w:sz w:val="20"/>
          <w:szCs w:val="20"/>
          <w:color w:val="auto"/>
        </w:rPr>
      </w:pPr>
    </w:p>
    <w:p>
      <w:pPr>
        <w:jc w:val="both"/>
        <w:ind w:left="20" w:right="39" w:firstLine="341"/>
        <w:spacing w:after="0" w:line="254" w:lineRule="auto"/>
        <w:rPr>
          <w:sz w:val="20"/>
          <w:szCs w:val="20"/>
          <w:color w:val="auto"/>
        </w:rPr>
      </w:pPr>
      <w:r>
        <w:rPr>
          <w:rFonts w:ascii="Times New Roman" w:cs="Times New Roman" w:eastAsia="Times New Roman" w:hAnsi="Times New Roman"/>
          <w:sz w:val="12"/>
          <w:szCs w:val="12"/>
          <w:color w:val="auto"/>
        </w:rPr>
        <w:t>We own and operate two undersea fiber optic cable systems that provide diverse routing from our Alaskan network to our facilities in Oregon and Washington. These facilities provide survivable service to and from Alaska, with key monitoring and disaster recovery capabilities for our customers. We also have usage rights on a third undersea fiber network connecting Alaska to the continental United States. Our network in Oregon and Washington includes terrestrial transport components linking our landing stations to a Network Operations Control Center in Hillsboro, Oregon and collocation facilities in Portland, Oregon and Seattle, Washington. In addition, AKORN®, one of our undersea fiber optic cable systems, connects our Alaska network from Homer, Alaska to our facilities in Florence, Oregon along a diverse path within Alaska, the Pacific Northwest and undersea in the Pacific Ocean. Northstar, our other undersea fiber optic system, has cable landing facilities in Whittier, Juneau, and Valdez, Alaska, and Nedonna Beach, Oregon. In 2020, we completed major network upgrades to the Northstar fiber line, increasing capacity by more than five times. Together, our subsea fiber optic cables systems, AKORN® and Northstar, provide extensive bandwidth as well as survivability protection designed to serve our own, as well as our most demanding customers’ critical communications requirements. Through our landing stations in Oregon, we also provide an at-the-ready landing point for other large fiber optic cables, and their operators, connecting the U.S. to networks in Asia and other parts of the world.</w:t>
      </w:r>
    </w:p>
    <w:p>
      <w:pPr>
        <w:spacing w:after="0" w:line="153"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Our terrestrial fiber network on the North Slope of Alaska allows us to provide broadband solutions to the oil and gas sector and to advance our sales of managed IT services. Rural healthcare, education and business customers are served by a satellite earth station network utilizing a combination of GEO and LEO satellite capacity. These satellite services are used to provide Internet and WAN backhaul connectivity to our customers.</w:t>
      </w:r>
    </w:p>
    <w:p>
      <w:pPr>
        <w:spacing w:after="0" w:line="137"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We have deployed, and are working to deploy more, carrier-grade fiber optic networks strategically throughout the western United States to continue to serve governmental, educational, healthcare, business, consumer and tribal customers in Arizona, Nevada, New Mexico and Utah.</w:t>
      </w:r>
    </w:p>
    <w:p>
      <w:pPr>
        <w:spacing w:after="0" w:line="136"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In Alaska, we face strong competition in our markets from larger competitors with substantial resources. For traditional voice and broadband services, we compete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GCI and AT&amp;T on a statewide basis, and smaller providers such as Matanuska Telephone Association, Inc., a co-op owned telephone and internet service provider operating in the Matanuska Valley region of Alaska, on a more local basis. As the largest facilities-based operator in Alaska, GCI is the dominant statewide provider of broadband, voice, wireless and video services. We believe that AT&amp;T’s primary focus is to be the provider of voice and broadband services to its nation-wide customers and that AT&amp;T tends to use its existing broadband network to serve these customers or it leases capacity from GCI or Alaska Communications to augment its existing network.</w:t>
      </w:r>
    </w:p>
    <w:p>
      <w:pPr>
        <w:spacing w:after="0" w:line="151" w:lineRule="exact"/>
        <w:rPr>
          <w:sz w:val="20"/>
          <w:szCs w:val="20"/>
          <w:color w:val="auto"/>
        </w:rPr>
      </w:pPr>
    </w:p>
    <w:p>
      <w:pPr>
        <w:jc w:val="both"/>
        <w:ind w:left="40" w:right="39" w:firstLine="317"/>
        <w:spacing w:after="0" w:line="265" w:lineRule="auto"/>
        <w:rPr>
          <w:sz w:val="20"/>
          <w:szCs w:val="20"/>
          <w:color w:val="auto"/>
        </w:rPr>
      </w:pPr>
      <w:r>
        <w:rPr>
          <w:rFonts w:ascii="Times New Roman" w:cs="Times New Roman" w:eastAsia="Times New Roman" w:hAnsi="Times New Roman"/>
          <w:sz w:val="12"/>
          <w:szCs w:val="12"/>
          <w:color w:val="auto"/>
        </w:rPr>
        <w:t>In the western United States, we experience competitive pressures from ILEC providers such as AT&amp;T, Lumen and Frontier along with their channel partners. Similarly, national fiber providers such as Zayo also offer our customers services and employ vast wholesale channel solutions. Our ability to offer full-service solutions across multiple LEC service areas and very remote sites back to mobile telephone switching offices continues to be market differentiator and a driver for our success.</w:t>
      </w:r>
    </w:p>
    <w:p>
      <w:pPr>
        <w:spacing w:after="0" w:line="137" w:lineRule="exact"/>
        <w:rPr>
          <w:sz w:val="20"/>
          <w:szCs w:val="20"/>
          <w:color w:val="auto"/>
        </w:rPr>
      </w:pPr>
    </w:p>
    <w:p>
      <w:pPr>
        <w:ind w:left="20" w:right="239" w:firstLine="341"/>
        <w:spacing w:after="0" w:line="265" w:lineRule="auto"/>
        <w:rPr>
          <w:sz w:val="20"/>
          <w:szCs w:val="20"/>
          <w:color w:val="auto"/>
        </w:rPr>
      </w:pPr>
      <w:r>
        <w:rPr>
          <w:rFonts w:ascii="Times New Roman" w:cs="Times New Roman" w:eastAsia="Times New Roman" w:hAnsi="Times New Roman"/>
          <w:sz w:val="12"/>
          <w:szCs w:val="12"/>
          <w:color w:val="auto"/>
        </w:rPr>
        <w:t>In the western United States, we are continuing to expand our capacity offerings with a focus on enhancing our owned and leased transport facilities. Expansion of our network anchored by new fiber deployments is facilitating a long-held vision for reducing reliance on limited capacity microwave backhaul and enabling new wholesale agreements with additional national and regional carriers for both lit and dark fiber services.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ATN Ventures and Minority Investments</w:t>
      </w:r>
    </w:p>
    <w:p>
      <w:pPr>
        <w:spacing w:after="0" w:line="181" w:lineRule="exact"/>
        <w:rPr>
          <w:sz w:val="20"/>
          <w:szCs w:val="20"/>
          <w:color w:val="auto"/>
        </w:rPr>
      </w:pPr>
    </w:p>
    <w:p>
      <w:pPr>
        <w:jc w:val="both"/>
        <w:ind w:left="40" w:right="39" w:firstLine="353"/>
        <w:spacing w:after="0" w:line="260" w:lineRule="auto"/>
        <w:rPr>
          <w:sz w:val="20"/>
          <w:szCs w:val="20"/>
          <w:color w:val="auto"/>
        </w:rPr>
      </w:pPr>
      <w:r>
        <w:rPr>
          <w:rFonts w:ascii="Times New Roman" w:cs="Times New Roman" w:eastAsia="Times New Roman" w:hAnsi="Times New Roman"/>
          <w:sz w:val="12"/>
          <w:szCs w:val="12"/>
          <w:color w:val="auto"/>
        </w:rPr>
        <w:t>In addition to our core telecommunications operating companies, we have also made investments in earlier stage businesses, some of which are noncontrolling investments whose technology-forward approach we consider strategically relevant and can also provide a variety of benefits that enhance the potential to expand our more mature businesses. These benefits include providing entry points into emerging sectors of our existing businesses, enhancing our product offerings, providing visibility into newer technologies and establishing and enhancing strategic relationships.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People and Culture</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know that our employees are one of our most valuable assets to realize our mission to digitally empower people and communities so they can connect with the world and prosper. We do this through meeting the everyday connectivity needs of rural and historically underserved communities. We developed the values listed below to reflect both our current culture and the values that we strive to embody to attract and maintain key talent. We endeavor to implement these values every day through employee engagement events, regular communication on company goals and milestones, and foster a fun and diverse workplace.</w:t>
      </w:r>
    </w:p>
    <w:tbl>
      <w:tblPr>
        <w:tblLayout w:type="fixed"/>
        <w:tblInd w:w="1670" w:type="dxa"/>
        <w:tblCellMar>
          <w:top w:w="0" w:type="dxa"/>
          <w:left w:w="0" w:type="dxa"/>
          <w:bottom w:w="0" w:type="dxa"/>
          <w:right w:w="0" w:type="dxa"/>
        </w:tblCellMar>
      </w:tblPr>
      <w:tr>
        <w:trPr>
          <w:trHeight w:val="131"/>
        </w:trPr>
        <w:tc>
          <w:tcPr>
            <w:tcW w:w="1220" w:type="dxa"/>
            <w:vAlign w:val="bottom"/>
            <w:tcBorders>
              <w:top w:val="single" w:sz="8" w:color="auto"/>
              <w:left w:val="single" w:sz="8" w:color="auto"/>
              <w:bottom w:val="single" w:sz="8" w:color="auto"/>
              <w:right w:val="single" w:sz="8" w:color="auto"/>
            </w:tcBorders>
            <w:shd w:val="clear" w:color="auto" w:fill="E7E6E6"/>
          </w:tcPr>
          <w:p>
            <w:pPr>
              <w:ind w:left="80"/>
              <w:spacing w:after="0" w:line="131" w:lineRule="exact"/>
              <w:rPr>
                <w:sz w:val="20"/>
                <w:szCs w:val="20"/>
                <w:color w:val="auto"/>
              </w:rPr>
            </w:pPr>
            <w:r>
              <w:rPr>
                <w:rFonts w:ascii="Times New Roman" w:cs="Times New Roman" w:eastAsia="Times New Roman" w:hAnsi="Times New Roman"/>
                <w:sz w:val="12"/>
                <w:szCs w:val="12"/>
                <w:color w:val="auto"/>
              </w:rPr>
              <w:t>ATN Values</w:t>
            </w:r>
          </w:p>
        </w:tc>
        <w:tc>
          <w:tcPr>
            <w:tcW w:w="1980" w:type="dxa"/>
            <w:vAlign w:val="bottom"/>
            <w:tcBorders>
              <w:top w:val="single" w:sz="8" w:color="auto"/>
              <w:bottom w:val="single" w:sz="8" w:color="auto"/>
              <w:right w:val="single" w:sz="8" w:color="auto"/>
            </w:tcBorders>
            <w:shd w:val="clear" w:color="auto" w:fill="E7E6E6"/>
          </w:tcPr>
          <w:p>
            <w:pPr>
              <w:ind w:left="40"/>
              <w:spacing w:after="0" w:line="131" w:lineRule="exact"/>
              <w:rPr>
                <w:sz w:val="20"/>
                <w:szCs w:val="20"/>
                <w:color w:val="auto"/>
              </w:rPr>
            </w:pPr>
            <w:r>
              <w:rPr>
                <w:rFonts w:ascii="Times New Roman" w:cs="Times New Roman" w:eastAsia="Times New Roman" w:hAnsi="Times New Roman"/>
                <w:sz w:val="12"/>
                <w:szCs w:val="12"/>
                <w:color w:val="auto"/>
              </w:rPr>
              <w:t>Description</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2"/>
                <w:szCs w:val="12"/>
                <w:color w:val="auto"/>
              </w:rPr>
              <w:t>ommitment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Operate for the Long-Term</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12"/>
                <w:szCs w:val="12"/>
                <w:color w:val="auto"/>
              </w:rPr>
              <w:t>espect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Diversity and Inclusion</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2"/>
                <w:szCs w:val="12"/>
                <w:color w:val="auto"/>
              </w:rPr>
              <w:t>xcellence</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Smart and Determined Work</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ccountability</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Do What You Say</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2"/>
                <w:szCs w:val="12"/>
                <w:color w:val="auto"/>
              </w:rPr>
              <w:t>houghtfulness</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Caring Behavior</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2"/>
                <w:szCs w:val="12"/>
                <w:color w:val="auto"/>
              </w:rPr>
              <w:t>mpowerment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Leaders at Every Level</w:t>
            </w: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ATN Workforce Overview</w:t>
      </w:r>
    </w:p>
    <w:p>
      <w:pPr>
        <w:spacing w:after="0" w:line="172" w:lineRule="exact"/>
        <w:rPr>
          <w:sz w:val="20"/>
          <w:szCs w:val="20"/>
          <w:color w:val="auto"/>
        </w:rPr>
      </w:pPr>
    </w:p>
    <w:p>
      <w:pPr>
        <w:jc w:val="both"/>
        <w:ind w:left="40" w:right="39" w:firstLine="317"/>
        <w:spacing w:after="0" w:line="260" w:lineRule="auto"/>
        <w:rPr>
          <w:sz w:val="20"/>
          <w:szCs w:val="20"/>
          <w:color w:val="auto"/>
        </w:rPr>
      </w:pPr>
      <w:r>
        <w:rPr>
          <w:rFonts w:ascii="Times New Roman" w:cs="Times New Roman" w:eastAsia="Times New Roman" w:hAnsi="Times New Roman"/>
          <w:sz w:val="12"/>
          <w:szCs w:val="12"/>
          <w:color w:val="auto"/>
        </w:rPr>
        <w:t>As of December 31, 2022, we had approximately 2,400 employees, of whom approximately 1,100 were employed in the United States (including the US Virgin Islands), and approximately 1,300 were employed by our international subsidiaries. At the holding company level, we employ our executive management team and staff. Approximately 22% of our total employee population are covered by contracts with various unions. Employees represented by unions are located in Alaska and all our international markets except for the Cayman Islands. As of the end of 2022, we believe we have a good relationship with our unions.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Commitment to Local Management, Diversity and Inclusion</w:t>
      </w:r>
    </w:p>
    <w:p>
      <w:pPr>
        <w:spacing w:after="0" w:line="181" w:lineRule="exact"/>
        <w:rPr>
          <w:sz w:val="20"/>
          <w:szCs w:val="20"/>
          <w:color w:val="auto"/>
        </w:rPr>
      </w:pPr>
    </w:p>
    <w:p>
      <w:pPr>
        <w:jc w:val="both"/>
        <w:ind w:left="40" w:right="39" w:firstLine="317"/>
        <w:spacing w:after="0" w:line="279" w:lineRule="auto"/>
        <w:rPr>
          <w:sz w:val="20"/>
          <w:szCs w:val="20"/>
          <w:color w:val="auto"/>
        </w:rPr>
      </w:pPr>
      <w:r>
        <w:rPr>
          <w:rFonts w:ascii="Times New Roman" w:cs="Times New Roman" w:eastAsia="Times New Roman" w:hAnsi="Times New Roman"/>
          <w:sz w:val="12"/>
          <w:szCs w:val="12"/>
          <w:color w:val="auto"/>
        </w:rPr>
        <w:t>We seek engaged managers who have strong values, integrity, knowledge of our market and business model, and have respect for differing viewpoints. We strive to create a diverse working environment that creates a greater understanding of our differences and makes us a stronger company.</w:t>
      </w:r>
    </w:p>
    <w:p>
      <w:pPr>
        <w:spacing w:after="0" w:line="129" w:lineRule="exact"/>
        <w:rPr>
          <w:sz w:val="20"/>
          <w:szCs w:val="20"/>
          <w:color w:val="auto"/>
        </w:rPr>
      </w:pPr>
    </w:p>
    <w:p>
      <w:pPr>
        <w:jc w:val="both"/>
        <w:ind w:left="40" w:right="39" w:firstLine="317"/>
        <w:spacing w:after="0" w:line="279" w:lineRule="auto"/>
        <w:rPr>
          <w:sz w:val="20"/>
          <w:szCs w:val="20"/>
          <w:color w:val="auto"/>
        </w:rPr>
      </w:pPr>
      <w:r>
        <w:rPr>
          <w:rFonts w:ascii="Times New Roman" w:cs="Times New Roman" w:eastAsia="Times New Roman" w:hAnsi="Times New Roman"/>
          <w:sz w:val="12"/>
          <w:szCs w:val="12"/>
          <w:color w:val="auto"/>
        </w:rPr>
        <w:t>We rely heavily on local management teams to run our subsidiary operating units. Many of the markets in which we operate are small and remote, and in some cases are subject to government restrictions on granting work visas, all of which makes it difficult to attract and retain talented and qualified managers and staff in those markets.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Employee Engagement and Development</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Together with our subsidiaries, we are working hard to improve the way technology is used in the diverse communities we serve. We believe having management and staff that are as diverse as the communities in which they operate is crucial to our success and to our ability to have a positive impact on those communities. We celebrate different</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perspectives and backgrounds because we believe they help us to have a stronger, more creative, and more successful workplace.</w:t>
      </w:r>
    </w:p>
    <w:p>
      <w:pPr>
        <w:spacing w:after="0" w:line="177"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proud to offer benefits to our employees that promote wellness and personal care, a safe work environment and career growth opportunities. We regularly utilize performance development tools for our employees, which are focused on driving engagement and high performance through frequent communications throughout the year.</w:t>
      </w:r>
    </w:p>
    <w:p>
      <w:pPr>
        <w:spacing w:after="0" w:line="138"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annual employee engagement survey provides employees with the opportunity to share confidential feedback on what they believe has been working well and where they believe we can improve to better support our employees. Our focus areas for engagement include skills development, manager performance, and diversity. Anonymous, aggregated results are shared with employees, and the results are used to drive our long-term action plans for how we can seek to continue to improve our work culture.</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Regulation</w:t>
      </w:r>
    </w:p>
    <w:p>
      <w:pPr>
        <w:spacing w:after="0" w:line="181" w:lineRule="exact"/>
        <w:rPr>
          <w:sz w:val="20"/>
          <w:szCs w:val="20"/>
          <w:color w:val="auto"/>
        </w:rPr>
      </w:pPr>
    </w:p>
    <w:p>
      <w:pPr>
        <w:jc w:val="both"/>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Our wireless and wireline telecommunications and video services operations are subject to extensive governmental regulation in each of the jurisdictions in which we provide services. Our wireless and wireline operations and our video services operations in the United States and the US Virgin Islands are governed by the Communications Act of 1934, as amended, including via the Telecommunications Act of 1996 (“Communications Act”); the implementing regulations adopted thereunder by the Federal Communications Commission (“FCC”); judicial and regulatory decisions interpreting and implementing the Communications Act; and other federal, state, and local statutes and regulations. Our operations are also governed by certain foreign laws and regulations.</w:t>
      </w:r>
    </w:p>
    <w:p>
      <w:pPr>
        <w:spacing w:after="0" w:line="152"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following summary of regulatory developments and legislation does not purport to describe all present and proposed federal, state, local, and foreign regulation and legislation that may affect our businesses. Legislative or regulatory requirements currently applicable to our businesses may change in the future and legislative or regulatory requirements may be adopted by those jurisdictions that currently have none. Any such changes could impose new obligations on us that could adversely affect our operating results.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Federal Regulation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At the federal level, we are regulated in large part by the FCC.</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Wireless Services</w:t>
      </w:r>
    </w:p>
    <w:p>
      <w:pPr>
        <w:spacing w:after="0" w:line="172"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FCC regulates, among other things, the licensed and unlicensed use of radio spectrum; the ownership, lease, transfer of control and assignment of wireless licenses; the ongoing technical, operational, and service requirements applicable to such licenses; the timing, nature, and scope of network construction; the provision of certain services, such as enhanced 911 (“E-911”); and the interconnection of communications networks in the United States.</w:t>
      </w:r>
    </w:p>
    <w:p>
      <w:pPr>
        <w:spacing w:after="0" w:line="14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Spectrum Licenses</w:t>
      </w:r>
      <w:r>
        <w:rPr>
          <w:rFonts w:ascii="Times New Roman" w:cs="Times New Roman" w:eastAsia="Times New Roman" w:hAnsi="Times New Roman"/>
          <w:sz w:val="12"/>
          <w:szCs w:val="12"/>
          <w:color w:val="auto"/>
        </w:rPr>
        <w:t>. We provide our wireless services pursuant to various commercial mobile radio services (“CMRS”) licenses issued by the FCC. Some of these licenses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site-based while others cover specified geographic market areas. The specific radio frequencies, the authorized spectrum amounts, and certain of the technical and service rules vary depending on the licensed service. The FCC generally allocates CMRS licenses through periodic auctions. CMRS licenses also are available via secondary market mechanisms subject to FCC procedures and regulations. The FCC also permits licensees to lease spectrum to third parties under certain conditions, subject to prior FCC approval, or in some instances, notification to the FCC. Auctions, secondary market transactions and spectrum leasing provide additional flexibility for wireless providers to structure transactions and create additional business and investment opportunities, and, like our competitors, we will monitor and pursue opportunities to obtain additional spectrum rights. The FCC reviews proposed license acquisitions on a case-by-case basis to ensure that the acquisition would serve the public interest and would not result in a rule violation or an undue concentration of market power. With respect to CMRS licenses, the FCC</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utilizes a spectrum aggregation “screen” to determine whether a proposed secondary market transaction requires additional scrutiny. The FCC’s additional scrutiny also would be triggered if a proposed transaction results in a material change in the post transaction market share in a particular market. With the exception of the US Virgin Islands, we are, in each of the areas in which we hold geographic area license or lease rights, well below the level of spectrum aggregation that would warrant additional FCC scrutiny, and thus we may be able to acquire additional spectrum rights either from the FCC in an auction or from third parties in private transactions.</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to CMRS licenses, our wireless business relies on common carrier and non-common carrier fixed point-to-point microwave licenses issued by the FCC. Microwave stations are generally used in a point-to-point configuration for cellular site backhaul connections or to connect points on the telephone network that cannot be cost effectively connected using standard wireline or fiber optic cable because of cost or terrain.</w:t>
      </w:r>
    </w:p>
    <w:p>
      <w:pPr>
        <w:spacing w:after="0" w:line="14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Most of our license grants are for a period of 10 years and are renewable upon application to the FCC. License renewal applications may be denied if the FCC determines, after appropriate notice and hearing, that renewal would not serve the public interest, convenience, or necessity. While our license renewal applications have been regularly granted by the FCC in the past, there can be no assurance that all of our licenses will be renewed in the future. The FCC also may deny license applications and, in extreme cases, revoke licenses if it finds that an entity lacks the requisite qualifications to be a licensee. To our knowledge, there are no circumstances that would warrant such a finding by the FCC against us.</w:t>
      </w:r>
    </w:p>
    <w:p>
      <w:pPr>
        <w:spacing w:after="0" w:line="14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FCC conditions spectrum licenses on the satisfaction of certain obligations to construct networks covering a specified geographic area or population by specific dates. The obligations vary depending on the licensed service. Failure to satisfy an applicable construction requirement can result in the assessment of fines and forfeitures by the FCC, a reduced license term, or automatic license cancellation. We are substantially in compliance with the applicable construction requirements that have arisen for the licenses we currently hold and expect to meet our future construction requirements as well.</w:t>
      </w:r>
    </w:p>
    <w:p>
      <w:pPr>
        <w:spacing w:after="0" w:line="14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Other Requirements</w:t>
      </w:r>
      <w:r>
        <w:rPr>
          <w:rFonts w:ascii="Times New Roman" w:cs="Times New Roman" w:eastAsia="Times New Roman" w:hAnsi="Times New Roman"/>
          <w:sz w:val="12"/>
          <w:szCs w:val="12"/>
          <w:color w:val="auto"/>
        </w:rPr>
        <w:t>. The Communications Act and the FCC’s rules impose additional requirements upon wireless service providers. A failure to meet or maintain compliance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the Communications Act and/or the FCC’s rules may subject us to fines, forfeitures, penalties, or other sanctions. To our knowledge, we comply in all material respects with applicable FCC technical and reporting requirements.</w:t>
      </w:r>
    </w:p>
    <w:p>
      <w:pPr>
        <w:spacing w:after="0" w:line="14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radio systems towers that we own and lease are subject to Federal Aviation Administration and FCC regulations that govern the location, marking, lighting, and construction of towers and are subject to the requirements of the National Environmental Policy Act, National Historic Preservation Act, and other environmental statutes enforced by the FCC. The FCC has also adopted guidelines and methods for evaluating human exposure to radiofrequency field emissions from radio equipment. To our knowledge, all of our radio systems on towers that we own or lease comply in all material respects with these requirements, guidelines, and methods.</w:t>
      </w:r>
    </w:p>
    <w:p>
      <w:pPr>
        <w:spacing w:after="0" w:line="140"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FCC has adopted requirements for CMRS providers to implement basic 911 and E-911 services. These services provide state and local emergency service providers with the ability to better identify and locate 911 callers using wireless services, including callers using special devices for the hearing impaired. The FCC also has adopted rules requiring wireless carriers and certain other text messaging service providers to provide text-to-911. Because the implementation of these obligations requires that the local emergency services provider have certain facilities available, our specific obligations are set on a market-by-market basis as emergency service providers request the implementation of E-911 services within their locales. To our knowledge, we comply with all E-911 obligations currently applicable to our operations, but the extent to which we are required to deploy additional E-911 services will affect our capital spending obligations. Federal law limits our liability for uncompleted 911 calls to a degree commensurate with wireline carriers in our markets.</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are obligated to pay certain annual regulatory fees and assessments to support FCC wireless industry regulation, as well as fees supporting federal universal service programs, number portability, regional database costs, centralized telephone numbering administration, telecommunications relay service for the hearing impaired and application filing fees. These fees are subject to change periodically by the FCC and the manner in which carriers may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recoup these fees from customers is subject to various restrictions. To our knowledge, we comply in all material respects with applicable FCC regulatory fee and assessment requirements.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FCC generally exercises jurisdiction over the interstate and international telecommunications services that we provide as a regulated common carrier in Alaska and the US Virgin Islands. The Communications Act and regulations promulgated thereunder require, among other things, that we offer regulated interstate telecommunications common carrier services at just, reasonable, and non-discriminatory rates and terms. The Communications Act also requires us to offer competing carriers interconnection and non-discriminatory access to certain facilities and services designated as essential for local competition.</w:t>
      </w:r>
    </w:p>
    <w:p>
      <w:pPr>
        <w:spacing w:after="0" w:line="14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subject to competitive market forces, as well as rate-of-return regulation for intrastate services that originate and terminate in Alaska and the US Virgin Islands and price-cap rate regulation for interstate services in Alaska and the US Virgin Islands regulated by the FCC. Because we face competition, we may not be able to charge the maximum permitted rates under price-cap regulation or realize the authorized intrastate rate of return. A broader range of data and information services are offered by our unregulated affiliates or as unregulated services by our regulated companies.</w:t>
      </w:r>
    </w:p>
    <w:p>
      <w:pPr>
        <w:spacing w:after="0" w:line="14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FCC regulates the prices that we charge for the use of our local telephone facilities in originating or terminating interstate calls. In Alaska and the US Virgin Islands, rates for interstate telecommunications services we offer are determined using price cap regulation, under which the rates vary from year to year based on mathematical formulae, and not based on changes to our costs, including both inter-carrier rates and retail end user rates. The FCC also regulates rates for “business data services,” which are those circuit-switched or packet-switched services that offer dedicated point-to-point transmission of data at certain guaranteed speeds and service levels using high-capacity connections, including special access services, but the FCC has generally forborne from regulating our rates for these services, except on certain routes that the FCC believes lack sufficient competition.</w:t>
      </w:r>
    </w:p>
    <w:p>
      <w:pPr>
        <w:spacing w:after="0" w:line="150"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Caller ID Authentication</w:t>
      </w:r>
      <w:r>
        <w:rPr>
          <w:rFonts w:ascii="Times New Roman" w:cs="Times New Roman" w:eastAsia="Times New Roman" w:hAnsi="Times New Roman"/>
          <w:sz w:val="12"/>
          <w:szCs w:val="12"/>
          <w:color w:val="auto"/>
        </w:rPr>
        <w:t>. In March 2020, the FCC issued a Report and Order implementing the Telephone Robocall Abuse Criminal Enforcement and Deterrence (“TRACED”)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Act by mandating that voice service providers such as our Alaska and US Virgin Islands businesses implement the STIR/SHAKEN caller ID authentication framework in the Internet Protocol (“IP”) portions of their networks by June 30, 2021. The TRACED Act directs the FCC to require all voice service providers to implement STIR/SHAKEN in the IP portions of their networks and implement an effective caller ID authentication framework in the non-IP portions of their networks. We comply with these requirements.</w:t>
      </w:r>
    </w:p>
    <w:p>
      <w:pPr>
        <w:spacing w:after="0" w:line="138"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National Suicide Prevention Lifeline</w:t>
      </w:r>
      <w:r>
        <w:rPr>
          <w:rFonts w:ascii="Times New Roman" w:cs="Times New Roman" w:eastAsia="Times New Roman" w:hAnsi="Times New Roman"/>
          <w:sz w:val="12"/>
          <w:szCs w:val="12"/>
          <w:color w:val="auto"/>
        </w:rPr>
        <w:t>. In July 2020, the FCC adopted a Report and Order designating the three-digit code “988” as the National Suicide Prevention Lifeline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directed all service providers to enable use of that code to reach suicide prevention and crisis intervention services no later than July 16, 2022. There are 87 area codes across the country, including the “907” area code used throughout Alaska, where local calls may be dialed using seven digits, and where “988” is used as a three-digit telephone exchange prefix. To ensure that calls are not erroneously routed to the National Suicide Prevention Hotline when a user intends to dial a seven-digit call starting with “988,” the FCC required all 87 of the affected area codes to transition to ten-digit dialing for all calls during the transition period. As a result of these changes, Alaska Communications upgraded and reprogramed its switches throughout the state and is assisting with consumer education efforts with respect to these new dialing patterns.</w:t>
      </w:r>
    </w:p>
    <w:p>
      <w:pPr>
        <w:spacing w:after="0" w:line="15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Communications Act encourages competition in local telecommunications markets by removing barriers to market entry and imposing on non-rural incumbent local exchange carriers (“ILECs”) various requirements related to, among other things, interconnection, access to unbundled network elements, co-location, access to poles, ducts, conduits, and rights of way, wholesale and resale obligations, and telephone number portability. Our ILEC operations in the US Virgin Islands through Viya are exempt from most such federal requirements pursuant to a rural exemption.</w:t>
      </w:r>
    </w:p>
    <w:p>
      <w:pPr>
        <w:spacing w:after="0" w:line="14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While, to date, the FCC has declined to classify interconnected voice-over Internet protocol (“VoIP”) service as a telecommunications service or information service, it has imposed a number of consumer protection and public safety obligations on interconnected VoIP providers, relying in large part on its general ancillary jurisdiction powers. To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extent that we provide interconnected VoIP service, we are subject to a number of these obligations, and, to our knowledge, we comply in all material respects with applicable VoIP requirements.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and Wireless Services</w:t>
      </w:r>
    </w:p>
    <w:p>
      <w:pPr>
        <w:spacing w:after="0" w:line="179"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i w:val="1"/>
          <w:iCs w:val="1"/>
          <w:color w:val="auto"/>
        </w:rPr>
        <w:t>Net Neutrality</w:t>
      </w:r>
      <w:r>
        <w:rPr>
          <w:rFonts w:ascii="Times New Roman" w:cs="Times New Roman" w:eastAsia="Times New Roman" w:hAnsi="Times New Roman"/>
          <w:sz w:val="12"/>
          <w:szCs w:val="12"/>
          <w:color w:val="auto"/>
        </w:rPr>
        <w:t>. In January 2018, the FCC released a decision rescinding various “net neutrality” requirements that had governed how broadband Internet access providers were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permitted to offer broadband service. This decision largely eliminated the FCC’s regulation of our ability to block, throttle, or prioritize specific types of Internet traffic, and put a revised transparency-centered regulatory regime in place. Under the 2018 decision’s approach, broadband Internet access providers still must publicly disclose detailed information regarding their service offerings, Internet traffic management processes, and other practices affecting broadband customers. The FCC also held that states are preempted from enacting their own versions of these or similar requirements. A federal appeals court upheld most of the FCC’s 2018 decision, but it reversed the FCC’s blanket preemption of state broadband rules. The court also (1) held that state broadband laws may only be preempted on a case-by-case basis when they conflict with state or federal policy, and (2) remanded certain issues to the FCC. The court subsequently declined to rehear the case, and no party sought review by the U.S. Supreme Court. In October 2020, the FCC affirmed its 2018 decision after addressing the issues remanded by the court. That decision is subject to petitions for reconsideration before the FCC (which the agency has not acted on) and a challenge in federal court that currently is on hold. A new Chairwoman of the FCC was appointed in December 2021, and she has stated publicly that she supports the FCC once again adopting net neutrality requirements. Although she has not yet initiated any such effort, if the Chairwoman were to do so, we cannot predict how such regulation will affect our broadband businesses.</w:t>
      </w:r>
    </w:p>
    <w:p>
      <w:pPr>
        <w:spacing w:after="0" w:line="14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 number of states have adopted, or are considering adopting, state-level net neutrality requirements, some of which have gone into effect and some of which are stayed. These efforts include state legislation and executive orders dating back to 2018. We cannot predict with any certainty the likely timing or outcome of any legal challenges to state net neutrality requirements, how state or federal efforts to adopt net neutrality requirements will continue to evolve, or how these regulatory proceedings will impact our business.</w:t>
      </w:r>
    </w:p>
    <w:p>
      <w:pPr>
        <w:spacing w:after="0" w:line="14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In addition, the Infrastructure Investment and Jobs Act (“IIJA”), enacted in November 2021, directed the FCC to require broadband service providers to display “nutrition labels” containing certain information regarding their broadband internet access service plans. In November 2022, the FCC adopted implementing requirements. The decision requires broadband service providers to display, at the point of sale, labels that disclose information about broadband prices, introductory rates, data allowances, broadband speeds, and latency. These rules are not yet in effect. The FCC is seeking comment on adopting additional specific requirements regarding the “nutrition label.” We cannot predict how a future FCC will address transparency requirements.</w:t>
      </w:r>
    </w:p>
    <w:p>
      <w:pPr>
        <w:spacing w:after="0" w:line="150"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Digital Discrimination. </w:t>
      </w:r>
      <w:r>
        <w:rPr>
          <w:rFonts w:ascii="Times New Roman" w:cs="Times New Roman" w:eastAsia="Times New Roman" w:hAnsi="Times New Roman"/>
          <w:sz w:val="12"/>
          <w:szCs w:val="12"/>
          <w:color w:val="auto"/>
        </w:rPr>
        <w:t>The IIJA requires the FCC to adopt rules addressing “digital discrimination of access” by November 15, 2023. We cannot predict how the FCC will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implement this direction and what impact it may have on our business.</w:t>
      </w:r>
    </w:p>
    <w:p>
      <w:pPr>
        <w:spacing w:after="0" w:line="125"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Telecommunications Privacy Regulations</w:t>
      </w:r>
      <w:r>
        <w:rPr>
          <w:rFonts w:ascii="Times New Roman" w:cs="Times New Roman" w:eastAsia="Times New Roman" w:hAnsi="Times New Roman"/>
          <w:sz w:val="12"/>
          <w:szCs w:val="12"/>
          <w:color w:val="auto"/>
        </w:rPr>
        <w:t>. We are subject to federal regulations relating to privacy and data security that impact all parts of our business. Certain federal statutory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regulatory privacy and data security requirements apply to our telecommunications and cable services. Other parts of our business are subject to privacy and data security oversight by other federal regulators, including the Federal Trade Commission. In addition, federal and state regulators have adopted or are considering adopting new privacy laws. Such state privacy regulations could impact at least some of our operations. We believe that we comply with all currently applicable requirements, but we cannot predict the timeline for any future changes of law in this area or the impact of any such changes on our businesses.</w:t>
      </w:r>
    </w:p>
    <w:p>
      <w:pPr>
        <w:spacing w:after="0" w:line="149"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CALEA</w:t>
      </w:r>
      <w:r>
        <w:rPr>
          <w:rFonts w:ascii="Times New Roman" w:cs="Times New Roman" w:eastAsia="Times New Roman" w:hAnsi="Times New Roman"/>
          <w:sz w:val="12"/>
          <w:szCs w:val="12"/>
          <w:color w:val="auto"/>
        </w:rPr>
        <w:t>. Under certain circumstances, federal law also requires telecommunications carriers to provide law enforcement agencies with capacity and technical capabilities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support lawful wiretaps pursuant to the Communications Assistance for Law Enforcement Act (“CALEA”). Federal law also requires compliance with wiretap related record keeping and personnel related obligations. The FCC has adopted rules that apply CALEA obligations to high-speed Internet access and VoIP services. We believe that we comply with all such requirements currently applicable to us.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Maintaining compliance with these law enforcement requirements may impose additional capital spending obligations on us to make necessary system upgrades.</w:t>
      </w:r>
    </w:p>
    <w:p>
      <w:pPr>
        <w:spacing w:after="0" w:line="175"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Infrastructure Access Regulation. </w:t>
      </w:r>
      <w:r>
        <w:rPr>
          <w:rFonts w:ascii="Times New Roman" w:cs="Times New Roman" w:eastAsia="Times New Roman" w:hAnsi="Times New Roman"/>
          <w:sz w:val="12"/>
          <w:szCs w:val="12"/>
          <w:color w:val="auto"/>
        </w:rPr>
        <w:t>In recent years, the FCC has taken actions to help expedite the deployment of wireline and wireless network infrastructure. Those actions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include adopting rules to facilitate the attachment of new facilities to utility poles, improving access by telecommunications companies to rights-of-way, and eliminating or reducing requirements to provide notice of service discontinuance. We expect these FCC actions will facilitate and streamline our ability to expand our wireline and wireless network coverage.</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Support and Contributions</w:t>
      </w:r>
    </w:p>
    <w:p>
      <w:pPr>
        <w:spacing w:after="0" w:line="17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general, all telecommunications providers are obligated to contribute to the Universal Service Fund (“USF”), which is used to promote the availability of qualifying telecommunications and broadband service to individuals and families qualifying for federal assistance, households located in rural and high-cost areas, and to schools, libraries, and rural health care providers. We are subject to audit by the Universal Service Administration Company with respect to our federal contributions and our receipts of universal service funding. To our knowledge, we comply in all material respects with applicable federal and state USF assessment and support requirements.</w:t>
      </w:r>
    </w:p>
    <w:p>
      <w:pPr>
        <w:spacing w:after="0" w:line="147"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USF High-Cost Support. </w:t>
      </w:r>
      <w:r>
        <w:rPr>
          <w:rFonts w:ascii="Times New Roman" w:cs="Times New Roman" w:eastAsia="Times New Roman" w:hAnsi="Times New Roman"/>
          <w:sz w:val="12"/>
          <w:szCs w:val="12"/>
          <w:color w:val="auto"/>
        </w:rPr>
        <w:t>In 2011, the FCC released a Transformation Order that established a new framework for high-cost universal service support for price capped carriers.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new framework replaced existing support mechanisms that provide support to carriers that serve high-cost areas. The new support mechanism, the Connect America Fund (“CAF”), imposes service obligations that are focused on broadband Internet access services. The Transformation Order also replaced the FCC’s previous set of explicit high-cost universal service support mechanisms for price cap carriers, like Alaska Communications, with the CAF. While the previous mechanisms were focused on supporting a portion of the cost of providing voice telephone service, the CAF shifted that focus to expanding the availability of affordable broadband services. In October 2016, the FCC released its order establishing the requirements of CAF II (“CAF II”) for price cap carriers in Alaska — specifically Alaska Communications, the only price cap carrier in Alaska. Under the CAF II order, we receive approximately $19.7 million annually in Alaska through December 31, 2025, subject to explicit broadband deployment conditions.</w:t>
      </w:r>
    </w:p>
    <w:p>
      <w:pPr>
        <w:spacing w:after="0" w:line="155" w:lineRule="exact"/>
        <w:rPr>
          <w:sz w:val="20"/>
          <w:szCs w:val="20"/>
          <w:color w:val="auto"/>
        </w:rPr>
      </w:pPr>
    </w:p>
    <w:p>
      <w:pPr>
        <w:jc w:val="both"/>
        <w:ind w:left="40" w:right="199" w:firstLine="408"/>
        <w:spacing w:after="0" w:line="254" w:lineRule="auto"/>
        <w:rPr>
          <w:sz w:val="20"/>
          <w:szCs w:val="20"/>
          <w:color w:val="auto"/>
        </w:rPr>
      </w:pPr>
      <w:r>
        <w:rPr>
          <w:rFonts w:ascii="Times New Roman" w:cs="Times New Roman" w:eastAsia="Times New Roman" w:hAnsi="Times New Roman"/>
          <w:sz w:val="12"/>
          <w:szCs w:val="12"/>
          <w:color w:val="auto"/>
        </w:rPr>
        <w:t>In August 2018, we were separately awarded $79.9 million over 10 years by the FCC as part of its CAF II USF auction for our operations in the southwestern United States. The funding requires us to provide fixed broadband and voice services to certain eligible areas in the United States within six years of the award of the funding. We are subject to operational and reporting requirements under the program. Funding began in the second quarter of 2019 and we record the amounts received as revenue in our financial statements. We are continuing to work toward meeting our CAF II obligations in a capital-efficient manner, including the delivery of broadband Internet access services meeting CAF II requirements using a fixed wireless platform and in some instances in Alaska, DSL. As of December 31, 2022, we have met 60% of the total number of locations served required by December 31, 2025 under Alaska CAF II. As of December 31, 2022, we have not yet met our requirement to reach 40% coverage in two of the states in our western US market, but we expect that we will be able to meet our goal of 60% coverage by the end of this year in all of our markets. Although we expect to comply in all material respects with our deployment and service requirements associated with our CAF II funding, if we fail to meet our obligations under the CAF II order or require substantial additional capital expenditures in order to meet the obligations under the timeline required, its revenue, results of operations and liquidity may be materially adversely impacted.</w:t>
      </w:r>
    </w:p>
    <w:p>
      <w:pPr>
        <w:spacing w:after="0" w:line="14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addition, in the 2020 Rural Digital Opportunity Fund Phase I (“RDOF”) auction, we were awarded $28.4 million and accepted $20.1 million over 10 years. We declined to accept the remaining support that we were awarded in the auction, and we will owe default penalties with respect to these winning bids. In exchange for this RDOF support, we are required to deploy voice and broadband service to areas covered by our winning bids within six years and to provide service in those areas for ten years. We expect to comply in all material respects with those obligations.</w:t>
      </w:r>
    </w:p>
    <w:p>
      <w:pPr>
        <w:spacing w:after="0" w:line="14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2018, the FCC initiated a proceeding to reform the USF program for high-cost support in the USVI and Puerto Rico. In September 2019, the FCC adopted an order in this proceeding establishing a new competitive proposal process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for awarding Connect USVI Fund support that would supplant the annual support that Viya received. Viya submitted a bid for Connect USVI Fund support allocated for the US Virgin Islands, but in November 2020, the FCC announced that Viya was not the recipient of the award. As a result, Viya’s USF support was reduced to 2/3 of the legacy total amount, or $10.9 million, from August 2021 through July 2022 and to 1/3 of the legacy total amount, or $5.5 million, during the subsequent 12-month period. Thereafter, pursuant to the terms of the 2018 Order, the $5.5 million in high-cost USF support received by Viya is scheduled to be eliminated entirely in July 2023. However, in October 2022, the FCC proposed to extend this support at the $5.5 million per year level to December 31, 2025, and sought comment on this proposal. The FCC has not yet taken action on its proposal, and we cannot predict whether the FCC will extend this support and, if so, what amount the FCC will provide and for how long.</w:t>
      </w:r>
    </w:p>
    <w:p>
      <w:pPr>
        <w:spacing w:after="0" w:line="150" w:lineRule="exact"/>
        <w:rPr>
          <w:sz w:val="20"/>
          <w:szCs w:val="20"/>
          <w:color w:val="auto"/>
        </w:rPr>
      </w:pPr>
    </w:p>
    <w:p>
      <w:pPr>
        <w:jc w:val="both"/>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Rural Health Care Universal Service Support Program</w:t>
      </w:r>
      <w:r>
        <w:rPr>
          <w:rFonts w:ascii="Times New Roman" w:cs="Times New Roman" w:eastAsia="Times New Roman" w:hAnsi="Times New Roman"/>
          <w:sz w:val="12"/>
          <w:szCs w:val="12"/>
          <w:color w:val="auto"/>
        </w:rPr>
        <w:t>. The FCC’s Rural Health Care Universal Service Support Mechanism (“RHC program”) provides funding to help make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broadband telecommunications and Internet access services provided by us and other service providers affordable for eligible rural health care providers. It is comprised of two parts. The Telecommunications Program covers the difference between the “urban rate” for telecommunications services that rural healthcare providers use to deliver healthcare at rural locations, and the “rural rate” that they would otherwise be required to pay. The Healthcare Connect Fund covers 65 percent of the cost of a wide variety of broadband telecommunications, networking, and Internet access services and certain associated equipment.</w:t>
      </w:r>
    </w:p>
    <w:p>
      <w:pPr>
        <w:spacing w:after="0" w:line="151"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In August 2019, the FCC adopted an order making comprehensive changes to the rules governing the competitive bidding process and the method for determining the urban and rural rates used to calculate the amount of RHC Telecommunications Program support payments for which a health care provider is eligible. The changes to the urban and rural rate rules took effect for Funding Year 2021, which began in July 2021. Among other things, the FCC’s Order directed USAC to develop and publish a database containing available rural rates and rate medians that will cap the amount of RHC support eligible healthcare providers may receive for a given service in a particular geographic zone. The FCC’s Order divided Alaska into four geographic zones, with the rural rate in each zone capped at the median of the rural rates for similar services offered in that zone, as identified by USAC. In October 2019, an appeal challenging the new method of setting rates for supported services was filed in the United States Court of Appeals for the District of Columbia Circuit, adding further uncertainty to the ultimate outcome of this proceeding. Similarly, we and several other parties filed Petitions for Reconsideration of the FCC’s August 2019 Report and Order, asking the FCC to reconsider some of its changes to the rural healthcare rate-setting process. Both the action in the D.C. Circuit Court of Appeals and the Petitions for Reconsideration filed with the FCC remain pending.</w:t>
      </w:r>
    </w:p>
    <w:p>
      <w:pPr>
        <w:spacing w:after="0" w:line="14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We believe that USAC’s rural rate database, as currently constituted, is likely to have an adverse impact on our economic ability to continue to serve some of our rural healthcare customers in Alaska. In particular, the rates established by the database would negatively impact our ability to continue to offer our full range of telecommunications services to rural healthcare providers supported by the RHC Telecommunications Program in the more remote, higher-cost areas of the state. We filed an Application for Review requesting that the full FCC review USAC’s effort and associated guidance concerning the database, delay the effectiveness of the new rural rates, and direct USAC to implement the changes we requested in our prior Petition for Reconsideration. In January 2021, the FCC issued an order waiving the use of the database in Alaska for Funding Years 2021 and 2022. In lieu of the database, while the waiver remains in effect, the Order authorizes support based on the most recent rural rate that the FCC approved for the same service at the same healthcare facility within the past three funding years. As an alternative, RHC Telecommunications Program rural rates may be established under the previously applicable rate rules that were in effect through Funding Year 2020. As with the action in the D.C. Circuit Court of Appeals and the Petitions for Reconsideration filed with the FCC, the other issues raised in our Application for Review remain pending.</w:t>
      </w:r>
    </w:p>
    <w:p>
      <w:pPr>
        <w:spacing w:after="0" w:line="15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unable to predict the outcome or eventual impact of the D.C. Circuit’s review of the FCC’s Order, or the FCC’s decision on our Petition for Reconsideration or our Application for Review, but the January 2021 waiver offers a measure of short-term stability for the Telecommunications Program while those reviews continue.</w:t>
      </w:r>
    </w:p>
    <w:p>
      <w:pPr>
        <w:spacing w:after="0" w:line="136"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Subsidies for Low-Income Customers. </w:t>
      </w:r>
      <w:r>
        <w:rPr>
          <w:rFonts w:ascii="Times New Roman" w:cs="Times New Roman" w:eastAsia="Times New Roman" w:hAnsi="Times New Roman"/>
          <w:sz w:val="12"/>
          <w:szCs w:val="12"/>
          <w:color w:val="auto"/>
        </w:rPr>
        <w:t>The FCC’s Lifeline support mechanism provides a subsidy to eligible low-income consumers against the cost of voice services, as well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broadband in CAF II locations. We participate in the Lifeline program on a limited basis. The Consolidated Appropriations Act of 2021 appropriated $3.2 billion to create the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“Emergency Broadband Connectivity Fund,” and directed the FCC to use that fund to establish a new “Emergency Broadband Benefit Program” (“EBBP”). The EBBP provided eligible low-income consumers and students with a monthly subsidy for the purchase of broadband Internet access service from service providers that elected to participate in the program, which we did. Starting on January 1, 2022, the FCC replaced the EBBP with the Affordable Connectivity Program (“ACP”), which utilizes substantially the same terms and conditions as the EBB but with a reduced monthly benefit. We participate in the ACP. To our knowledge we comply with the rules of these subsidy programs. Although we cannot predict whether the FCC will further modify its approach to using USF support to subsidize voice and broadband service to low-income consumers, these subsidies do not represent a material amount of our revenue.</w:t>
      </w:r>
    </w:p>
    <w:p>
      <w:pPr>
        <w:spacing w:after="0" w:line="150"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E-Rate</w:t>
      </w:r>
      <w:r>
        <w:rPr>
          <w:rFonts w:ascii="Times New Roman" w:cs="Times New Roman" w:eastAsia="Times New Roman" w:hAnsi="Times New Roman"/>
          <w:sz w:val="12"/>
          <w:szCs w:val="12"/>
          <w:color w:val="auto"/>
        </w:rPr>
        <w:t>. We have provided telecommunications services, broadband Internet access services, and internal connections supported by the FCC’s Schools and Libraries Universal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Support Mechanism (“E-rate”) for many years. E-rate support provides an invaluable means by which elementary and secondary schools can afford those services, particularly in rural and remote, high-cost areas. Historically, E-rate has primarily supported services that connect eligible school buildings. To our knowledge, we comply with applicable E-Rate requirements.</w:t>
      </w:r>
    </w:p>
    <w:p>
      <w:pPr>
        <w:spacing w:after="0" w:line="147"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i w:val="1"/>
          <w:iCs w:val="1"/>
          <w:color w:val="auto"/>
        </w:rPr>
        <w:t>USAC Audit of RHC Program Funding Requests</w:t>
      </w:r>
      <w:r>
        <w:rPr>
          <w:rFonts w:ascii="Times New Roman" w:cs="Times New Roman" w:eastAsia="Times New Roman" w:hAnsi="Times New Roman"/>
          <w:sz w:val="12"/>
          <w:szCs w:val="12"/>
          <w:color w:val="auto"/>
        </w:rPr>
        <w:t>. In addition to the prospective changes to the RHC program discussed above, the FCC and USAC have periodically undertaken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reviews of current and past funding requests. In June 2017, we received a letter from USAC’s auditors inquiring about past funding requests in Alaska, all of which were previously approved by USAC. After clarifying the request, and correspondence with USAC we received in February 2020 a draft audit report from USAC that is described more fully in Note 13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in the Notes to Consolidated Financial Statements. The draft audit report alleges violations of the FCC’s rules for establishing rural rates and urban rates, the provisioning and billing of ineligible services and products, and violations of the FCC’s competitive bidding rules. We were invited to comment on this draft audit report and have been engaged since that time in correspondence with USAC with respect to its requests. As a result of these conversations and comments being submitted by us, USAC’s auditors are expected to issue a final audit report incorporating our responses that will be sent to USAC’s Rural Health Care Division to review and determine if corrective action would be appropriate. In the event that we disagree with USAC’s final audit report, we can appeal that decision to USAC’s Rural Health Care Division and/or the FCC. At this time, we cannot predict the contents or timing of the final USAC audit report, the outcome of the audit or the impact on our business, financial condition, results of operations, or liquidity.</w:t>
      </w:r>
    </w:p>
    <w:p>
      <w:pPr>
        <w:spacing w:after="0" w:line="14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FCC Inquiry into Company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RHC Program Participation</w:t>
      </w:r>
      <w:r>
        <w:rPr>
          <w:rFonts w:ascii="Times New Roman" w:cs="Times New Roman" w:eastAsia="Times New Roman" w:hAnsi="Times New Roman"/>
          <w:sz w:val="12"/>
          <w:szCs w:val="12"/>
          <w:color w:val="auto"/>
        </w:rPr>
        <w:t>. We also received a Letter of Inquiry in March 2018 from the FCC Enforcement Bureau requesting historical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information regarding our participation in the FCC’s Rural Health Care program. On November 5, 2019 and January 22, 2021 Alaska Communications received additional letters from the FCC Enforcement Bureau requesting additional information, to which it responded. To date, Alaska Communications has been working with the FCC’s Enforcement to provide it the information it is seeking and has engaged in discussions with respect to the investigation. We continue to work constructively with the FCC’s Enforcement Bureau to provide it the information it is seeking. Any adverse outcome with respect to the FCC Enforcement Bureau’s inquiry may have an adverse impact our business, financial condition, results of operations, or liquidity.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FCC Replace and Remove Program</w:t>
      </w:r>
    </w:p>
    <w:p>
      <w:pPr>
        <w:spacing w:after="0" w:line="181" w:lineRule="exact"/>
        <w:rPr>
          <w:sz w:val="20"/>
          <w:szCs w:val="20"/>
          <w:color w:val="auto"/>
        </w:rPr>
      </w:pPr>
    </w:p>
    <w:p>
      <w:pPr>
        <w:jc w:val="both"/>
        <w:ind w:left="20" w:right="79" w:firstLine="432"/>
        <w:spacing w:after="0" w:line="254" w:lineRule="auto"/>
        <w:rPr>
          <w:sz w:val="20"/>
          <w:szCs w:val="20"/>
          <w:color w:val="auto"/>
        </w:rPr>
      </w:pPr>
      <w:r>
        <w:rPr>
          <w:rFonts w:ascii="Times New Roman" w:cs="Times New Roman" w:eastAsia="Times New Roman" w:hAnsi="Times New Roman"/>
          <w:sz w:val="12"/>
          <w:szCs w:val="12"/>
          <w:color w:val="auto"/>
        </w:rPr>
        <w:t>In November 2019, the FCC adopted a rule prohibiting the use of USF support to purchase or obtain any equipment or services produced or provided by certain companies determined to pose an unacceptable risk to US national security. The rule also prohibits the use of USF funds to maintain, improve, modify, or otherwise support any equipment or services produced or provided by these “covered” companies. In subsequent orders and public notices, the FCC adopted further rules that, among other things, (i) created the “Covered List” of companies whose communications equipment and services have been determined to pose an unacceptable risk to the national security of the United States or the security and safety of United States persons; (ii) required eligible telecommunications carriers receiving USF support to replace and remove from their network and operations environments equipment and services included on the Covered List; and (iii) established a Supply Chain Reimbursement Program to allow providers of advanced communications services with 10 million or fewer customers that obtained covered communications equipment and services on or before June 30, 2020, to apply for reimbursement of certain costs reasonably incurred to permanently remove, replace, and dispose of such equipment and services. Separately, the FCC placed Huawei Technologies Company (“Huawei”) and ZTE Corporation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79"/>
        <w:spacing w:after="0" w:line="279" w:lineRule="auto"/>
        <w:rPr>
          <w:sz w:val="20"/>
          <w:szCs w:val="20"/>
          <w:color w:val="auto"/>
        </w:rPr>
      </w:pPr>
      <w:r>
        <w:rPr>
          <w:rFonts w:ascii="Times New Roman" w:cs="Times New Roman" w:eastAsia="Times New Roman" w:hAnsi="Times New Roman"/>
          <w:sz w:val="12"/>
          <w:szCs w:val="12"/>
          <w:color w:val="auto"/>
        </w:rPr>
        <w:t>(“ZTE”), and their subsidiaries, parents, and affiliates, on the Covered List. Meanwhile, Congress appropriated $1.9 billion for the Supply Chain Reimbursement Program and enacted a series of laws setting forth further requirements for the Supply Chain Reimbursement Program.</w:t>
      </w:r>
    </w:p>
    <w:p>
      <w:pPr>
        <w:spacing w:after="0" w:line="138" w:lineRule="exact"/>
        <w:rPr>
          <w:sz w:val="20"/>
          <w:szCs w:val="20"/>
          <w:color w:val="auto"/>
        </w:rPr>
      </w:pPr>
    </w:p>
    <w:p>
      <w:pPr>
        <w:jc w:val="both"/>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Our Commnet and Viya operating subsidiaries have covered equipment or services in their networks and met the initial eligibility requirements for the Supply Chain Reimbursement Program. In January 2022, all our eligible subsidiaries submitted applications for funding allocations under the program. In July 2022, the FCC announced that the total amount of approved costs for which reimbursement was sought by all applicants was nearly three times in excess of the funding amounts appropriated by Congress. Because demand for program support exceeded available funding, the FCC was required by statute to implement a prioritization scheme and allocate funding on an equal but prorated basis. Accordingly, per its rules, the FCC developed a pro-rata allocation factor of approximately 40%, with the remaining 60% of approved costs for the program without a funding mechanism.</w:t>
      </w:r>
    </w:p>
    <w:p>
      <w:pPr>
        <w:spacing w:after="0" w:line="152" w:lineRule="exact"/>
        <w:rPr>
          <w:sz w:val="20"/>
          <w:szCs w:val="20"/>
          <w:color w:val="auto"/>
        </w:rPr>
      </w:pPr>
    </w:p>
    <w:p>
      <w:pPr>
        <w:jc w:val="both"/>
        <w:ind w:left="20" w:right="79" w:firstLine="432"/>
        <w:spacing w:after="0" w:line="253" w:lineRule="auto"/>
        <w:rPr>
          <w:sz w:val="20"/>
          <w:szCs w:val="20"/>
          <w:color w:val="auto"/>
        </w:rPr>
      </w:pPr>
      <w:r>
        <w:rPr>
          <w:rFonts w:ascii="Times New Roman" w:cs="Times New Roman" w:eastAsia="Times New Roman" w:hAnsi="Times New Roman"/>
          <w:sz w:val="12"/>
          <w:szCs w:val="12"/>
          <w:color w:val="auto"/>
        </w:rPr>
        <w:t>Congress is considering appropriating additional funding to meet the total demand for reimbursement, but we cannot predict whether or, if so, when or how much such additional funding will be allocated. Thus, we cannot predict whether there will be sufficient available funding to reimburse our subsidiaries for all of their replacement costs. Any shortfall in available funding could have an adverse impact on our ability to replace covered equipment in satisfaction of our regulatory obligations. In addition, despite the severe funding shortfall, the FCC has not changed the aggressive timeline by which companies that were awarded a funding must complete the removal and replacement of their networks. Once funds are allocated, recipients can then draw down funds upon proof of actual expenses incurred by filing a request for the reimbursement of specific expenses, but must submit a request for reimbursement on each application by July 2023 and then must complete all construction for removal and replacement of the Covered Equipment and provide funding requests within a year of their initial funding request. This timeline applies to all participants, regardless of whether a single site or, in the case of our Commnet subsidiary, substantially all of its network, requires replacement. We cannot predict whether and to what extent the FCC or the administrator on which it relies to administer the reimbursement program will approve our subsidiaries’ requests for the specific reimbursement of costs, or whether we can complete our participation in the program on the aggressive timeline set by the FCC, without the need to seek extensions.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Video Services</w:t>
      </w:r>
    </w:p>
    <w:p>
      <w:pPr>
        <w:spacing w:after="0" w:line="181" w:lineRule="exact"/>
        <w:rPr>
          <w:sz w:val="20"/>
          <w:szCs w:val="20"/>
          <w:color w:val="auto"/>
        </w:rPr>
      </w:pPr>
    </w:p>
    <w:p>
      <w:pPr>
        <w:jc w:val="both"/>
        <w:ind w:left="20" w:right="39" w:firstLine="389"/>
        <w:spacing w:after="0" w:line="255" w:lineRule="auto"/>
        <w:rPr>
          <w:sz w:val="20"/>
          <w:szCs w:val="20"/>
          <w:color w:val="auto"/>
        </w:rPr>
      </w:pPr>
      <w:r>
        <w:rPr>
          <w:rFonts w:ascii="Times New Roman" w:cs="Times New Roman" w:eastAsia="Times New Roman" w:hAnsi="Times New Roman"/>
          <w:sz w:val="12"/>
          <w:szCs w:val="12"/>
          <w:color w:val="auto"/>
        </w:rPr>
        <w:t>Video services systems are regulated by the FCC under the Communications Act. We provide video services in the US Virgin Islands. The FCC regulates our programming selection through local broadcast TV station mandatory carriage obligations, constraints on our retransmission consent negotiations with local broadcast TV stations, and limited regulation of our carriage negotiations with cable programming networks. The FCC and federal laws also impose rules governing, among other things, leased cable set-top boxes, our ability to collect and disclose subscribers’ personally identifiable information, access to inside wiring in multiple dwelling units, cable pole attachments, customer service and technical standards, and disability access requirements. Failure to comply with these regulations could subject us to penalties. The FCC is examining whether it should modernize its video regulations and already has updated or eliminated some requirements, but we cannot predict whether and to what extent the FCC will continue to pursue deregulation in this space. To our knowledge, we comply in all material respects with applicable FCC video services requirements.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State and Territory Regulation</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Wireless Services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Federal law generally preempts state and local regulation of the entry of, or the rates charged by, any CMRS provider. For this reason, as a practical matter, we are generally free to establish wireless rates and offer new wireless products and services, and our wireless businesses are subject to minimal state regulatory requirements. However, the states in which we operate maintain nominal oversight jurisdiction. For example, states may regulate the “terms and conditions” of a CMRS provider’s service other than rates. States and localities also assess taxes and fees on wireless carriers.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location and construction of our wireless transmission towers and antennas are subject to state and local environmental regulation, as well as state or local zoning, land use and other regulation. Before we can put a system into commercial operation or expand a system, we must obtain all necessary zoning and building permit approvals for the cell site and tower locations. The time needed to obtain zoning approvals and requisite permits varies from market to market and state to state. Likewise, variations exist in local zoning processes. If zoning approval or requisite state permits cannot be obtained, or if environmental rules make construction impossible or infeasible on a particular site, our network design might be adversely affected, network design costs could increase, and the service provided to our customers might be limited.</w:t>
      </w:r>
    </w:p>
    <w:p>
      <w:pPr>
        <w:spacing w:after="0" w:line="152"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recent years, the FCC has taken actions to help expedite the deployment of wireless network infrastructure. Those actions include limiting state and local regulations governing the construction or modification of towers and the installation of small cells and other facilities within and outside public rights-of-way when the FCC determines those regulations can be barriers to deployment. Among other things, the FCC established new shorter shot clocks for completion of local reviews of small wireless facility applications and required that fees which states and localities may charge for the location of small cells in rights-of-way must be cost-based. Several of the FCC’s most recent decisions were challenged in court by individual localities and organizations representing local governments. While some of the FCC’s actions have been upheld, others have been vacated or remanded, and others remain subject to petitions for reconsideration or appeal. We cannot predict with certainty the likely timing or outcome of these challenges or their effect on our future wireless deployments.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Alaska Regulation</w:t>
      </w:r>
    </w:p>
    <w:p>
      <w:pPr>
        <w:spacing w:after="0" w:line="172"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Providers of intrastate wireline telecommunication services in Alaska are required to obtain certificates of public convenience and necessity from the Regulatory Commission of Alaska (the “RCA”). In addition, RCA approval is required if an entity acquires a controlling interest in any of our certificated subsidiaries, acquires a controlling interest in another intrastate utility, or discontinues intrastate service. On August 29, 2019, the Governor of Alaska signed into law new legislation that eliminated the requirement for Alaska Communications to maintain RCA-filed tariffs covering rates, terms, and conditions for legacy phone and networking services in Alaska. However, rates, terms, and conditions for basic residential local telephone service must, under the bill, be uniform within each study area. Alaska Communications implemented changes to tariffs, terms and conditions and other service-related policies effective November 27, 2019.</w:t>
      </w:r>
    </w:p>
    <w:p>
      <w:pPr>
        <w:spacing w:after="0" w:line="150" w:lineRule="exact"/>
        <w:rPr>
          <w:sz w:val="20"/>
          <w:szCs w:val="20"/>
          <w:color w:val="auto"/>
        </w:rPr>
      </w:pPr>
    </w:p>
    <w:p>
      <w:pPr>
        <w:ind w:left="20" w:right="39"/>
        <w:spacing w:after="0" w:line="271" w:lineRule="auto"/>
        <w:rPr>
          <w:sz w:val="20"/>
          <w:szCs w:val="20"/>
          <w:color w:val="auto"/>
        </w:rPr>
      </w:pPr>
      <w:r>
        <w:rPr>
          <w:rFonts w:ascii="Times New Roman" w:cs="Times New Roman" w:eastAsia="Times New Roman" w:hAnsi="Times New Roman"/>
          <w:sz w:val="12"/>
          <w:szCs w:val="12"/>
          <w:i w:val="1"/>
          <w:iCs w:val="1"/>
          <w:color w:val="auto"/>
        </w:rPr>
        <w:t xml:space="preserve">Alaska Universal Service Fund. </w:t>
      </w:r>
      <w:r>
        <w:rPr>
          <w:rFonts w:ascii="Times New Roman" w:cs="Times New Roman" w:eastAsia="Times New Roman" w:hAnsi="Times New Roman"/>
          <w:sz w:val="12"/>
          <w:szCs w:val="12"/>
          <w:color w:val="auto"/>
        </w:rPr>
        <w:t>The Alaska Universal Service Fund (“AUSF”) complements the federal Universal Service Fund but is focused on obligations to meet intrastate service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obligations. For the fiscal year ended December 31, 2022, we received approximately $2.7 million in annual AUSF support. In 2021, the RCA opened a new docket to consider reforms to AUSF support mechanisms, including whether and, if so, when to subset AUSF. The RCA has not yet acted in that docket, and we cannot predict how or whether any action taken by RCA in the proceeding will affect us.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Virgin Islands Regulation</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Virgin Islands Public Service Commission</w:t>
      </w:r>
    </w:p>
    <w:p>
      <w:pPr>
        <w:spacing w:after="0" w:line="181"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Our wireline (i.e., voice, broadband internet, and cable video) operations in the US Virgin Islands are subject to the US Virgin Islands Public Utilities Code, pursuant to which the Virgin Islands Public Service Commission (“PSC”) regulates certain telecommunications and cable TV services that Viya provides in the US Virgin Islands. Among other things, the PSC establishes the rates and fees that we may charge local exchange residential and enterprise customers in the US Virgin Islands for certain wireline telecommunications services. The PSC is required by US Virgin Islands law to review local utility rates every five years. The PSC last adopted an order increasing the rates and fees that we may charge in June 2016, subject to certain conditions and future obligations. In addition, certain of our subsidiaries entered into a transfer of control agreement with the PSC on July 1, 2016, which imposes certain operational and reporting obligations on the Viya companies that do not, by their terms, expire. We believe that we continue to satisfy these requirements. Further, as a condition to Viya’s receipt of federal USF funds from the FCC, the PSC is required to certify on an annual basis that Viya complies with certain eligible telecommunication carrier (“ETC”) obligations. We believe that we comply with all such obligations but cannot predict the outcome of future PSC proceedings relating to Viya’s ETC status.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December 2022, we filed a Petition for Forbearance with the PSC requesting the PSC to largely deregulate our US Virgin Islands operations. Although we cannot predict the outcome or timing for this proceeding, if the PSC approves the Petition, we will be subject to substantially less regulation in the US Virgin Islands, which we believe will provide a material benefit to our wireline telecommunications operations and competitiveness there.</w:t>
      </w:r>
    </w:p>
    <w:p>
      <w:pPr>
        <w:spacing w:after="0" w:line="146"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subsidiaries provide cable TV service in the US Virgin Islands pursuant to two franchises granted by the PSC. Each franchise was renewed in July 2015 by an order issued by the PSC, but the PSC has not yet issued new franchise agreements memorializing these renewals. Since then, the FCC has placed some limits on the powers of local cable franchising authorities such as the PSC, including limits on their ability to impose franchise fees and to regulate non-cable services. We cannot predict what requirements will be included by the PSC in any renewal franchise agreements, when such renewal franchise agreements will be executed, or how the FCC’s past or future actions concerning cable franchising will impact the PSC’s preparation of the agreements. We understand that the renewed franchise agreements will likely contain substantially similar terms and conditions as the prior franchise agreements, including a 15-year term, but that the agreements will exclude prior language permitting the PSC to regulate our cable rates.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Virgin Islands Research and Technology Park</w:t>
      </w:r>
    </w:p>
    <w:p>
      <w:pPr>
        <w:spacing w:after="0" w:line="172" w:lineRule="exact"/>
        <w:rPr>
          <w:sz w:val="20"/>
          <w:szCs w:val="20"/>
          <w:color w:val="auto"/>
        </w:rPr>
      </w:pPr>
    </w:p>
    <w:p>
      <w:pPr>
        <w:jc w:val="both"/>
        <w:ind w:left="20" w:right="79" w:firstLine="432"/>
        <w:spacing w:after="0" w:line="254" w:lineRule="auto"/>
        <w:rPr>
          <w:sz w:val="20"/>
          <w:szCs w:val="20"/>
          <w:color w:val="auto"/>
        </w:rPr>
      </w:pPr>
      <w:r>
        <w:rPr>
          <w:rFonts w:ascii="Times New Roman" w:cs="Times New Roman" w:eastAsia="Times New Roman" w:hAnsi="Times New Roman"/>
          <w:sz w:val="12"/>
          <w:szCs w:val="12"/>
          <w:color w:val="auto"/>
        </w:rPr>
        <w:t>Our video, internet, and wireless companies in the US Virgin Islands also receive tax benefits as qualifying participants in the US Virgin Islands’ Research &amp; Technology Park (“RTPark”) program. RTPark was chartered with the goal of promoting technology-based economic development in the territory and offering attractive economic incentives to companies that contribute to the development of the US Virgin Islands through local employment and sourcing, as well as significant contributions to both the economy and the non-profit sectors of the community. As part of the program, our participating entities currently receive a 100% tax exemption applied against gross receipts, property, and excise taxes as well as a 90% exemption against income taxes and a reduction in customs duties from 6% to 1%. These benefits resulted in tax exemptions of approximately $2.7 million during the year ended December 31, 2022. In order to qualify, we are required to maintain certain capital investments over the first five years of the agreement, pay monthly management fees of 0.4% of tenant company revenue, make annual charitable contributions to the University of the Virgin Islands, purchase products and services locally when feasible and provide in-kind services to RTPark.</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Guyana Regulation</w:t>
      </w:r>
    </w:p>
    <w:p>
      <w:pPr>
        <w:spacing w:after="0" w:line="181" w:lineRule="exact"/>
        <w:rPr>
          <w:sz w:val="20"/>
          <w:szCs w:val="20"/>
          <w:color w:val="auto"/>
        </w:rPr>
      </w:pPr>
    </w:p>
    <w:p>
      <w:pPr>
        <w:jc w:val="both"/>
        <w:ind w:left="20" w:right="39" w:firstLine="389"/>
        <w:spacing w:after="0" w:line="286" w:lineRule="auto"/>
        <w:rPr>
          <w:sz w:val="20"/>
          <w:szCs w:val="20"/>
          <w:color w:val="auto"/>
        </w:rPr>
      </w:pPr>
      <w:r>
        <w:rPr>
          <w:rFonts w:ascii="Times New Roman" w:cs="Times New Roman" w:eastAsia="Times New Roman" w:hAnsi="Times New Roman"/>
          <w:sz w:val="11"/>
          <w:szCs w:val="11"/>
          <w:color w:val="auto"/>
        </w:rPr>
        <w:t>Our subsidiary, GTT Inc. (“GTT”), in which we hold an 80% interest, is subject to regulation in Guyana under the provisions of GTT’s License from the Government of Guyana, the Guyana Public Utilities Commission Act of 2016 as amended (or “PUC Law”) and the Guyana Telecommunications Act of 2016 (or “Telecommunications Law”). The Public Utilities Commission of Guyana (or “PUC”) is an independent statutory body with the principal responsibility for regulating telecommunications rates and services in Guyana. The Ministry of Telecommunications, an agency of the Government of Guyana, has formal authority over telecommunications licensing and related issues. The Telecommunications Agency (or “TA”) advises and makes recommendations to the Minister of Telecommunications, implements policy and has principal responsibility for operating licenses and frequency authorizations.</w:t>
      </w:r>
    </w:p>
    <w:p>
      <w:pPr>
        <w:spacing w:after="0" w:line="126" w:lineRule="exact"/>
        <w:rPr>
          <w:sz w:val="20"/>
          <w:szCs w:val="20"/>
          <w:color w:val="auto"/>
        </w:rPr>
      </w:pPr>
    </w:p>
    <w:p>
      <w:pPr>
        <w:jc w:val="both"/>
        <w:ind w:left="20" w:right="39" w:firstLine="38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Licenses. </w:t>
      </w:r>
      <w:r>
        <w:rPr>
          <w:rFonts w:ascii="Times New Roman" w:cs="Times New Roman" w:eastAsia="Times New Roman" w:hAnsi="Times New Roman"/>
          <w:sz w:val="12"/>
          <w:szCs w:val="12"/>
          <w:color w:val="auto"/>
        </w:rPr>
        <w:t>GTT provides domestic fixed (both wireline and wireless) and international voice and data services in Guyana pursuant to licenses from the Government of Guyana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granting GTT the right to provide a variety of domestic fixed services (both wireline and wireless) and international voice and data services. These licenses were issued in October 2020. Pursuant to the licenses, GTT also provides mobile wireless telephone service in Guyana.</w:t>
      </w:r>
    </w:p>
    <w:p>
      <w:pPr>
        <w:spacing w:after="0" w:line="144" w:lineRule="exact"/>
        <w:rPr>
          <w:sz w:val="20"/>
          <w:szCs w:val="20"/>
          <w:color w:val="auto"/>
        </w:rPr>
      </w:pPr>
    </w:p>
    <w:p>
      <w:pPr>
        <w:jc w:val="both"/>
        <w:ind w:left="20" w:right="39" w:firstLine="38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PUC Law and Telecommunications Law. </w:t>
      </w:r>
      <w:r>
        <w:rPr>
          <w:rFonts w:ascii="Times New Roman" w:cs="Times New Roman" w:eastAsia="Times New Roman" w:hAnsi="Times New Roman"/>
          <w:sz w:val="12"/>
          <w:szCs w:val="12"/>
          <w:color w:val="auto"/>
        </w:rPr>
        <w:t>The PUC Law and the Telecommunications Law, and related regulations adopted in October 2020, provide the general framework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regulation of telecommunications services in Guyana. As a general matter, the PUC has authority to regulate GTT’s domestic and international telecommunications services and rates and to require GTT to supply certain technical, administrative and financial information as it may request and as stipulated by the regulations. The Telecommunications Agency has broad authority to review GTT’s programs for development and expansion of facilities or services. For a description of recent actions of the PUC, see Note 13 to the Consolidated Financial Statements included in this Report.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9" w:firstLine="38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Regulatory Developments. </w:t>
      </w:r>
      <w:r>
        <w:rPr>
          <w:rFonts w:ascii="Times New Roman" w:cs="Times New Roman" w:eastAsia="Times New Roman" w:hAnsi="Times New Roman"/>
          <w:sz w:val="12"/>
          <w:szCs w:val="12"/>
          <w:color w:val="auto"/>
        </w:rPr>
        <w:t>On October 5, 2020, the Prime Minister of Guyana formally implemented telecommunications legislation previously passed by the Guyana Parliament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2016 that introduces material changes to many features of Guyana’s existing telecommunications regulatory regime with the intention of creating a more competitive market. At that time, we were issued a new license to provide domestic and international voice as well as data services and mobile services in Guyana. Two of our competitors were issued service licenses as well. While we have requested details of our competitors’ licenses, such information has not been made public by the Guyana Telecommunications Agency, and we are not yet able to ascertain whether the licenses issued to our competitors permit competitors to provide services that have been subject to GTT’s exclusive rights contained in its 1990 license.</w:t>
      </w:r>
    </w:p>
    <w:p>
      <w:pPr>
        <w:spacing w:after="0" w:line="15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October 23, 2020, the Government of Guyana also brought into effect new telecommunications regulations called for by the telecommunications legislation. The regulations include new requirements for the market as a whole, which impact our operations, administrative reporting and services. There can be no assurance that these regulations will be effectively implemented, or that they will be administered in a fair and transparent manner.</w:t>
      </w:r>
    </w:p>
    <w:p>
      <w:pPr>
        <w:spacing w:after="0" w:line="14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PUC has currently implemented fixed and mobile termination rates that came into effect on February 1, 2023. GTT has also advocated for changes to the Quality-of-Service standards noted in the regulations. GTT has put forward recommendations in keeping with regional best practices and benchmarks and is awaiting the final determination on that submission from the PUC.</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Bermuda Regulation</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Regulatory Authority of Bermuda (the “RA”) is the primary regulator of our operations in Bermuda. The relevant legislation is the Regulatory Authority Act 2011 and the Electronic Communications Act 2011. Pursuant to these statutes, the RA is responsible for regulating all electronic communications services in Bermuda, including the broadband, mobile and video services we offer. The statutory framework provides the RA powers in respect of licensing, consumer protections, ex post competition issues, and the identification and remedying of significant market power concerns.</w:t>
      </w:r>
    </w:p>
    <w:p>
      <w:pPr>
        <w:spacing w:after="0" w:line="14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September 1, 2020, the RA completed its second market review and continued its determination we have significant market power in certain broadband and mobile services. As a consequence, we are subject to a series of ex-ante remedies that include wholesale obligations, price caps, accounting separation and reporting obligations in addition to the ex-post competition rules that generally apply. The ex-ante remedies are burdensome and require financial, operational, legal and regulatory resources be allocated to ensure compliance. The next market review for the electronic communications section by the RA is required to commence and conclude during 2023-2024.</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Cayman Regulation</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Utility Regulation and Competition Office of the Cayman Islands (“OfReg”) is the primary regulator of our operations in the Cayman Islands. The relevant legislation is the Information &amp; Communications Technology Act (2019 Revision). Pursuant to this statute, OfReg is responsible for the regulation and licensing of telecommunications, broadcasting and all forms of radio in the Cayman Islands, including the broadband and television services we offer. The statutory framework provides OfReg powers in respect of licensing, infrastructure sharing, advertising guidelines, competition issues, and the identification and remedying of significant market power concerns.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81" w:lineRule="exact"/>
        <w:rPr>
          <w:sz w:val="20"/>
          <w:szCs w:val="20"/>
          <w:color w:val="auto"/>
        </w:rPr>
      </w:pPr>
    </w:p>
    <w:p>
      <w:pPr>
        <w:jc w:val="both"/>
        <w:ind w:left="40" w:right="159" w:firstLine="353"/>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contained in, or incorporated by reference into, this Report, you should carefully consider the risks described below that could materially affect our business, financial condition, or future results. These risks are not the only risks facing us. Additional risks and uncertainties not presently known to us or that we currently believe are immaterial also may materially adversely affect our business, financial condition and/or results of operations.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Operational Risks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are reliant on government funding to comply with the FCC’s “Replace and Remove” program.</w:t>
      </w:r>
    </w:p>
    <w:p>
      <w:pPr>
        <w:spacing w:after="0" w:line="181" w:lineRule="exact"/>
        <w:rPr>
          <w:sz w:val="20"/>
          <w:szCs w:val="20"/>
          <w:color w:val="auto"/>
        </w:rPr>
      </w:pPr>
    </w:p>
    <w:p>
      <w:pPr>
        <w:jc w:val="both"/>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The FCC’s governmental restrictions on the procurement of equipment from certain Chinese vendors will result in a costly network replacement build in our western United States operations that, if not offset by government support, could adversely affect our results of operations. The FCC has established a Supply Chain Reimbursement Program to provide such support, for which several of our operating subsidiaries submitted applications for funding allocations. On July 18, 2022, the FCC announced that the total amount of approved costs for which reimbursement was sought by all applicants was approximately $5.6 billion, far in excess of the $1.9 billion appropriated by Congress. Because demand for program support exceeded available funding, the FCC was required by statute to implement a prioritization scheme and allocate funding on an equal but prorated basis. Accordingly, per its rules, the FCC developed a pro-rata allocation factor of approximately 40% of the funds requested for reimbursement, including with respect to our subsidiaries.</w:t>
      </w:r>
    </w:p>
    <w:p>
      <w:pPr>
        <w:spacing w:after="0" w:line="143"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Congress is considering appropriating additional funding to meet the total demand for reimbursement, but we cannot predict whether or when such additional funding will be allocated, or how much. Thus, we cannot predict whether there will be sufficient available funding to reimburse our subsidiaries for all of their costs in this context. Any shortfall in available funding could have an adverse impact on our ability to replace covered equipment in satisfaction of our regulatory obligations. In addition, companies that were awarded a funding allocation are not guaranteed to receive that funding. Once funds are allocated, recipients can then draw down funds upon proof of actual expenses incurred by filing a request for the reimbursement of specific expenses. We cannot predict whether and to what extent the FCC or the administrator on which it relies to administer the reimbursement program will approve our subsidiaries’ requests for the specific reimbursement of costs. If we are not successful in receiving the amount of funds that is necessary to remove equipment from restricted vendors or are unable to complete the removal and replacement in the time frame specified in any final rules, or have underestimated the cost of replacement, it could adversely impact our ability to operate, maintain or expand our domestic network infrastructure.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rely on a limited number of key suppliers and vendors for the timely supply of handsets, accessories, equipment and services relating to our network or facility infrastructure.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import tax policy or trade relations, interruptions in our supply chain or increased commodity or supply chain costs could adversely affect our results of operations.</w:t>
      </w:r>
    </w:p>
    <w:p>
      <w:pPr>
        <w:spacing w:after="0" w:line="166"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Like other companies globally, we continued to face major supply chain disruptions across our business in 2022, which led to increased costs and delays. We depend on a limited number of suppliers for equipment and services relating to our network infrastructure, mobile handset lineup, and our back-office IT systems infrastructure. If these suppliers experience interruptions or other problems delivering equipment to us on a timely basis, our subscriber or revenue growth and operating results could suffer significantly. In addition, our retail wireless businesses depend on access to compelling handset devices at reasonable prices on the primary and secondary markets. The size of our business relative to many of our competitors puts us at a disadvantage in terms of whether we will get access to the newest technologies at the same time as our competitors, as well as a financial disadvantage in terms of the ability to achieve economies of scale and receive commensurate discounts that may be available to our competitors. Our inability to provide a competitive retail device lineup or to acquire network technology on a cost effective basis could materially impact our ability to attract new customers and retain existing customers.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 large portion of our equipment is sourced, directly or indirectly, from outside the United States, and major changes in tax policy or trade relations, such as the disallowance of tax deductions for imported products or the imposition of additional tariffs or duties on imported products, could also adversely affect our business, results of operations, effective income tax rate, liquidity and net income. The increase in geopolitical tensions, such as the war in Ukraine, only heightens the risk of supply chain shortages and delays, especially with respect to sourcing equipment from Europe.</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Cyber security breaches, other outages due to failures of network or information technology systems, and outages due to human error, could have an adverse effect on our business.</w:t>
      </w:r>
    </w:p>
    <w:p>
      <w:pPr>
        <w:spacing w:after="0" w:line="181"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We are highly dependent on our information technology (“IT”) systems for the operation of our network, our facilities, delivery of services to our customers and the compilation of our financial results. Failure of these IT systems, through cyberattacks, breaches of security, equipment failures, human error or otherwise, may cause disruptions to our operations. There can be no assurance that we will be able to successfully prevent a material security breach stemming from future cyberattacks or avoid major outages caused by other factors. Our inability to operate our network, facilities and back-office systems as a result of such events, even for a limited period of time, may result in significant expenses and impact the timely and accurate delivery of our services or other information. Among the other factors that may also cause interruptions in service or reduced capacity for our customers include power loss, increasing reliance on cloud-storage providers (which may themselves be subject to cyberattack or breach), capacity limitations, software defects and breaches of security by computer viruses, break-ins or otherwise. With respect to cyber security there has been an increase in ransomware attacks in recent years. Telecommunications providers, including vendors to providers, are increasingly being targeted by cyber criminals. These attacks are not always seeking data about their own business, but access to the data of market participants in potentially more lucrative industries. Disruptions in our networks and the unavailability of our services or our inability to efficiently and effectively complete necessary technology or systems upgrades, or conversions could lead to a loss of customers, damage to our reputation and violation of the terms of our licenses and contracts with customers. Additionally, breaches of security may lead to unauthorized access to our customer or employee information processed and stored in, and transmitted through, our IT systems. We may be required to expend significant additional resources to modify our protective measures or to investigate and remediate vulnerabilities or other exposures arising from operational and security risks, including notification under data privacy laws and regulations, and we may be subject to litigation, regulatory penalties and financial losses. These failures could also lead to significant negative publicity.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Inclement weather, changes in meteorological conditions and other natural disasters may materially disrupt our operations.</w:t>
      </w:r>
    </w:p>
    <w:p>
      <w:pPr>
        <w:spacing w:after="0" w:line="181"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Many of the areas in which we operate have experienced severe weather conditions including hurricanes, tornadoes, blizzards, fires, damaging storms, floods and earthquakes. Such events may materially disrupt and adversely affect our business operations, such as the impacts of the hurricanes in the US Virgin Islands in 2017, which we assessed caused damage and losses to our fixed and mobile networks of approximately $100 million in operating losses and network rebuilding costs prior to insurance and any other recovery assistance. Major hurricanes have also passed directly over Bermuda and Cayman several times in the past decade, causing damage to our network and to the island’s infrastructure. Guyana and Cayman have each suffered from severe rains and flooding in the past as well. With the addition of business operations in Alaska, our company operations now face increased earthquake, volcanic, fire and winter storm risk. These types of events can also cause major disruption and harm to the communities and markets we serve, compounded by the fact that many of our service areas have limited emergency responses assets and may be difficult to reach in an emergency situation, which can have a material adverse effect on our business. In addition, the impacts of climate change may exacerbate the risk of significant damage in the areas in which we operate. if the frequency or duration of more intense weather events increase. We cannot be sure that these types of events will not have an impact in the future or that we can procure insurance coverage against these types of severe weather and geological events under reasonable business terms and conditions, or that any insurance coverage we are able to maintain will adequately compensate us for all damage and economic losses resulting from natural catastrophes. In addition, it may take significant time to return to pre-disaster levels following any such meteorological or geological event. If we are unable to restore service on a timely and cost-effective basis, it could harm our reputation and have a material adverse effect on our business, financial condition or results of operations through continued loss of revenue and customer attrition to our competitors.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inability to recruit and retain experienced management and technical personnel could adversely affect our results of operations and our ability to maintain effective internal controls.</w:t>
      </w:r>
    </w:p>
    <w:p>
      <w:pPr>
        <w:spacing w:after="0" w:line="13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The success of our business depends on the ability of our executive officers and the officers of our operating units to develop and execute on our business plan, and to identify and pursue new opportunities and product innovations, as well as on our ability to attract and retain these officers and other highly qualified technical and management personnel. If our executive officers and the officers of our operating units are not able to execute on our business plan, this could adversely affect our business, financial condition and results of operations. Furthermore, we believe that there is, and will continue to be, strong competition for qualified personnel in the communications industry and in our markets, and we cannot be certain that we will be able to attract and retain the personnel necessary for the development of our business. The shift to remote work, precipitated by the COVID-19 pandemic, seems to have exacerbated that competition and may continue to impact the labor pool and labor costs in many of our markets. While our shift to remote work was successful, we have found that it creates added challenges and costs with respect to employee engagement and productivity. As labor demands in certain key markets exceed the supply of eligible workers, however, we may increasingly need to rely on remote workers to fill open positions.</w:t>
      </w:r>
    </w:p>
    <w:p>
      <w:pPr>
        <w:spacing w:after="0" w:line="155"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rely heavily on local management to run our operating units. Many of the markets in which we operate are small and remote, and in some cases are subject to government restrictions on granting work visas, which could make it difficult for us to attract and retain talented and qualified managers and staff in those markets. The loss of key personnel or the failure to attract or retain personnel with the sophistication to run complicated communications equipment, networks and systems could have a material adverse effect on our ability to maintain effective internal controls, and on our business, financial condition and results of operations. Given the current labor economy, it may become increasingly difficult to find the right people to fill management roles. We do not currently maintain “key person” life insurance on any of our key employees and none of the executives at our parent company have executed employment agreements requiring a specified time period of service.</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timely and effectively meet our obligations to AT&amp;T related to its partnership with the First Responder Network Authority.</w:t>
      </w:r>
    </w:p>
    <w:p>
      <w:pPr>
        <w:spacing w:after="0" w:line="181"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On July 31, 2019, we, through our wholly owned subsidiary, Commnet Wireless, entered into a Network Build and Maintenance Agreement with AT&amp;T Mobility LLC (“AT&amp;T”), pursuant to which Commnet will engineer, construct, commission, and maintain a radio access network (“RAN”) for AT&amp;T for its commercial use and also in support of AT&amp;T’s public/private partnership with the First Responder Network Authority (“FirstNet Authority”). In connection with the Network Build &amp; Maintenance Agreement, we are required to build a network in portions of several states in accordance with AT&amp;T’s detailed specifications by specified milestone dates and thereafter, to maintain the network in accordance with certain quality metrics. Such services are structured as a set cost agreed upon with AT&amp;T, to be paid over the initial eight-year term of the Network Build and Maintenance Agreement. AT&amp;T has the right to terminate this agreement, including its obligation to pay for ongoing maintenance of the sites, in the event that Commnet fails to meet certain milestones or completion dates with respect to the construction of the sites, or fails to meet certain quality metrics and service level agreements (“SLAs”) with respect to maintenance services for the built sites.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ability to meet required milestones and completion dates and perform the SLAs is dependent on a variety of factors, including:</w:t>
      </w:r>
    </w:p>
    <w:p>
      <w:pPr>
        <w:spacing w:after="0" w:line="168" w:lineRule="exact"/>
        <w:rPr>
          <w:sz w:val="20"/>
          <w:szCs w:val="20"/>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procure equipment and negotiate favorable payment and other terms with suppliers;</w:t>
      </w:r>
    </w:p>
    <w:p>
      <w:pPr>
        <w:spacing w:after="0" w:line="16"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manage the construction of each of the cell sites, including securing reliable and efficient field construction resources; and</w:t>
      </w:r>
    </w:p>
    <w:p>
      <w:pPr>
        <w:spacing w:after="0" w:line="6"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cost effectively and reliably deliver and manage the network in accordance with SLAs for both the AT&amp;T commercial and FirstNet Authority networks.</w:t>
      </w:r>
    </w:p>
    <w:p>
      <w:pPr>
        <w:spacing w:after="0" w:line="166"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addition, construction of the cell sites may be also adversely affected by circumstances outside of our control, including inclement weather, adverse geological and environmental conditions, a failure to receive regulatory approvals or necessary permits on schedule or third-party delays in providing supplies and other materials. The processing of</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necessary regulatory approvals and permits has been particularly disrupted by delays in government offices, attributable to COVID-19 shutdowns which created a backlog of applications. While government employees are returning to work in government offices, they are still working to catch up on the backlog of applications that have been submitted for approval since 2020. Any construction setbacks or delays could be costly and have a material adverse effect on our ability to perform under the time conditions and strict budget required under the Network Build and Maintenance Agreement. To date, while we’ve worked collaboratively with AT&amp;T to extend our obligations due to these and other circumstances outside our control, we may not be able to negotiate further extensions, and even if we do, we may continue to face the problems above (or others) that could delay or performance.</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If AT&amp;T were to terminate the Network Build &amp; Maintenance Agreement, this could have a material adverse impact on our prospects and results of operations in our US Telecom segment as we would have incurred costs to construct the sites, but might not be fully compensated for the construction of the sites through the initial term of the Agreement. As we successfully complete construction of individual sites in addition to the 265 sites built as of December 31, 2022, the likelihood and impact of this risk decreases.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Outages due to aging or faulty equipment could have an adverse effect on our business.</w:t>
      </w:r>
    </w:p>
    <w:p>
      <w:pPr>
        <w:spacing w:after="0" w:line="17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Much of our underlying physical infrastructure (particularly in Guyana and Alaska), including buildings, fleet vehicles and related systems and equipment, has been in service for an extended period of time. We may not be able to adequately fund the maintenance and replacement of this infrastructure on a basis timely enough to avoid material outages, or be able to locate replacement parts or spares to repair existing equipment due to its age. Any outage caused by faults in our aging equipment or unaddressed maintenance costs could negatively impact our operations, including the provision of service to its customers and could result in adverse effects to our financial condition.</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have difficulty securing video services content from third parties desirable to our customers on terms and conditions favorable to us.</w:t>
      </w:r>
    </w:p>
    <w:p>
      <w:pPr>
        <w:spacing w:after="0" w:line="18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have secured licensing agreements with numerous content providers, but the success of our video services operations depends on our ability to access an attractive selection of video programming from content providers on terms and pricing favorable to us. Our inability to provide the content desired by our subscribers on satisfactory terms or at all could result in reduced demand for, and lower revenue from, our cable operations that may not offset the typically large subscription fees that we pay for these services. In certain cases, we may not have satisfactory contracts in place with the owners of our distributed content, leading to such parties’ desire for increased renewed contractual pricing or leading to disputes with such parties including claims for copyright or other intellectual property infringement.</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ongoing COVID-19 pandemic has had, and may in the future have, an adverse effect on our business and results of operations.</w:t>
      </w:r>
    </w:p>
    <w:p>
      <w:pPr>
        <w:spacing w:after="0" w:line="181" w:lineRule="exact"/>
        <w:rPr>
          <w:sz w:val="20"/>
          <w:szCs w:val="20"/>
          <w:color w:val="auto"/>
        </w:rPr>
      </w:pPr>
    </w:p>
    <w:p>
      <w:pPr>
        <w:ind w:left="40" w:right="119" w:firstLine="354"/>
        <w:spacing w:after="0" w:line="279" w:lineRule="auto"/>
        <w:rPr>
          <w:sz w:val="20"/>
          <w:szCs w:val="20"/>
          <w:color w:val="auto"/>
        </w:rPr>
      </w:pPr>
      <w:r>
        <w:rPr>
          <w:rFonts w:ascii="Times New Roman" w:cs="Times New Roman" w:eastAsia="Times New Roman" w:hAnsi="Times New Roman"/>
          <w:sz w:val="12"/>
          <w:szCs w:val="12"/>
          <w:color w:val="auto"/>
        </w:rPr>
        <w:t>The COVID-19 pandemic has resulted in and will likely continue to result to varying degrees in disruptions to the global economy, as well as businesses, supply chains and capital markets around the world. We are continuing to monitor and assess the ongoing effects of the COVID-19 pandemic on our operations in 2023.</w:t>
      </w:r>
    </w:p>
    <w:p>
      <w:pPr>
        <w:spacing w:after="0" w:line="138" w:lineRule="exact"/>
        <w:rPr>
          <w:sz w:val="20"/>
          <w:szCs w:val="20"/>
          <w:color w:val="auto"/>
        </w:rPr>
      </w:pPr>
    </w:p>
    <w:p>
      <w:pPr>
        <w:jc w:val="both"/>
        <w:ind w:left="40" w:right="59" w:firstLine="354"/>
        <w:spacing w:after="0" w:line="286" w:lineRule="auto"/>
        <w:rPr>
          <w:sz w:val="20"/>
          <w:szCs w:val="20"/>
          <w:color w:val="auto"/>
        </w:rPr>
      </w:pPr>
      <w:r>
        <w:rPr>
          <w:rFonts w:ascii="Times New Roman" w:cs="Times New Roman" w:eastAsia="Times New Roman" w:hAnsi="Times New Roman"/>
          <w:sz w:val="11"/>
          <w:szCs w:val="11"/>
          <w:color w:val="auto"/>
        </w:rPr>
        <w:t xml:space="preserve">Impacts to our business have included restrictions placed on travel and movement which have resulted in business interruptions to our business, delays in receipt of governmental approvals and permits, and supply chain delays in the procurement process causing delays in our scheduled build plans, including with respect to planned fiber optic installations and maintenance in our Caribbean markets and our ongoing construction pursuant to the FirstNet Transaction. Any prolonged interruption in the future could negatively impact our ability to complete planned construction projects on our telecommunications network. For more information about the risks to our business with respect to failure to perform under the FirstNet Transaction, see </w:t>
      </w:r>
      <w:r>
        <w:rPr>
          <w:rFonts w:ascii="Times New Roman" w:cs="Times New Roman" w:eastAsia="Times New Roman" w:hAnsi="Times New Roman"/>
          <w:sz w:val="11"/>
          <w:szCs w:val="11"/>
          <w:i w:val="1"/>
          <w:iCs w:val="1"/>
          <w:color w:val="auto"/>
        </w:rPr>
        <w:t>“Operational Risks -- We may not be able to timely and effectively meet our obligations to AT&amp;T related to its partnership with the First Responder Network Authority.</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Strategic Risks</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effectively transform the business model of our legacy US Telecom business.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Historically, a large portion of our revenue has been derived from carrier services in our US Telecom segment. A substantial portion of this revenue was generated from three national wireless service providers in 2022, however, during this time period, revenues from carrier services have declined due to our mutual agreement with our carrier customers to lower rates in exchange for pricing certainty in longer term contracts, our customers’ decisions to overbuild our network, and the consolidation of national wireless service providers (thereby eliminating one or more former carrier customers).</w:t>
      </w:r>
    </w:p>
    <w:p>
      <w:pPr>
        <w:spacing w:after="0" w:line="14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As wholesale roaming on the majority of our US network continues to decline, we will offset that revenue by providing maintenance and expanded carrier services (including more leasing and transport services) to other carriers to offset lost revenue, albeit at lower operating income margins due to the increased operating expenses associated with leasing and transport services, as compared to our wholesale mobile roaming services. In addition, we are increasingly focused on winning or obtaining government awards and funding (including the Remove and Replace program) to both enable our expanded carrier service initiative and grow the footprint of our network.</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There can be no assurance, however, that we will be able to successfully transform our legacy US Telecom business to support additional carrier services product offerings or expand our retail and commercial subscriber base in our US Telecom segment. If we are unable to offset the continued decline in our carrier services revenue by expanding and diversifying our sources of revenue it may have a material adverse effect on our results of operations and financial condition.</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Increased competition may adversely affect growth, require increased capital expenditures, result in the loss of existing customers and decrease our revenues.</w:t>
      </w:r>
    </w:p>
    <w:p>
      <w:pPr>
        <w:spacing w:after="0" w:line="172"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Over the last decade, an increase in competition in many areas of the telecommunications industry has contributed to a decline in prices for communication services, including mobile wireless services, local and long-distance telephone service and data services.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Competition in the markets in which we operate has increased in recent years due to a number of governmental and economic factors. For example:</w:t>
      </w:r>
    </w:p>
    <w:p>
      <w:pPr>
        <w:spacing w:after="0" w:line="177" w:lineRule="exact"/>
        <w:rPr>
          <w:sz w:val="20"/>
          <w:szCs w:val="20"/>
          <w:color w:val="auto"/>
        </w:rPr>
      </w:pPr>
    </w:p>
    <w:p>
      <w:pPr>
        <w:ind w:left="480" w:right="79" w:hanging="224"/>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Guyana, the government’s issuance of licenses for national and international voice and data traffic has allowed for legal competition in the market. In addition, there are signs that Guyana’s rapidly growing economy may lead to more investment and, potentially new entrants, into the country’s telecommunications market.</w:t>
      </w:r>
    </w:p>
    <w:p>
      <w:pPr>
        <w:spacing w:after="0" w:line="111" w:lineRule="exact"/>
        <w:rPr>
          <w:rFonts w:ascii="Times New Roman" w:cs="Times New Roman" w:eastAsia="Times New Roman" w:hAnsi="Times New Roman"/>
          <w:sz w:val="12"/>
          <w:szCs w:val="12"/>
          <w:color w:val="auto"/>
        </w:rPr>
      </w:pPr>
    </w:p>
    <w:p>
      <w:pPr>
        <w:ind w:left="480" w:right="159" w:hanging="224"/>
        <w:spacing w:after="0" w:line="260"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Across the United States, increased government spending, particularly in broadband infrastructure, for example as a result of the current administration’s "Internet For All” campaign and the Replace and Remove program has the potential to alter the competitive landscape, as new market entrants seek to capture government funds. In addition, we will face increased competition securing construction crews and equipment with the increased number of construction projects across the United States spurred on by these government awards.</w:t>
      </w:r>
    </w:p>
    <w:p>
      <w:pPr>
        <w:spacing w:after="0" w:line="122" w:lineRule="exact"/>
        <w:rPr>
          <w:rFonts w:ascii="Times New Roman" w:cs="Times New Roman" w:eastAsia="Times New Roman" w:hAnsi="Times New Roman"/>
          <w:sz w:val="12"/>
          <w:szCs w:val="12"/>
          <w:color w:val="auto"/>
        </w:rPr>
      </w:pPr>
    </w:p>
    <w:p>
      <w:pPr>
        <w:ind w:left="480" w:right="339" w:hanging="224"/>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Bermuda, the regulator has declared our telecommunications company “dominant” in certain sectors, which may negatively impact our ability to compete in the market, though we are disputing the process and authority.</w:t>
      </w:r>
    </w:p>
    <w:p>
      <w:pPr>
        <w:spacing w:after="0" w:line="111" w:lineRule="exact"/>
        <w:rPr>
          <w:rFonts w:ascii="Times New Roman" w:cs="Times New Roman" w:eastAsia="Times New Roman" w:hAnsi="Times New Roman"/>
          <w:sz w:val="12"/>
          <w:szCs w:val="12"/>
          <w:color w:val="auto"/>
        </w:rPr>
      </w:pPr>
    </w:p>
    <w:p>
      <w:pPr>
        <w:ind w:left="480" w:right="139" w:hanging="224"/>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whether from new entrants or increased capital investment by our competitors in their existing networks, will make it more difficult for us to attract and retain customers in our small markets, which could result in lower revenue and cash flow from operating activities.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have difficulty funding multiple opportunities across our businesses.</w:t>
      </w:r>
    </w:p>
    <w:p>
      <w:pPr>
        <w:spacing w:after="0" w:line="181"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Historically, we have funded our capital expenditures and transactional matters from a combination of cash on hand, cash from operations, and limited incurrence of debt. As discussed above, our US Telecom segment is in the midst of a business transformation and may need significant funding as we seek to grow our fiber network and capacity. With acquisitions made in the last two years, we have substantially decreased our cash reserves and increased our leverage on a consolidated basis. We may have other opportunities to inorganically grow our businesses and our team actively evaluates potential acquisitions, investment opportunities and other strategic transactions, both domestic and international, that have the potential for generating steady excess cash flows over extended periods of time. Any such transactions may be accomplished through the payment of cash, issuance of shares of our capital stock or incurrence of additional debt, or a combination thereof. How and when we deploy our balance sheet capacity will figure prominently in our longer-term growth prospects and stockholder returns. To support multiple simultaneous growth opportunities, we may need to raise additional capital or incur additional debt to fund our future operations or investment opportunities. We cannot provide any assurances that we will be able to secure additional funding from public or private offerings on terms acceptable to us, if at all. If we are unable to obtain the requisite amount of financing, we may have to forgo opportunities to strategically grow our business.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Rapid and significant technological changes in the telecommunications industry may adversely affect 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industry faces rapid and significant changes in technology that directly impact our business, including the following:</w:t>
      </w:r>
    </w:p>
    <w:p>
      <w:pPr>
        <w:spacing w:after="0" w:line="177" w:lineRule="exact"/>
        <w:rPr>
          <w:sz w:val="20"/>
          <w:szCs w:val="20"/>
          <w:color w:val="auto"/>
        </w:rPr>
      </w:pPr>
    </w:p>
    <w:p>
      <w:pPr>
        <w:ind w:left="480" w:hanging="224"/>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migration to new-generation services such as “5G” network technology;</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introduction of new telecom delivery platforms such as next generation satellite services;</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 of data and broadband capabilities and rapidly expanding demand for those capabilities;</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reliance on third-party cloud storage providers for data storage; and</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among service providers within the industry</w:t>
      </w:r>
    </w:p>
    <w:p>
      <w:pPr>
        <w:spacing w:after="0" w:line="17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For us to keep pace with these technological changes and remain competitive, at a minimum we must continue to make significant capital expenditures to add to our networks’ capacity, coverage and technical capability. We cannot predict the effect of technological changes on our business. Alternative or new technologies may be developed that provide communications services superior to those available from us, which may adversely affect our business. Failure to provide these services or to upgrade to new technologies on a timely basis and at an acceptable cost, or to secure any necessary regulatory approvals to roll out such new technologies on a timely basis all could have a material adverse effect on our ability to compete with carriers in our markets.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timely and effectively execute on several key initiatives across multiple jurisdictions.</w:t>
      </w:r>
    </w:p>
    <w:p>
      <w:pPr>
        <w:spacing w:after="0" w:line="181"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Major business initiatives are underway with respect to improvement in mobile and other retail sales in all markets, digitization of internal processes to allow for quicker response time to customer requirements, modernization of existing internal processes in select markets and revising the strategy of some of our US Telecom businesses to develop additional revenue streams, including the substantial construction and support undertakings of the FirstNet project and Replace and Remove program. Each of these requires significant oversight from senior management to aid in-market teams, and many of these projects are underway simultaneously in different locations. Execution on multiple simultaneous and transformational initiatives will require in depth management attention in multiple jurisdictions to capitalize on growth in the US Virgin Islands, economic growth in Guyana, the ongoing shift in business focus in US Telecom and the integration of both Alaska Communications and our newly acquired New Mexico-based subsidiary, Sacred Wind.</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Regulatory Risks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Rural Health Care program in Alaska is being audited by USAC, and we may be subject to forfeiture or fine.</w:t>
      </w:r>
    </w:p>
    <w:p>
      <w:pPr>
        <w:spacing w:after="0" w:line="172"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Alaska Communications participates in the Universal Service Administration Company’s (“USAC”) Rural Health Care universal service fund (“USF”) program and received inquiries and requests for information from USAC, which administers the program, in connection with both current funding requests and, beginning with a letter dated June 2, 2017 from USAC’s auditors, prior period support payments. After Alaska Communications responded to the initial request for information about support payments prior to 2017, USAC’s auditors asked Alaska Communications to comment on some preliminary audit findings, and it responded with a letter dated December 21, 2018. On February 24, 2020, Alaska Communications received a draft audit report from USAC that alleges violations of the FCC’s rules for establishing rural rates and urban rates, the provisioning and billing of ineligible services and products, and violations of the FCC’s competitive bidding rules.</w:t>
      </w:r>
    </w:p>
    <w:p>
      <w:pPr>
        <w:spacing w:after="0" w:line="15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from the FCC Enforcement Bureau requesting historical information regarding its participation in the FCC’s Rural Health Care program. In response, Alaska Communications produced voluminous records throughout 2018 and into the first quarter of 2019. On November 5, 2019 and January 22, 2021 Alaska Communications received additional letters from the FCC Enforcement Bureau requesting additional information, to which it responded. To date, Alaska Communications has been working with the FCC’s Enforcement to provide it the information it is seeking and has engaged in discussions with respect to the investigation.</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Similar audits and investigations of other companies have resulted in the FCC recouping certain previously awarded support funds, which could have a material adverse effect on our business, financial position, results of operations, and liquidity. Any adverse outcome with respect to the FCC Enforcement Bureau’s inquiry may have an adverse impact our business, financial condition, results of operations, or liquidity.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Any change in federal or state funding could materially and adversely impact Alaska Communications’ financial position and results of operations.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historically received federal high-cost universal service payment revenues to support its wireline operations in high-cost areas. In 2011, the FCC released a Transformation Order that established a new framework for high-cost universal service support for price capped carriers. The new framework replaced existing support mechanisms that provide support to carriers that serve high-cost areas. The new support mechanism, the Connect America Fund (“CAF”), imposes service obligations that are focused on broadband Internet access services.</w:t>
      </w:r>
    </w:p>
    <w:p>
      <w:pPr>
        <w:spacing w:after="0" w:line="149"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In October 2016, the FCC released its order establishing the requirements of CAF II (“CAF II”) for price cap carriers in Alaska — specifically Alaska Communications, the only price cap carrier in Alaska. Under the CAF II order, we receive approximately $19.7 million annually in Alaska through December 31, 2025, subject to explicit broadband deployment conditions. Funding under the new program generally requires Alaska Communications to provide broadband service to unserved locations throughout the designated coverage area by the end of a specified build-out period and meet interim milestone build-out obligations. As a result, while Alaska Communications currently expects its high-cost USF support revenue to be relatively unchanged for the next three years, it also expects the FCC to enact substantial changes regarding our high-cost support after 2025.</w:t>
      </w:r>
    </w:p>
    <w:p>
      <w:pPr>
        <w:spacing w:after="0" w:line="143"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There can be no assurance that Alaska Communications will meet its CAF II obligations utilizing the delivery of broadband Internet access using a fixed wireless platform in a capital-efficient manner, and there is uncertainty regarding the future level of revenue as well as the future obligations tied to this funding. If Alaska Communications fails to meet its obligations under the CAF II order, or requires substantial additional capital expenditures in order to meet the obligations under the timeline required, its revenue, results of operations and liquidity may be materially adversely impacted.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USF funding could have an adverse impact on our financial condition or results of operations in the US Virgin Islands.</w:t>
      </w:r>
    </w:p>
    <w:p>
      <w:pPr>
        <w:spacing w:after="0" w:line="181"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Viya, our subsidiary operating video, internet, wireless and landline services in the US Virgin Islands, has historically received, through December 31, 2020, high-cost USF support in the US Virgin Islands of approximately $16.4 million per year. In addition, after the devastation caused by the Hurricanes Irma and Maria in September 2017, the FCC provided approximately $15.4 million in accelerated USF support and in fixed and mobile recovery support through August 2018. The FCC, in response to the damage caused by the hurricanes and as part of its general USF reform, established a Connect USVI Fund that replaced the legacy high-cost USF support for the US Virgin Islands that Viya historically has been awarded. In November 2020, the FCC announced the award of the Connect USVI Fund for all of the US Virgin Islands to Viya’s competitor in the amount of approximately $8.6 million per year for a term of 10 years. Pursuant to the terms of the program, Viya’s USF spending was reduced in July 2021 to approximately two-thirds of the legacy total amount, or $10.9 million, and will be reduced again in July 2022 to approximately one-third of the legacy total amount, or $5.5 million, through July 2023. Thereafter, Viya will not be eligible for high-cost USF support. However, in October 2022, the FCC proposed to extend this support at the $5.5 million per year level to December 31, 2025, and sought comment on this proposal. The FCC has not yet taken action on its proposal, and we cannot predict whether the FCC will extend this support and, if so, what amount the FCC will provide and for how long.</w:t>
      </w:r>
    </w:p>
    <w:p>
      <w:pPr>
        <w:spacing w:after="0" w:line="15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This reduction in the overall amount of USF support we receive as a result of the Connect USVI Fund proceeding relative to historical levels of high-cost USF support we have received negatively affects our efforts to build, maintain and operate networks in the US Virgin Islands and our ability to provide services previously supported by USF funds. Although Viya is currently undertaking a review and reassessment of its business plan to consider the extent to which we will provide further investment or operational resources to Viya or the territory, this could have an adverse effect on our business, financial condition or results of operations in our International Telecom segment. In addition, in December 2022 we filed a Petition for Forbearance with the US Virgin Island Public Services Commission (“PSC”) requesting the PSC to largely deregulate Viya’s operations. The PSC initiated a proceeding to consider the Petition and held initial hearings in January and February of 2023. Although we cannot predict the outcome or timing for this proceeding, if the PSC approves the Petition, we will be subject to substantially less regulation in the US Virgin Islands, which we believe will provide a material benefit to our wireline telecommunications operations and competitiveness there, but, absent such deregulation, there can be no assurance that any revised business plan will offset or reduce the loss of revenue, customer attrition and increased competition as a result of the cessation of high-cost USF funding.</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FCC and other agencies continue to revisit and revise rules related to U.S. national security.</w:t>
      </w:r>
    </w:p>
    <w:p>
      <w:pPr>
        <w:spacing w:after="0" w:line="181" w:lineRule="exact"/>
        <w:rPr>
          <w:sz w:val="20"/>
          <w:szCs w:val="20"/>
          <w:color w:val="auto"/>
        </w:rPr>
      </w:pPr>
    </w:p>
    <w:p>
      <w:pPr>
        <w:jc w:val="both"/>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The regulatory landscape with respect to U.S. national security in the telecommunications space is fluid and unpredictable. We cannot predict how this regulatory environment may change and how any such changes may impact our business. For example, the FCC continues to update the Covered List of foreign companies whose telecommunications equipment are subject to usage restrictions based on national security determinations made by Congress and enumerated federal sources. If the FCC were to add a new company to that list that has provided a significant amount of equipment to our subsidiaries, we cannot predict how our business will be impacted or what sort of adverse consequences may result. Similarly, we cannot predict whether the FCC, another agency, or Congress will adopt further regulatory requirements related to national security, such as additional restrictions on the type of equipment we may use, and whether or how any such requirements may adversely impact our business.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changes may impose restrictions that adversely affect us or cause us to incur significant unplanned costs in modifying our business plans or operations.</w:t>
      </w:r>
    </w:p>
    <w:p>
      <w:pPr>
        <w:spacing w:after="0" w:line="17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subject to US federal, state, and local regulations and foreign government regulations, all of which are subject to change. As new laws and regulations are issued or discontinued, we may be required to materially modify our business plans or operations. We cannot be certain that we can do so in a cost-effective or timely manner. Our operations in the United States are subject to the Communications Act of 1934, as amended, including via the Telecommunications Act of 1996 (“Communications Act”) and the FCC’s implementing regulations, as well as regulation by public utility commissions in certain U.S. states and territories in which we operate. The interpretation and implementation of the various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provisions of the Communications Act and the FCC rules implementing the Communications Act continue to be heavily debated and may have a material adverse effect on our business.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Further, the leadership of the FCC changed in January 2021, and the FCC may pursue new and different regulatory priorities under the current leadership.</w:t>
      </w:r>
    </w:p>
    <w:p>
      <w:pPr>
        <w:spacing w:after="0" w:line="16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international operations are subject to similar regulations, the interpretation and implementation of which are also often debated, and which may have a material adverse effect on our business. For instance, in 2020, the Government of Guyana formally implemented telecommunications legislation that introduces material changes to many features of Guyana’s existing telecommunications regulatory regime that impact our operations, administrative reporting and services. There can be no assurance that these regulations will be effectively implemented, or that they will be administered in a fair and transparent manner and Guyana remains a high-risk environment due to economic, political and judicial uncertainty.</w:t>
      </w:r>
    </w:p>
    <w:p>
      <w:pPr>
        <w:spacing w:after="0" w:line="15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interpretations of our obligations in the United States and our international jurisdictions may differ from those of regulatory authorities. Both federal and state regulators, as well as international regulators, require us to pay various fees and assessments, file periodic reports and comply with various rules regarding our consumer marketing practices and the contents of our bills, on an on-going basis. If we fail to comply with these requirements, we may be subject to fines or potentially be asked to show cause as to why our licenses to provide service should not be revoked.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loss of certain licenses could adversely affect our ability to provide wireless and broadband services.</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the United States, wireless licenses generally are valid for 10 years from the effective date of the license, and generally may be renewed for additional 10-year periods by filing renewal applications with the FCC. While to date we have successfully renewed our licenses in the ordinary course of operations, failure to file for renewal of these licenses or failure to meet any licensing requirements could lead to a denial of the renewal application and thus adversely affect our ability to continue to provide service in that license area.</w:t>
      </w:r>
    </w:p>
    <w:p>
      <w:pPr>
        <w:spacing w:after="0" w:line="14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our international markets, telecommunications licenses are typically issued and regulated by the applicable telecommunications ministry. The application and renewal process for these licenses may be lengthy, require us to expend substantial renewal fees, and/or be subject to regulatory or legislative uncertainty, such as we are experiencing in Guyana, as described above. Failure to comply with these regulatory requirements may have an adverse effect on our licenses or operations and could result in sanctions, fines or other penalties.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Economic Risks</w:t>
      </w:r>
    </w:p>
    <w:p>
      <w:pPr>
        <w:spacing w:after="0" w:line="177"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General economic factors, such as inflation and a potential economic downturn, domestically and internationally, may adversely affect our business, financial condition and results of operations.</w:t>
      </w:r>
    </w:p>
    <w:p>
      <w:pPr>
        <w:spacing w:after="0" w:line="134"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Our operations and performance depend on worldwide economic conditions. These conditions have been adversely impacted by continued global economic concerns over rising inflation rates, supply chain disruptions, a potential recession, outbreak of war in Ukraine and other monetary and financial uncertainties. Rising inflation may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In response to recent inflationary pressure, the U.S. Federal Reserve and other global central banks have raised interest rates in 2022, and further interest rate increases are anticipated. These increases have led to concerns of a potential global recession. Any such events are likely to result in significant disruption of global financial markets, which may reduce our ability to access capital on favorable terms or at all. In addition, a recession, depression or other sustained adverse market event could materially and adversely affect our business and the value of our Common Stock. Although we may take measures to mitigate these events,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costs are incurred.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an economic downturn in the markets in which we currently operate or in the global market generally may lead to slower economic activity, increased unemployment, concerns about inflation, decreased consumer confidence and other adverse business conditions that could have an impact on our businesses. For example, among other things:</w:t>
      </w:r>
    </w:p>
    <w:p>
      <w:pPr>
        <w:spacing w:after="0" w:line="146" w:lineRule="exact"/>
        <w:rPr>
          <w:sz w:val="20"/>
          <w:szCs w:val="20"/>
          <w:color w:val="auto"/>
        </w:rPr>
      </w:pPr>
    </w:p>
    <w:p>
      <w:pPr>
        <w:ind w:left="480" w:right="339" w:hanging="224"/>
        <w:spacing w:after="0" w:line="279"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 in tourism could negatively affect revenues and growth opportunities from operations in the islands and in a number of areas covered by US rural and wholesale wireless operations that serve tourist destinations; and</w:t>
      </w:r>
    </w:p>
    <w:p>
      <w:pPr>
        <w:spacing w:after="0" w:line="111" w:lineRule="exact"/>
        <w:rPr>
          <w:rFonts w:ascii="Times New Roman" w:cs="Times New Roman" w:eastAsia="Times New Roman" w:hAnsi="Times New Roman"/>
          <w:sz w:val="12"/>
          <w:szCs w:val="12"/>
          <w:color w:val="auto"/>
        </w:rPr>
      </w:pPr>
    </w:p>
    <w:p>
      <w:pPr>
        <w:ind w:left="480" w:right="179" w:hanging="224"/>
        <w:spacing w:after="0" w:line="279"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credit losses on trade receivables, or the amounts that we have to write-off of our accounts receivable, could result from our inability to collect subscription fees from our subscribers.</w:t>
      </w:r>
    </w:p>
    <w:p>
      <w:pPr>
        <w:spacing w:after="0" w:line="28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In 2022, we saw a return to tourism in some of our tourism-dependent markets over 2021, but on an aggregate basis tourist activity in the markets we operate remains below pre-pandemic levels. The continuation travel restrictions limited the numbers of customers roaming onto our network, in addition to depressing demand for our services generally in the hospitality industry (e.g. hotels, bars, and restaurants) that is traditionally supported by the tourism industry. Further, we also continued to see the effects of population flight from some of our island markets for a variety of reasons including continued lockdowns and travel restrictions and also general economic downturns. It is unknown what the long-term economic effects of these negative impacts on the tourism industry will be, but our business operations and revenue may certainly be adversely impacted as a result.</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long-term impact, if any, that these events might have on us and our business, is uncertain.</w:t>
      </w:r>
    </w:p>
    <w:p>
      <w:pPr>
        <w:spacing w:after="0" w:line="173"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successful operation and growth of our business in two of our major markets (Guyana and Alaska) is highly dependent on economic conditions which may deteriorate due to reductions in crude oil prices or demand.</w:t>
      </w:r>
    </w:p>
    <w:p>
      <w:pPr>
        <w:spacing w:after="0" w:line="13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Successful operation and growth in Guyana and Alaska largely depend on local economic conditions due to their remote geographies. The Alaska and Guyanese economies, in turn, depend heavily on the strength of the natural resource industries, particularly oil production and prices of crude oil. The supply and price of crude oil can be volatile and influenced by a myriad of factors beyond our control, including foreign actors (like OPEC), worldwide supply and demand, war, economic sanctions, natural disasters and other events, the move by many governments, businesses, and institutions towards “de-carbonization” and political conditions.</w:t>
      </w:r>
    </w:p>
    <w:p>
      <w:pPr>
        <w:spacing w:after="0" w:line="14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Alaska’s economy is dependent on investment by oil companies, and state tax revenues correlate with the price of oil as the State assesses a tax based on the value of the oil that transits the pipeline from the North Slope. Guyana is projected to have tremendous economic growth in upcoming years that is largely dependent on the continued supply of crude oils and the government’s efficient use of its portion of the revenues from crude oil sales. The impact of this change on the State’s economy is uncertain.</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Overall economic impacts from a sustained lower price of crude oil, on Alaska on the one hand, and from projected revenue from sales of oil, for Guyana on the other hand, if maintained over time, will impact our growth in the future.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Our debt instruments include restrictive and financial covenants that limit our operating flexibility.</w:t>
      </w:r>
    </w:p>
    <w:p>
      <w:pPr>
        <w:spacing w:after="0" w:line="17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credit facilities that we and our subsidiaries maintain include certain financial and other covenants that, among other things, restrict our ability to take specific actions, even if we believe such actions are in our best interest. These include restrictions on our ability to do the following:</w:t>
      </w:r>
    </w:p>
    <w:p>
      <w:pPr>
        <w:spacing w:after="0" w:line="111" w:lineRule="exact"/>
        <w:rPr>
          <w:sz w:val="20"/>
          <w:szCs w:val="20"/>
          <w:color w:val="auto"/>
        </w:rPr>
      </w:pPr>
    </w:p>
    <w:p>
      <w:pPr>
        <w:ind w:left="480" w:hanging="224"/>
        <w:spacing w:after="0"/>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debt;</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liens or negative pledges with respect to our assets;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hanging="224"/>
        <w:spacing w:after="0"/>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distributions on, or redeem or repurchase, our capital stock;</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investments, loans or advances or other forms of payments;</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sell or allow distributions on capital stock of specified subsidiaries;</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transactions with affiliates; or</w:t>
      </w:r>
    </w:p>
    <w:p>
      <w:pPr>
        <w:spacing w:after="0" w:line="150"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consolidate or sell our assets.</w:t>
      </w:r>
    </w:p>
    <w:p>
      <w:pPr>
        <w:spacing w:after="0" w:line="17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Any failure to comply with the restrictions of the credit facilities or any subsequent financing agreements may result in an event of default. Such default may allow our creditors to accelerate the repayment of the related debt and may result in the acceleration of the repayment of any other debt to which a cross-acceleration or cross-default provision applies. In addition, these creditors may be able to terminate any commitments they had made to provide us with further funds.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Labor costs and the terms of collective bargaining agreements can negatively impact our ability to remain competitive, which could cause our financial performance to suffer.</w:t>
      </w:r>
    </w:p>
    <w:p>
      <w:pPr>
        <w:spacing w:after="0" w:line="172"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Our four largest markets all have some unionized labor pools, and the addition of Alaska Communications brings even more of an operating challenge than we have in other markets given the remote location of operations and the extent of the unionized workforce. Labor costs are a significant component of Alaska Communications’ expenses and, as of December 31, 2022, approximately 54% of its workforce is represented by the International Brotherhood of Electrical Workers (“IBEW”). The collective bargaining agreement (“CBA”) between Alaska Communications and the IBEW, which is effective through December 31, 2023, governs the terms and conditions of employment for all IBEW represented employees working for Alaska Communications and has significant economic impacts on it as the CBA relates to wage and benefit costs and work rules. We believe Alaska Communications’ labor costs are higher than our competitors who employ a non-unionized workforce because Alaska Communications is required by the CBA to contribute to the IBEW Health and Welfare Trust and the Alaska Electrical Pension Fund (“AEPF”) for benefit programs, including defined benefit pension plans and health benefit plans, that are not reflective of the competitive marketplace. Furthermore, work rules under the existing agreement limit Alaska Communications’ ability to efficiently manage its workforce and make the incremental cost of work performed outside normal work hours high. In addition, Alaska Communications may make strategic and operational decisions that require the consent of the IBEW. In all of our markets, the local union may not provide consent when needed to execute upon strategic new initiatives or cost saving measures, it may require additional wages, benefits or other consideration be paid in return for its consent, or it may call for a work stoppage against our operating companies. Any deterioration in the relationship with our local unions could have a negative impact on our operations and on our ability to achieve our plans for growth.</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Communications may incur substantial and unexpected liabilities arising out of its pension plans.</w:t>
      </w:r>
    </w:p>
    <w:p>
      <w:pPr>
        <w:spacing w:after="0" w:line="181"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Alaska Communications is required by the CBA to contribute to the AEPF for benefit programs, including defined benefit pension plans and health benefit plans. Alaska Communications also maintains pension benefits for substantially all of its Alaska-based employees. The AEPF is a multi-employer pension plan to which Alaska Communications makes fixed, per employee, contributions through the CBA, which covers the IBEW represented workforce, and a special agreement, which covers most of its non-represented workforce. Because contribution requirements are fixed, Alaska Communications cannot easily adjust annual plan contributions to address its own financial circumstances. Currently, this plan is not fully funded, which means Alaska Communications may be subject to increased contribution obligations, penalties, and ultimately, it could incur a contingent withdrawal liability should it choose to withdraw from the AEPF for economic reasons. Alaska Communications’ contingent withdrawal liability is an amount based on its pro-rata share among AEPF participants of the value of the funding shortfall. This contingent liability becomes due and payable if Alaska Communications terminates its participation in the AEPF. Moreover, if another participant in the AEPF goes bankrupt, Alaska Communications would become liable for a pro-rata share of the bankrupt participant’s vested, but unpaid, liability for accrued benefits for that participant’s employees. This could result in a substantial unexpected contribution requirement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and making such a contribution could have a material adverse effect on Alaska Communications’ cash position and other financial results. These sources of potential liability are difficult to predict.</w:t>
      </w:r>
    </w:p>
    <w:p>
      <w:pPr>
        <w:spacing w:after="0" w:line="138"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These plans and activities have generated and will likely continue to generate substantial cash requirements for Alaska Communications, and these requirements may increase beyond our expectations in future years based on changing market conditions, which could result in substantial liabilities on our balance sheet. The difference between projected plan obligations and assets, or the funded status of the plans, is a significant factor in determining the net periodic benefit costs of these pension plans and the ongoing funding requirements of those plans. Changes in interest rates, mortality rates, health care costs, early retirement rates, returns on investment and the market value of plan assets can affect the funded status of our defined benefit pension plans and cause volatility in the net periodic benefit cost and future funding requirements of the plans. In the future, we may be required to make additional contributions to our defined benefit plans. Plan liabilities may impair our liquidity, have an unfavorable impact on our ability to obtain financing and place us at a competitive disadvantage compared to some of our competitors who do not have such liabilities and cash requirements.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Given the complexity of pension-related matters we may not, in every instance, be in full compliance with applicable requirements.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Other Risks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Our founder is our largest stockholder and could exert significant influence over us.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Cornelius B. Prior, Jr., our founder and the father of our Chairman and Chief Executive Officer, together with related entities, affiliates and family members (including our Chairman and Chief Executive Officer), beneficially owns approximately 27% of our outstanding Common Stock. As a result, he has the ability to exert significant influence over all matters presented to our stockholders for approval, including election and removal of our directors and change of control transactions. His interests may not always coincide with the interests of other holders of our Common Stock.</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Low trading volume of our stock may limit our stockholders’ ability to sell shares and/or result in lower sale prices.</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For the three months prior to March 15, 2023, the average daily trading volume of our Common Stock was approximately 44,000 shares. As a result, our stockholders may have difficulty selling a large number of shares of our Common Stock in the manner or at a price that might be attainable if our Common Stock were more actively traded. In addition, the market price of our Common Stock may not be reflective of its underlying value.</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pay dividends in the future.</w:t>
      </w:r>
    </w:p>
    <w:p>
      <w:pPr>
        <w:spacing w:after="0" w:line="17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stockholders may receive dividends out of legally available funds if, and when, they are declared by our Board of Directors. We have consistently paid quarterly dividends in the past, but may cease to do so or decrease the dividend amount at any time. Our credit facility sets certain limitations on our ability to pay dividends on, or repurchase, our capital stock. We may incur additional indebtedness in the future that may further restrict our ability to declare and pay dividends. We may also be restricted from paying dividends in the future due to restrictions imposed by applicable state laws, our financial condition and results of operations, capital requirements, management’s assessment of future capital needs and other factors considered by our Board of Directors.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lack of liquidity of our privately held investments may adversely affect our business.</w:t>
      </w:r>
    </w:p>
    <w:p>
      <w:pPr>
        <w:spacing w:after="0" w:line="181"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Our subsidiaries and affiliates are typically private companies whose securities are not traded in any public market. In the past, we have partnered with other equity investors as well, and may have majority or minority holdings in certain investments. Investment agreements for both our majority and minority held subsidiaries often contain investor rights and obligations, such as rights of first refusal, co-sale, and "drag along" provisions related to liquidity events and transfers that may force us to sell or exit our holdings at times or on terms that are not optimal or limit our ability to sell or exit our holdings when we would like to. The illiquidity of our investments may make it difficult for us to quickly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obtain cash equal to the value at which we record our investments if the need arises to satisfy the repurchase of such investments from our other equity investors in the event such company desires, or in the case of our Alaska Transaction and Sacred Wind Transaction, may be required to repurchase such securities pursuant to contractual arrangements. Such illiquidity could also cause us to miss other investment opportunities. There can also be no assurance that our investments will appreciate in value or that it will have the opportunity to divest such investments at acceptable prices or within the timeline envisaged. If any of the above circumstances arise, it could result in impairments to such investments, and could have a material adverse impact on our earnings, cash flow and financial condition.</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We lease approximately 21,000 square feet of office space at 500 Cummings Center, Beverly, MA 01915 for our corporate headquarters. Worldwide, we utilize the following approximate square footage of space for our operations:</w:t>
      </w:r>
    </w:p>
    <w:p>
      <w:pPr>
        <w:spacing w:after="0" w:line="340"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Corporate</w:t>
            </w:r>
          </w:p>
        </w:tc>
      </w:tr>
      <w:tr>
        <w:trPr>
          <w:trHeight w:val="134"/>
        </w:trPr>
        <w:tc>
          <w:tcPr>
            <w:tcW w:w="4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Type of space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and Other</w:t>
            </w:r>
          </w:p>
        </w:tc>
      </w:tr>
      <w:tr>
        <w:trPr>
          <w:trHeight w:val="133"/>
        </w:trPr>
        <w:tc>
          <w:tcPr>
            <w:tcW w:w="43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Office</w:t>
            </w: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332,000</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220,000</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47,000</w:t>
            </w:r>
          </w:p>
        </w:tc>
      </w:tr>
      <w:tr>
        <w:trPr>
          <w:trHeight w:val="144"/>
        </w:trPr>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Retail stores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Technical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2,024,000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298,000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All of the above locations are leased except for the office and technical space within our International Telecom segment, which we own. As of December 31, 2022, we operated six retail stores in our US Telecom segment and twenty one retail stores in our International Telecom segment.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offices and technical operations are in the following locations: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6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International Telecom</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3"/>
              </w:rPr>
              <w:t>US Telecom</w:t>
            </w:r>
          </w:p>
        </w:tc>
      </w:tr>
      <w:tr>
        <w:trPr>
          <w:trHeight w:val="133"/>
        </w:trPr>
        <w:tc>
          <w:tcPr>
            <w:tcW w:w="22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Georgetown, Guyana</w:t>
            </w:r>
          </w:p>
        </w:tc>
        <w:tc>
          <w:tcPr>
            <w:tcW w:w="380" w:type="dxa"/>
            <w:vAlign w:val="bottom"/>
            <w:tcBorders>
              <w:top w:val="single" w:sz="8" w:color="CCEEFF"/>
            </w:tcBorders>
            <w:shd w:val="clear" w:color="auto" w:fill="CCEEFF"/>
          </w:tcPr>
          <w:p>
            <w:pPr>
              <w:spacing w:after="0"/>
              <w:rPr>
                <w:sz w:val="11"/>
                <w:szCs w:val="11"/>
                <w:color w:val="auto"/>
              </w:rPr>
            </w:pPr>
          </w:p>
        </w:tc>
        <w:tc>
          <w:tcPr>
            <w:tcW w:w="41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Little Rock, AR</w:t>
            </w:r>
          </w:p>
        </w:tc>
        <w:tc>
          <w:tcPr>
            <w:tcW w:w="380" w:type="dxa"/>
            <w:vAlign w:val="bottom"/>
            <w:tcBorders>
              <w:top w:val="single" w:sz="8" w:color="CCEEFF"/>
            </w:tcBorders>
            <w:shd w:val="clear" w:color="auto" w:fill="CCEEFF"/>
          </w:tcPr>
          <w:p>
            <w:pPr>
              <w:spacing w:after="0"/>
              <w:rPr>
                <w:sz w:val="11"/>
                <w:szCs w:val="11"/>
                <w:color w:val="auto"/>
              </w:rPr>
            </w:pPr>
          </w:p>
        </w:tc>
      </w:tr>
      <w:tr>
        <w:trPr>
          <w:trHeight w:val="144"/>
        </w:trPr>
        <w:tc>
          <w:tcPr>
            <w:tcW w:w="26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Bermuda</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8"/>
              </w:rPr>
              <w:t>Castle Rock, CO</w:t>
            </w:r>
          </w:p>
        </w:tc>
      </w:tr>
      <w:tr>
        <w:trPr>
          <w:trHeight w:val="144"/>
        </w:trPr>
        <w:tc>
          <w:tcPr>
            <w:tcW w:w="26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2"/>
                <w:szCs w:val="12"/>
                <w:color w:val="auto"/>
                <w:w w:val="99"/>
              </w:rPr>
              <w:t>US Virgin Islands</w:t>
            </w:r>
          </w:p>
        </w:tc>
        <w:tc>
          <w:tcPr>
            <w:tcW w:w="4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2"/>
                <w:szCs w:val="12"/>
                <w:color w:val="auto"/>
              </w:rPr>
              <w:t>Atlanta, GA</w:t>
            </w:r>
          </w:p>
        </w:tc>
      </w:tr>
      <w:tr>
        <w:trPr>
          <w:trHeight w:val="144"/>
        </w:trPr>
        <w:tc>
          <w:tcPr>
            <w:tcW w:w="26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8"/>
              </w:rPr>
              <w:t>Cayman Islands</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Anchorage, AK</w:t>
            </w:r>
          </w:p>
        </w:tc>
      </w:tr>
      <w:tr>
        <w:trPr>
          <w:trHeight w:val="144"/>
        </w:trPr>
        <w:tc>
          <w:tcPr>
            <w:tcW w:w="2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2"/>
                <w:szCs w:val="12"/>
                <w:color w:val="auto"/>
                <w:w w:val="99"/>
              </w:rPr>
              <w:t>Albuquerque, NM</w:t>
            </w:r>
          </w:p>
        </w:tc>
      </w:tr>
    </w:tbl>
    <w:p>
      <w:pPr>
        <w:spacing w:after="0" w:line="133"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Within our communications operations, we globally own approximately 350 towers, lease an additional approximate 370 towers and have 6 switch locations within rented locations. We consider our owned and leased properties to be suitable and adequate for our business operations.</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7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and our subsidiaries are subject to certain regulatory and legal proceedings and other claims arising in the ordinary course of business, some of which involve claims for damages and taxes that are substantial in amount. Historically, our subsidiary, GTT, has been subject to other long-standing litigation proceedings and disputes in Guyana that have not yet been resolved. We believe that, except for the items discussed below, for which we are currently unable to predict the final outcome, the disposition of matters currently pending will not have a material adverse effect on our financial position or results of operations.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Beginning in 2006, the National Frequency Management Unit (now the Telecommunications Agency,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May 8, 2009, a GTT competitor, Digicel, filed a lawsuit in Guyana challenging the legality of GTT’s exclusive license rights under Guyana’s constitution and GTT intervened in the suit in order to oppose Digicel’s claims. The case remains pending. We believe that any legal challenge to GTT’s exclusive license rights granted in 1990 is without merit and we continue to defend vigorously against such legal challenge.</w:t>
      </w:r>
    </w:p>
    <w:p>
      <w:pPr>
        <w:spacing w:after="0" w:line="14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however, we cannot accurately predict at this time when the consolidated suit will reach a court of final determination.</w:t>
      </w:r>
    </w:p>
    <w:p>
      <w:pPr>
        <w:spacing w:after="0" w:line="140"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made in its favor including most recently in December 2021, when an assessment relating to 2010-2016 was quashed and declared to have no legal effect. GTT has maintained that it has no unpaid corporation tax due to the GRA and that any liability GTT might be found to have with respect to the disputed tax assessments, as alleged by the GRA in the aggregate amount of $32 million net of interest, would be offset in part by the amounts necessary to ensure that GTT’s return on investment was no less than 15% per annum for the relevant periods. Several High Court rulings in the favor of GTT have been appealed by the GRA and we believe that some adverse outcome in these or pending unheard matters could occur.</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May 20, 2021, we were served with a notice of application for enforcement of a foreign judgment with respect to a matter brought by the Trinidad &amp; Tobago Electric Commission (“TTEC”) in the High Court of Justice in the Republic of Trinidad and Tobago in August 2013 against GTT and other defendants, alleging breach of contract due to GTT’s failure to pay TTEC in connection with amounts alleged to be owed as reimbursement for cable repair costs. In December 2022, GTT settled this matter with TTEC.</w:t>
      </w:r>
    </w:p>
    <w:p>
      <w:pPr>
        <w:spacing w:after="0" w:line="146"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In February 2020, our subsidiary, Alaska Communications,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we disagree with USAC’s final audit report, we can appeal that decision to USAC’s Rural Health Care Division and/or the FCC. At this time, we cannot predict the contents or timing of the final USAC audit report, the outcome of the audit or the impact on the our business, financial condition, results of operations, or liquidity.</w:t>
      </w:r>
    </w:p>
    <w:p>
      <w:pPr>
        <w:spacing w:after="0" w:line="14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We are engaged in discussions with the FCC’s Enforcement Bureau and will continue to work constructively to provide it the information it is seeking. Any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adverse outcome with respect to the FCC Enforcement Bureau’s inquiry may have an adverse impact our business, financial condition, results of operations, or liquidity.</w:t>
      </w:r>
    </w:p>
    <w:p>
      <w:pPr>
        <w:spacing w:after="0" w:line="17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With respect to all of the foregoing matters, we believe that some adverse outcome is probable and have accordingly accrued $14.7 million as of December 31, 2022 for these and other potential liabilities arising in various claims, legal actions and regulatory proceedings arising in the ordinary course of business. We also face contingencies that are reasonably possible to occur that cannot currently be estimated. It is our policy to expense costs associated with loss contingencies, including any related legal fees, as they are incurred.</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INFORMATION ABOUT OUR EXECUTIVE OFFICERS</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executive officers as of March 15, 2023:</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Age</w:t>
            </w:r>
          </w:p>
        </w:tc>
        <w:tc>
          <w:tcPr>
            <w:tcW w:w="180" w:type="dxa"/>
            <w:vAlign w:val="bottom"/>
          </w:tcPr>
          <w:p>
            <w:pPr>
              <w:spacing w:after="0"/>
              <w:rPr>
                <w:sz w:val="10"/>
                <w:szCs w:val="10"/>
                <w:color w:val="auto"/>
              </w:rPr>
            </w:pPr>
          </w:p>
        </w:tc>
        <w:tc>
          <w:tcPr>
            <w:tcW w:w="4400" w:type="dxa"/>
            <w:vAlign w:val="bottom"/>
          </w:tcPr>
          <w:p>
            <w:pPr>
              <w:ind w:left="20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33"/>
        </w:trPr>
        <w:tc>
          <w:tcPr>
            <w:tcW w:w="39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Michael T. Prior</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80" w:type="dxa"/>
            <w:vAlign w:val="bottom"/>
            <w:tcBorders>
              <w:top w:val="single" w:sz="8" w:color="CCEEFF"/>
            </w:tcBorders>
            <w:shd w:val="clear" w:color="auto" w:fill="CCEEFF"/>
          </w:tcPr>
          <w:p>
            <w:pPr>
              <w:spacing w:after="0"/>
              <w:rPr>
                <w:sz w:val="11"/>
                <w:szCs w:val="11"/>
                <w:color w:val="auto"/>
              </w:rPr>
            </w:pPr>
          </w:p>
        </w:tc>
        <w:tc>
          <w:tcPr>
            <w:tcW w:w="44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Chairman, President, Chief Executive Officer, and Director</w:t>
            </w:r>
          </w:p>
        </w:tc>
      </w:tr>
      <w:tr>
        <w:trPr>
          <w:trHeight w:val="14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Justin D. Benincasa</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Brad Martin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Chief Operating Officer</w:t>
            </w:r>
          </w:p>
        </w:tc>
      </w:tr>
      <w:tr>
        <w:trPr>
          <w:trHeight w:val="14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Mary Mabey</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Senior Vice President, General Counsel and Secretary</w:t>
            </w:r>
          </w:p>
        </w:tc>
      </w:tr>
      <w:tr>
        <w:trPr>
          <w:trHeight w:val="162"/>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Justin Leon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Senior Vice President, Corporate Development</w:t>
            </w: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0"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Michael T. Prior </w:t>
      </w:r>
      <w:r>
        <w:rPr>
          <w:rFonts w:ascii="Times New Roman" w:cs="Times New Roman" w:eastAsia="Times New Roman" w:hAnsi="Times New Roman"/>
          <w:sz w:val="12"/>
          <w:szCs w:val="12"/>
          <w:color w:val="auto"/>
        </w:rPr>
        <w:t>is the Chairman of the Board of Directors and has been our President and Chief Executive Officer since December 2005 and an officer of the Company since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June 2003. He was elected to the Board in May 2008. 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120" w:lineRule="exact"/>
        <w:rPr>
          <w:sz w:val="20"/>
          <w:szCs w:val="20"/>
          <w:color w:val="auto"/>
        </w:rPr>
      </w:pPr>
    </w:p>
    <w:p>
      <w:pPr>
        <w:ind w:left="20" w:right="1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Justin D. Benincasa </w:t>
      </w:r>
      <w:r>
        <w:rPr>
          <w:rFonts w:ascii="Times New Roman" w:cs="Times New Roman" w:eastAsia="Times New Roman" w:hAnsi="Times New Roman"/>
          <w:sz w:val="12"/>
          <w:szCs w:val="12"/>
          <w:color w:val="auto"/>
        </w:rPr>
        <w:t>is our Chief Financial Officer. Prior to joining us in May 2006, Mr. Benincasa was a Principal at Windover Development, LLC since 2004. From 1998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degree from Bentley University and a B.A. degree from the University of Massachusetts.</w:t>
      </w:r>
    </w:p>
    <w:p>
      <w:pPr>
        <w:spacing w:after="0" w:line="119"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Brad Martin </w:t>
      </w:r>
      <w:r>
        <w:rPr>
          <w:rFonts w:ascii="Times New Roman" w:cs="Times New Roman" w:eastAsia="Times New Roman" w:hAnsi="Times New Roman"/>
          <w:sz w:val="12"/>
          <w:szCs w:val="12"/>
          <w:color w:val="auto"/>
        </w:rPr>
        <w:t>is our Chief Operating Officer. Prior to joining us in 2018, he previously served as Chief Operating Officer for Senet Inc., a leading “low power wide area”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network (LPWAN) operator and global service provider. From 2013 through 2015, Mr. Martin served as Senior Vice President and Chief Quality Officer with Extreme Networks, a global leader in software-driven networking solutions for Enterprise and Service Provider customers. Between 2008 and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 is a published author and featured industry speaker.</w:t>
      </w:r>
    </w:p>
    <w:p>
      <w:pPr>
        <w:spacing w:after="0" w:line="119" w:lineRule="exact"/>
        <w:rPr>
          <w:sz w:val="20"/>
          <w:szCs w:val="20"/>
          <w:color w:val="auto"/>
        </w:rPr>
      </w:pPr>
    </w:p>
    <w:p>
      <w:pPr>
        <w:ind w:left="20" w:right="11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Mary Mabey </w:t>
      </w:r>
      <w:r>
        <w:rPr>
          <w:rFonts w:ascii="Times New Roman" w:cs="Times New Roman" w:eastAsia="Times New Roman" w:hAnsi="Times New Roman"/>
          <w:sz w:val="12"/>
          <w:szCs w:val="12"/>
          <w:color w:val="auto"/>
        </w:rPr>
        <w:t>is our Senior Vice President and General Counsel. Ms. Mabey joined us in 2009 and previously served as our Deputy General Counsel. Prior to joining us, 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 degree from the University of Notre Dame and a J.D. degree from the University of Texas School of Law.</w:t>
      </w:r>
    </w:p>
    <w:p>
      <w:pPr>
        <w:spacing w:after="0" w:line="117" w:lineRule="exact"/>
        <w:rPr>
          <w:sz w:val="20"/>
          <w:szCs w:val="20"/>
          <w:color w:val="auto"/>
        </w:rPr>
      </w:pPr>
    </w:p>
    <w:p>
      <w:pPr>
        <w:ind w:left="20" w:right="5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Justin Leon </w:t>
      </w:r>
      <w:r>
        <w:rPr>
          <w:rFonts w:ascii="Times New Roman" w:cs="Times New Roman" w:eastAsia="Times New Roman" w:hAnsi="Times New Roman"/>
          <w:sz w:val="12"/>
          <w:szCs w:val="12"/>
          <w:color w:val="auto"/>
        </w:rPr>
        <w:t>is our Senior Vice President of Corporate Development. He joined the Company in 2015 and brings over fifteen years of investing experience to the team. Prior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joining ATN, Justin worked in Corporate Strategy &amp; Development for Nuance Communications, a publicly traded software company focused on speech recognition and machine learning where he executed over $1 billion in acquisitions in the healthcare, mobile, and enterprise software verticals. Justin started his career at Stonebridge Associates, a boutique investment bank in Boston advising clients in</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79"/>
        <w:spacing w:after="0" w:line="279" w:lineRule="auto"/>
        <w:rPr>
          <w:sz w:val="20"/>
          <w:szCs w:val="20"/>
          <w:color w:val="auto"/>
        </w:rPr>
      </w:pPr>
      <w:r>
        <w:rPr>
          <w:rFonts w:ascii="Times New Roman" w:cs="Times New Roman" w:eastAsia="Times New Roman" w:hAnsi="Times New Roman"/>
          <w:sz w:val="12"/>
          <w:szCs w:val="12"/>
          <w:color w:val="auto"/>
        </w:rPr>
        <w:t>technology, medical device, and consumer products verticals. Justin earned a degree in corporate finance from Bentley College and an MBA from the Tuck School of Business at Dartmouth.</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7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1"/>
          <w:szCs w:val="11"/>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Our Common Stock, $.01 par value, is listed on the Nasdaq Global Select Market under the symbol “ATNI.” The number of holders of record of Common Stock as of March 15, 2023 was 81.</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 in the Fourth Quarter of 2022</w:t>
      </w:r>
    </w:p>
    <w:p>
      <w:pPr>
        <w:spacing w:after="0" w:line="298"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On September 19, 2016, our Board of Directors authorized the repurchase of up to $50.0 million of our Common Stock from time to time on the open market or in privately negotiated transactions (the “2016 Repurchase Plan”).</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reflects the repurchases by the Company of its Common Stock during the quarter ended December 31, 2022:</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4"/>
              </w:rPr>
              <w:t>Maximum</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rPr>
              <w:t>(c)</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8"/>
              </w:rPr>
              <w:t>Number (or</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1"/>
              </w:rPr>
              <w:t>(b)</w:t>
            </w:r>
          </w:p>
        </w:tc>
        <w:tc>
          <w:tcPr>
            <w:tcW w:w="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rPr>
              <w:t>(a)</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8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Number of</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 Value) of</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98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4"/>
              </w:rPr>
              <w:t>Shares Purchased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that May</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center"/>
              <w:ind w:left="112"/>
              <w:spacing w:after="0" w:line="99" w:lineRule="exact"/>
              <w:rPr>
                <w:sz w:val="20"/>
                <w:szCs w:val="20"/>
                <w:color w:val="auto"/>
              </w:rPr>
            </w:pPr>
            <w:r>
              <w:rPr>
                <w:rFonts w:ascii="Times New Roman" w:cs="Times New Roman" w:eastAsia="Times New Roman" w:hAnsi="Times New Roman"/>
                <w:sz w:val="10"/>
                <w:szCs w:val="10"/>
                <w:b w:val="1"/>
                <w:bCs w:val="1"/>
                <w:color w:val="auto"/>
                <w:w w:val="91"/>
              </w:rPr>
              <w:t>Total Number</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98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6"/>
              </w:rPr>
              <w:t>as Part of Publicly</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3"/>
              </w:rPr>
              <w:t>be Purchased</w:t>
            </w: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Paid per</w:t>
            </w:r>
          </w:p>
        </w:tc>
        <w:tc>
          <w:tcPr>
            <w:tcW w:w="9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6"/>
              </w:rPr>
              <w:t>Announced Plans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6"/>
              </w:rPr>
              <w:t>Under the Plans or</w:t>
            </w:r>
          </w:p>
        </w:tc>
        <w:tc>
          <w:tcPr>
            <w:tcW w:w="0" w:type="dxa"/>
            <w:vAlign w:val="bottom"/>
          </w:tcPr>
          <w:p>
            <w:pPr>
              <w:spacing w:after="0"/>
              <w:rPr>
                <w:sz w:val="1"/>
                <w:szCs w:val="1"/>
                <w:color w:val="auto"/>
              </w:rPr>
            </w:pPr>
          </w:p>
        </w:tc>
      </w:tr>
      <w:tr>
        <w:trPr>
          <w:trHeight w:val="134"/>
        </w:trPr>
        <w:tc>
          <w:tcPr>
            <w:tcW w:w="3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7"/>
              </w:rPr>
              <w:t>Purchased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7"/>
              </w:rPr>
              <w:t>Share</w:t>
            </w:r>
          </w:p>
        </w:tc>
        <w:tc>
          <w:tcPr>
            <w:tcW w:w="9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5"/>
              </w:rPr>
              <w:t>or Programs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0" w:type="dxa"/>
            <w:vAlign w:val="bottom"/>
          </w:tcPr>
          <w:p>
            <w:pPr>
              <w:spacing w:after="0"/>
              <w:rPr>
                <w:sz w:val="1"/>
                <w:szCs w:val="1"/>
                <w:color w:val="auto"/>
              </w:rPr>
            </w:pPr>
          </w:p>
        </w:tc>
      </w:tr>
      <w:tr>
        <w:trPr>
          <w:trHeight w:val="142"/>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 2022 — October 31, 2022</w:t>
            </w:r>
          </w:p>
        </w:tc>
        <w:tc>
          <w:tcPr>
            <w:tcW w:w="1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November 1, 2022 — November 30, 2022</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1, 2022 — December 31, 2022</w:t>
            </w: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r>
        <w:trPr>
          <w:trHeight w:val="576"/>
        </w:trPr>
        <w:tc>
          <w:tcPr>
            <w:tcW w:w="3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Performance Graph</w:t>
      </w:r>
    </w:p>
    <w:p>
      <w:pPr>
        <w:spacing w:after="0" w:line="82"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graph below matches ATN International’s cumulative 5-Year total shareholder return on Common Stock with the cumulative total returns of the Russell 2000 index, the S&amp;P Smallcap 600 index, and the Nasdaq Telecommunications index. The graph tracks the performance of a $100 investment in our Common Stock and in each index (with the reinvestment of all dividends) from 12/31/2017 to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5692140" cy="3257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12/17</w:t>
            </w: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12/18</w:t>
            </w: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12/19</w:t>
            </w: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12/20</w:t>
            </w: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12/21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12/22</w:t>
            </w:r>
          </w:p>
        </w:tc>
      </w:tr>
      <w:tr>
        <w:trPr>
          <w:trHeight w:val="269"/>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ATN International</w:t>
            </w:r>
          </w:p>
        </w:tc>
        <w:tc>
          <w:tcPr>
            <w:tcW w:w="19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100.00</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130.85</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102.54</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78.32</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76.06</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87.73</w:t>
            </w:r>
          </w:p>
        </w:tc>
      </w:tr>
      <w:tr>
        <w:trPr>
          <w:trHeight w:val="135"/>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Russell 2000</w:t>
            </w:r>
          </w:p>
        </w:tc>
        <w:tc>
          <w:tcPr>
            <w:tcW w:w="19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100.00</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88.99</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111.70</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134.00</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153.85</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122.41</w:t>
            </w:r>
          </w:p>
        </w:tc>
      </w:tr>
      <w:tr>
        <w:trPr>
          <w:trHeight w:val="135"/>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S&amp;P Smallcap 600</w:t>
            </w:r>
          </w:p>
        </w:tc>
        <w:tc>
          <w:tcPr>
            <w:tcW w:w="19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100.00</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91.52</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112.37</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125.05</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158.59</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133.06</w:t>
            </w:r>
          </w:p>
        </w:tc>
      </w:tr>
      <w:tr>
        <w:trPr>
          <w:trHeight w:val="135"/>
        </w:trPr>
        <w:tc>
          <w:tcPr>
            <w:tcW w:w="2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NASDAQ Telecommunications</w:t>
            </w:r>
          </w:p>
        </w:tc>
        <w:tc>
          <w:tcPr>
            <w:tcW w:w="19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100.00</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77.39</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91.90</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101.16</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103.32</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75.55</w:t>
            </w:r>
          </w:p>
        </w:tc>
      </w:tr>
    </w:tbl>
    <w:p>
      <w:pPr>
        <w:spacing w:after="0" w:line="260"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81" w:lineRule="exact"/>
        <w:rPr>
          <w:sz w:val="20"/>
          <w:szCs w:val="20"/>
          <w:color w:val="auto"/>
        </w:rPr>
      </w:pPr>
    </w:p>
    <w:p>
      <w:pPr>
        <w:jc w:val="both"/>
        <w:ind w:left="40" w:right="99" w:firstLine="317"/>
        <w:spacing w:after="0" w:line="260" w:lineRule="auto"/>
        <w:rPr>
          <w:sz w:val="20"/>
          <w:szCs w:val="20"/>
          <w:color w:val="auto"/>
        </w:rPr>
      </w:pPr>
      <w:r>
        <w:rPr>
          <w:rFonts w:ascii="Times New Roman" w:cs="Times New Roman" w:eastAsia="Times New Roman" w:hAnsi="Times New Roman"/>
          <w:sz w:val="12"/>
          <w:szCs w:val="12"/>
          <w:color w:val="auto"/>
        </w:rPr>
        <w:t>We provide digital infrastructure and communications services in the United States and internationally, including in the Caribbean region, with a focus on smaller markets, many of which are rural or remote, with a growing demand for infrastructure investments, Through our operating subsidiaries, we primarily provide: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49" w:lineRule="exact"/>
        <w:rPr>
          <w:sz w:val="20"/>
          <w:szCs w:val="20"/>
          <w:color w:val="auto"/>
        </w:rPr>
      </w:pPr>
    </w:p>
    <w:p>
      <w:pPr>
        <w:jc w:val="both"/>
        <w:ind w:left="40" w:right="199" w:firstLine="317"/>
        <w:spacing w:after="0" w:line="254" w:lineRule="auto"/>
        <w:rPr>
          <w:sz w:val="20"/>
          <w:szCs w:val="20"/>
          <w:color w:val="auto"/>
        </w:rPr>
      </w:pPr>
      <w:r>
        <w:rPr>
          <w:rFonts w:ascii="Times New Roman" w:cs="Times New Roman" w:eastAsia="Times New Roman" w:hAnsi="Times New Roman"/>
          <w:sz w:val="12"/>
          <w:szCs w:val="12"/>
          <w:color w:val="auto"/>
        </w:rPr>
        <w:t>At the holding company level, we oversee the allocation of capital within and among our subsidiaries, affiliates, new investments, and stockholders. We have developed significant operational expertise and resources that we use to augment the capabilities of our individual operating subsidiaries in our local markets. We have built a platform of resources and expertise to support our operating subsidiaries and to improve their quality of service with greater economies of scale and expertise than would typically be available at the operating subsidiary level. We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“first to fiber”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44" w:lineRule="exact"/>
        <w:rPr>
          <w:sz w:val="20"/>
          <w:szCs w:val="20"/>
          <w:color w:val="auto"/>
        </w:rPr>
      </w:pPr>
    </w:p>
    <w:p>
      <w:pPr>
        <w:ind w:left="40" w:right="339" w:firstLine="317"/>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14 to the Consolidated Financial Statements included in this Report.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December 31, 2022, we offer the following types of services to our customers:</w:t>
      </w:r>
    </w:p>
    <w:p>
      <w:pPr>
        <w:spacing w:after="0" w:line="173" w:lineRule="exact"/>
        <w:rPr>
          <w:sz w:val="20"/>
          <w:szCs w:val="20"/>
          <w:color w:val="auto"/>
        </w:rPr>
      </w:pPr>
    </w:p>
    <w:p>
      <w:pPr>
        <w:ind w:left="800" w:right="99" w:hanging="211"/>
        <w:spacing w:after="0" w:line="286" w:lineRule="auto"/>
        <w:tabs>
          <w:tab w:leader="none" w:pos="8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Mobility Telecommunications Services</w:t>
      </w:r>
      <w:r>
        <w:rPr>
          <w:rFonts w:ascii="Times New Roman" w:cs="Times New Roman" w:eastAsia="Times New Roman" w:hAnsi="Times New Roman"/>
          <w:sz w:val="12"/>
          <w:szCs w:val="12"/>
          <w:color w:val="auto"/>
        </w:rPr>
        <w:t>. We offer mobile communications services over our wireless networks and related equipment(such as handsets) to both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and consumer subscribers.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to business and consumer customers. These services include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broadband and high 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to other telecommunications providers such as the leasing of critical network infrastructure, such as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wholesale roaming,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319" w:hanging="211"/>
        <w:spacing w:after="0" w:line="286" w:lineRule="auto"/>
        <w:tabs>
          <w:tab w:leader="none" w:pos="8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such as network, application, infrastructure and hosting services to both our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to complement our fixed Services in our existing markets.</w:t>
      </w:r>
    </w:p>
    <w:p>
      <w:pPr>
        <w:spacing w:after="0" w:line="107"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Through December 31, 2022, we have identified two operating segments to manage and review our operations and to facilitate investor presentations of our results. These two operating segments are as follows:</w:t>
      </w:r>
    </w:p>
    <w:p>
      <w:pPr>
        <w:spacing w:after="0" w:line="107" w:lineRule="exact"/>
        <w:rPr>
          <w:sz w:val="20"/>
          <w:szCs w:val="20"/>
          <w:color w:val="auto"/>
        </w:rPr>
      </w:pPr>
    </w:p>
    <w:p>
      <w:pPr>
        <w:ind w:left="820" w:right="239" w:hanging="222"/>
        <w:spacing w:after="0" w:line="286" w:lineRule="auto"/>
        <w:tabs>
          <w:tab w:leader="none" w:pos="8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 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 US Virgin Islands.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right="119" w:hanging="222"/>
        <w:spacing w:after="0" w:line="286" w:lineRule="auto"/>
        <w:tabs>
          <w:tab w:leader="none" w:pos="8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we offer fixed services, carrier services, and managed services to business and consumer customers in Alaska and the western United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States. As of December 31, 2022 we provided mobility services to retail customers in the western United States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following chart summarizes the operating activities of our principal subsidiaries, the segments in which we report our revenue and the markets we served as of December 31,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2022:</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0"/>
                <w:szCs w:val="10"/>
                <w:b w:val="1"/>
                <w:bCs w:val="1"/>
                <w:color w:val="auto"/>
              </w:rPr>
              <w:t>Segment</w:t>
            </w:r>
          </w:p>
        </w:tc>
        <w:tc>
          <w:tcPr>
            <w:tcW w:w="2500" w:type="dxa"/>
            <w:vAlign w:val="bottom"/>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2600" w:type="dxa"/>
            <w:vAlign w:val="bottom"/>
            <w:gridSpan w:val="2"/>
          </w:tcPr>
          <w:p>
            <w:pPr>
              <w:ind w:left="1060"/>
              <w:spacing w:after="0"/>
              <w:rPr>
                <w:sz w:val="20"/>
                <w:szCs w:val="20"/>
                <w:color w:val="auto"/>
              </w:rPr>
            </w:pPr>
            <w:r>
              <w:rPr>
                <w:rFonts w:ascii="Times New Roman" w:cs="Times New Roman" w:eastAsia="Times New Roman" w:hAnsi="Times New Roman"/>
                <w:sz w:val="10"/>
                <w:szCs w:val="10"/>
                <w:b w:val="1"/>
                <w:bCs w:val="1"/>
                <w:color w:val="auto"/>
              </w:rPr>
              <w:t>Markets</w:t>
            </w:r>
          </w:p>
        </w:tc>
        <w:tc>
          <w:tcPr>
            <w:tcW w:w="150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Tradenames</w:t>
            </w:r>
          </w:p>
        </w:tc>
      </w:tr>
      <w:tr>
        <w:trPr>
          <w:trHeight w:val="133"/>
        </w:trPr>
        <w:tc>
          <w:tcPr>
            <w:tcW w:w="2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International Telecom</w:t>
            </w:r>
          </w:p>
        </w:tc>
        <w:tc>
          <w:tcPr>
            <w:tcW w:w="14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 Islands</w:t>
            </w:r>
          </w:p>
        </w:tc>
        <w:tc>
          <w:tcPr>
            <w:tcW w:w="14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Guyana, US Virgin</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Islands</w:t>
            </w:r>
          </w:p>
        </w:tc>
        <w:tc>
          <w:tcPr>
            <w:tcW w:w="1500" w:type="dxa"/>
            <w:vAlign w:val="bottom"/>
          </w:tcPr>
          <w:p>
            <w:pPr>
              <w:spacing w:after="0"/>
              <w:rPr>
                <w:sz w:val="13"/>
                <w:szCs w:val="13"/>
                <w:color w:val="auto"/>
              </w:rPr>
            </w:pPr>
          </w:p>
        </w:tc>
      </w:tr>
      <w:tr>
        <w:trPr>
          <w:trHeight w:val="144"/>
        </w:trPr>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Carrier Services</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Bermuda, Guyana, US Virgin Islands</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US Virgin Islands,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Fireminds, One, Logic, GTT,</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Guyana</w:t>
            </w: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Viya</w:t>
            </w:r>
          </w:p>
        </w:tc>
      </w:tr>
      <w:tr>
        <w:trPr>
          <w:trHeight w:val="122"/>
        </w:trPr>
        <w:tc>
          <w:tcPr>
            <w:tcW w:w="22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US Telecom</w:t>
            </w:r>
          </w:p>
        </w:tc>
        <w:tc>
          <w:tcPr>
            <w:tcW w:w="140" w:type="dxa"/>
            <w:vAlign w:val="bottom"/>
            <w:tcBorders>
              <w:top w:val="single" w:sz="8" w:color="CCEEFF"/>
            </w:tcBorders>
            <w:shd w:val="clear" w:color="auto" w:fill="CCEEFF"/>
          </w:tcPr>
          <w:p>
            <w:pPr>
              <w:spacing w:after="0"/>
              <w:rPr>
                <w:sz w:val="10"/>
                <w:szCs w:val="10"/>
                <w:color w:val="auto"/>
              </w:rPr>
            </w:pPr>
          </w:p>
        </w:tc>
        <w:tc>
          <w:tcPr>
            <w:tcW w:w="23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0"/>
                <w:szCs w:val="10"/>
                <w:color w:val="auto"/>
              </w:rPr>
            </w:pPr>
          </w:p>
        </w:tc>
        <w:tc>
          <w:tcPr>
            <w:tcW w:w="24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 markets)</w:t>
            </w:r>
          </w:p>
        </w:tc>
        <w:tc>
          <w:tcPr>
            <w:tcW w:w="14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Choice, Choice NTUA</w:t>
            </w:r>
          </w:p>
        </w:tc>
      </w:tr>
      <w:tr>
        <w:trPr>
          <w:trHeight w:val="155"/>
        </w:trPr>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Wireless</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44"/>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Commnet, Choice, Choice</w:t>
            </w:r>
          </w:p>
        </w:tc>
      </w:tr>
      <w:tr>
        <w:trPr>
          <w:trHeight w:val="144"/>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NTUA Wireless, Sacred Wind</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Communications, Ethos</w:t>
            </w:r>
          </w:p>
        </w:tc>
      </w:tr>
      <w:tr>
        <w:trPr>
          <w:trHeight w:val="133"/>
        </w:trPr>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44"/>
        </w:trPr>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Commnet, Essextel, Sacred</w:t>
            </w:r>
          </w:p>
        </w:tc>
      </w:tr>
      <w:tr>
        <w:trPr>
          <w:trHeight w:val="155"/>
        </w:trPr>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Wind Communications</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55"/>
        </w:trPr>
        <w:tc>
          <w:tcPr>
            <w:tcW w:w="2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Choice</w:t>
            </w: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Sacred Wind Enterprises</w:t>
      </w:r>
    </w:p>
    <w:p>
      <w:pPr>
        <w:spacing w:after="0" w:line="181"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color w:val="auto"/>
        </w:rPr>
        <w:t>On November 7, 2022, we, via our newly formed wholly owned subsidiary Alloy, Inc. (“Alloy”), acquired all of the issued and outstanding stock of Sacred Wind Enterprises, Inc. (“Sacred Wind”), a rural telecommunications provider in New Mexico (the “Sacred Wind Transaction”) for $44.4 million of consideration. As part of the Sacred Wind Transaction, we transferred consideration of $18.0 million of cash, net of $9.4 million of cash acquired, $14.8 million of redeemable noncontrolling interests, and $3.7 million of contingent consideration, less $1.5 million of receivables related to working capital adjustments. As part of the Sacred Wind Transaction, we contributed all of our ownership interests in our Commnet business to Alloy. Subsequent to the transaction, the former Sacred Wind shareholders will own 6% of the Alloy equity. The equity is classified as redeemable noncontrolling interests in our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The Company funded the acquisition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with borrowing under its CoBank Credit Facility and assumed $31.6 million of Sacred Wind debt, to the United States of America administered through the Rural Utilities Service.</w:t>
      </w:r>
    </w:p>
    <w:p>
      <w:pPr>
        <w:spacing w:after="0" w:line="177"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We believe that the acquisition of Sacred Wind will expand our infrastructure reach and broadband services in the rural Southwest and increase our wholesale carrier, residential and business broadband services.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Alaska Communications</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July 22, 2021, we completed the acquisition of Alaska Communications Systems Group, Inc. (“Alaska Communications”), a publicly listed company, for approximately $339.5 million in cash, net of cash acquired, (the “Alaska Transaction”). Alaska Communications provides broadband telecommunication and managed information technology services to customers in the State of Alaska and beyond using its statewide and interstate telecommunications network.</w:t>
      </w:r>
    </w:p>
    <w:p>
      <w:pPr>
        <w:spacing w:after="0" w:line="146" w:lineRule="exact"/>
        <w:rPr>
          <w:sz w:val="20"/>
          <w:szCs w:val="20"/>
          <w:color w:val="auto"/>
        </w:rPr>
      </w:pPr>
    </w:p>
    <w:p>
      <w:pPr>
        <w:jc w:val="both"/>
        <w:ind w:left="20" w:right="39" w:firstLine="410"/>
        <w:spacing w:after="0" w:line="256" w:lineRule="auto"/>
        <w:rPr>
          <w:sz w:val="20"/>
          <w:szCs w:val="20"/>
          <w:color w:val="auto"/>
        </w:rPr>
      </w:pPr>
      <w:r>
        <w:rPr>
          <w:rFonts w:ascii="Times New Roman" w:cs="Times New Roman" w:eastAsia="Times New Roman" w:hAnsi="Times New Roman"/>
          <w:sz w:val="12"/>
          <w:szCs w:val="12"/>
          <w:color w:val="auto"/>
        </w:rPr>
        <w:t>In conjunction with the Alaska Transaction, we entered into an agreement with affiliates and investment funds managed by Freedom 3 Capital, LLC as well as other institutional investors (collectively the “Freedom 3 Investors”). The Freedom 3 Investors contributed $71.5 million in conjunction with the Alaska Transaction (the “Freedom 3 Investment”). The Freedom 3 Investment consists of common and preferred equity instruments in our subsidiary which holds the ownership of Alaska Communications. We accounted for the Freedom 3 Investment as a redeemable noncontrolling interest in our consolidated financial statements and we also entered into a financing transaction drawing $220 million on a new credit facility to complete the Alaska Transaction. As a result of the Alaska Transaction, we own approximately 52% of the common equity of Alaska Communications and control its operations and management. Beginning on July 22, 2021, the results of Alaska Communications are included in our US Telecom segment.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Liquidity and Capital Resources</w:t>
      </w:r>
      <w:r>
        <w:rPr>
          <w:rFonts w:ascii="Times New Roman" w:cs="Times New Roman" w:eastAsia="Times New Roman" w:hAnsi="Times New Roman"/>
          <w:sz w:val="12"/>
          <w:szCs w:val="12"/>
          <w:color w:val="auto"/>
        </w:rPr>
        <w:t xml:space="preserve"> for a discussion regarding the credit agreement used to help finance the Alaska Transaction.</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Disposition of International Solar Business</w:t>
      </w:r>
    </w:p>
    <w:p>
      <w:pPr>
        <w:spacing w:after="0" w:line="181" w:lineRule="exact"/>
        <w:rPr>
          <w:sz w:val="20"/>
          <w:szCs w:val="20"/>
          <w:color w:val="auto"/>
        </w:rPr>
      </w:pPr>
    </w:p>
    <w:p>
      <w:pPr>
        <w:jc w:val="both"/>
        <w:ind w:left="20" w:right="39" w:firstLine="410"/>
        <w:spacing w:after="0" w:line="265" w:lineRule="auto"/>
        <w:rPr>
          <w:sz w:val="20"/>
          <w:szCs w:val="20"/>
          <w:color w:val="auto"/>
        </w:rPr>
      </w:pPr>
      <w:r>
        <w:rPr>
          <w:rFonts w:ascii="Times New Roman" w:cs="Times New Roman" w:eastAsia="Times New Roman" w:hAnsi="Times New Roman"/>
          <w:sz w:val="12"/>
          <w:szCs w:val="12"/>
          <w:color w:val="auto"/>
        </w:rPr>
        <w:t>In January 2021, we completed the sale of 67% of the outstanding equity in our business that owns and operates distributed generation solar power projects operated under the Vibrant name in India (the “Vibrant Transaction”). The post-sale results of our ownership interest in Vibrant are recorded through the equity method of accounting within the Corporate and Other operating segment. We will continue to present the historical results of our Renewable Energy segment for comparative purposes.</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operations of Vibrant did not qualify as discontinued operations because the disposition did not represent a strategic shift that had a major effect on our operations and financial results.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Agreement</w:t>
      </w:r>
    </w:p>
    <w:p>
      <w:pPr>
        <w:spacing w:after="0" w:line="181"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Since inception of the project through December 31, 2022, we have recorded $62.6 million in construction revenue, including $15.8 million during 2022. In 2023, we expect to record additional construction revenue and related costs, as sites are completed. Revenues from construction are expected to have minimal impact on operating income. The network build portion of the FirstNet Agreement continued during the COVID-19 pandemic, but the overall timing of the build schedule has been delayed.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146"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72"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also recognize revenue from the Connect America Fund Phase II program (“CAF II”) which offers subsidies to carriers to expand broadband coverage in designated areas. Under CAF II, our US Telecom segment will receive an aggregate of $27.4 million annually through December 2025 and an aggregate of $7.7 million annually from January 2026 through July 2028.</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Both the USF and CAFII programs are subject to certain operational and reporting compliance requirements. We believe we are in compliance with these requirements as of December 31, 2022.</w:t>
      </w:r>
    </w:p>
    <w:p>
      <w:pPr>
        <w:spacing w:after="0" w:line="12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again to $5.5 million for the annual period through June 2023. As the program currently stands, Viya will not receive High Cost Program support subsequent to June 2023.</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expect to receive approximately $20.1 million over 10 years to provide broadband and voice coverage to over 10,000 households in the United States (not including Alaska) under the 2020 Rural Digital Opportunity Fund Phase I Auction (“RDOF”). We recorded $2.0 million of revenue from the RDOF program during the year ended December 31,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Grants</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 for our construction costs, is generally distributed upon completion of a project. Completion deadlines begin in June 2023 and once these projects are constructed, we are obligated to provide service to the participants. We expect to meet all requirements associated with these grants. A roll forward of our grant awards is below (in thousands).</w:t>
      </w:r>
    </w:p>
    <w:p>
      <w:pPr>
        <w:spacing w:after="0" w:line="41"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6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11,067</w:t>
            </w:r>
          </w:p>
        </w:tc>
      </w:tr>
      <w:tr>
        <w:trPr>
          <w:trHeight w:val="162"/>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New grants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73,384</w:t>
            </w:r>
          </w:p>
        </w:tc>
      </w:tr>
      <w:tr>
        <w:trPr>
          <w:trHeight w:val="16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Cancelled grants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(4,254)</w:t>
            </w:r>
          </w:p>
        </w:tc>
      </w:tr>
      <w:tr>
        <w:trPr>
          <w:trHeight w:val="140"/>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80,197</w:t>
            </w:r>
          </w:p>
        </w:tc>
      </w:tr>
    </w:tbl>
    <w:p>
      <w:pPr>
        <w:spacing w:after="0" w:line="30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addition, we partner with tribal governments to obtain grants under the Tribal Broadband Connectivity Program ("TBCP"). The TBCP is a program administered by the National Telecommunications and Information Administration to deploy broadband connectivity on tribal lands. We were identified as a sub recipient of TBCP grants totaling $145.5 million as of December 31, 2022.</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Replace and Remove Program</w:t>
      </w:r>
    </w:p>
    <w:p>
      <w:pPr>
        <w:spacing w:after="0" w:line="181"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our first request for reimbursement for services performed under the program no later than July 14, 2023 and that we complete the project no later than one year from submitting our initial reimbursement request. We are currently assessing the impact of this program on our financial statements and anticipate that we will be able to meet the deadlines and requirements of the program. At December 31, 2022, we established a receivable for $5.7 million of costs for which we expect to be reimbursed under the program.</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CARES Act</w:t>
      </w:r>
    </w:p>
    <w:p>
      <w:pPr>
        <w:spacing w:after="0" w:line="172"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As of December 31, 2020, we received $16.3 million of funding under the Coronavirus Aid, Relief, and Economic Security Act (“CARES Act”) to construct network infrastructure within our US Telecom segment. During the year ended December 31, 2021, we received an additional $2.4 million of funding for the same purpose. The construction was completed as of December 31, 2021 and $18.4 million of the funding was recorded as a reduction to property, plant and equipment with a subsequent reduction to depreciation expense. The remaining $0.3 million was recorded as a reduction to operating expense in the year ended December 31, 2021.</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CBRS Auction</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During the third quarter of 2020, we participated in the FCC’s Citizens Broadband Radio Service (CBRS) auction for Priority Access Licenses (PALs) in the 3.5 GHz spectrum band. These PALs are licensed on a county-by-county basis and are awarded for a 10-year renewable term. We were a winning bidder for PALs located strategically throughout the United States at a total net cost of $19.3 million. In connection with the awarded licenses, we will have to achieve certain CBRS spectrum build out obligations. We currently expect to comply with all applicable requirements related to these licenses.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Revenue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Effective July 1, 2021, we began to categorize Mobility revenue and Fixed revenue as either “consumer” or “business” based upon the characteristics of our subscribers.</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Effective October 1, 2021, our statement of operations separately reflected Construction revenue. All periods presented have been adjusted to conform to these presentation updates.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Operating Expenses</w:t>
      </w:r>
    </w:p>
    <w:p>
      <w:pPr>
        <w:spacing w:after="0" w:line="172"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Effective January 1, 2021, we changed our presentation of operating expenses in the Condensed Consolidated Statements of Operations by combining the previously disclosed Termination and Access Fees with Engineering and Operations as the newly represented Cost of Communications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our results with industry standards. Cost of construction services continues to be broken out separately and all depreciation and amortization continues to be shown separately.</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Discussion of Results of Operations for the fiscal year ended December 31, 2021 compared to December 31, 2020</w:t>
      </w:r>
    </w:p>
    <w:p>
      <w:pPr>
        <w:spacing w:after="0" w:line="181"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A discussion regarding our results of operations for the fiscal year ended December 31, 2021 compared to 2020 can be found under Item 7 of our Annual Report on Form 10-K for the fiscal year ended December 31, 2021, filed with the SEC on March 16, 2022, which is available on the SEC’s website at www.sec.gov and our Investor Relations website at https://.ir.atni.com under the “Financials &amp; Filings” section.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Selected Segment Financial Information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selected segment information for the years ended December 31, 2022 and 2021 (in thousands):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US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Renewable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93,960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102,431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69,903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196,638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163,408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233,311</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205,073</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438,384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13,459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128,864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142,323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350,651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341,570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17,762</w:t>
            </w:r>
          </w:p>
        </w:tc>
        <w:tc>
          <w:tcPr>
            <w:tcW w:w="0" w:type="dxa"/>
            <w:vAlign w:val="bottom"/>
          </w:tcPr>
          <w:p>
            <w:pPr>
              <w:spacing w:after="0"/>
              <w:rPr>
                <w:sz w:val="1"/>
                <w:szCs w:val="1"/>
                <w:color w:val="auto"/>
              </w:rPr>
            </w:pPr>
          </w:p>
        </w:tc>
      </w:tr>
      <w:tr>
        <w:trPr>
          <w:trHeight w:val="140"/>
        </w:trPr>
        <w:tc>
          <w:tcPr>
            <w:tcW w:w="26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355,581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370,164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US</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Renewable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86,384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93,367</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8,934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102,301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67,458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53,283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166,005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207,902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233,463</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95,180</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328,643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9,937</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107,793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117,730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337,713</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211,907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549,620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Renewable Energy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5,146</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11,635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17,198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342,859</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259,431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33,899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(15,026)</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47</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hanging="224"/>
        <w:spacing w:after="0"/>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Reconciling items refer to corporate overhead costs and consolidating adjustments.</w:t>
      </w:r>
    </w:p>
    <w:p>
      <w:pPr>
        <w:spacing w:after="0" w:line="177"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comparison of our segment results for the years ended December 31, 2022 and 2021 is as follows:</w:t>
      </w:r>
    </w:p>
    <w:p>
      <w:pPr>
        <w:spacing w:after="0" w:line="175" w:lineRule="exact"/>
        <w:rPr>
          <w:sz w:val="20"/>
          <w:szCs w:val="20"/>
          <w:color w:val="auto"/>
        </w:rPr>
      </w:pPr>
    </w:p>
    <w:p>
      <w:pPr>
        <w:ind w:left="20" w:right="5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Revenues within our International Telecom segment increased $12.7 million, or 3.7%, to $355.6 million from $342.9 million for the years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2022 and 2021, respectively, as a result of improved retail and marketing strategies which drove an increase in subscribers and equipment sales within all of our international markets. In addition, our US Virgin Islands and Bermuda markets recognized an increase in Carrier Services revenue as a result of increased transport and access services as well as an increase in roaming revenues due to increased tourism in those markets. These increases, however, were partially offset by a $4.1 million reduction in federal high cost support revenues in the US Virgin Islands.</w:t>
      </w:r>
    </w:p>
    <w:p>
      <w:pPr>
        <w:spacing w:after="0" w:line="142" w:lineRule="exact"/>
        <w:rPr>
          <w:sz w:val="20"/>
          <w:szCs w:val="20"/>
          <w:color w:val="auto"/>
        </w:rPr>
      </w:pPr>
    </w:p>
    <w:p>
      <w:pPr>
        <w:jc w:val="both"/>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Operating expenses within our International Telecom segment decreased by $5.4 million, or 1.7%, to $303.6 million from $309.0 million for the years ended December 31, 2022 and 2021, respectively. The decrease was primarily the result of a $20.6 million impairment of goodwill associated with our US Virgin Island operations during the year ended December 31, 2021 partially offset by a $6.8 million increase in equipment expenses and a $4.7 million increase in retail and marketing costs in 2022.</w:t>
      </w:r>
    </w:p>
    <w:p>
      <w:pPr>
        <w:spacing w:after="0" w:line="146"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As a result, our International Telecom segment’s operating income increased $18.1 million, or 53.4%, to $52.0 million from $33.9 million for the years ended December 31, 2022 and 2021, respectively.</w:t>
      </w:r>
    </w:p>
    <w:p>
      <w:pPr>
        <w:spacing w:after="0" w:line="136" w:lineRule="exact"/>
        <w:rPr>
          <w:sz w:val="20"/>
          <w:szCs w:val="20"/>
          <w:color w:val="auto"/>
        </w:rPr>
      </w:pPr>
    </w:p>
    <w:p>
      <w:pPr>
        <w:ind w:left="20" w:right="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Revenue within our US Telecom segment increased by $110.8 million, or 42.7%, to $370.2 million from $259.4 million for the years ended December 31, 2022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2021, respectively. Of this increase $141.0 million was a result of a full year of our Alaska operations, which were acquired on July 22, 2021, being included in our 2022 results partially offset by a $20.1 million reduction in construction revenue related to the FirstNet Transaction as well as a reduction in roaming revenue due to the restructuring of certain carrier contracts in our western United States operations.</w:t>
      </w:r>
    </w:p>
    <w:p>
      <w:pPr>
        <w:spacing w:after="0" w:line="140"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Operating expenses within our US Telecom segment increased $102.5 million to $375.9 million from $273.4 million for the years ended December 31, 2022 and 2021, respectively, as a result of a full year of our Alaska operations, which were acquired on July 22, 2021, being included in our 2022 results and increases in expenses being incurred in connection with increased data transport and other costs primarily in connection with the fully constructed cell sites as part of the FirstNet Transaction build-out of rural broadband operations. These increases were partially offset by decreases in FirstNet construction costs of $20.3 million and transaction-related expenses, primarily related to the Alaska Transaction, of $9.7 million.</w:t>
      </w:r>
    </w:p>
    <w:p>
      <w:pPr>
        <w:spacing w:after="0" w:line="152"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As a result of the above, our US Telecom segment’s operating loss decreased by $8.3 million to a loss of $5.7 million from a loss of $14.0 million for the years ended December 31, 2022 and 2021, respectively.</w:t>
      </w:r>
    </w:p>
    <w:p>
      <w:pPr>
        <w:spacing w:after="0" w:line="136" w:lineRule="exact"/>
        <w:rPr>
          <w:sz w:val="20"/>
          <w:szCs w:val="20"/>
          <w:color w:val="auto"/>
        </w:rPr>
      </w:pPr>
    </w:p>
    <w:p>
      <w:pPr>
        <w:ind w:left="20" w:right="1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Renewable Energy. </w:t>
      </w:r>
      <w:r>
        <w:rPr>
          <w:rFonts w:ascii="Times New Roman" w:cs="Times New Roman" w:eastAsia="Times New Roman" w:hAnsi="Times New Roman"/>
          <w:sz w:val="12"/>
          <w:szCs w:val="12"/>
          <w:color w:val="auto"/>
        </w:rPr>
        <w:t>Until the completion of the Vibrant Transaction on January 27, 2021, we distributed generation solar power to commercial and industrial customers under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Vibrant name in India. Accordingly, we did not generate revenue or incur operating expenses within our Renewable Energy segment subsequent to that date. For the year ended December 31, 2021, we generated revenue, incurred operating expenses and reported an operating loss of $0.4 million, $2.9 million and $2.5 million, respectively.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a year over year discussion and analysis of our results of operations for the years ended December 31, 2022 and 2021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left="381"/>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center"/>
              <w:ind w:left="361"/>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5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Increase</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0" w:type="dxa"/>
            <w:vAlign w:val="bottom"/>
          </w:tcPr>
          <w:p>
            <w:pPr>
              <w:spacing w:after="0"/>
              <w:rPr>
                <w:sz w:val="1"/>
                <w:szCs w:val="1"/>
                <w:color w:val="auto"/>
              </w:rPr>
            </w:pPr>
          </w:p>
        </w:tc>
      </w:tr>
      <w:tr>
        <w:trPr>
          <w:trHeight w:val="124"/>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(Decrease)</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0" w:type="dxa"/>
            <w:vAlign w:val="bottom"/>
          </w:tcPr>
          <w:p>
            <w:pPr>
              <w:spacing w:after="0"/>
              <w:rPr>
                <w:sz w:val="1"/>
                <w:szCs w:val="1"/>
                <w:color w:val="auto"/>
              </w:rPr>
            </w:pPr>
          </w:p>
        </w:tc>
      </w:tr>
      <w:tr>
        <w:trPr>
          <w:trHeight w:val="115"/>
        </w:trPr>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Communication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692,221</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549,620</w:t>
            </w:r>
          </w:p>
        </w:tc>
        <w:tc>
          <w:tcPr>
            <w:tcW w:w="1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142,601</w:t>
            </w:r>
          </w:p>
        </w:tc>
        <w:tc>
          <w:tcPr>
            <w:tcW w:w="1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25.9 %</w:t>
            </w: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35,889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(20,127)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(56.1)</w:t>
            </w: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17,198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725,745</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602,707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123,038</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communication services and other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312,895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249,322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63,573</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construction revenue</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36,055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(20,292)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(56.3)</w:t>
            </w: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231,805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43,522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Transaction-related charges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(5,423)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(53.1)</w:t>
            </w: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32,406</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5,241</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 impairment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(20,587)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Loss on disposition of long-lived assets</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4,389</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1,630</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717,803</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617,733</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100,070</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tcBorders>
              <w:bottom w:val="single" w:sz="8" w:color="CCEEFF"/>
            </w:tcBorders>
          </w:tcPr>
          <w:p>
            <w:pPr>
              <w:ind w:left="300"/>
              <w:spacing w:after="0" w:line="133" w:lineRule="exact"/>
              <w:rPr>
                <w:sz w:val="20"/>
                <w:szCs w:val="20"/>
                <w:color w:val="auto"/>
              </w:rPr>
            </w:pPr>
            <w:r>
              <w:rPr>
                <w:rFonts w:ascii="Times New Roman" w:cs="Times New Roman" w:eastAsia="Times New Roman" w:hAnsi="Times New Roman"/>
                <w:sz w:val="12"/>
                <w:szCs w:val="12"/>
                <w:color w:val="auto"/>
              </w:rPr>
              <w:t>Income (loss) from operations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7,942</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(15,026)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22,968</w:t>
            </w: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152.9</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(20,417)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(9,614)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(10,803)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(112.4)</w:t>
            </w: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income</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4,245</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Other expense, net</w:t>
            </w: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(15,998)</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(7,661)</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(8,337)</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(108.8)</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(8,056)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(22,687)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14,631</w:t>
            </w: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64.5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(1,878)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(7,583)</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(20,809)</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13,226</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 net of tax:</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40" w:type="dxa"/>
            <w:vAlign w:val="bottom"/>
            <w:vMerge w:val="continue"/>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(5,645)</w:t>
            </w:r>
          </w:p>
        </w:tc>
        <w:tc>
          <w:tcPr>
            <w:tcW w:w="180" w:type="dxa"/>
            <w:vAlign w:val="bottom"/>
            <w:vMerge w:val="restart"/>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(22,108)</w:t>
            </w:r>
          </w:p>
        </w:tc>
        <w:tc>
          <w:tcPr>
            <w:tcW w:w="1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16,463</w:t>
            </w:r>
          </w:p>
        </w:tc>
        <w:tc>
          <w:tcPr>
            <w:tcW w:w="180" w:type="dxa"/>
            <w:vAlign w:val="bottom"/>
          </w:tcPr>
          <w:p>
            <w:pPr>
              <w:spacing w:after="0"/>
              <w:rPr>
                <w:sz w:val="9"/>
                <w:szCs w:val="9"/>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74.5 %</w:t>
            </w:r>
          </w:p>
        </w:tc>
        <w:tc>
          <w:tcPr>
            <w:tcW w:w="0" w:type="dxa"/>
            <w:vAlign w:val="bottom"/>
          </w:tcPr>
          <w:p>
            <w:pPr>
              <w:spacing w:after="0"/>
              <w:rPr>
                <w:sz w:val="1"/>
                <w:szCs w:val="1"/>
                <w:color w:val="auto"/>
              </w:rPr>
            </w:pPr>
          </w:p>
        </w:tc>
      </w:tr>
      <w:tr>
        <w:trPr>
          <w:trHeight w:val="150"/>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 revenue</w:t>
      </w:r>
    </w:p>
    <w:p>
      <w:pPr>
        <w:spacing w:after="0" w:line="177"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Mobility Revenue. </w:t>
      </w:r>
      <w:r>
        <w:rPr>
          <w:rFonts w:ascii="Times New Roman" w:cs="Times New Roman" w:eastAsia="Times New Roman" w:hAnsi="Times New Roman"/>
          <w:sz w:val="12"/>
          <w:szCs w:val="12"/>
          <w:color w:val="auto"/>
        </w:rPr>
        <w:t>Our Mobility revenue consists of retail revenue generated within both our International Telecom and US Telecom segments by providing retail mobile voice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data services over our wireless networks as well as through the sale and repair services of related equipment, such as handsets and other accessories, to our retail subscribers.</w:t>
      </w:r>
    </w:p>
    <w:p>
      <w:pPr>
        <w:spacing w:after="0" w:line="134"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Mobility revenue increased by $7.7 million, or 7.5%, to $110.0 million for the year ended December 31, 2022 from $102.3 million for the year ended December 31, 2021. All $7.7 million of this increase is related to a net increase in revenue from business customers.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increase in Mobility revenue, within our segments, consisted of the following:</w:t>
      </w:r>
    </w:p>
    <w:p>
      <w:pPr>
        <w:spacing w:after="0" w:line="175" w:lineRule="exact"/>
        <w:rPr>
          <w:sz w:val="20"/>
          <w:szCs w:val="20"/>
          <w:color w:val="auto"/>
        </w:rPr>
      </w:pPr>
    </w:p>
    <w:p>
      <w:pPr>
        <w:ind w:left="680" w:right="79" w:hanging="208"/>
        <w:spacing w:after="0" w:line="283" w:lineRule="auto"/>
        <w:tabs>
          <w:tab w:leader="none" w:pos="6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Mobility revenue increased by $9.0 million, or 9.6%, to $102.4 million for the year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from $93.4 million for the year</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80" w:right="299"/>
        <w:spacing w:after="0" w:line="265" w:lineRule="auto"/>
        <w:rPr>
          <w:sz w:val="20"/>
          <w:szCs w:val="20"/>
          <w:color w:val="auto"/>
        </w:rPr>
      </w:pPr>
      <w:r>
        <w:rPr>
          <w:rFonts w:ascii="Times New Roman" w:cs="Times New Roman" w:eastAsia="Times New Roman" w:hAnsi="Times New Roman"/>
          <w:sz w:val="12"/>
          <w:szCs w:val="12"/>
          <w:color w:val="auto"/>
        </w:rPr>
        <w:t>ended December 31, 2021. Mobility revenue increased in each of our markets as total revenue from business customers increased $7.8 million with the remaining $1.2 million of increase being attributable to consumer customers. These increases were the result of improved retail and marketing strategies which led to an increase in subscribers and a $4.1 million increase in equipment sales.</w:t>
      </w:r>
    </w:p>
    <w:p>
      <w:pPr>
        <w:spacing w:after="0" w:line="117" w:lineRule="exact"/>
        <w:rPr>
          <w:sz w:val="20"/>
          <w:szCs w:val="20"/>
          <w:color w:val="auto"/>
        </w:rPr>
      </w:pPr>
    </w:p>
    <w:p>
      <w:pPr>
        <w:ind w:left="680" w:right="99" w:hanging="208"/>
        <w:spacing w:after="0" w:line="266"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Mobility revenue within our US Telecom segment decreased by $1.3 million, or 14.6%, to $7.6 million from $8.9 million for the years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and 2021, respectively. Substantially all of the $1.3 million decrease related to a decrease in revenue from consumers within our retail operations due to a decrease in subscribers.</w:t>
      </w:r>
    </w:p>
    <w:p>
      <w:pPr>
        <w:spacing w:after="0" w:line="290"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We expect that Mobility revenue within our International Telecom segment may increase as a result of an increase in subscribers. However, such growth may be partially offset due to increased competition. We expect that Mobility revenue within our US Telecom segment will decrease over time as we put more emphasis on other revenue sources.</w:t>
      </w:r>
    </w:p>
    <w:p>
      <w:pPr>
        <w:spacing w:after="0" w:line="134"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Fixed Revenue. </w:t>
      </w:r>
      <w:r>
        <w:rPr>
          <w:rFonts w:ascii="Times New Roman" w:cs="Times New Roman" w:eastAsia="Times New Roman" w:hAnsi="Times New Roman"/>
          <w:sz w:val="12"/>
          <w:szCs w:val="12"/>
          <w:color w:val="auto"/>
        </w:rPr>
        <w:t>Fixed revenue is primarily generated by broadband, voice, and video service revenues provided to retail and business customers over our wireline networks.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revenue within our US Telecom segment also includes awards from the Connect America Fund Phase II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136"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Fixed revenue increased by $109.8 million, or 33.4%, to $438.4 million from $328.6 million for the years ended December 31, 2022 and 2021, respectively. Of this increase, $75.9 million and $33.9 million relate to increases in revenue from business and consumer customers, respectively. The increase in Fixed revenue, within our segments, consisted of the following:</w:t>
      </w:r>
    </w:p>
    <w:p>
      <w:pPr>
        <w:spacing w:after="0" w:line="144" w:lineRule="exact"/>
        <w:rPr>
          <w:sz w:val="20"/>
          <w:szCs w:val="20"/>
          <w:color w:val="auto"/>
        </w:rPr>
      </w:pPr>
    </w:p>
    <w:p>
      <w:pPr>
        <w:ind w:left="680" w:right="179" w:hanging="208"/>
        <w:spacing w:after="0" w:line="266" w:lineRule="auto"/>
        <w:tabs>
          <w:tab w:leader="none" w:pos="6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Fixed revenue decreased by $0.2 million, or 0.1%, to $233.3 million from $233.5 million for the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December 31, 2022 and 2021, respectively, as increases in fixed broadband subscribers in all of our international markets and data pricing increases in certain markets were offset by the previously disclosed and scheduled $4.1 million reduction in revenue from the FCC’s High Cost Program in the US Virgin Islands.</w:t>
      </w:r>
    </w:p>
    <w:p>
      <w:pPr>
        <w:spacing w:after="0" w:line="117" w:lineRule="exact"/>
        <w:rPr>
          <w:rFonts w:ascii="Times New Roman" w:cs="Times New Roman" w:eastAsia="Times New Roman" w:hAnsi="Times New Roman"/>
          <w:sz w:val="12"/>
          <w:szCs w:val="12"/>
          <w:color w:val="auto"/>
        </w:rPr>
      </w:pPr>
    </w:p>
    <w:p>
      <w:pPr>
        <w:jc w:val="both"/>
        <w:ind w:left="680" w:right="139" w:hanging="208"/>
        <w:spacing w:after="0" w:line="261" w:lineRule="auto"/>
        <w:tabs>
          <w:tab w:leader="none" w:pos="6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Fixed revenue within our US Telecom segment increased by $109.9 million, or 115.4%, to $205.1 million from $95.2 million for the years ended December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2022 and 2021, respectively. Of this increase $104.8 million was a result of a full year of our Alaska operations, which were acquired on July 22, 2021, being included in our 2022 results. In addition, we recognized a $5.7 million increase within the western United States as a result of an increase in usage for both business and consumer subscribers to support our subscribers’ increased demand for remote working.</w:t>
      </w:r>
    </w:p>
    <w:p>
      <w:pPr>
        <w:spacing w:after="0" w:line="293" w:lineRule="exact"/>
        <w:rPr>
          <w:sz w:val="20"/>
          <w:szCs w:val="20"/>
          <w:color w:val="auto"/>
        </w:rPr>
      </w:pPr>
    </w:p>
    <w:p>
      <w:pPr>
        <w:jc w:val="both"/>
        <w:ind w:left="20" w:right="339" w:firstLine="432"/>
        <w:spacing w:after="0" w:line="260" w:lineRule="auto"/>
        <w:rPr>
          <w:sz w:val="20"/>
          <w:szCs w:val="20"/>
          <w:color w:val="auto"/>
        </w:rPr>
      </w:pPr>
      <w:r>
        <w:rPr>
          <w:rFonts w:ascii="Times New Roman" w:cs="Times New Roman" w:eastAsia="Times New Roman" w:hAnsi="Times New Roman"/>
          <w:sz w:val="12"/>
          <w:szCs w:val="12"/>
          <w:color w:val="auto"/>
        </w:rPr>
        <w:t>Fixed revenue within our International Telecom segment may further decrease as a result of the future scheduled step downs in USF funding in the US Virgin Islands and a decrease in demand for our video services due to subscribers using alternative methods to receive video content. Such decreases, however, may be offset as a result of an increase in demand for broadband and other data services from consumers, businesses and government, driven by such trends as the popularity of video and audio streaming, demand for cloud services and smart home, business and city solutions as well as macro-economic and population growth in places like the Cayman Islands and Guyana.</w:t>
      </w:r>
    </w:p>
    <w:p>
      <w:pPr>
        <w:spacing w:after="0" w:line="140" w:lineRule="exact"/>
        <w:rPr>
          <w:sz w:val="20"/>
          <w:szCs w:val="20"/>
          <w:color w:val="auto"/>
        </w:rPr>
      </w:pPr>
    </w:p>
    <w:p>
      <w:pPr>
        <w:jc w:val="both"/>
        <w:ind w:left="20" w:right="339" w:firstLine="432"/>
        <w:spacing w:after="0" w:line="279" w:lineRule="auto"/>
        <w:rPr>
          <w:sz w:val="20"/>
          <w:szCs w:val="20"/>
          <w:color w:val="auto"/>
        </w:rPr>
      </w:pPr>
      <w:r>
        <w:rPr>
          <w:rFonts w:ascii="Times New Roman" w:cs="Times New Roman" w:eastAsia="Times New Roman" w:hAnsi="Times New Roman"/>
          <w:sz w:val="12"/>
          <w:szCs w:val="12"/>
          <w:color w:val="auto"/>
        </w:rPr>
        <w:t>Within our US Telecom segment, Fixed revenue is expected to increase as both our Alaska operations and our western United States operations, including the impact of the Sacred Wind Transaction, further deploy broadband access to both consumers and businesses.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right="2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Carrier Services Revenue. </w:t>
      </w:r>
      <w:r>
        <w:rPr>
          <w:rFonts w:ascii="Times New Roman" w:cs="Times New Roman" w:eastAsia="Times New Roman" w:hAnsi="Times New Roman"/>
          <w:sz w:val="12"/>
          <w:szCs w:val="12"/>
          <w:color w:val="auto"/>
        </w:rPr>
        <w:t>Carrier Services revenue is generated by both our International Telecom and US Telecom segments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our International Telecom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w:t>
      </w:r>
    </w:p>
    <w:p>
      <w:pPr>
        <w:spacing w:after="0" w:line="148"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Carrier Services revenue increased by $24.6 million, or 20.9%, to $142.3 million from $117.7 million for the years ended December 31, 2022 and 2021, respectively. The increase, within our segments, consisted of the following:</w:t>
      </w:r>
    </w:p>
    <w:p>
      <w:pPr>
        <w:spacing w:after="0" w:line="136" w:lineRule="exact"/>
        <w:rPr>
          <w:sz w:val="20"/>
          <w:szCs w:val="20"/>
          <w:color w:val="auto"/>
        </w:rPr>
      </w:pPr>
    </w:p>
    <w:p>
      <w:pPr>
        <w:jc w:val="both"/>
        <w:ind w:left="680" w:right="79" w:hanging="208"/>
        <w:spacing w:after="0" w:line="266" w:lineRule="auto"/>
        <w:tabs>
          <w:tab w:leader="none" w:pos="6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Carrier Services revenue increased by $3.6 million, or 36.4%, to $13.5 million, from $9.9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2022 and 2021, respectively, as a result of a $2.2 million increase in transport and access services and in tourism, primarily within the US Virgin Islands and Bermuda, that resulted in a $1.4 million increase in roaming revenues.</w:t>
      </w:r>
    </w:p>
    <w:p>
      <w:pPr>
        <w:spacing w:after="0" w:line="117" w:lineRule="exact"/>
        <w:rPr>
          <w:rFonts w:ascii="Times New Roman" w:cs="Times New Roman" w:eastAsia="Times New Roman" w:hAnsi="Times New Roman"/>
          <w:sz w:val="12"/>
          <w:szCs w:val="12"/>
          <w:color w:val="auto"/>
        </w:rPr>
      </w:pPr>
    </w:p>
    <w:p>
      <w:pPr>
        <w:ind w:left="680" w:right="219" w:hanging="208"/>
        <w:spacing w:after="0" w:line="261" w:lineRule="auto"/>
        <w:tabs>
          <w:tab w:leader="none" w:pos="6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Carrier Services revenue within our US Telecom segment increased by $21.1 million, or 19.6%, to $128.9 million from $107.8 million, for the years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2022 and 2021, respectively. Of this increase, $35.0 million was primarily related to a full year of our Alaska operations, which were acquired on July 22, 2021, being included in our 2022 results and a $0.6 million increase in our wholesale long-distance voice services business. These increases were partially offset by a decrease of $14.5 million in our western United States operations primarily as a result of the restructure of certain carrier contracts.</w:t>
      </w:r>
    </w:p>
    <w:p>
      <w:pPr>
        <w:spacing w:after="0" w:line="284" w:lineRule="exact"/>
        <w:rPr>
          <w:sz w:val="20"/>
          <w:szCs w:val="20"/>
          <w:color w:val="auto"/>
        </w:rPr>
      </w:pPr>
    </w:p>
    <w:p>
      <w:pPr>
        <w:ind w:left="20" w:right="119" w:firstLine="432"/>
        <w:spacing w:after="0" w:line="254" w:lineRule="auto"/>
        <w:rPr>
          <w:sz w:val="20"/>
          <w:szCs w:val="20"/>
          <w:color w:val="auto"/>
        </w:rPr>
      </w:pPr>
      <w:r>
        <w:rPr>
          <w:rFonts w:ascii="Times New Roman" w:cs="Times New Roman" w:eastAsia="Times New Roman" w:hAnsi="Times New Roman"/>
          <w:sz w:val="12"/>
          <w:szCs w:val="12"/>
          <w:color w:val="auto"/>
        </w:rPr>
        <w:t>Within our International Telecom segment, Carrier Services revenue may continue to increase if tourism continues to move toward a return to pre-pandemic levels. However, within our International Telecom segment, we expect that Carrier Services revenue from our international long-distance business in Guyana may decrease as consumers seek to use alternative technology services to place long-distance calls. Further, such revenue may decline as the result of the implementation, by the Government of Guyana, of passed legislation which terminates our right to be the exclusive provider of domestic Fixed and international long-distance service in Guyana. While the loss of our exclusive rights in Guyana may cause an immediate reduction in our Carrier Services revenue, the complete impact of the new legislation to our operations will not be fully known until the Government of Guyana makes the terms and conditions of licenses issued to two of our competitors available to us. Over the longer term, such declines in Carrier Services revenue may be offset by increased Fixed revenue from broadband services to consumers and enterprises in Guyana, increased Mobility revenue from an increase in regulated local calling rates in Guyana or possible economic growth within that country.</w:t>
      </w:r>
    </w:p>
    <w:p>
      <w:pPr>
        <w:spacing w:after="0" w:line="155"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Within our US Telecom segment, Carrier Services revenue may decrease as a result of the impact of continued reduced contractual wholesale roaming rates and imposed revenue caps with our Carrier customers.</w:t>
      </w:r>
    </w:p>
    <w:p>
      <w:pPr>
        <w:spacing w:after="0" w:line="134" w:lineRule="exact"/>
        <w:rPr>
          <w:sz w:val="20"/>
          <w:szCs w:val="20"/>
          <w:color w:val="auto"/>
        </w:rPr>
      </w:pPr>
    </w:p>
    <w:p>
      <w:pPr>
        <w:ind w:left="20" w:right="39" w:firstLine="432"/>
        <w:spacing w:after="0" w:line="334" w:lineRule="auto"/>
        <w:rPr>
          <w:sz w:val="20"/>
          <w:szCs w:val="20"/>
          <w:color w:val="auto"/>
        </w:rPr>
      </w:pPr>
      <w:r>
        <w:rPr>
          <w:rFonts w:ascii="Times New Roman" w:cs="Times New Roman" w:eastAsia="Times New Roman" w:hAnsi="Times New Roman"/>
          <w:sz w:val="11"/>
          <w:szCs w:val="11"/>
          <w:b w:val="1"/>
          <w:bCs w:val="1"/>
          <w:color w:val="auto"/>
        </w:rPr>
        <w:t xml:space="preserve">Other Communications Services Revenue. </w:t>
      </w:r>
      <w:r>
        <w:rPr>
          <w:rFonts w:ascii="Times New Roman" w:cs="Times New Roman" w:eastAsia="Times New Roman" w:hAnsi="Times New Roman"/>
          <w:sz w:val="11"/>
          <w:szCs w:val="11"/>
          <w:color w:val="auto"/>
        </w:rPr>
        <w:t>Other Communications Services revenue includes miscellaneous services that the operations within our International Telecom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segment provide to retail subscribers. Other Communications Services revenue increased to $1.5 million from $0.9 million for the years ended December 31, 2022 and 2021, respectively.</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Revenue</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Construction revenue represents revenue generated within our US Telecom segment for the construction of network cell sites related to the FirstNet Agreement. During the years ended December 31, 2022 and 2021, Construction revenue decreased to $15.8 million from $35.9 million, respectively, as a result of a decrease in the number of sites completed during 2022 as compared to 2021. As of December 31, 2022, 75% of the cell sites related to the FirstNet Agreement were completed and we expect to substantially complete the build by the end of 2023.</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Revenue</w:t>
      </w:r>
    </w:p>
    <w:p>
      <w:pPr>
        <w:spacing w:after="0" w:line="321" w:lineRule="exact"/>
        <w:rPr>
          <w:sz w:val="20"/>
          <w:szCs w:val="20"/>
          <w:color w:val="auto"/>
        </w:rPr>
      </w:pPr>
    </w:p>
    <w:p>
      <w:pPr>
        <w:ind w:left="20" w:right="4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Renewable Energy Revenue. </w:t>
      </w:r>
      <w:r>
        <w:rPr>
          <w:rFonts w:ascii="Times New Roman" w:cs="Times New Roman" w:eastAsia="Times New Roman" w:hAnsi="Times New Roman"/>
          <w:sz w:val="12"/>
          <w:szCs w:val="12"/>
          <w:color w:val="auto"/>
        </w:rPr>
        <w:t>As a result of the Vibrant Transaction, we did not generate any renewable energy revenue during the year ended December 31, 2022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generated $0.4 million of renewable energy revenue during the year ended December 31, 2021.</w:t>
      </w:r>
    </w:p>
    <w:p>
      <w:pPr>
        <w:spacing w:after="0" w:line="130"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Managed Services Revenue. </w:t>
      </w:r>
      <w:r>
        <w:rPr>
          <w:rFonts w:ascii="Times New Roman" w:cs="Times New Roman" w:eastAsia="Times New Roman" w:hAnsi="Times New Roman"/>
          <w:sz w:val="12"/>
          <w:szCs w:val="12"/>
          <w:color w:val="auto"/>
        </w:rPr>
        <w:t>Managed Services revenue is generated within both our International and US Telecom segments and includes network, application, infrastructure,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hosting services. Managed Services revenue increased by $1.0 million, or 6.0%, to $17.8 million from $16.8 million for the years ended December 31, 2022 and 2021, respectively.</w:t>
      </w:r>
    </w:p>
    <w:p>
      <w:pPr>
        <w:spacing w:after="0" w:line="123" w:lineRule="exact"/>
        <w:rPr>
          <w:sz w:val="20"/>
          <w:szCs w:val="20"/>
          <w:color w:val="auto"/>
        </w:rPr>
      </w:pPr>
    </w:p>
    <w:p>
      <w:pPr>
        <w:ind w:left="20" w:right="1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Managed Services revenue in our International Telecom segment decreased $0.2 million to $4.9 million, or 3.9%, from $5.1 million for the years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2022 and 2021, respectively.</w:t>
      </w:r>
    </w:p>
    <w:p>
      <w:pPr>
        <w:spacing w:after="0" w:line="134"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Managed Services revenue increased $1.2 million, or 10.3%, to $12.8 million from $11.6 million for the years ended December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2022 and 2021, respectively, primarily related to a full year of our Alaska operations, which were acquired on July 22, 2021, being included in our 2022 results.</w:t>
      </w:r>
    </w:p>
    <w:p>
      <w:pPr>
        <w:spacing w:after="0" w:line="136"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We expect that Managed Services revenue may increase in both our US and International Telecom segments as a result of our continued effort to sell certain Managed Services solutions to both our consumer and business customers in all of our markets.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77"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Cost of communication services and other. </w:t>
      </w:r>
      <w:r>
        <w:rPr>
          <w:rFonts w:ascii="Times New Roman" w:cs="Times New Roman" w:eastAsia="Times New Roman" w:hAnsi="Times New Roman"/>
          <w:sz w:val="12"/>
          <w:szCs w:val="12"/>
          <w:color w:val="auto"/>
        </w:rPr>
        <w:t>Cost of communication services and other are charges that we incur for voice and data transport circuits (in particular, the circuits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50"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and other increased by $63.6 million, or 25.5%, to $312.9 million from $249.3 million for the years ended December 31, 2022 and 2021, respectively. The net increase in cost of communication services and other, within our segments, consisted of the following:</w:t>
      </w:r>
    </w:p>
    <w:p>
      <w:pPr>
        <w:spacing w:after="0" w:line="127" w:lineRule="exact"/>
        <w:rPr>
          <w:sz w:val="20"/>
          <w:szCs w:val="20"/>
          <w:color w:val="auto"/>
        </w:rPr>
      </w:pPr>
    </w:p>
    <w:p>
      <w:pPr>
        <w:ind w:left="480" w:right="119" w:hanging="224"/>
        <w:spacing w:after="0" w:line="223" w:lineRule="auto"/>
        <w:tabs>
          <w:tab w:leader="none" w:pos="4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cost of communication services and other increased by $3.3 million, or 2.4%, to $140.1 million from $136.8</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years ended December 31, 2022 and 2021, respectively. This increase was the result of a $6.8 million increase in equipment expenses, primarily the cost of handsets, as a result of improved retail and marketing strategies which led to an increase in subscribers and handset sales, partially offset by a reduction in regulatory costs in certain markets.</w:t>
      </w:r>
    </w:p>
    <w:p>
      <w:pPr>
        <w:spacing w:after="0" w:line="87" w:lineRule="exact"/>
        <w:rPr>
          <w:rFonts w:ascii="Times New Roman" w:cs="Times New Roman" w:eastAsia="Times New Roman" w:hAnsi="Times New Roman"/>
          <w:sz w:val="19"/>
          <w:szCs w:val="19"/>
          <w:color w:val="auto"/>
          <w:vertAlign w:val="superscript"/>
        </w:rPr>
      </w:pPr>
    </w:p>
    <w:p>
      <w:pPr>
        <w:ind w:left="480" w:right="179" w:hanging="224"/>
        <w:spacing w:after="0" w:line="258"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Cost of communication services and other within our US Telecom segment increased by $60.6 million, or 53.8%, to $173.3 million from $112.7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2022 and 2021, respectively. Of this increase, $60.2 million was a result of a full year of our Alaska operations, which were acquired on July 22, 2021, being included in our 2022 results, a $2.3 million increase in data transport and other costs primarily in connection with the fully constructed cell sites as part of the FirstNet Transaction and an $0.8 million increase within our wholesale long-distance voice services business to support its increased revenues. These increases were partially offset by a $2.3 million decrease in our private network business which terminated its operations in early 2022.</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79" w:firstLine="432"/>
        <w:spacing w:after="0" w:line="257" w:lineRule="auto"/>
        <w:rPr>
          <w:sz w:val="20"/>
          <w:szCs w:val="20"/>
          <w:color w:val="auto"/>
        </w:rPr>
      </w:pPr>
      <w:r>
        <w:rPr>
          <w:rFonts w:ascii="Times New Roman" w:cs="Times New Roman" w:eastAsia="Times New Roman" w:hAnsi="Times New Roman"/>
          <w:sz w:val="12"/>
          <w:szCs w:val="12"/>
          <w:color w:val="auto"/>
        </w:rPr>
        <w:t>We expect that cost of communication services and other may increase within our International Telecom segment due to an expected increase in roaming costs if tourism continues to return to pre-pandemic levels. Within the US Telecom segment, these expenses are expected to increase in connection with our expected increase in fixed revenue, an increase in the expenses associated with our funding award under the CARES Act and anticipated expenses in connection with our performance related to the construction phase of our FirstNet Transaction which is expected to be completed in 2023. In addition, we expect cost of services may increase as a result of continued inflationary pressure, issues facing the global supply chain and geopolitical uncertainty.</w:t>
      </w:r>
    </w:p>
    <w:p>
      <w:pPr>
        <w:spacing w:after="0" w:line="148" w:lineRule="exact"/>
        <w:rPr>
          <w:sz w:val="20"/>
          <w:szCs w:val="20"/>
          <w:color w:val="auto"/>
        </w:rPr>
      </w:pPr>
    </w:p>
    <w:p>
      <w:pPr>
        <w:ind w:left="20" w:right="5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Cost of construction revenue. </w:t>
      </w:r>
      <w:r>
        <w:rPr>
          <w:rFonts w:ascii="Times New Roman" w:cs="Times New Roman" w:eastAsia="Times New Roman" w:hAnsi="Times New Roman"/>
          <w:sz w:val="12"/>
          <w:szCs w:val="12"/>
          <w:color w:val="auto"/>
        </w:rPr>
        <w:t>Cost of construction revenue includes the expenses incurred in connection with the construction of and the delivery to AT&amp;T of cell sites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our FirstNet Agreement. During the year ended December 31, 2022 and 2021, cost of construction revenue decreased to $15.8 million from $36.1 million as a result of a decrease in the number of sites completed during 2022 as compared to 2021. As of December 31, 2022, 75% of the cell sites related to the FirstNet Agreement and we expect to substantially complete the build by the end of 2023.</w:t>
      </w:r>
    </w:p>
    <w:p>
      <w:pPr>
        <w:spacing w:after="0" w:line="144" w:lineRule="exact"/>
        <w:rPr>
          <w:sz w:val="20"/>
          <w:szCs w:val="20"/>
          <w:color w:val="auto"/>
        </w:rPr>
      </w:pPr>
    </w:p>
    <w:p>
      <w:pPr>
        <w:ind w:left="20" w:right="7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39"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increased by $43.5 million, or 23.1%, to $231.8 million from $188.3 million for the years ended December 31, 2022 and 2021, respectively. The net increase in selling, general and administrative expenses, within our segments, consisted of the following:</w:t>
      </w:r>
    </w:p>
    <w:p>
      <w:pPr>
        <w:spacing w:after="0" w:line="136" w:lineRule="exact"/>
        <w:rPr>
          <w:sz w:val="20"/>
          <w:szCs w:val="20"/>
          <w:color w:val="auto"/>
        </w:rPr>
      </w:pPr>
    </w:p>
    <w:p>
      <w:pPr>
        <w:ind w:left="480" w:right="159" w:hanging="224"/>
        <w:spacing w:after="0" w:line="266"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our selling, general and administrative expenses increased by $8.3 million, or 8.7%, to $104.2 million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$95.9 million for the years ended December 31, 2022 and 2021, respectively. This increase was incurred within all of our international markets primarily as a result of an increase in our sales and marketing capabilities to support the expansion of our subscriber base.</w:t>
      </w:r>
    </w:p>
    <w:p>
      <w:pPr>
        <w:spacing w:after="0" w:line="117" w:lineRule="exact"/>
        <w:rPr>
          <w:rFonts w:ascii="Times New Roman" w:cs="Times New Roman" w:eastAsia="Times New Roman" w:hAnsi="Times New Roman"/>
          <w:sz w:val="12"/>
          <w:szCs w:val="12"/>
          <w:color w:val="auto"/>
        </w:rPr>
      </w:pPr>
    </w:p>
    <w:p>
      <w:pPr>
        <w:ind w:left="480" w:right="179" w:hanging="224"/>
        <w:spacing w:after="0" w:line="261"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Selling, general and administrative expenses increased within our US Telecom segment by $33.3 million, or 53.0%, to $96.1 million from $62.8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2022 and 2021, respectively. Of this increase, $39.2 million was the result of a full year of our Alaska operations, which were acquired on July 22, 2021, being included in our 2022 results and an increase in such costs in connection with the First Net Transaction partially offset by an $8.8 million reduction of costs within our private network business which terminated its operations in early 2022.</w:t>
      </w:r>
    </w:p>
    <w:p>
      <w:pPr>
        <w:spacing w:after="0" w:line="119" w:lineRule="exact"/>
        <w:rPr>
          <w:rFonts w:ascii="Times New Roman" w:cs="Times New Roman" w:eastAsia="Times New Roman" w:hAnsi="Times New Roman"/>
          <w:sz w:val="12"/>
          <w:szCs w:val="12"/>
          <w:color w:val="auto"/>
        </w:rPr>
      </w:pPr>
    </w:p>
    <w:p>
      <w:pPr>
        <w:ind w:left="480" w:right="459" w:hanging="224"/>
        <w:spacing w:after="0" w:line="283"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Renewable Energy. </w:t>
      </w:r>
      <w:r>
        <w:rPr>
          <w:rFonts w:ascii="Times New Roman" w:cs="Times New Roman" w:eastAsia="Times New Roman" w:hAnsi="Times New Roman"/>
          <w:sz w:val="12"/>
          <w:szCs w:val="12"/>
          <w:color w:val="auto"/>
        </w:rPr>
        <w:t>During the years ended December 31, 2022 and 2021, our Renewable Energy segment incurred $0.1 million and $0.6 million of selling, general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administrative expenses, respectively, as a result of the Vibrant Transaction.</w:t>
      </w:r>
    </w:p>
    <w:p>
      <w:pPr>
        <w:spacing w:after="0" w:line="277" w:lineRule="exact"/>
        <w:rPr>
          <w:rFonts w:ascii="Times New Roman" w:cs="Times New Roman" w:eastAsia="Times New Roman" w:hAnsi="Times New Roman"/>
          <w:sz w:val="12"/>
          <w:szCs w:val="12"/>
          <w:color w:val="auto"/>
        </w:rPr>
      </w:pPr>
    </w:p>
    <w:p>
      <w:pPr>
        <w:ind w:left="480" w:right="179" w:hanging="224"/>
        <w:spacing w:after="0" w:line="266"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Corporate Overhead. </w:t>
      </w:r>
      <w:r>
        <w:rPr>
          <w:rFonts w:ascii="Times New Roman" w:cs="Times New Roman" w:eastAsia="Times New Roman" w:hAnsi="Times New Roman"/>
          <w:sz w:val="12"/>
          <w:szCs w:val="12"/>
          <w:color w:val="auto"/>
        </w:rPr>
        <w:t>Selling, general and administrative expenses within our corporate overhead increased by $2.4 million, or 8.3%, to $31.4 million from $29.0 million,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years ended December 31, 2022 and 2021, respectively, primarily related to an increase in professional fees and integration costs associated with the completion of the Alaska Transaction.</w:t>
      </w:r>
    </w:p>
    <w:p>
      <w:pPr>
        <w:spacing w:after="0" w:line="137"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We expect that selling, general and administrative expenses may increase in our international telecom segment to support our expanded operations. Within the US Telecom segment, we expect an increase in these costs as a result of expected costs associated with the impact of the construction phase of the FirstNet Transaction, the Sacred Wind Transaction, our commitments under the Cares Act funding and other network expansions in Alaska and the southwest US. Our Corporate Overhead segment may also experience an increase in these expenses to support our expanding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operations. In addition, we expect our selling, general, and administrative expenses may increase as a result of continued inflationary pressure, issues facing the global supply chain and geopolitical uncertainty.</w:t>
      </w:r>
    </w:p>
    <w:p>
      <w:pPr>
        <w:spacing w:after="0" w:line="134" w:lineRule="exact"/>
        <w:rPr>
          <w:sz w:val="20"/>
          <w:szCs w:val="20"/>
          <w:color w:val="auto"/>
        </w:rPr>
      </w:pPr>
    </w:p>
    <w:p>
      <w:pPr>
        <w:ind w:left="20" w:right="1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Transaction-related charges. </w:t>
      </w:r>
      <w:r>
        <w:rPr>
          <w:rFonts w:ascii="Times New Roman" w:cs="Times New Roman" w:eastAsia="Times New Roman" w:hAnsi="Times New Roman"/>
          <w:sz w:val="12"/>
          <w:szCs w:val="12"/>
          <w:color w:val="auto"/>
        </w:rPr>
        <w:t>Transaction-related charges include the external costs, such as legal, tax, accounting and consulting fees directly associated with acquisition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incurred $4.8 million and $10.2 million of transaction-related charges during the years ended December 31, 2022 and 2021, respectively.</w:t>
      </w:r>
    </w:p>
    <w:p>
      <w:pPr>
        <w:spacing w:after="0" w:line="164" w:lineRule="exact"/>
        <w:rPr>
          <w:sz w:val="20"/>
          <w:szCs w:val="20"/>
          <w:color w:val="auto"/>
        </w:rPr>
      </w:pPr>
    </w:p>
    <w:p>
      <w:pPr>
        <w:ind w:left="20" w:right="459" w:firstLine="49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we record on our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equipment.</w:t>
      </w:r>
    </w:p>
    <w:p>
      <w:pPr>
        <w:spacing w:after="0" w:line="134" w:lineRule="exact"/>
        <w:rPr>
          <w:sz w:val="20"/>
          <w:szCs w:val="20"/>
          <w:color w:val="auto"/>
        </w:rPr>
      </w:pPr>
    </w:p>
    <w:p>
      <w:pPr>
        <w:ind w:left="20" w:right="519"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increased by $32.4 million, or 31.5%, to $135.1 million from $102.7 million for the years ended December 31, 2022 and 2021, respectively. The net increase in depreciation and amortization expenses, within our segments, consisted primarily of the following:</w:t>
      </w:r>
    </w:p>
    <w:p>
      <w:pPr>
        <w:spacing w:after="0" w:line="136" w:lineRule="exact"/>
        <w:rPr>
          <w:sz w:val="20"/>
          <w:szCs w:val="20"/>
          <w:color w:val="auto"/>
        </w:rPr>
      </w:pPr>
    </w:p>
    <w:p>
      <w:pPr>
        <w:ind w:left="480" w:right="79" w:hanging="224"/>
        <w:spacing w:after="0" w:line="266"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Depreciation and amortization expenses increased within our International Telecom segment by $2.7 million, or 5.0%, to $56.6 million from $53.9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years ended December 31, 2022 and 2021, respectively. Increases were incurred in all of our international markets as a result of recent capital expenditures used to expand and upgrade our network operations.</w:t>
      </w:r>
    </w:p>
    <w:p>
      <w:pPr>
        <w:spacing w:after="0" w:line="117" w:lineRule="exact"/>
        <w:rPr>
          <w:rFonts w:ascii="Times New Roman" w:cs="Times New Roman" w:eastAsia="Times New Roman" w:hAnsi="Times New Roman"/>
          <w:sz w:val="12"/>
          <w:szCs w:val="12"/>
          <w:color w:val="auto"/>
        </w:rPr>
      </w:pPr>
    </w:p>
    <w:p>
      <w:pPr>
        <w:ind w:left="480" w:right="59" w:hanging="224"/>
        <w:spacing w:after="0" w:line="266"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Depreciation and amortization expenses increased within our US Telecom segment by $31.4 million, or 72.0%, to $75.0 million from $43.6 million, for the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December 31, 2022 and 2021, respectively, primarily as a result of a full year of our Alaska operations, which were acquired on July 22, 2021, being included in our 2022 results, the Sacred Wind Transaction, which was completed in November 2022, and the depreciation expense recorded on recent capital expenditures.</w:t>
      </w:r>
    </w:p>
    <w:p>
      <w:pPr>
        <w:spacing w:after="0" w:line="117" w:lineRule="exact"/>
        <w:rPr>
          <w:rFonts w:ascii="Times New Roman" w:cs="Times New Roman" w:eastAsia="Times New Roman" w:hAnsi="Times New Roman"/>
          <w:sz w:val="12"/>
          <w:szCs w:val="12"/>
          <w:color w:val="auto"/>
        </w:rPr>
      </w:pPr>
    </w:p>
    <w:p>
      <w:pPr>
        <w:ind w:left="480" w:right="399" w:hanging="224"/>
        <w:spacing w:after="0" w:line="283"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Renewable Energy</w:t>
      </w:r>
      <w:r>
        <w:rPr>
          <w:rFonts w:ascii="Times New Roman" w:cs="Times New Roman" w:eastAsia="Times New Roman" w:hAnsi="Times New Roman"/>
          <w:sz w:val="12"/>
          <w:szCs w:val="12"/>
          <w:color w:val="auto"/>
        </w:rPr>
        <w:t>. Our Renewable Energy segment did not record any depreciation and amortization expense during the year ended December 31, 2022 as a result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Vibrant Transaction. This segment incurred $0.2 million of depreciation and amortization expenses during the year ended December 31, 2021.</w:t>
      </w:r>
    </w:p>
    <w:p>
      <w:pPr>
        <w:spacing w:after="0" w:line="106" w:lineRule="exact"/>
        <w:rPr>
          <w:rFonts w:ascii="Times New Roman" w:cs="Times New Roman" w:eastAsia="Times New Roman" w:hAnsi="Times New Roman"/>
          <w:sz w:val="12"/>
          <w:szCs w:val="12"/>
          <w:color w:val="auto"/>
        </w:rPr>
      </w:pPr>
    </w:p>
    <w:p>
      <w:pPr>
        <w:ind w:left="480" w:right="259" w:hanging="224"/>
        <w:spacing w:after="0" w:line="283"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Corporate Overhead</w:t>
      </w:r>
      <w:r>
        <w:rPr>
          <w:rFonts w:ascii="Times New Roman" w:cs="Times New Roman" w:eastAsia="Times New Roman" w:hAnsi="Times New Roman"/>
          <w:sz w:val="12"/>
          <w:szCs w:val="12"/>
          <w:color w:val="auto"/>
        </w:rPr>
        <w:t>. Depreciation and amortization expenses decreased within our corporate overhead by $1.6 million, or 31.4%, to $3.5 million from $5.1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2022 and 2021, respectively, primarily as a result of certain assets becoming fully depreciated in recent periods.</w:t>
      </w:r>
    </w:p>
    <w:p>
      <w:pPr>
        <w:spacing w:after="0" w:line="271"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We expect depreciation and amortization expense to increase within our International Telecom and US Telecom segments as we acquire tangible assets to expand or upgrade our telecommunications networks.</w:t>
      </w:r>
    </w:p>
    <w:p>
      <w:pPr>
        <w:spacing w:after="0" w:line="134"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completed acquisitions.</w:t>
      </w:r>
    </w:p>
    <w:p>
      <w:pPr>
        <w:spacing w:after="0" w:line="134" w:lineRule="exact"/>
        <w:rPr>
          <w:sz w:val="20"/>
          <w:szCs w:val="20"/>
          <w:color w:val="auto"/>
        </w:rPr>
      </w:pPr>
    </w:p>
    <w:p>
      <w:pPr>
        <w:ind w:left="20" w:right="399" w:firstLine="432"/>
        <w:spacing w:after="0" w:line="279" w:lineRule="auto"/>
        <w:rPr>
          <w:sz w:val="20"/>
          <w:szCs w:val="20"/>
          <w:color w:val="auto"/>
        </w:rPr>
      </w:pPr>
      <w:r>
        <w:rPr>
          <w:rFonts w:ascii="Times New Roman" w:cs="Times New Roman" w:eastAsia="Times New Roman" w:hAnsi="Times New Roman"/>
          <w:sz w:val="12"/>
          <w:szCs w:val="12"/>
          <w:color w:val="auto"/>
        </w:rPr>
        <w:t>Amortization of intangibles from acquisitions increased by $5.2 million to $13.0 million from $7.8 million for the years ended December 31, 2022 and 2021, respectively, primarily as a result of the Alaska Transaction which was completed on July 22, 2021.</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expect that amortization of intangibles from acquisitions will decrease as such costs continue to amortize.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1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Goodwill Impairment. </w:t>
      </w:r>
      <w:r>
        <w:rPr>
          <w:rFonts w:ascii="Times New Roman" w:cs="Times New Roman" w:eastAsia="Times New Roman" w:hAnsi="Times New Roman"/>
          <w:sz w:val="12"/>
          <w:szCs w:val="12"/>
          <w:color w:val="auto"/>
        </w:rPr>
        <w:t>During the year ended December 31, 2021, we recorded a $20.6 million impairment charge within out International Telecom segment. See Note 7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Consolidated Financial Statements in this report.</w:t>
      </w:r>
    </w:p>
    <w:p>
      <w:pPr>
        <w:spacing w:after="0" w:line="130" w:lineRule="exact"/>
        <w:rPr>
          <w:sz w:val="20"/>
          <w:szCs w:val="20"/>
          <w:color w:val="auto"/>
        </w:rPr>
      </w:pPr>
    </w:p>
    <w:p>
      <w:pPr>
        <w:ind w:left="20" w:right="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Loss on disposition of long-lived assets</w:t>
      </w:r>
      <w:r>
        <w:rPr>
          <w:rFonts w:ascii="Times New Roman" w:cs="Times New Roman" w:eastAsia="Times New Roman" w:hAnsi="Times New Roman"/>
          <w:sz w:val="12"/>
          <w:szCs w:val="12"/>
          <w:color w:val="auto"/>
        </w:rPr>
        <w:t>. During the year ended December 31, 2022, we recorded a loss on the disposition of long-lived assets of $4.4 million. Of this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$2.5 million was incurred in our US Telecom segment relating to the disposal of certain assets while $1.2 million was incurred in our International Telecom segment as a result of the disposal of certain assets. The remaining $0.7 million pertains to the final settlement of the Vibrant Transaction within our Renewable Energy segment.</w:t>
      </w:r>
    </w:p>
    <w:p>
      <w:pPr>
        <w:spacing w:after="0" w:line="145"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2021, we recorded a loss on the disposition of long-lived assets of $2.8 million, primarily related to the Vibrant Transaction and the disposal of certain telecommunications licenses within the US Telecom segment.</w:t>
      </w:r>
    </w:p>
    <w:p>
      <w:pPr>
        <w:spacing w:after="0" w:line="125" w:lineRule="exact"/>
        <w:rPr>
          <w:sz w:val="20"/>
          <w:szCs w:val="20"/>
          <w:color w:val="auto"/>
        </w:rPr>
      </w:pPr>
    </w:p>
    <w:p>
      <w:pPr>
        <w:ind w:left="20" w:right="11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2"/>
          <w:szCs w:val="12"/>
          <w:color w:val="auto"/>
        </w:rPr>
        <w:t>Interest income represents interest earned on our cash, cash equivalents, restricted cash and short-term investment balances. Interest income was $0.2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$0.1 million for the years ended December 31, 2022 and 2021, respectively.</w:t>
      </w:r>
    </w:p>
    <w:p>
      <w:pPr>
        <w:spacing w:after="0" w:line="130" w:lineRule="exact"/>
        <w:rPr>
          <w:sz w:val="20"/>
          <w:szCs w:val="20"/>
          <w:color w:val="auto"/>
        </w:rPr>
      </w:pPr>
    </w:p>
    <w:p>
      <w:pPr>
        <w:ind w:left="20" w:right="11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2"/>
          <w:szCs w:val="12"/>
          <w:color w:val="auto"/>
        </w:rPr>
        <w:t>We incur interest expense on the 2019 CoBank Credit Facility, the Alaska Credit and Term Facilities (beginning in July 2021 and in conjunction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completion of the Alaska Transaction), the Viya Debt, the One Communications Debt and the Receivables Credit Facility (each as defined below). Beginning in November 2022, and in conjunction with the Sacred Wind Transaction, interest expense includes interest expense on the Sacred Wind Term Debt. In addition, interest expense also includes commitment fees, letter of credit fees and the amortization of debt issuance costs.</w:t>
      </w:r>
    </w:p>
    <w:p>
      <w:pPr>
        <w:spacing w:after="0" w:line="148" w:lineRule="exact"/>
        <w:rPr>
          <w:sz w:val="20"/>
          <w:szCs w:val="20"/>
          <w:color w:val="auto"/>
        </w:rPr>
      </w:pPr>
    </w:p>
    <w:p>
      <w:pPr>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Interest expense increased to $20.4 million from $9.6 million for the years ended December 31, 2022 and 2021, respectively, as additional interest expense was incurred as a result of a full year of our Alaska operations, which were acquired on July 22, 2021, and new borrowings under the 2019 CoBank Credit Facility, the Alaska Credit Facility and the Receivables Credit Facility as well as an increase in interest rates.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expect that interest expense may increase in future periods as a result of increased interest rates and borrowings.</w:t>
      </w:r>
    </w:p>
    <w:p>
      <w:pPr>
        <w:spacing w:after="0" w:line="173" w:lineRule="exact"/>
        <w:rPr>
          <w:sz w:val="20"/>
          <w:szCs w:val="20"/>
          <w:color w:val="auto"/>
        </w:rPr>
      </w:pPr>
    </w:p>
    <w:p>
      <w:pPr>
        <w:ind w:left="20" w:right="2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Other income (expenses). </w:t>
      </w:r>
      <w:r>
        <w:rPr>
          <w:rFonts w:ascii="Times New Roman" w:cs="Times New Roman" w:eastAsia="Times New Roman" w:hAnsi="Times New Roman"/>
          <w:sz w:val="12"/>
          <w:szCs w:val="12"/>
          <w:color w:val="auto"/>
        </w:rPr>
        <w:t>For the year ended December 31, 2022, other income (expenses) was $4.3 million of income primarily related to $5.7 million of gains from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noncontrolling investments partially offset by $0.9 million of increased expenses associated with certain employee benefit plans and $0.9 million of losses on foreign currency transactions.</w:t>
      </w:r>
    </w:p>
    <w:p>
      <w:pPr>
        <w:spacing w:after="0" w:line="145"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2021, other income (expenses) was $1.8 million of income primarily related to $2.8 million of income related to certain employee benefit plans and other miscellaneous income partially offset by $0.9 million relating to losses on foreign currency transactions.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Our effective tax rate for the years ended December 31, 2022 and 2021 was 5.9% and 8.3%, respectively.</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effective tax rate for the year ended December 31, 2022 was primarily impacted by the following items: (i) a $4.1 million net increase of unrecognized tax positions, (ii) a $2.1 million net increase for permanently non-deductible expenses, (iii) a $2.1 million net increase related to valuation allowances placed on certain deferred tax assets and (iv) the mix of income generated among the jurisdictions in we operate along with the exclusion of losses in jurisdictions where valuation allowances have been established for deferred tax assets as required by ASC 740-270-30-36(a).</w:t>
      </w:r>
    </w:p>
    <w:p>
      <w:pPr>
        <w:spacing w:after="0" w:line="149"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Our effective tax rate for the year ended December 31, 2021 was primarily impacted by the following items: (i) a $0.9 million provision related to certain transactional charges incurred in connection with acquisitions for which there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19"/>
        <w:spacing w:after="0" w:line="265" w:lineRule="auto"/>
        <w:rPr>
          <w:sz w:val="20"/>
          <w:szCs w:val="20"/>
          <w:color w:val="auto"/>
        </w:rPr>
      </w:pPr>
      <w:r>
        <w:rPr>
          <w:rFonts w:ascii="Times New Roman" w:cs="Times New Roman" w:eastAsia="Times New Roman" w:hAnsi="Times New Roman"/>
          <w:sz w:val="12"/>
          <w:szCs w:val="12"/>
          <w:color w:val="auto"/>
        </w:rPr>
        <w:t>is no tax benefit, (ii) a $2.5 million net increase of unrecognized tax positions, (iii) a $1.7 million net increase for permanently non-deductible expenses, and (iv) the mix of income generated among the jurisdictions in which we operate along with the exclusion of losses in jurisdictions where valuation allowances have been established for deferred tax assets as required by ASC 740-270-30-36(a), primarily in the US Virgin Islands.</w:t>
      </w:r>
    </w:p>
    <w:p>
      <w:pPr>
        <w:spacing w:after="0" w:line="146"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148"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Net income attributable to noncontrolling interests, net of tax. </w:t>
      </w:r>
      <w:r>
        <w:rPr>
          <w:rFonts w:ascii="Times New Roman" w:cs="Times New Roman" w:eastAsia="Times New Roman" w:hAnsi="Times New Roman"/>
          <w:sz w:val="12"/>
          <w:szCs w:val="12"/>
          <w:color w:val="auto"/>
        </w:rPr>
        <w:t>Net income attributable to noncontrolling interests, net of tax reflected an allocation of $1.9 million of losses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$1.3 million of income generated by our less than wholly owned subsidiaries for the years ended December 31, 2022 and 2021, respectively. Changes in net income attributable to noncontrolling interests, net of tax, within our segments, consisted of the following:</w:t>
      </w:r>
    </w:p>
    <w:p>
      <w:pPr>
        <w:spacing w:after="0" w:line="134" w:lineRule="exact"/>
        <w:rPr>
          <w:sz w:val="20"/>
          <w:szCs w:val="20"/>
          <w:color w:val="auto"/>
        </w:rPr>
      </w:pPr>
    </w:p>
    <w:p>
      <w:pPr>
        <w:ind w:left="480" w:right="59" w:hanging="224"/>
        <w:spacing w:after="0" w:line="266" w:lineRule="auto"/>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net income attributable to noncontrolling interests, net of tax decreased by $0.9 million, or 12.0%, to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allocation of $6.6 million of income from an allocation of $7.5 million of income for the years ended December 31, 2022 and 2021, respectively, primarily as a result of reduced profitability at certain less than wholly owned subsidiaries partially offset by an increase in our ownership and profitability in other international markets.</w:t>
      </w:r>
    </w:p>
    <w:p>
      <w:pPr>
        <w:spacing w:after="0" w:line="117" w:lineRule="exact"/>
        <w:rPr>
          <w:rFonts w:ascii="Times New Roman" w:cs="Times New Roman" w:eastAsia="Times New Roman" w:hAnsi="Times New Roman"/>
          <w:sz w:val="12"/>
          <w:szCs w:val="12"/>
          <w:color w:val="auto"/>
        </w:rPr>
      </w:pPr>
    </w:p>
    <w:p>
      <w:pPr>
        <w:ind w:left="480" w:right="259" w:hanging="224"/>
        <w:spacing w:after="0" w:line="261" w:lineRule="auto"/>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net income attributable to noncontrolling interests, net of tax increased by $3.1 million, or 56.4%, to an allocation of losses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$8.6 million from an allocation of losses of $5.5 million for the years ended December 31, 2022 and 2021, respectively, as a result of the Alaska Transaction, which was completed on July 22, 2021, reduced profitability in certain less than wholly owned subsidiaries within our US Mobility operations and the impact of the Sacred Wind Transaction.</w:t>
      </w:r>
    </w:p>
    <w:p>
      <w:pPr>
        <w:spacing w:after="0" w:line="145" w:lineRule="exact"/>
        <w:rPr>
          <w:sz w:val="20"/>
          <w:szCs w:val="20"/>
          <w:color w:val="auto"/>
        </w:rPr>
      </w:pPr>
    </w:p>
    <w:p>
      <w:pPr>
        <w:ind w:left="20" w:right="1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income (loss) attributable to ATN International, Inc. stockholders. </w:t>
      </w:r>
      <w:r>
        <w:rPr>
          <w:rFonts w:ascii="Times New Roman" w:cs="Times New Roman" w:eastAsia="Times New Roman" w:hAnsi="Times New Roman"/>
          <w:sz w:val="12"/>
          <w:szCs w:val="12"/>
          <w:color w:val="auto"/>
        </w:rPr>
        <w:t>Net income (loss) attributable to ATN International, Inc. stockholders was a loss of $5.6 million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year ended December 31, 2022 as compared to a loss of $22.1 million for the year ended December 31, 2021.</w:t>
      </w:r>
    </w:p>
    <w:p>
      <w:pPr>
        <w:spacing w:after="0" w:line="13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a per diluted share basis, net income (loss) was a loss of $0.67 per diluted share for the year ended December 31, 2022 as compared to a loss of $1.52 per diluted share for the year ended December 31, 2021. Such per share amounts were negatively impacted by accrued preferred dividends of $4.9 million and $2.0 million.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Regulatory and Tax Issues</w:t>
      </w:r>
    </w:p>
    <w:p>
      <w:pPr>
        <w:spacing w:after="0" w:line="181"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212529"/>
        </w:rPr>
        <w:t>We are involved in a number of regulatory and tax proceedings. A material and adverse outcome in one or more of these proceedings could have a material adverse impact on our financial condition and future operations. For discussion of ongoing proceedings, see Note 11 to the Consolidated Financial Statements in this Report.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availability under our current credit facilities will be sufficient to meet our cash needs for at least the next twelve months for working capital needs and capital expenditures.</w:t>
      </w:r>
    </w:p>
    <w:p>
      <w:pPr>
        <w:spacing w:after="0" w:line="175" w:lineRule="exact"/>
        <w:rPr>
          <w:sz w:val="20"/>
          <w:szCs w:val="20"/>
          <w:color w:val="auto"/>
        </w:rPr>
      </w:pPr>
    </w:p>
    <w:p>
      <w:pPr>
        <w:ind w:left="20" w:right="2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Total liquidity. </w:t>
      </w:r>
      <w:r>
        <w:rPr>
          <w:rFonts w:ascii="Times New Roman" w:cs="Times New Roman" w:eastAsia="Times New Roman" w:hAnsi="Times New Roman"/>
          <w:sz w:val="12"/>
          <w:szCs w:val="12"/>
          <w:color w:val="auto"/>
        </w:rPr>
        <w:t>As of December 31, 2022, we had approximately $59.7 million in cash, cash equivalents, and restricted cash. Of this amount, $19.4 million was held by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foreign subsidiaries and is indefinitely invested outside the United States. In addition, we had approximately $421.9 million of debt, net of unamortized deferred financing costs, as of December 31, 2022. How and when we deploy our balance sheet capacity will figure prominently in our longer-term growth prospects and stockholder returns.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Uses of Cash</w:t>
      </w:r>
    </w:p>
    <w:p>
      <w:pPr>
        <w:spacing w:after="0" w:line="170" w:lineRule="exact"/>
        <w:rPr>
          <w:sz w:val="20"/>
          <w:szCs w:val="20"/>
          <w:color w:val="auto"/>
        </w:rPr>
      </w:pPr>
    </w:p>
    <w:p>
      <w:pPr>
        <w:ind w:left="20" w:right="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Acquisitions and investments. </w:t>
      </w:r>
      <w:r>
        <w:rPr>
          <w:rFonts w:ascii="Times New Roman" w:cs="Times New Roman" w:eastAsia="Times New Roman" w:hAnsi="Times New Roman"/>
          <w:sz w:val="12"/>
          <w:szCs w:val="12"/>
          <w:color w:val="auto"/>
        </w:rPr>
        <w:t>We have historically funded our acquisitions with a combination of cash-on-hand, borrowings under our credit facilities as well as equity investor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seller financings.</w:t>
      </w:r>
    </w:p>
    <w:p>
      <w:pPr>
        <w:spacing w:after="0" w:line="134" w:lineRule="exact"/>
        <w:rPr>
          <w:sz w:val="20"/>
          <w:szCs w:val="20"/>
          <w:color w:val="auto"/>
        </w:rPr>
      </w:pPr>
    </w:p>
    <w:p>
      <w:pPr>
        <w:ind w:left="20" w:right="5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Sacred Wind Transaction. </w:t>
      </w:r>
      <w:r>
        <w:rPr>
          <w:rFonts w:ascii="Times New Roman" w:cs="Times New Roman" w:eastAsia="Times New Roman" w:hAnsi="Times New Roman"/>
          <w:sz w:val="12"/>
          <w:szCs w:val="12"/>
          <w:color w:val="auto"/>
        </w:rPr>
        <w:t>On November 7, 2022, we assumed $31.6 million of debt in connection with the Sacred Wind Transaction. See</w:t>
      </w:r>
      <w:r>
        <w:rPr>
          <w:rFonts w:ascii="Times New Roman" w:cs="Times New Roman" w:eastAsia="Times New Roman" w:hAnsi="Times New Roman"/>
          <w:sz w:val="12"/>
          <w:szCs w:val="12"/>
          <w:i w:val="1"/>
          <w:iCs w:val="1"/>
          <w:color w:val="auto"/>
        </w:rPr>
        <w:t xml:space="preserve"> Acquisition of Sacred Wind Enterprises.</w:t>
      </w:r>
    </w:p>
    <w:p>
      <w:pPr>
        <w:spacing w:after="0" w:line="134" w:lineRule="exact"/>
        <w:rPr>
          <w:sz w:val="20"/>
          <w:szCs w:val="20"/>
          <w:color w:val="auto"/>
        </w:rPr>
      </w:pPr>
    </w:p>
    <w:p>
      <w:pPr>
        <w:ind w:left="20" w:right="4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Alaska Transaction. </w:t>
      </w:r>
      <w:r>
        <w:rPr>
          <w:rFonts w:ascii="Times New Roman" w:cs="Times New Roman" w:eastAsia="Times New Roman" w:hAnsi="Times New Roman"/>
          <w:sz w:val="12"/>
          <w:szCs w:val="12"/>
          <w:color w:val="auto"/>
        </w:rPr>
        <w:t>On July 22, 2021, Alaska Communications entered into a new debt financing in connection with the Alaska Transaction. See</w:t>
      </w:r>
      <w:r>
        <w:rPr>
          <w:rFonts w:ascii="Times New Roman" w:cs="Times New Roman" w:eastAsia="Times New Roman" w:hAnsi="Times New Roman"/>
          <w:sz w:val="12"/>
          <w:szCs w:val="12"/>
          <w:i w:val="1"/>
          <w:iCs w:val="1"/>
          <w:color w:val="auto"/>
        </w:rPr>
        <w:t xml:space="preserve"> Acquisition of Alaska Communications System Group, Inc.</w:t>
      </w:r>
    </w:p>
    <w:p>
      <w:pPr>
        <w:spacing w:after="0" w:line="127"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147" w:lineRule="exact"/>
        <w:rPr>
          <w:sz w:val="20"/>
          <w:szCs w:val="20"/>
          <w:color w:val="auto"/>
        </w:rPr>
      </w:pPr>
    </w:p>
    <w:p>
      <w:pPr>
        <w:ind w:left="20" w:right="9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Cash used in investing activities. </w:t>
      </w:r>
      <w:r>
        <w:rPr>
          <w:rFonts w:ascii="Times New Roman" w:cs="Times New Roman" w:eastAsia="Times New Roman" w:hAnsi="Times New Roman"/>
          <w:sz w:val="12"/>
          <w:szCs w:val="12"/>
          <w:color w:val="auto"/>
        </w:rPr>
        <w:t>Cash used in investing activities was $167.2 million and $426.6 million for the years ended December 31, 2022 and 2021, respectively.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net decrease in cash used for investing activities of $259.4 million was primarily the result of a decrease in the amount of cash used for acquisitions from $339.5 million used in 2021 for the Alaska Transaction to $18.0 million used in 2022 for the Sacred Wind Transaction. Other decreases included a $4.3 million reduction in cash used for the purchase of strategic investments. Partially offsetting these decreases in the usage of cash, was an increase in capital expenditures of $61.9 million.</w:t>
      </w:r>
    </w:p>
    <w:p>
      <w:pPr>
        <w:spacing w:after="0" w:line="147" w:lineRule="exact"/>
        <w:rPr>
          <w:sz w:val="20"/>
          <w:szCs w:val="20"/>
          <w:color w:val="auto"/>
        </w:rPr>
      </w:pPr>
    </w:p>
    <w:p>
      <w:pPr>
        <w:ind w:left="20" w:right="5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Cash provided by financing activities. </w:t>
      </w:r>
      <w:r>
        <w:rPr>
          <w:rFonts w:ascii="Times New Roman" w:cs="Times New Roman" w:eastAsia="Times New Roman" w:hAnsi="Times New Roman"/>
          <w:sz w:val="12"/>
          <w:szCs w:val="12"/>
          <w:color w:val="auto"/>
        </w:rPr>
        <w:t>Cash provided by financing activities decreased by $278.3 million to $43.4 million from $321.7 million for the years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and 2021, respectively. This decrease was primarily related to the reduction in borrowings, net of repayments under our credit facilities of $232.0 million and were primarily related to the Alaska and FirstNet Transactions. In addition, during 2021, $71.5 million of cash was provided by a minority shareholder in connection with the Alaska Transaction. These reductions in cash provided by financing activities were partially offset by the reductions in cash used for the repurchase of our common stock and the purchase of non-controlling interests (relating to our Bermuda operations) of $9.6 million and $8.4 million, respectively.</w:t>
      </w:r>
    </w:p>
    <w:p>
      <w:pPr>
        <w:spacing w:after="0" w:line="140"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Working Capital. </w:t>
      </w:r>
      <w:r>
        <w:rPr>
          <w:rFonts w:ascii="Times New Roman" w:cs="Times New Roman" w:eastAsia="Times New Roman" w:hAnsi="Times New Roman"/>
          <w:sz w:val="12"/>
          <w:szCs w:val="12"/>
          <w:color w:val="auto"/>
        </w:rPr>
        <w:t>Historically, we have internally funded our working capital needs. Pursuant to the FirstNet Agreement, AT&amp;T has the option to repay construction costs,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over an eight-year period. To fund the working capital needs created by AT&amp;T’s option to extend its payment terms, we completed the Receivables Credit Facility, as discussed below, on March 26, 2020.</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Historically, a significant use of our cash has been for capital expenditures to expand and upgrade our telecommunications networks and business support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systems.</w:t>
      </w:r>
    </w:p>
    <w:p>
      <w:pPr>
        <w:spacing w:after="0" w:line="166" w:lineRule="exact"/>
        <w:rPr>
          <w:sz w:val="20"/>
          <w:szCs w:val="20"/>
          <w:color w:val="auto"/>
        </w:rPr>
      </w:pPr>
    </w:p>
    <w:p>
      <w:pPr>
        <w:ind w:left="20" w:right="779" w:firstLine="432"/>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2022 and 2021, we spent approximately $168.0 million and $106.1 million, respectively, on capital expenditures relating to our telecommunications networks and business support systems of which</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59"/>
        <w:spacing w:after="0" w:line="259" w:lineRule="auto"/>
        <w:rPr>
          <w:sz w:val="20"/>
          <w:szCs w:val="20"/>
          <w:color w:val="auto"/>
        </w:rPr>
      </w:pPr>
      <w:r>
        <w:rPr>
          <w:rFonts w:ascii="Times New Roman" w:cs="Times New Roman" w:eastAsia="Times New Roman" w:hAnsi="Times New Roman"/>
          <w:sz w:val="12"/>
          <w:szCs w:val="12"/>
          <w:color w:val="auto"/>
        </w:rPr>
        <w:t>$7.9 million and $9.7 million, respectively, are reimbursable under various government programs. The following notes our capital expenditures, by operating segment, for these periods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w w:val="91"/>
              </w:rPr>
              <w:t>Capital Expenditures</w:t>
            </w:r>
          </w:p>
        </w:tc>
        <w:tc>
          <w:tcPr>
            <w:tcW w:w="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0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380" w:type="dxa"/>
            <w:vAlign w:val="bottom"/>
          </w:tcPr>
          <w:p>
            <w:pPr>
              <w:spacing w:after="0"/>
              <w:rPr>
                <w:sz w:val="20"/>
                <w:szCs w:val="20"/>
                <w:color w:val="auto"/>
              </w:rPr>
            </w:pP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400" w:type="dxa"/>
            <w:vAlign w:val="bottom"/>
          </w:tcPr>
          <w:p>
            <w:pPr>
              <w:spacing w:after="0"/>
              <w:rPr>
                <w:sz w:val="20"/>
                <w:szCs w:val="20"/>
                <w:color w:val="auto"/>
              </w:rPr>
            </w:pPr>
          </w:p>
        </w:tc>
        <w:tc>
          <w:tcPr>
            <w:tcW w:w="100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3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9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4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2022</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70,385</w:t>
            </w:r>
          </w:p>
        </w:tc>
        <w:tc>
          <w:tcPr>
            <w:tcW w:w="2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rPr>
              <w:t>96,589</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1,045</w:t>
            </w:r>
          </w:p>
        </w:tc>
        <w:tc>
          <w:tcPr>
            <w:tcW w:w="4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168,019</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49,985</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53,235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2,922</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142303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77" w:lineRule="exact"/>
        <w:rPr>
          <w:sz w:val="20"/>
          <w:szCs w:val="20"/>
          <w:color w:val="auto"/>
        </w:rPr>
      </w:pPr>
    </w:p>
    <w:p>
      <w:pPr>
        <w:jc w:val="both"/>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For the year ended December 31, 2023, such investments are expected to total approximately $160 million to $170 million, net of reimbursable amounts, and will primarily relate to network expansion and upgrades which are expected to further drive subscriber and revenue growth in future periods.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Liquidity and Capital Resources- Material Cash Obligations and Sources</w:t>
      </w:r>
      <w:r>
        <w:rPr>
          <w:rFonts w:ascii="Times New Roman" w:cs="Times New Roman" w:eastAsia="Times New Roman" w:hAnsi="Times New Roman"/>
          <w:sz w:val="12"/>
          <w:szCs w:val="12"/>
          <w:color w:val="auto"/>
        </w:rPr>
        <w:t xml:space="preserve"> below for a discussion of our future cash commitments related to the RDOF program.</w:t>
      </w:r>
    </w:p>
    <w:p>
      <w:pPr>
        <w:spacing w:after="0" w:line="168"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We have historically used cash-on-hand to make payments for income taxes. Our policy is to allocate capital where we believe we will get the best returns and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144" w:lineRule="exact"/>
        <w:rPr>
          <w:sz w:val="20"/>
          <w:szCs w:val="20"/>
          <w:color w:val="auto"/>
        </w:rPr>
      </w:pPr>
    </w:p>
    <w:p>
      <w:pPr>
        <w:ind w:left="20" w:right="1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For the year ended December 31, 2022, our Board of Directors declared $11.3 million of dividends to our stockholders which includes a $0.21 per share dividend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declared on December 19, 2022 and paid on January 6, 2023. The $0.21 per share dividend declared on December 19, 2022 represents an increase from the $0.17 per share dividend declared in previous quarters. We have declared quarterly dividends since the fourth quarter of 1998.</w:t>
      </w:r>
    </w:p>
    <w:p>
      <w:pPr>
        <w:spacing w:after="0" w:line="144" w:lineRule="exact"/>
        <w:rPr>
          <w:sz w:val="20"/>
          <w:szCs w:val="20"/>
          <w:color w:val="auto"/>
        </w:rPr>
      </w:pPr>
    </w:p>
    <w:p>
      <w:pPr>
        <w:ind w:left="20" w:right="21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 Repurchase Plan. </w:t>
      </w:r>
      <w:r>
        <w:rPr>
          <w:rFonts w:ascii="Times New Roman" w:cs="Times New Roman" w:eastAsia="Times New Roman" w:hAnsi="Times New Roman"/>
          <w:sz w:val="12"/>
          <w:szCs w:val="12"/>
          <w:color w:val="auto"/>
        </w:rPr>
        <w:t>On September 19, 2016, our Board of Directors authorized the repurchase of up to $50.0 million of our common stock from time to time on the open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or in privately negotiated transactions (the “2016 Repurchase Plan”). We repurchased $0.9 million and $10.5 million of our common stock under the 2016 Repurchase Plan during the years ended December 31, 2022 and 2021, respectively. As of December 31, 2022, we had $19.5 million authorized and available for share repurchases under the 2016 Repurchase Plan.</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Sources of Cash</w:t>
      </w:r>
    </w:p>
    <w:p>
      <w:pPr>
        <w:spacing w:after="0" w:line="179" w:lineRule="exact"/>
        <w:rPr>
          <w:sz w:val="20"/>
          <w:szCs w:val="20"/>
          <w:color w:val="auto"/>
        </w:rPr>
      </w:pPr>
    </w:p>
    <w:p>
      <w:pPr>
        <w:ind w:left="20" w:right="1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Cash provided by operations. </w:t>
      </w:r>
      <w:r>
        <w:rPr>
          <w:rFonts w:ascii="Times New Roman" w:cs="Times New Roman" w:eastAsia="Times New Roman" w:hAnsi="Times New Roman"/>
          <w:sz w:val="12"/>
          <w:szCs w:val="12"/>
          <w:color w:val="auto"/>
        </w:rPr>
        <w:t>Cash provided by operating activities was $102.9 million for the year ended December 31, 2022 as compared to $80.5 million for the year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2021. The increase of $22.4 million was primarily related to an increase in net income of $13.2 million (which includes an increase in depreciation and amortization expenses of $37.6 million). Partially offsetting this increase was additional cash used for operating assets and liabilities of $8.4 million.</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CoBank Credit Facility</w:t>
      </w:r>
    </w:p>
    <w:p>
      <w:pPr>
        <w:spacing w:after="0" w:line="172"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On April 10, 2019, we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December 31, 2022. The 2019 CoBank Credit Facility matures on April 10, 2024.</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Amounts borrowed under the 2019 CoBank Credit Facility bear interest at a rate equal to, at our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we must also pay a commitment fee ranging from 0.150% to 0.375% of the average daily unused portion of the 2019 CoBank Credit Facility over each calendar quarter.</w:t>
      </w:r>
    </w:p>
    <w:p>
      <w:pPr>
        <w:spacing w:after="0" w:line="152"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November 7, 2022, we further amended the 2019 CoBank Credit Facility to allow for the incurrence of certain indebtedness related to payment guarantees in connection with its Replace and Remove project.</w:t>
      </w:r>
    </w:p>
    <w:p>
      <w:pPr>
        <w:spacing w:after="0" w:line="138" w:lineRule="exact"/>
        <w:rPr>
          <w:sz w:val="20"/>
          <w:szCs w:val="20"/>
          <w:color w:val="auto"/>
        </w:rPr>
      </w:pPr>
    </w:p>
    <w:p>
      <w:pPr>
        <w:ind w:left="20" w:right="339" w:firstLine="432"/>
        <w:spacing w:after="0" w:line="279" w:lineRule="auto"/>
        <w:rPr>
          <w:sz w:val="20"/>
          <w:szCs w:val="20"/>
          <w:color w:val="auto"/>
        </w:rPr>
      </w:pPr>
      <w:r>
        <w:rPr>
          <w:rFonts w:ascii="Times New Roman" w:cs="Times New Roman" w:eastAsia="Times New Roman" w:hAnsi="Times New Roman"/>
          <w:sz w:val="12"/>
          <w:szCs w:val="12"/>
          <w:color w:val="auto"/>
        </w:rPr>
        <w:t>On December 28, 2022, we further amended the 2019 CoBank Credit Facility, effective November 7, 2022, to allow for certain transactions contemplated with our recently completed acquisition of Sacred Wind Enterprises, Inc.</w:t>
      </w:r>
    </w:p>
    <w:p>
      <w:pPr>
        <w:spacing w:after="0" w:line="129" w:lineRule="exact"/>
        <w:rPr>
          <w:sz w:val="20"/>
          <w:szCs w:val="20"/>
          <w:color w:val="auto"/>
        </w:rPr>
      </w:pPr>
    </w:p>
    <w:p>
      <w:pPr>
        <w:ind w:left="20" w:right="39" w:firstLine="460"/>
        <w:spacing w:after="0" w:line="257" w:lineRule="auto"/>
        <w:rPr>
          <w:sz w:val="20"/>
          <w:szCs w:val="20"/>
          <w:color w:val="auto"/>
        </w:rPr>
      </w:pPr>
      <w:r>
        <w:rPr>
          <w:rFonts w:ascii="Times New Roman" w:cs="Times New Roman" w:eastAsia="Times New Roman" w:hAnsi="Times New Roman"/>
          <w:sz w:val="12"/>
          <w:szCs w:val="12"/>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Our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52"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46"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2022, we were in compliance with all of the financial covenants of the 2019 CoBank Credit Facility, had $99.0 million outstanding in borrowings and, net of the $26.0 million of outstanding performance letters of credit, had $75.0 million of availability under the 2019 CoBank Credit Facility. As of December 31, 2022, there were no outstanding interest rate hedge agreements associated with the 2019 CoBank Credit Facility.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81"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we entered into General Agreement of Indemnity to issue performance Standby Letters of Credit on behalf of us and our subsidiaries. As of December 31, 2022, no Standby Letters of Credit had been issued under this agreement.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72"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13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 million to $230 million. As a part of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19"/>
        <w:spacing w:after="0" w:line="279" w:lineRule="auto"/>
        <w:rPr>
          <w:sz w:val="20"/>
          <w:szCs w:val="20"/>
          <w:color w:val="auto"/>
        </w:rPr>
      </w:pPr>
      <w:r>
        <w:rPr>
          <w:rFonts w:ascii="Times New Roman" w:cs="Times New Roman" w:eastAsia="Times New Roman" w:hAnsi="Times New Roman"/>
          <w:sz w:val="12"/>
          <w:szCs w:val="12"/>
          <w:color w:val="auto"/>
        </w:rPr>
        <w:t>transaction, the Term Loan commitment was fully funded as the outstanding Revolving Credit Commitment balance was transferred. As a result, $75.0 million is available under the Revolving Credit Commitment as of December 31, 2022. Principal payments on the Term Loan commence in the fourth quarter of 2023.</w:t>
      </w:r>
    </w:p>
    <w:p>
      <w:pPr>
        <w:spacing w:after="0" w:line="13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In addition to the above changes, the amendment replaced the calculation of interest from an applicable margin applied to LIBOR with the same applicable margin applied to the Secured Overnight Financing Rate (“SOFR”) plus a 10-basis point adjustment.</w:t>
      </w:r>
    </w:p>
    <w:p>
      <w:pPr>
        <w:spacing w:after="0" w:line="138"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2022, $230.0 million was outstanding under the Alaska Term Loan and there were no outstanding borrowings under the Alaska Revolving Facility. Both facilities mature on July 22, 2026.</w:t>
      </w:r>
    </w:p>
    <w:p>
      <w:pPr>
        <w:spacing w:after="0" w:line="129"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We capitalized $7.3 million of fees associated with the Alaska Credit Facility which are being amortized over the life of the debt and $5.4 million were unamortized as of December 31, 2022.</w:t>
      </w:r>
    </w:p>
    <w:p>
      <w:pPr>
        <w:spacing w:after="0" w:line="138" w:lineRule="exact"/>
        <w:rPr>
          <w:sz w:val="20"/>
          <w:szCs w:val="20"/>
          <w:color w:val="auto"/>
        </w:rPr>
      </w:pPr>
    </w:p>
    <w:p>
      <w:pPr>
        <w:ind w:left="20" w:right="71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68" w:lineRule="exact"/>
        <w:rPr>
          <w:sz w:val="20"/>
          <w:szCs w:val="20"/>
          <w:color w:val="auto"/>
        </w:rPr>
      </w:pPr>
    </w:p>
    <w:p>
      <w:pPr>
        <w:ind w:left="900" w:right="219" w:hanging="212"/>
        <w:spacing w:after="0" w:line="265" w:lineRule="auto"/>
        <w:tabs>
          <w:tab w:leader="none" w:pos="9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18" w:lineRule="exact"/>
        <w:rPr>
          <w:rFonts w:ascii="Times New Roman" w:cs="Times New Roman" w:eastAsia="Times New Roman" w:hAnsi="Times New Roman"/>
          <w:sz w:val="12"/>
          <w:szCs w:val="12"/>
          <w:color w:val="auto"/>
        </w:rPr>
      </w:pPr>
    </w:p>
    <w:p>
      <w:pPr>
        <w:jc w:val="both"/>
        <w:ind w:left="900" w:right="279" w:hanging="212"/>
        <w:spacing w:after="0" w:line="265" w:lineRule="auto"/>
        <w:tabs>
          <w:tab w:leader="none" w:pos="9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18" w:lineRule="exact"/>
        <w:rPr>
          <w:rFonts w:ascii="Times New Roman" w:cs="Times New Roman" w:eastAsia="Times New Roman" w:hAnsi="Times New Roman"/>
          <w:sz w:val="12"/>
          <w:szCs w:val="12"/>
          <w:color w:val="auto"/>
        </w:rPr>
      </w:pPr>
    </w:p>
    <w:p>
      <w:pPr>
        <w:jc w:val="both"/>
        <w:ind w:left="900" w:right="239" w:hanging="212"/>
        <w:spacing w:after="0" w:line="265" w:lineRule="auto"/>
        <w:tabs>
          <w:tab w:leader="none" w:pos="9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18" w:lineRule="exact"/>
        <w:rPr>
          <w:rFonts w:ascii="Times New Roman" w:cs="Times New Roman" w:eastAsia="Times New Roman" w:hAnsi="Times New Roman"/>
          <w:sz w:val="12"/>
          <w:szCs w:val="12"/>
          <w:color w:val="auto"/>
        </w:rPr>
      </w:pPr>
    </w:p>
    <w:p>
      <w:pPr>
        <w:ind w:left="900" w:right="499" w:hanging="212"/>
        <w:spacing w:after="0" w:line="279" w:lineRule="auto"/>
        <w:tabs>
          <w:tab w:leader="none" w:pos="9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us and is secured by substantially all of the personal property and certain material real property owned by Alaska Communications.</w:t>
      </w:r>
    </w:p>
    <w:p>
      <w:pPr>
        <w:spacing w:after="0" w:line="138"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Communication’s interest rate swap, which had been designated as a cash flow hedge with an interest rate of 1.6735%, expired on June 30, 2022. As of December 31, 2022, there are no outstanding interest rate hedge agreements associated with the Alaska Credit Facility.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72" w:lineRule="exact"/>
        <w:rPr>
          <w:sz w:val="20"/>
          <w:szCs w:val="20"/>
          <w:color w:val="auto"/>
        </w:rPr>
      </w:pPr>
    </w:p>
    <w:p>
      <w:pPr>
        <w:ind w:left="20" w:right="499" w:firstLine="432"/>
        <w:spacing w:after="0" w:line="279" w:lineRule="auto"/>
        <w:rPr>
          <w:sz w:val="20"/>
          <w:szCs w:val="20"/>
          <w:color w:val="auto"/>
        </w:rPr>
      </w:pPr>
      <w:r>
        <w:rPr>
          <w:rFonts w:ascii="Times New Roman" w:cs="Times New Roman" w:eastAsia="Times New Roman" w:hAnsi="Times New Roman"/>
          <w:sz w:val="12"/>
          <w:szCs w:val="12"/>
          <w:color w:val="auto"/>
        </w:rPr>
        <w:t>On June 15, 2022, Alaska Communications Systems Holdings, the parent company of Alaska Communications, entered a secured lending arrangement with Bristol Bay Industrial, LLC. (the “Alaska Term Facility”).</w:t>
      </w:r>
    </w:p>
    <w:p>
      <w:pPr>
        <w:spacing w:after="0" w:line="138" w:lineRule="exact"/>
        <w:rPr>
          <w:sz w:val="20"/>
          <w:szCs w:val="20"/>
          <w:color w:val="auto"/>
        </w:rPr>
      </w:pPr>
    </w:p>
    <w:p>
      <w:pPr>
        <w:ind w:left="20" w:right="319" w:firstLine="432"/>
        <w:spacing w:after="0" w:line="327" w:lineRule="auto"/>
        <w:rPr>
          <w:sz w:val="20"/>
          <w:szCs w:val="20"/>
          <w:color w:val="auto"/>
        </w:rPr>
      </w:pPr>
      <w:r>
        <w:rPr>
          <w:rFonts w:ascii="Times New Roman" w:cs="Times New Roman" w:eastAsia="Times New Roman" w:hAnsi="Times New Roman"/>
          <w:sz w:val="11"/>
          <w:szCs w:val="11"/>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December 31, 2022. Scheduled quarterly payments of principal commence on March 31, 2023. The Alaska Term Facility matures on June 30, 2024.</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Alaska Term Facility contains events of default customary for facilities of this type.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2022, we had $7.5 million outstanding and no available borrowings under the Alaska Term Facility.</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81"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us,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23, 2022, CoBank amended the Receivables Credit Facility and extended the delayed draw period to December 31, 2023.</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accrues at a fixed annual interest rate to be quoted by CoBank.</w:t>
      </w:r>
    </w:p>
    <w:p>
      <w:pPr>
        <w:spacing w:after="0" w:line="16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2022, we had $46.2 million outstanding, of which $6.2 million was current, and $22.3 million of availability under the Receivables Credit Facility. We capitalized $0.8 million in fees associated with the Receivables Credit Facility which are being amortized over the life of the debt and $0.6 million were unamortized as of December 31, 2022.</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72"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46"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and an underlying mortgage to the United States of America. These mortgage notes are to be repaid in equal monthly installments covering principal and interest beginning after date of issue and expiring by 2035.</w:t>
      </w:r>
    </w:p>
    <w:p>
      <w:pPr>
        <w:spacing w:after="0" w:line="138"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Enterprises was not in compliance with as of December 31, 2021. Sacred Wind Enterprises submitted a corrective action plan to comply with the financial covenant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December 31, 2025. On May 5, 2022, Sacred Wind Enterprise’s corrective action plan was accepted by the RUS. As of December 31, 2022, we were in compliance with the plan.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2022, $31.4 million was outstanding under the Sacred Wind Term Debt. Of that amount, $3.2 million was current and $28.2 million was long term.</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72"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152"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2022, $60.0 million of the Viya Debt remained outstanding and $0.3 million of the rate lock fee was unamortized.</w:t>
      </w:r>
    </w:p>
    <w:p>
      <w:pPr>
        <w:spacing w:after="0" w:line="168"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We were in compliance with the Net Leverage Ratio as of December 31, 2022.</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181"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We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Factors Affecting Sources of Liquidity</w:t>
      </w:r>
    </w:p>
    <w:p>
      <w:pPr>
        <w:spacing w:after="0" w:line="179"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Internally generated funds. </w:t>
      </w:r>
      <w:r>
        <w:rPr>
          <w:rFonts w:ascii="Times New Roman" w:cs="Times New Roman" w:eastAsia="Times New Roman" w:hAnsi="Times New Roman"/>
          <w:sz w:val="12"/>
          <w:szCs w:val="12"/>
          <w:color w:val="auto"/>
        </w:rPr>
        <w:t>The key factors affecting our internally generated funds are demand for our services, competition, regulatory developments, economic conditions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markets where we operate our businesses and industry trends within the telecommunications industry.</w:t>
      </w:r>
    </w:p>
    <w:p>
      <w:pPr>
        <w:spacing w:after="0" w:line="134" w:lineRule="exact"/>
        <w:rPr>
          <w:sz w:val="20"/>
          <w:szCs w:val="20"/>
          <w:color w:val="auto"/>
        </w:rPr>
      </w:pPr>
    </w:p>
    <w:p>
      <w:pPr>
        <w:jc w:val="both"/>
        <w:ind w:left="20" w:right="3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Restrictions under Credit Facility. </w:t>
      </w:r>
      <w:r>
        <w:rPr>
          <w:rFonts w:ascii="Times New Roman" w:cs="Times New Roman" w:eastAsia="Times New Roman" w:hAnsi="Times New Roman"/>
          <w:sz w:val="12"/>
          <w:szCs w:val="12"/>
          <w:color w:val="auto"/>
        </w:rPr>
        <w:t>Our 2019 CoBank Credit Facility contains customary representations, warranties and covenants, including covenants limiting additional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indebtedness, liens, guaranties, mergers and consolidations, substantial asset sales, investments and loans, sale and leasebacks, transactions with affiliates and fundamental changes.</w:t>
      </w:r>
    </w:p>
    <w:p>
      <w:pPr>
        <w:spacing w:after="0" w:line="127"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addition, the 2019 CoBank Credit Facility contains a financial covenant that imposes a maximum ratio of indebtedness to EBITDA. As of December 31, 2022, we were in compliance with all of the financial covenants of the 2019 CoBank Credit Facility.</w:t>
      </w:r>
    </w:p>
    <w:p>
      <w:pPr>
        <w:spacing w:after="0" w:line="136" w:lineRule="exact"/>
        <w:rPr>
          <w:sz w:val="20"/>
          <w:szCs w:val="20"/>
          <w:color w:val="auto"/>
        </w:rPr>
      </w:pPr>
    </w:p>
    <w:p>
      <w:pPr>
        <w:ind w:left="20" w:right="4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Capital markets. </w:t>
      </w:r>
      <w:r>
        <w:rPr>
          <w:rFonts w:ascii="Times New Roman" w:cs="Times New Roman" w:eastAsia="Times New Roman" w:hAnsi="Times New Roman"/>
          <w:sz w:val="12"/>
          <w:szCs w:val="12"/>
          <w:color w:val="auto"/>
        </w:rPr>
        <w:t>Our ability to raise funds in the capital markets depends on, among other things, general economic conditions, the conditions of the telecommunications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industry, our financial performance, the state of the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capital markets and our compliance with SEC requirements for the offering of securities. We may file a new “universal” shelf registration statement with the SEC, to register potential future offerings of our securities.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18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years ended December 31, 2022 and 2021, we recorded $0.9 million in losses on foreign currency transactions. We will continue to assess the impact of our exposure to the Guyana Dollar.</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Inflation</w:t>
      </w:r>
    </w:p>
    <w:p>
      <w:pPr>
        <w:spacing w:after="0" w:line="181"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Material Cash Obligations and Sources</w:t>
      </w:r>
    </w:p>
    <w:p>
      <w:pPr>
        <w:spacing w:after="0" w:line="170" w:lineRule="exact"/>
        <w:rPr>
          <w:sz w:val="20"/>
          <w:szCs w:val="20"/>
          <w:color w:val="auto"/>
        </w:rPr>
      </w:pPr>
    </w:p>
    <w:p>
      <w:pPr>
        <w:ind w:left="20" w:right="9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investments include the upgrade and expansion of both our mobility and fixed telecommunications networks as well as our service delivery platforms. For 2023, we expect capital expenditures to be approximately $160 million to $170 million (net of reimbursable amounts), and will primarily relate to network expansion and upgrades which are expected to further drive subscriber and revenue growth in future periods. We expect to fund our 2023 capital expenditures primarily from our current cash balances, cash generated from operations and our existing credit facilities including the Receivables Credit Facility.</w:t>
      </w:r>
    </w:p>
    <w:p>
      <w:pPr>
        <w:spacing w:after="0" w:line="149"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Long-term Debt. </w:t>
      </w:r>
      <w:r>
        <w:rPr>
          <w:rFonts w:ascii="Times New Roman" w:cs="Times New Roman" w:eastAsia="Times New Roman" w:hAnsi="Times New Roman"/>
          <w:sz w:val="12"/>
          <w:szCs w:val="12"/>
          <w:color w:val="auto"/>
        </w:rPr>
        <w:t>To service our previously described debt facilities, we will be required to make future minimum principal repayments (not including interest, commitment fees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letter of credit fees) of $12.4 million in 2023 and then $121.9 million, $21.6 million, $280.3 million, $10.9 million during 2024 through 2027, respectively, and then $27.0 million in subsequent years.</w:t>
      </w:r>
    </w:p>
    <w:p>
      <w:pPr>
        <w:spacing w:after="0" w:line="144" w:lineRule="exact"/>
        <w:rPr>
          <w:sz w:val="20"/>
          <w:szCs w:val="20"/>
          <w:color w:val="auto"/>
        </w:rPr>
      </w:pPr>
    </w:p>
    <w:p>
      <w:pPr>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Lease Commitments. </w:t>
      </w:r>
      <w:r>
        <w:rPr>
          <w:rFonts w:ascii="Times New Roman" w:cs="Times New Roman" w:eastAsia="Times New Roman" w:hAnsi="Times New Roman"/>
          <w:sz w:val="12"/>
          <w:szCs w:val="12"/>
          <w:color w:val="auto"/>
        </w:rPr>
        <w:t>We have operating and financing leases for towers, land, corporate offices, retail facilities, and data transport capacity. In order to comply with our lease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agreements, we will be required to pay $20.8 million in 2023 and then $19.2 million, $15.8 million, $11.0 million and $8.6 million during 2024 through 2027, respectively, and then $79.1 million in subsequent years.</w:t>
      </w:r>
    </w:p>
    <w:p>
      <w:pPr>
        <w:spacing w:after="0" w:line="135" w:lineRule="exact"/>
        <w:rPr>
          <w:sz w:val="20"/>
          <w:szCs w:val="20"/>
          <w:color w:val="auto"/>
        </w:rPr>
      </w:pPr>
    </w:p>
    <w:p>
      <w:pPr>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FirstNet Agreement. </w:t>
      </w:r>
      <w:r>
        <w:rPr>
          <w:rFonts w:ascii="Times New Roman" w:cs="Times New Roman" w:eastAsia="Times New Roman" w:hAnsi="Times New Roman"/>
          <w:sz w:val="12"/>
          <w:szCs w:val="12"/>
          <w:color w:val="auto"/>
        </w:rPr>
        <w:t>In connection with the FirstNet Agreement, we are building a portion of AT&amp;T’s network for the First Responder Network Authority (“FirstNet”) in or near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current operating area in the Western United States. We expect to incur construction costs of approximately $22 million during 2023 in order to complete the network build portion of that agreement. Following acceptance of the cell sites, AT&amp;T will own the sites and we will assign to AT&amp;T any third-party tower lease applicable to such cell site. If the cell site is located on a communications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136" w:lineRule="exact"/>
        <w:rPr>
          <w:sz w:val="20"/>
          <w:szCs w:val="20"/>
          <w:color w:val="auto"/>
        </w:rPr>
      </w:pPr>
    </w:p>
    <w:p>
      <w:pPr>
        <w:ind w:left="20" w:right="2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Connect America Fund II (CAF II). </w:t>
      </w:r>
      <w:r>
        <w:rPr>
          <w:rFonts w:ascii="Times New Roman" w:cs="Times New Roman" w:eastAsia="Times New Roman" w:hAnsi="Times New Roman"/>
          <w:sz w:val="12"/>
          <w:szCs w:val="12"/>
          <w:color w:val="auto"/>
        </w:rPr>
        <w:t>We are a recipient under the Connect America Fund Phase II program which will offer subsidies to us in order to expand our broadband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coverage in designated areas. In connection with this program, we are expecting to spend $12.5 million in capital expenditures during the year ended December 31, 2023 (which is included in our capital expenditure estimates for the US Telecom segment above) and then an additional $11.3 million during the years ended December 31, 2024 and 2025 in order to meet our build-out obligations under this program. We are not expecting any commitments under the CAFII program after 2025.</w:t>
      </w:r>
    </w:p>
    <w:p>
      <w:pPr>
        <w:spacing w:after="0" w:line="14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Rural Digital Opportunity Fund Phase I Auction (RDOF). </w:t>
      </w:r>
      <w:r>
        <w:rPr>
          <w:rFonts w:ascii="Times New Roman" w:cs="Times New Roman" w:eastAsia="Times New Roman" w:hAnsi="Times New Roman"/>
          <w:sz w:val="12"/>
          <w:szCs w:val="12"/>
          <w:color w:val="auto"/>
        </w:rPr>
        <w:t>We participated in the RDOF auction and expect to receive funding to provide broadband and voice coverage to over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10,000 households in the United States (not including Alaska) under this program. We do not anticipate any spending under the RDOF program during the year ended December 31, 2023, but anticipate spending approximately $2.0 million in capital expenditures during the year ended December 31, 2024 under this program.</w:t>
      </w:r>
    </w:p>
    <w:p>
      <w:pPr>
        <w:spacing w:after="0" w:line="135"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Citizens Broadband Radio Service Auction (CBRS). </w:t>
      </w:r>
      <w:r>
        <w:rPr>
          <w:rFonts w:ascii="Times New Roman" w:cs="Times New Roman" w:eastAsia="Times New Roman" w:hAnsi="Times New Roman"/>
          <w:sz w:val="12"/>
          <w:szCs w:val="12"/>
          <w:color w:val="auto"/>
        </w:rPr>
        <w:t>We participated in CBRS auction for Priority Access Licenses (PALs) in the 3.5 GHz spectrum band. These PALs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licensed on a county-by-county basis and are awarded for a 10-year renewable term. In connection with the awarded licenses, we will have to achieve certain CBRS spectrum build out obligations. We currently expect to comply with all applicable requirements related to these licenses but cannot currently estimate the cost of building our network in the covered areas. If we do not comply with such requirements in a certain area within that 10-year timeframe, our PAL for that area will be forfeited.</w:t>
      </w:r>
    </w:p>
    <w:p>
      <w:pPr>
        <w:spacing w:after="0" w:line="147" w:lineRule="exact"/>
        <w:rPr>
          <w:sz w:val="20"/>
          <w:szCs w:val="20"/>
          <w:color w:val="auto"/>
        </w:rPr>
      </w:pPr>
    </w:p>
    <w:p>
      <w:pPr>
        <w:ind w:left="20" w:right="1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Construction grants. </w:t>
      </w: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our construction costs, is distributed upon completion of a project. As of December 31, 2022, $80.2 million of such construction obligations remain with completion deadlines beginning in July 2023 (which is included in our capital expenditure estimates for the US Telecom segment above). Once these projects are constructed, we are obligated to provide service to the participants.</w:t>
      </w:r>
    </w:p>
    <w:p>
      <w:pPr>
        <w:spacing w:after="0" w:line="147" w:lineRule="exact"/>
        <w:rPr>
          <w:sz w:val="20"/>
          <w:szCs w:val="20"/>
          <w:color w:val="auto"/>
        </w:rPr>
      </w:pPr>
    </w:p>
    <w:p>
      <w:pPr>
        <w:jc w:val="both"/>
        <w:ind w:left="20" w:right="1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Software licensing, maintenance and other business support systems. </w:t>
      </w:r>
      <w:r>
        <w:rPr>
          <w:rFonts w:ascii="Times New Roman" w:cs="Times New Roman" w:eastAsia="Times New Roman" w:hAnsi="Times New Roman"/>
          <w:sz w:val="12"/>
          <w:szCs w:val="12"/>
          <w:color w:val="auto"/>
        </w:rPr>
        <w:t>We have committed to agreements with vendors to provide us with software licensing and maintenance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as well as other business support systems. These agreements expire primarily during the year ended December 31, 2023 and will require us to pay approximately $7.1 million, $2.4 million and $1.8 million, $0.7 million and $0.7 million during the next five years and then $15.9 million thereafter.</w:t>
      </w:r>
    </w:p>
    <w:p>
      <w:pPr>
        <w:spacing w:after="0" w:line="135" w:lineRule="exact"/>
        <w:rPr>
          <w:sz w:val="20"/>
          <w:szCs w:val="20"/>
          <w:color w:val="auto"/>
        </w:rPr>
      </w:pPr>
    </w:p>
    <w:p>
      <w:pPr>
        <w:ind w:left="20" w:right="2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Circuits and other transport costs</w:t>
      </w:r>
      <w:r>
        <w:rPr>
          <w:rFonts w:ascii="Times New Roman" w:cs="Times New Roman" w:eastAsia="Times New Roman" w:hAnsi="Times New Roman"/>
          <w:sz w:val="12"/>
          <w:szCs w:val="12"/>
          <w:color w:val="auto"/>
        </w:rPr>
        <w:t>. We expect to pay $28.7 million, $26.9 million, $33.2 million, $15.1 million and $15.0 million during the years ended December 31, 2023,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2025, 2026 and 2027, respectively, for circuit and other telecommunication transport costs. Thereafter, we are obligated to pay an additional $11.6 million for such services</w:t>
      </w:r>
    </w:p>
    <w:p>
      <w:pPr>
        <w:spacing w:after="0" w:line="134" w:lineRule="exact"/>
        <w:rPr>
          <w:sz w:val="20"/>
          <w:szCs w:val="20"/>
          <w:color w:val="auto"/>
        </w:rPr>
      </w:pPr>
    </w:p>
    <w:p>
      <w:pPr>
        <w:ind w:left="20" w:right="11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Sources of Cash. </w:t>
      </w:r>
      <w:r>
        <w:rPr>
          <w:rFonts w:ascii="Times New Roman" w:cs="Times New Roman" w:eastAsia="Times New Roman" w:hAnsi="Times New Roman"/>
          <w:sz w:val="12"/>
          <w:szCs w:val="12"/>
          <w:color w:val="auto"/>
        </w:rPr>
        <w:t>In addition to future internally generated funds, as of December 31, 2022, we have $75.0 million, $22.3 million and $75.0 million available to us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CoBank Credit Facility, the Receivables Credit Facility and the Alaska Revolving Facility, respectively, and may be able to raise funds in the capital markets by filing a “universal” shelf registration statement with the SEC.</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We have based our discussion and analysis of our financial condition and results of operations on our Consolidated Financial Statements, which have been prepared in accordance with accounting principles generally accepted in the United States of America (“GAAP”). We base our estimates on our operating experience and on various conditions existing in the market and we believe them to be reasonable under the circumstances. Our estimates form the basis for making judgments about the carrying values of assets and liabilities that are not readily apparent from other sources. Actual results may differ materially from these estimates under different assumptions or conditions.</w:t>
      </w:r>
    </w:p>
    <w:p>
      <w:pPr>
        <w:spacing w:after="0" w:line="149"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We have identified the critical accounting estimates that we believe require significant judgment in the preparation of our Consolidated Financial Statements. We consider these accounting estimates to be critical because changes in the assumptions or estimates we have selected have the potential of materially impacting our financial statements.</w:t>
      </w:r>
    </w:p>
    <w:p>
      <w:pPr>
        <w:spacing w:after="0" w:line="129"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Revenue Recognition. In determining the appropriate amount of revenue to recognize for a particular transaction, we apply the criteria established by the authoritative guidance for revenue recognition and defer those items that do not meet the recognition criteria. As a result of the cutoff times of our billing cycles, we are often required to estimate the amount of revenues earned but not billed from the end of each billing cycle to the end of each reporting period. These estimates are based primarily on rate plans in effect and historical evidence with each customer or carrier. Adjustments affecting revenue can and occasionally do occur in periods subsequent to the period when the services were provided, billed and recorded as revenue, however, historically, these adjustments have not been material.</w:t>
      </w:r>
    </w:p>
    <w:p>
      <w:pPr>
        <w:spacing w:after="0" w:line="152"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We apply our judgment when assessing the ultimate realization of receivables, including assessing the probability of collection and the current credit- worthiness of customers. We establish an allowance for credit losses on trade receivables sufficient to cover probable and reasonably estimable losses. Our estimate of the allowance for credit losses on trade receivables considers collection experience, aging of the accounts receivable, the credit quality of the customer and, where necessary, other macro-economic factors.</w:t>
      </w:r>
    </w:p>
    <w:p>
      <w:pPr>
        <w:spacing w:after="0" w:line="144"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Goodwill and Long-Lived Intangible Assets. </w:t>
      </w:r>
      <w:r>
        <w:rPr>
          <w:rFonts w:ascii="Times New Roman" w:cs="Times New Roman" w:eastAsia="Times New Roman" w:hAnsi="Times New Roman"/>
          <w:sz w:val="12"/>
          <w:szCs w:val="12"/>
          <w:color w:val="auto"/>
        </w:rPr>
        <w:t>In accordance with the authoritative guidance regarding the accounting for impairments or disposals of long-lived assets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authoritative guidance for the accounting for goodwill and other intangible assets, we evaluate the carrying value of our long-lived assets, including property and equipment, whenever events or changes in circumstances indicate that the carrying amount of an asset may not be recoverable. An impairment loss exists when estimated </w:t>
      </w:r>
      <w:r>
        <w:rPr>
          <w:rFonts w:ascii="Times New Roman" w:cs="Times New Roman" w:eastAsia="Times New Roman" w:hAnsi="Times New Roman"/>
          <w:sz w:val="12"/>
          <w:szCs w:val="12"/>
          <w:i w:val="1"/>
          <w:iCs w:val="1"/>
          <w:color w:val="auto"/>
        </w:rPr>
        <w:t>undiscounted</w:t>
      </w:r>
      <w:r>
        <w:rPr>
          <w:rFonts w:ascii="Times New Roman" w:cs="Times New Roman" w:eastAsia="Times New Roman" w:hAnsi="Times New Roman"/>
          <w:sz w:val="12"/>
          <w:szCs w:val="12"/>
          <w:color w:val="auto"/>
        </w:rPr>
        <w:t xml:space="preserve"> cash flows attributable to non-current assets subject to depreciation and amortization and </w:t>
      </w:r>
      <w:r>
        <w:rPr>
          <w:rFonts w:ascii="Times New Roman" w:cs="Times New Roman" w:eastAsia="Times New Roman" w:hAnsi="Times New Roman"/>
          <w:sz w:val="12"/>
          <w:szCs w:val="12"/>
          <w:i w:val="1"/>
          <w:iCs w:val="1"/>
          <w:color w:val="auto"/>
        </w:rPr>
        <w:t>discounted</w:t>
      </w:r>
      <w:r>
        <w:rPr>
          <w:rFonts w:ascii="Times New Roman" w:cs="Times New Roman" w:eastAsia="Times New Roman" w:hAnsi="Times New Roman"/>
          <w:sz w:val="12"/>
          <w:szCs w:val="12"/>
          <w:color w:val="auto"/>
        </w:rPr>
        <w:t xml:space="preserve"> cash flows for intangible assets not subject to amortization are less than their carrying amount. For long lived assets other than goodwill, if an asset is deemed to be impaired, the amount of the impairment loss recognized represents the excess of the asset’s carrying value as compared to its estimated fair value, based on management’s assumptions and projections.</w:t>
      </w:r>
    </w:p>
    <w:p>
      <w:pPr>
        <w:spacing w:after="0" w:line="141" w:lineRule="exact"/>
        <w:rPr>
          <w:sz w:val="20"/>
          <w:szCs w:val="20"/>
          <w:color w:val="auto"/>
        </w:rPr>
      </w:pPr>
    </w:p>
    <w:p>
      <w:pPr>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Our estimates of the future cash flows attributable to our long-lived assets and the fair value of our businesses involve significant uncertainty. Those estimates are based on management’s assumptions of future results, growth trends and industry conditions. If those estimates are not met, we could have additional impairment charges in the future, and the amounts may be material.</w:t>
      </w:r>
    </w:p>
    <w:p>
      <w:pPr>
        <w:spacing w:after="0" w:line="146"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We also assess the carrying value of goodwill and indefinite-lived intangible assets on an annual basis or more frequently if events or changes in circumstances indicate that the carrying value of goodwill may not be recoverable. The carrying value of each reporting unit, including goodwill assigned to that reporting unit, is compared to its fair value. If the carrying value of the reporting unit, including goodwill, exceeds the fair value of the reporting unit, an impairment charge is recorded equal to the excess, but not more than the total amount of goodwill allocated to the reporting unit.</w:t>
      </w:r>
    </w:p>
    <w:p>
      <w:pPr>
        <w:spacing w:after="0" w:line="149"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We assess the recoverability of the value of our telecommunications licenses using either a market or income approach. We believe that our telecommunications licenses generally have an indefinite life based on historical ability to renew such licenses, that such renewals may be obtained indefinitely and at little cost, and that the related technology used is not expected to be replaced in the foreseeable future. If the value of these assets was impaired by some factor,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such as an adverse change in the subsidiary’s operating market, we may be required to record an impairment charge. We test the impairment of our telecommunications licenses annually or more frequently if events or changes in circumstances indicate that such assets might be impaired. The impairment test consists of a comparison of the fair value of telecommunications licenses with their carrying amount on a license by license basis.</w:t>
      </w:r>
    </w:p>
    <w:p>
      <w:pPr>
        <w:spacing w:after="0" w:line="146"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performed our annual impairment assessment of our goodwill and indefinite-lived intangible assets (telecommunications licenses) for the years ended December 31, 2022 and 2021. See Note 7 for a discussion of our impairment of a portion of our goodwill within our International Telecom segment during the year ended December 31, 2021. No impairment was recognized during the year ended December 31, 2022.</w:t>
      </w:r>
    </w:p>
    <w:p>
      <w:pPr>
        <w:spacing w:after="0" w:line="144"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Contingencies. </w:t>
      </w:r>
      <w:r>
        <w:rPr>
          <w:rFonts w:ascii="Times New Roman" w:cs="Times New Roman" w:eastAsia="Times New Roman" w:hAnsi="Times New Roman"/>
          <w:sz w:val="12"/>
          <w:szCs w:val="12"/>
          <w:color w:val="auto"/>
        </w:rPr>
        <w:t>We are subject to proceedings, lawsuits, tax audits and other claims related to lawsuits and other legal and regulatory proceedings that arise in the ordinary course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business as further described in Note 13 to the Consolidated Financial Statements included in this Report. We are required to assess the likelihood of any adverse judgments or outcomes to these matters as well as the potential ranges of probable losses. A determination of the amount of loss accruals required, if any, for these contingencies is made after careful analysis of each individual issue. We consult with legal counsel and other experts where necessary in connection with our assessment of any contingency. The required accrual for any such contingency may change materially in the future due to new developments or changes in each matter. We believe that some adverse outcome is probable and have accordingly accrued $14.7 million as of December 31, 2022 for these matters.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2 to the Consolidated Financial Statements included in this Report.</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79" w:lineRule="exact"/>
        <w:rPr>
          <w:sz w:val="20"/>
          <w:szCs w:val="20"/>
          <w:color w:val="auto"/>
        </w:rPr>
      </w:pPr>
    </w:p>
    <w:p>
      <w:pPr>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Translation and Remeasurement. </w:t>
      </w: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14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12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Employee Benefit Plans. </w:t>
      </w:r>
      <w:r>
        <w:rPr>
          <w:rFonts w:ascii="Times New Roman" w:cs="Times New Roman" w:eastAsia="Times New Roman" w:hAnsi="Times New Roman"/>
          <w:sz w:val="12"/>
          <w:szCs w:val="12"/>
          <w:color w:val="auto"/>
        </w:rPr>
        <w:t>We sponsor pension and other postretirement benefit plans for employees of certain subsidiaries. Net periodic pension expense is recognized in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144" w:lineRule="exact"/>
        <w:rPr>
          <w:sz w:val="20"/>
          <w:szCs w:val="20"/>
          <w:color w:val="auto"/>
        </w:rPr>
      </w:pPr>
    </w:p>
    <w:p>
      <w:pPr>
        <w:ind w:left="20" w:right="1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Interest Rate Sensitivity. </w:t>
      </w:r>
      <w:r>
        <w:rPr>
          <w:rFonts w:ascii="Times New Roman" w:cs="Times New Roman" w:eastAsia="Times New Roman" w:hAnsi="Times New Roman"/>
          <w:sz w:val="12"/>
          <w:szCs w:val="12"/>
          <w:color w:val="auto"/>
        </w:rPr>
        <w:t>As of December 31, 2022, we had $329.0 million of variable rate debt outstanding, which is subject to fluctuations in interest rates. Our interest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 may be affected by changes in interest rates. We believe that a 100-basis-point change in the interest rates on our variable rate debt would result in a $3.3 million change in our annual interest expense. We may have additional exposure to fluctuations in interest rates if we again borrow amounts under our revolver loans within our credit facilities.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response to this item is submitted as a separate section to this Report. See “Item 15. Exhibits, Financial Statement Schedules.”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ind w:left="20" w:right="59" w:firstLine="432"/>
        <w:spacing w:after="0" w:line="253"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our disclosure controls and procedures as of December 31, 2022.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54" w:lineRule="exact"/>
        <w:rPr>
          <w:sz w:val="20"/>
          <w:szCs w:val="20"/>
          <w:color w:val="auto"/>
        </w:rPr>
      </w:pPr>
    </w:p>
    <w:p>
      <w:pPr>
        <w:ind w:left="20" w:right="199" w:firstLine="432"/>
        <w:spacing w:after="0" w:line="291" w:lineRule="auto"/>
        <w:rPr>
          <w:sz w:val="20"/>
          <w:szCs w:val="20"/>
          <w:color w:val="auto"/>
        </w:rPr>
      </w:pPr>
      <w:r>
        <w:rPr>
          <w:rFonts w:ascii="Times New Roman" w:cs="Times New Roman" w:eastAsia="Times New Roman" w:hAnsi="Times New Roman"/>
          <w:sz w:val="11"/>
          <w:szCs w:val="11"/>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9" w:lineRule="exact"/>
        <w:rPr>
          <w:sz w:val="20"/>
          <w:szCs w:val="20"/>
          <w:color w:val="auto"/>
        </w:rPr>
      </w:pPr>
    </w:p>
    <w:p>
      <w:pPr>
        <w:ind w:left="680" w:hanging="208"/>
        <w:spacing w:after="0"/>
        <w:tabs>
          <w:tab w:leader="none" w:pos="680" w:val="left"/>
        </w:tabs>
        <w:numPr>
          <w:ilvl w:val="0"/>
          <w:numId w:val="27"/>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our assets;</w:t>
      </w:r>
    </w:p>
    <w:p>
      <w:pPr>
        <w:spacing w:after="0" w:line="123" w:lineRule="exact"/>
        <w:rPr>
          <w:rFonts w:ascii="Times New Roman" w:cs="Times New Roman" w:eastAsia="Times New Roman" w:hAnsi="Times New Roman"/>
          <w:sz w:val="12"/>
          <w:szCs w:val="12"/>
          <w:color w:val="3D3F3F"/>
        </w:rPr>
      </w:pPr>
    </w:p>
    <w:p>
      <w:pPr>
        <w:ind w:left="680" w:right="279" w:hanging="208"/>
        <w:spacing w:after="0" w:line="279" w:lineRule="auto"/>
        <w:tabs>
          <w:tab w:leader="none" w:pos="680" w:val="left"/>
        </w:tabs>
        <w:numPr>
          <w:ilvl w:val="0"/>
          <w:numId w:val="27"/>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4" w:lineRule="exact"/>
        <w:rPr>
          <w:rFonts w:ascii="Times New Roman" w:cs="Times New Roman" w:eastAsia="Times New Roman" w:hAnsi="Times New Roman"/>
          <w:sz w:val="12"/>
          <w:szCs w:val="12"/>
          <w:color w:val="3D3F3F"/>
        </w:rPr>
      </w:pPr>
    </w:p>
    <w:p>
      <w:pPr>
        <w:ind w:left="680" w:right="179" w:hanging="208"/>
        <w:spacing w:after="0" w:line="279" w:lineRule="auto"/>
        <w:tabs>
          <w:tab w:leader="none" w:pos="680" w:val="left"/>
        </w:tabs>
        <w:numPr>
          <w:ilvl w:val="0"/>
          <w:numId w:val="27"/>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the financial statements.</w:t>
      </w:r>
    </w:p>
    <w:p>
      <w:pPr>
        <w:spacing w:after="0" w:line="93" w:lineRule="exact"/>
        <w:rPr>
          <w:sz w:val="20"/>
          <w:szCs w:val="20"/>
          <w:color w:val="auto"/>
        </w:rPr>
      </w:pPr>
    </w:p>
    <w:p>
      <w:pPr>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 xml:space="preserve">Our management assessed the effectiveness of our internal control over financial reporting as of December 31, 2022. In making this assessment, our management used the criteria set forth by the Committee of Sponsoring Organizations of the Treadway Commission (“COSO”) in </w:t>
      </w:r>
      <w:r>
        <w:rPr>
          <w:rFonts w:ascii="Times New Roman" w:cs="Times New Roman" w:eastAsia="Times New Roman" w:hAnsi="Times New Roman"/>
          <w:sz w:val="12"/>
          <w:szCs w:val="12"/>
          <w:i w:val="1"/>
          <w:iCs w:val="1"/>
          <w:color w:val="auto"/>
        </w:rPr>
        <w:t>Internal Control—Integrated Framework</w:t>
      </w:r>
      <w:r>
        <w:rPr>
          <w:rFonts w:ascii="Times New Roman" w:cs="Times New Roman" w:eastAsia="Times New Roman" w:hAnsi="Times New Roman"/>
          <w:sz w:val="12"/>
          <w:szCs w:val="12"/>
          <w:color w:val="auto"/>
        </w:rPr>
        <w:t xml:space="preserve"> (2013). Our assessment of the effectiveness of internal controls over financial reporting did not include the internal controls of</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Sacred Wind Enterprises because it was acquired by the Company in a purchase business combination during 2022 and included in our 2022 consolidated financial statements. Sacred Wind Enterprises, whose assets and revenues were excluded from our assessment of internal control over financial reporting, represent approximately 6% of total assets and less than 1% of total revenues of the related consolidated financial statement amounts as of and for the year ended December 31, 2022. Based on its assessment, management concluded that, as of December 31, 2022, our internal control over financial reporting was effective based on those criteria.</w:t>
      </w:r>
    </w:p>
    <w:p>
      <w:pPr>
        <w:spacing w:after="0" w:line="104"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as of December 31, 2022 has been audited by PricewaterhouseCoopers LLP, an independent registered public accounting firm, as stated in their report which appears on page F-2</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27"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Rules 13a-15(f) and 15d-15(f) under the Exchange Act) that occurred during the quarter ended December 31, 2022 that have materially affected, or are reasonably likely to materially affect, our internal control over financial reporting.</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 applicable</w:t>
      </w:r>
      <w:r>
        <w:rPr>
          <w:rFonts w:ascii="Times New Roman" w:cs="Times New Roman" w:eastAsia="Times New Roman" w:hAnsi="Times New Roman"/>
          <w:sz w:val="10"/>
          <w:szCs w:val="10"/>
          <w:color w:val="auto"/>
        </w:rPr>
        <w:t>.</w:t>
      </w:r>
    </w:p>
    <w:p>
      <w:pPr>
        <w:spacing w:after="0" w:line="14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regarding our executive officers is contained in Part I of this Form 10-K under the caption “Information About Our Executive Officers”.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directors as of March 15, 2023:</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Age</w:t>
            </w:r>
          </w:p>
        </w:tc>
        <w:tc>
          <w:tcPr>
            <w:tcW w:w="4420" w:type="dxa"/>
            <w:vAlign w:val="bottom"/>
          </w:tcPr>
          <w:p>
            <w:pPr>
              <w:ind w:left="20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33"/>
        </w:trPr>
        <w:tc>
          <w:tcPr>
            <w:tcW w:w="2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Michael T. Prior</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80" w:type="dxa"/>
            <w:vAlign w:val="bottom"/>
            <w:tcBorders>
              <w:top w:val="single" w:sz="8" w:color="CCEEFF"/>
            </w:tcBorders>
            <w:shd w:val="clear" w:color="auto" w:fill="CCEEFF"/>
          </w:tcPr>
          <w:p>
            <w:pPr>
              <w:spacing w:after="0"/>
              <w:rPr>
                <w:sz w:val="11"/>
                <w:szCs w:val="11"/>
                <w:color w:val="auto"/>
              </w:rPr>
            </w:pPr>
          </w:p>
        </w:tc>
        <w:tc>
          <w:tcPr>
            <w:tcW w:w="44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Chairman, President, Chief Executive Officer, and 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Bernard Bulkin</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tcPr>
          <w:p>
            <w:pPr>
              <w:spacing w:after="0"/>
              <w:rPr>
                <w:sz w:val="12"/>
                <w:szCs w:val="12"/>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S. Eisenstein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80" w:type="dxa"/>
            <w:vAlign w:val="bottom"/>
            <w:shd w:val="clear" w:color="auto" w:fill="CCEEFF"/>
          </w:tcPr>
          <w:p>
            <w:pPr>
              <w:spacing w:after="0"/>
              <w:rPr>
                <w:sz w:val="12"/>
                <w:szCs w:val="12"/>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Richard J. Ganong</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12"/>
                <w:szCs w:val="12"/>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April V. Henry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shd w:val="clear" w:color="auto" w:fill="CCEEFF"/>
          </w:tcPr>
          <w:p>
            <w:pPr>
              <w:spacing w:after="0"/>
              <w:rPr>
                <w:sz w:val="12"/>
                <w:szCs w:val="12"/>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Pamela F. Lenehan</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tcPr>
          <w:p>
            <w:pPr>
              <w:spacing w:after="0"/>
              <w:rPr>
                <w:sz w:val="12"/>
                <w:szCs w:val="12"/>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Liane J. Pelletier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80" w:type="dxa"/>
            <w:vAlign w:val="bottom"/>
            <w:shd w:val="clear" w:color="auto" w:fill="CCEEFF"/>
          </w:tcPr>
          <w:p>
            <w:pPr>
              <w:spacing w:after="0"/>
              <w:rPr>
                <w:sz w:val="12"/>
                <w:szCs w:val="12"/>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Employee Director</w:t>
      </w:r>
    </w:p>
    <w:p>
      <w:pPr>
        <w:spacing w:after="0" w:line="153"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Michael T. Prior </w:t>
      </w:r>
      <w:r>
        <w:rPr>
          <w:rFonts w:ascii="Times New Roman" w:cs="Times New Roman" w:eastAsia="Times New Roman" w:hAnsi="Times New Roman"/>
          <w:sz w:val="12"/>
          <w:szCs w:val="12"/>
          <w:color w:val="auto"/>
        </w:rPr>
        <w:t>is the chairman of the Board of Directors and has been our President and Chief Executive Officer since December 2005 and an officer of the Company since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June 2003. He was elected to the Board in May 2008. 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Non-Employee Directors</w:t>
      </w:r>
    </w:p>
    <w:p>
      <w:pPr>
        <w:spacing w:after="0" w:line="150" w:lineRule="exact"/>
        <w:rPr>
          <w:sz w:val="20"/>
          <w:szCs w:val="20"/>
          <w:color w:val="auto"/>
        </w:rPr>
      </w:pPr>
    </w:p>
    <w:p>
      <w:pPr>
        <w:ind w:left="20" w:right="79"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Dr. Bernard Bulkin </w:t>
      </w:r>
      <w:r>
        <w:rPr>
          <w:rFonts w:ascii="Times New Roman" w:cs="Times New Roman" w:eastAsia="Times New Roman" w:hAnsi="Times New Roman"/>
          <w:sz w:val="12"/>
          <w:szCs w:val="12"/>
          <w:color w:val="auto"/>
        </w:rPr>
        <w:t>was elected in March 2016 as a director of ATN International, Inc. (the “Company”) and is a member of our Nominating and Corporate Governance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Committee and a member of our Audit Committee. Dr. Bulkin brings particular expertise in the field of renewable energy and is a shareholder director of the Company’s renewable energy business, Aragorn Holding Company 2 pte., operating under the “Vibrant” name in India. He held several senior management roles throughout his approximately twenty-year career at British Petroleum, including Director of the refining business, Vice President Environmental Affairs, and Chief Scientist, and left BP in 2003. He is currently a Director of K3Solar Ltd., VH-Global Sustainable Energy Opportunities Plc (LDN:GSEO) (Chairman), QLM Technology Ltd (Chairman) and ARQ Ltd. Dr. Bulkin has served on the boards of Severn Trent plc, Ludgate Investments Limited,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He earned a B.S. in Chemistry from the Polytechnic Institute of Brooklyn and a Ph.D. in Physical Chemistry from Purdue University. Dr. Bulkin is Emeritus Professorial Fellow at the University of Cambridge and is the author of </w:t>
      </w:r>
      <w:r>
        <w:rPr>
          <w:rFonts w:ascii="Times New Roman" w:cs="Times New Roman" w:eastAsia="Times New Roman" w:hAnsi="Times New Roman"/>
          <w:sz w:val="12"/>
          <w:szCs w:val="12"/>
          <w:i w:val="1"/>
          <w:iCs w:val="1"/>
          <w:color w:val="auto"/>
        </w:rPr>
        <w:t>Crash Course</w:t>
      </w:r>
      <w:r>
        <w:rPr>
          <w:rFonts w:ascii="Times New Roman" w:cs="Times New Roman" w:eastAsia="Times New Roman" w:hAnsi="Times New Roman"/>
          <w:sz w:val="12"/>
          <w:szCs w:val="12"/>
          <w:color w:val="auto"/>
        </w:rPr>
        <w:t xml:space="preserve"> (2015) and </w:t>
      </w:r>
      <w:r>
        <w:rPr>
          <w:rFonts w:ascii="Times New Roman" w:cs="Times New Roman" w:eastAsia="Times New Roman" w:hAnsi="Times New Roman"/>
          <w:sz w:val="12"/>
          <w:szCs w:val="12"/>
          <w:i w:val="1"/>
          <w:iCs w:val="1"/>
          <w:color w:val="auto"/>
        </w:rPr>
        <w:t>Solving Chemistry</w:t>
      </w:r>
      <w:r>
        <w:rPr>
          <w:rFonts w:ascii="Times New Roman" w:cs="Times New Roman" w:eastAsia="Times New Roman" w:hAnsi="Times New Roman"/>
          <w:sz w:val="12"/>
          <w:szCs w:val="12"/>
          <w:color w:val="auto"/>
        </w:rPr>
        <w:t xml:space="preserve"> (2019). He was awarded the Honour of Officer of the Order of the British Empire (OBE) in the 2017 New Year Honours List.</w:t>
      </w:r>
    </w:p>
    <w:p>
      <w:pPr>
        <w:spacing w:after="0" w:line="122"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James S. Eisenstein </w:t>
      </w:r>
      <w:r>
        <w:rPr>
          <w:rFonts w:ascii="Times New Roman" w:cs="Times New Roman" w:eastAsia="Times New Roman" w:hAnsi="Times New Roman"/>
          <w:sz w:val="12"/>
          <w:szCs w:val="12"/>
          <w:color w:val="auto"/>
        </w:rPr>
        <w:t>has been a director of ours since October 2019 and is a member of our Compensation Committee and our Audit Committee. He is currently Chairman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Chief Executive Officer of Grupo TorreSur, a Latin American focused wireless tower company. Prior to co-founding Grupo TorreSur, Mr. Eisenstein was Chairman and Chief Executive Officer of Optasite Holding Company, Inc. from 2003 to 2008; Chief Executive Officer of Concourse Communications Group LLC in 2003 and Chief Operating Officer and, later, Chief Development Officer of American Tower Corporation, which he co-founded, from 1995 to 2003. Before co-founding American Tower, Mr. Eisenstein was a Partner and Chief Operating Officer of Amaturo Group, Ltd., the owner and operator of radio stations, from 1990 to 1995; was Deputy General Counsel of Home Shopping Network from 1988 to 1990; and an associate at Skadden, Arps, Slate, Meagher and Flom from 1986 to 1988 and at Vinson &amp; Elkins from 1984 to 1986. He currently serves as a director of InterPrivate IV InfraTech Partners Inc. (NASDAQ: IPVIU), as a director of Desktop Metal, Inc. (NYSE: DM),was Chairman of the Board of Directors of Eaton Towers, Ltd. until the end of 2019, at which time the Company was sold, and was a member of the Board of Directors of CTI Towers, Inc. until the end of 2020, at which time that Company was sold. He also served as a director of Nexamp, Inc. from 2011-2016. Mr. Eisenstein is a graduate of Georgetown University and holds an M.B.A. from The Wharton School and a J.D. from the University of Pennsylvania Law School.</w:t>
      </w:r>
    </w:p>
    <w:p>
      <w:pPr>
        <w:spacing w:after="0" w:line="124"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Richard J. Ganong </w:t>
      </w:r>
      <w:r>
        <w:rPr>
          <w:rFonts w:ascii="Times New Roman" w:cs="Times New Roman" w:eastAsia="Times New Roman" w:hAnsi="Times New Roman"/>
          <w:sz w:val="12"/>
          <w:szCs w:val="12"/>
          <w:color w:val="auto"/>
        </w:rPr>
        <w:t>has been a director of ours since June 2018 and is the Chair of our Compensation Committee and a member of our Nominating and Corporate Governance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Investment Committees. Mr. Ganong has more than 25 years of experience in the financial services industry with a focus on venture capital and hedge fund investing. He was a Partner at the Tudor Investment Corporation from 1993 - 2009, an internationally recognized diversified investment management firm,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2014 - 2016 and most recently founded Five Pine Partners, an investment and advisory boutique. Mr. Ganong also is an emeritus member of the Board of Overseers at the Tuck School at Dartmouth. He is currently a member of the Board of Directors for the Maine Technology Institute, the Gulf of Maine Research Institute, and the Gasparilla Island Improvement and Conservation Association. Mr. Ganong holds a Bachelor of Arts from Bowdoin College and an MBA. from the Tuck School at Dartmouth.</w:t>
      </w:r>
    </w:p>
    <w:p>
      <w:pPr>
        <w:spacing w:after="0" w:line="123"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April V. Henry </w:t>
      </w:r>
      <w:r>
        <w:rPr>
          <w:rFonts w:ascii="Times New Roman" w:cs="Times New Roman" w:eastAsia="Times New Roman" w:hAnsi="Times New Roman"/>
          <w:sz w:val="12"/>
          <w:szCs w:val="12"/>
          <w:color w:val="auto"/>
        </w:rPr>
        <w:t>has been a director of ours since March 2022. Ms. Henry is the founder and managing partner of Hawkeye Digital, a firm that is focused on driving revenue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growth, core decision-making and business and human capital transformation for companies at critical points in their growth cycle. In addition, she is currently Executive Vice President of Corporate Development for Science Inc. and Science Strategic Acquisition Corp. Alpha (Nasdaq: SSAA).</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Prior to her current roles, Ms. Henry was a corporate and business development executive at NBC Universal, Yahoo and News Corporation. Ms. Henry is on the Advisory Board of Evalla Advisors and a special advisor to S4 Capital.</w:t>
      </w:r>
    </w:p>
    <w:p>
      <w:pPr>
        <w:spacing w:after="0" w:line="107" w:lineRule="exact"/>
        <w:rPr>
          <w:sz w:val="20"/>
          <w:szCs w:val="20"/>
          <w:color w:val="auto"/>
        </w:rPr>
      </w:pPr>
    </w:p>
    <w:p>
      <w:pPr>
        <w:jc w:val="both"/>
        <w:ind w:left="20" w:right="179" w:firstLine="432"/>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Pamela F. Lenehan </w:t>
      </w:r>
      <w:r>
        <w:rPr>
          <w:rFonts w:ascii="Times New Roman" w:cs="Times New Roman" w:eastAsia="Times New Roman" w:hAnsi="Times New Roman"/>
          <w:sz w:val="11"/>
          <w:szCs w:val="11"/>
          <w:color w:val="auto"/>
        </w:rPr>
        <w:t>has been a director of ours since June 2020 and is the Chair of our Audit Committee. Ms. Lenehan spent more than 20 years in financial services. In June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w:t>
      </w:r>
    </w:p>
    <w:p>
      <w:pPr>
        <w:spacing w:after="0" w:line="1" w:lineRule="exact"/>
        <w:rPr>
          <w:sz w:val="20"/>
          <w:szCs w:val="20"/>
          <w:color w:val="auto"/>
        </w:rPr>
      </w:pPr>
    </w:p>
    <w:p>
      <w:pPr>
        <w:ind w:left="20" w:right="139"/>
        <w:spacing w:after="0" w:line="253" w:lineRule="auto"/>
        <w:rPr>
          <w:sz w:val="20"/>
          <w:szCs w:val="20"/>
          <w:color w:val="auto"/>
        </w:rPr>
      </w:pPr>
      <w:r>
        <w:rPr>
          <w:rFonts w:ascii="Times New Roman" w:cs="Times New Roman" w:eastAsia="Times New Roman" w:hAnsi="Times New Roman"/>
          <w:sz w:val="12"/>
          <w:szCs w:val="12"/>
          <w:color w:val="auto"/>
        </w:rPr>
        <w:t>Lenehan is also currently a director and chair of the audit committee of Rithm Capital, a director of the Center for Women &amp; Enterprise, the National Association of Corporate Directors New England Chapter, and is co-chair of the Boston Chapter of Women Corporate Directors. Ms. Lenehan previously served on the boards of Monotype Imaging, Civitas Solutions, American Superconductor, Spartech Corporation and Avid Technology. Ms. Lenehan has a B.A. in Mathematical Economics, Cum Laude and with Honors, and a M.A. in Economics from Brown University. Ms. Lenehan holds a NACD Directorship Certification from the National Association of Corporate Directors.</w:t>
      </w:r>
    </w:p>
    <w:p>
      <w:pPr>
        <w:spacing w:after="0" w:line="123"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Liane J. Pelletier </w:t>
      </w:r>
      <w:r>
        <w:rPr>
          <w:rFonts w:ascii="Times New Roman" w:cs="Times New Roman" w:eastAsia="Times New Roman" w:hAnsi="Times New Roman"/>
          <w:sz w:val="12"/>
          <w:szCs w:val="12"/>
          <w:color w:val="auto"/>
        </w:rPr>
        <w:t>has been a director of ours since June 2012, is the Independent Lead Director of our Board of Directors and a member of our Compensation Committee. 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Pelletier has over twenty-five years of 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w:t>
      </w:r>
      <w:r>
        <w:rPr>
          <w:rFonts w:ascii="Times New Roman" w:cs="Times New Roman" w:eastAsia="Times New Roman" w:hAnsi="Times New Roman"/>
          <w:sz w:val="12"/>
          <w:szCs w:val="12"/>
          <w:i w:val="1"/>
          <w:iCs w:val="1"/>
          <w:color w:val="auto"/>
        </w:rPr>
        <w:t>magna cum laude</w:t>
      </w:r>
      <w:r>
        <w:rPr>
          <w:rFonts w:ascii="Times New Roman" w:cs="Times New Roman" w:eastAsia="Times New Roman" w:hAnsi="Times New Roman"/>
          <w:sz w:val="12"/>
          <w:szCs w:val="12"/>
          <w:color w:val="auto"/>
        </w:rPr>
        <w:t>, from Wellesley College. Ms. Pelletier currently serves as Chairman of the Nominating and Corporate Governance Committee and as a member of the Audit Committee of the Board of Expeditors International; is a board member and committee member of both the Audit and Compensation Committees of Frontdoor, Inc.; and is a board member and committee member of the Nominating and Corporate Governance Committee of Switch Inc. Ms. Pelletier is a NACD Board Leadership Fellow and has earned the CERT Certificate in Cybersecurity Oversight from the Software Engineering Institute of Carnegie Mellon.</w:t>
      </w:r>
    </w:p>
    <w:p>
      <w:pPr>
        <w:spacing w:after="0" w:line="127"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Additional information required by this Item 10 will be set forth in our Definitive Proxy Statement for the 2023 Annual Meeting of Stockholders (the “2023 Proxy Statement”) and is incorporated herein by reference.</w:t>
      </w:r>
    </w:p>
    <w:p>
      <w:pPr>
        <w:spacing w:after="0" w:line="111" w:lineRule="exact"/>
        <w:rPr>
          <w:sz w:val="20"/>
          <w:szCs w:val="20"/>
          <w:color w:val="auto"/>
        </w:rPr>
      </w:pPr>
    </w:p>
    <w:p>
      <w:pPr>
        <w:ind w:left="20" w:right="59" w:firstLine="462"/>
        <w:spacing w:after="0" w:line="279" w:lineRule="auto"/>
        <w:rPr>
          <w:sz w:val="20"/>
          <w:szCs w:val="20"/>
          <w:color w:val="auto"/>
        </w:rPr>
      </w:pPr>
      <w:r>
        <w:rPr>
          <w:rFonts w:ascii="Times New Roman" w:cs="Times New Roman" w:eastAsia="Times New Roman" w:hAnsi="Times New Roman"/>
          <w:sz w:val="12"/>
          <w:szCs w:val="12"/>
          <w:color w:val="auto"/>
        </w:rPr>
        <w:t>Information regarding our Code of Ethics applicable to our principal executive officer, our principal financial officer, our controller and other senior financial officers appears in Item 1 of this Report under the caption “Business—Available Information.”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11 will be set forth in our 2023 Proxy Statement and is incorporated herein by reference.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12 will be set forth in our 2023 Proxy Statement and is incorporated herein by reference.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13 will be set forth in our 2023 Proxy Statement and is incorporated herein by reference.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14. PRINCIPAL ACCOUNTANT FEES AND SERVICES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14 will be set forth in our 2023 Proxy Statement and is incorporated herein by reference.</w:t>
      </w:r>
    </w:p>
    <w:p>
      <w:pPr>
        <w:spacing w:after="0" w:line="1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15. EXHIBITS, FINANCIAL STATEMENT SCHEDULES</w:t>
      </w:r>
    </w:p>
    <w:p>
      <w:pPr>
        <w:spacing w:after="0" w:line="154" w:lineRule="exact"/>
        <w:rPr>
          <w:sz w:val="20"/>
          <w:szCs w:val="20"/>
          <w:color w:val="auto"/>
        </w:rPr>
      </w:pPr>
    </w:p>
    <w:p>
      <w:pPr>
        <w:ind w:left="460" w:hanging="438"/>
        <w:spacing w:after="0"/>
        <w:tabs>
          <w:tab w:leader="none" w:pos="46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are filed as part of this Report:</w:t>
      </w:r>
    </w:p>
    <w:p>
      <w:pPr>
        <w:spacing w:after="0" w:line="148" w:lineRule="exact"/>
        <w:rPr>
          <w:rFonts w:ascii="Times New Roman" w:cs="Times New Roman" w:eastAsia="Times New Roman" w:hAnsi="Times New Roman"/>
          <w:sz w:val="12"/>
          <w:szCs w:val="12"/>
          <w:color w:val="auto"/>
        </w:rPr>
      </w:pPr>
    </w:p>
    <w:p>
      <w:pPr>
        <w:ind w:left="680" w:right="259" w:hanging="208"/>
        <w:spacing w:after="0" w:line="283" w:lineRule="auto"/>
        <w:tabs>
          <w:tab w:leader="none" w:pos="68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Financial Statements. </w:t>
      </w:r>
      <w:r>
        <w:rPr>
          <w:rFonts w:ascii="Times New Roman" w:cs="Times New Roman" w:eastAsia="Times New Roman" w:hAnsi="Times New Roman"/>
          <w:sz w:val="12"/>
          <w:szCs w:val="12"/>
          <w:color w:val="auto"/>
        </w:rPr>
        <w:t>See Index to Consolidated Financial Statements, which appears on page F-1 hereof. The financial statements listed in the accompanying Index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Consolidated Financial Statements are filed herewith in response to this Item 15.</w:t>
      </w:r>
    </w:p>
    <w:p>
      <w:pPr>
        <w:spacing w:after="0" w:line="106"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Schedule II. </w:t>
      </w:r>
      <w:r>
        <w:rPr>
          <w:rFonts w:ascii="Times New Roman" w:cs="Times New Roman" w:eastAsia="Times New Roman" w:hAnsi="Times New Roman"/>
          <w:sz w:val="12"/>
          <w:szCs w:val="12"/>
          <w:color w:val="auto"/>
        </w:rPr>
        <w:t>Valuation and Qualifying Accounts for the years ended December 31, 2020, 2021, and 2022 which appears on page F-59 hereof.</w:t>
      </w:r>
    </w:p>
    <w:p>
      <w:pPr>
        <w:spacing w:after="0" w:line="15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exhibits listed below are filed herewith in response to this Item 15.</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20" w:type="dxa"/>
            <w:vAlign w:val="bottom"/>
            <w:gridSpan w:val="14"/>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w w:val="98"/>
              </w:rPr>
              <w:t>EXHIBIT INDEX</w:t>
            </w: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20" w:type="dxa"/>
            <w:vAlign w:val="bottom"/>
            <w:gridSpan w:val="16"/>
          </w:tcPr>
          <w:p>
            <w:pPr>
              <w:jc w:val="center"/>
              <w:ind w:right="2920"/>
              <w:spacing w:after="0"/>
              <w:rPr>
                <w:sz w:val="20"/>
                <w:szCs w:val="20"/>
                <w:color w:val="auto"/>
              </w:rPr>
            </w:pPr>
            <w:r>
              <w:rPr>
                <w:rFonts w:ascii="Times New Roman" w:cs="Times New Roman" w:eastAsia="Times New Roman" w:hAnsi="Times New Roman"/>
                <w:sz w:val="12"/>
                <w:szCs w:val="12"/>
                <w:b w:val="1"/>
                <w:bCs w:val="1"/>
                <w:color w:val="auto"/>
                <w:w w:val="99"/>
              </w:rPr>
              <w:t>to Form 10-K for the Year Ended December 31, 2022</w:t>
            </w:r>
          </w:p>
        </w:tc>
        <w:tc>
          <w:tcPr>
            <w:tcW w:w="0" w:type="dxa"/>
            <w:vAlign w:val="bottom"/>
          </w:tcPr>
          <w:p>
            <w:pPr>
              <w:spacing w:after="0"/>
              <w:rPr>
                <w:sz w:val="1"/>
                <w:szCs w:val="1"/>
                <w:color w:val="auto"/>
              </w:rPr>
            </w:pPr>
          </w:p>
        </w:tc>
      </w:tr>
      <w:tr>
        <w:trPr>
          <w:trHeight w:val="297"/>
        </w:trPr>
        <w:tc>
          <w:tcPr>
            <w:tcW w:w="110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rPr>
              <w:t>2.1</w:t>
            </w:r>
          </w:p>
        </w:tc>
        <w:tc>
          <w:tcPr>
            <w:tcW w:w="786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rPr>
            </w:pPr>
            <w:hyperlink r:id="rId88">
              <w:r>
                <w:rPr>
                  <w:rFonts w:ascii="Times New Roman" w:cs="Times New Roman" w:eastAsia="Times New Roman" w:hAnsi="Times New Roman"/>
                  <w:sz w:val="12"/>
                  <w:szCs w:val="12"/>
                  <w:color w:val="0000EE"/>
                </w:rPr>
                <w:t>Agreement and Plan of Merger, dated as of December 31, 2020, by and among Alaska  Communications Systems Group, Inc., Project 8 Buyer, LLC and Project 8</w:t>
              </w:r>
            </w:hyperlink>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3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88">
              <w:r>
                <w:rPr>
                  <w:rFonts w:ascii="Times New Roman" w:cs="Times New Roman" w:eastAsia="Times New Roman" w:hAnsi="Times New Roman"/>
                  <w:sz w:val="12"/>
                  <w:szCs w:val="12"/>
                  <w:color w:val="0000EE"/>
                  <w:w w:val="99"/>
                </w:rPr>
                <w:t>Mergersub, Inc. (incorporated by reference to Exhibit 2.1 to the Company’s Current Report on Form 8-K (File No. 001-12593) filed on January 4, 2021).</w:t>
              </w:r>
            </w:hyperlink>
          </w:p>
        </w:tc>
        <w:tc>
          <w:tcPr>
            <w:tcW w:w="5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jc w:val="center"/>
              <w:ind w:left="360"/>
              <w:spacing w:after="0" w:line="124" w:lineRule="exact"/>
              <w:rPr>
                <w:sz w:val="20"/>
                <w:szCs w:val="20"/>
                <w:color w:val="auto"/>
              </w:rPr>
            </w:pPr>
            <w:r>
              <w:rPr>
                <w:rFonts w:ascii="Times New Roman" w:cs="Times New Roman" w:eastAsia="Times New Roman" w:hAnsi="Times New Roman"/>
                <w:sz w:val="12"/>
                <w:szCs w:val="12"/>
                <w:color w:val="auto"/>
              </w:rPr>
              <w:t>3.1</w:t>
            </w:r>
          </w:p>
        </w:tc>
        <w:tc>
          <w:tcPr>
            <w:tcW w:w="768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89">
              <w:r>
                <w:rPr>
                  <w:rFonts w:ascii="Times New Roman" w:cs="Times New Roman" w:eastAsia="Times New Roman" w:hAnsi="Times New Roman"/>
                  <w:sz w:val="12"/>
                  <w:szCs w:val="12"/>
                  <w:color w:val="0000EE"/>
                  <w:w w:val="99"/>
                </w:rPr>
                <w:t>Restated Certificate of Incorporation of ATN International, Inc. (incorporated by reference to Exhibit 4.1 to the Company’s Registration Statement on Form S-8</w:t>
              </w:r>
            </w:hyperlink>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89">
              <w:r>
                <w:rPr>
                  <w:rFonts w:ascii="Times New Roman" w:cs="Times New Roman" w:eastAsia="Times New Roman" w:hAnsi="Times New Roman"/>
                  <w:sz w:val="12"/>
                  <w:szCs w:val="12"/>
                  <w:color w:val="0000EE"/>
                </w:rPr>
                <w:t>(File No. 333-62416) filed on June 6, 2001).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tcPr>
          <w:p>
            <w:pPr>
              <w:jc w:val="center"/>
              <w:ind w:left="360"/>
              <w:spacing w:after="0" w:line="124" w:lineRule="exact"/>
              <w:rPr>
                <w:sz w:val="20"/>
                <w:szCs w:val="20"/>
                <w:color w:val="auto"/>
              </w:rPr>
            </w:pPr>
            <w:r>
              <w:rPr>
                <w:rFonts w:ascii="Times New Roman" w:cs="Times New Roman" w:eastAsia="Times New Roman" w:hAnsi="Times New Roman"/>
                <w:sz w:val="12"/>
                <w:szCs w:val="12"/>
                <w:color w:val="auto"/>
              </w:rPr>
              <w:t>3.2</w:t>
            </w:r>
          </w:p>
        </w:tc>
        <w:tc>
          <w:tcPr>
            <w:tcW w:w="78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90">
              <w:r>
                <w:rPr>
                  <w:rFonts w:ascii="Times New Roman" w:cs="Times New Roman" w:eastAsia="Times New Roman" w:hAnsi="Times New Roman"/>
                  <w:sz w:val="12"/>
                  <w:szCs w:val="12"/>
                  <w:color w:val="0000EE"/>
                  <w:w w:val="99"/>
                </w:rPr>
                <w:t>Certificate of Amendment to the Restated Certificate of Incorporation of ATN International, Inc., as filed with the Delaware Secretary of State on August 14, 2006</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0">
              <w:r>
                <w:rPr>
                  <w:rFonts w:ascii="Times New Roman" w:cs="Times New Roman" w:eastAsia="Times New Roman" w:hAnsi="Times New Roman"/>
                  <w:sz w:val="12"/>
                  <w:szCs w:val="12"/>
                  <w:color w:val="0000EE"/>
                </w:rPr>
                <w:t>(incorporated by reference to Exhibit 3.2 to the Company’s Quarterly Report on Form 10-Q (File No. 001-12593) for the quarterly period ended June 30, 2006</w:t>
              </w:r>
            </w:hyperlink>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128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90">
              <w:r>
                <w:rPr>
                  <w:rFonts w:ascii="Times New Roman" w:cs="Times New Roman" w:eastAsia="Times New Roman" w:hAnsi="Times New Roman"/>
                  <w:sz w:val="12"/>
                  <w:szCs w:val="12"/>
                  <w:color w:val="0000EE"/>
                  <w:w w:val="99"/>
                </w:rPr>
                <w:t>filed on August 14, 2006).</w:t>
              </w:r>
            </w:hyperlink>
          </w:p>
        </w:tc>
        <w:tc>
          <w:tcPr>
            <w:tcW w:w="6340" w:type="dxa"/>
            <w:vAlign w:val="bottom"/>
            <w:tcBorders>
              <w:top w:val="single" w:sz="8" w:color="0000EE"/>
            </w:tcBorders>
            <w:gridSpan w:val="12"/>
          </w:tcPr>
          <w:p>
            <w:pPr>
              <w:spacing w:after="0"/>
              <w:rPr>
                <w:sz w:val="10"/>
                <w:szCs w:val="10"/>
                <w:color w:val="auto"/>
              </w:rPr>
            </w:pPr>
          </w:p>
        </w:tc>
        <w:tc>
          <w:tcPr>
            <w:tcW w:w="2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jc w:val="center"/>
              <w:ind w:left="360"/>
              <w:spacing w:after="0" w:line="124" w:lineRule="exact"/>
              <w:rPr>
                <w:sz w:val="20"/>
                <w:szCs w:val="20"/>
                <w:color w:val="auto"/>
              </w:rPr>
            </w:pPr>
            <w:r>
              <w:rPr>
                <w:rFonts w:ascii="Times New Roman" w:cs="Times New Roman" w:eastAsia="Times New Roman" w:hAnsi="Times New Roman"/>
                <w:sz w:val="12"/>
                <w:szCs w:val="12"/>
                <w:color w:val="auto"/>
              </w:rPr>
              <w:t>3.3</w:t>
            </w:r>
          </w:p>
        </w:tc>
        <w:tc>
          <w:tcPr>
            <w:tcW w:w="770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91">
              <w:r>
                <w:rPr>
                  <w:rFonts w:ascii="Times New Roman" w:cs="Times New Roman" w:eastAsia="Times New Roman" w:hAnsi="Times New Roman"/>
                  <w:sz w:val="12"/>
                  <w:szCs w:val="12"/>
                  <w:color w:val="0000EE"/>
                  <w:w w:val="99"/>
                </w:rPr>
                <w:t>Certificate of Amendment to the Company’s Restated Certificate of Incorporation, filed June 10, 2016 and effective June 21, 2016 (incorporated by reference to</w:t>
              </w:r>
            </w:hyperlink>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1">
              <w:r>
                <w:rPr>
                  <w:rFonts w:ascii="Times New Roman" w:cs="Times New Roman" w:eastAsia="Times New Roman" w:hAnsi="Times New Roman"/>
                  <w:sz w:val="12"/>
                  <w:szCs w:val="12"/>
                  <w:color w:val="0000EE"/>
                </w:rPr>
                <w:t>Exhibit 3.1 to the Company’s Current Report on Form 8-K (File No. 001-12593) filed on June 27, 2016).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tcPr>
          <w:p>
            <w:pPr>
              <w:jc w:val="center"/>
              <w:ind w:left="360"/>
              <w:spacing w:after="0" w:line="124" w:lineRule="exact"/>
              <w:rPr>
                <w:sz w:val="20"/>
                <w:szCs w:val="20"/>
                <w:color w:val="auto"/>
              </w:rPr>
            </w:pPr>
            <w:r>
              <w:rPr>
                <w:rFonts w:ascii="Times New Roman" w:cs="Times New Roman" w:eastAsia="Times New Roman" w:hAnsi="Times New Roman"/>
                <w:sz w:val="12"/>
                <w:szCs w:val="12"/>
                <w:color w:val="auto"/>
              </w:rPr>
              <w:t>3.4</w:t>
            </w:r>
          </w:p>
        </w:tc>
        <w:tc>
          <w:tcPr>
            <w:tcW w:w="780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92">
              <w:r>
                <w:rPr>
                  <w:rFonts w:ascii="Times New Roman" w:cs="Times New Roman" w:eastAsia="Times New Roman" w:hAnsi="Times New Roman"/>
                  <w:sz w:val="12"/>
                  <w:szCs w:val="12"/>
                  <w:color w:val="0000EE"/>
                  <w:w w:val="99"/>
                </w:rPr>
                <w:t>Amended and Restated By-Laws, effective as of March 8, 2023 (incorporated by reference to Exhibit 3.1 to the Company’s Current Report on Form 8-K (File No.</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18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92">
              <w:r>
                <w:rPr>
                  <w:rFonts w:ascii="Times New Roman" w:cs="Times New Roman" w:eastAsia="Times New Roman" w:hAnsi="Times New Roman"/>
                  <w:sz w:val="12"/>
                  <w:szCs w:val="12"/>
                  <w:color w:val="0000EE"/>
                  <w:w w:val="99"/>
                </w:rPr>
                <w:t>001-12593) filed on March 14, 2023).</w:t>
              </w:r>
            </w:hyperlink>
          </w:p>
        </w:tc>
        <w:tc>
          <w:tcPr>
            <w:tcW w:w="602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jc w:val="center"/>
              <w:ind w:left="360"/>
              <w:spacing w:after="0" w:line="124" w:lineRule="exact"/>
              <w:rPr>
                <w:sz w:val="20"/>
                <w:szCs w:val="20"/>
                <w:color w:val="auto"/>
              </w:rPr>
            </w:pPr>
            <w:r>
              <w:rPr>
                <w:rFonts w:ascii="Times New Roman" w:cs="Times New Roman" w:eastAsia="Times New Roman" w:hAnsi="Times New Roman"/>
                <w:sz w:val="12"/>
                <w:szCs w:val="12"/>
                <w:color w:val="auto"/>
              </w:rPr>
              <w:t>4.1</w:t>
            </w:r>
          </w:p>
        </w:tc>
        <w:tc>
          <w:tcPr>
            <w:tcW w:w="78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93">
              <w:r>
                <w:rPr>
                  <w:rFonts w:ascii="Times New Roman" w:cs="Times New Roman" w:eastAsia="Times New Roman" w:hAnsi="Times New Roman"/>
                  <w:sz w:val="12"/>
                  <w:szCs w:val="12"/>
                  <w:color w:val="0000EE"/>
                  <w:w w:val="99"/>
                </w:rPr>
                <w:t>Description of ATN International, Inc. securities registered pursuant to Section 12 of the Exchange Act (incorporated by reference to Exhibit 4.1 to the Company’s</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rPr>
              <w:t>10.1</w:t>
            </w:r>
            <w:r>
              <w:rPr>
                <w:rFonts w:ascii="Arial" w:cs="Arial" w:eastAsia="Arial" w:hAnsi="Arial"/>
                <w:sz w:val="12"/>
                <w:szCs w:val="12"/>
                <w:color w:val="auto"/>
              </w:rPr>
              <w:t>ⱡ</w:t>
            </w: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3">
              <w:r>
                <w:rPr>
                  <w:rFonts w:ascii="Times New Roman" w:cs="Times New Roman" w:eastAsia="Times New Roman" w:hAnsi="Times New Roman"/>
                  <w:sz w:val="12"/>
                  <w:szCs w:val="12"/>
                  <w:color w:val="0000EE"/>
                </w:rPr>
                <w:t>Annual Report on Form 10 K (File No. 001 12593) for the year ended December 31, 2019 filed on March 2, 2020).</w:t>
              </w:r>
            </w:hyperlink>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754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94">
              <w:r>
                <w:rPr>
                  <w:rFonts w:ascii="Times New Roman" w:cs="Times New Roman" w:eastAsia="Times New Roman" w:hAnsi="Times New Roman"/>
                  <w:sz w:val="12"/>
                  <w:szCs w:val="12"/>
                  <w:color w:val="0000EE"/>
                  <w:w w:val="99"/>
                </w:rPr>
                <w:t>ATN International, Inc. 2008 Equity Incentive Plan, as amended and restated (incorporated by reference to Appendix C of the Definitive Proxy Statement on</w:t>
              </w:r>
            </w:hyperlink>
          </w:p>
        </w:tc>
        <w:tc>
          <w:tcPr>
            <w:tcW w:w="32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rPr>
              <w:t>10.2</w:t>
            </w:r>
            <w:r>
              <w:rPr>
                <w:rFonts w:ascii="Arial" w:cs="Arial" w:eastAsia="Arial" w:hAnsi="Arial"/>
                <w:sz w:val="12"/>
                <w:szCs w:val="12"/>
                <w:color w:val="auto"/>
              </w:rPr>
              <w:t>ⱡ</w:t>
            </w: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4">
              <w:r>
                <w:rPr>
                  <w:rFonts w:ascii="Times New Roman" w:cs="Times New Roman" w:eastAsia="Times New Roman" w:hAnsi="Times New Roman"/>
                  <w:sz w:val="12"/>
                  <w:szCs w:val="12"/>
                  <w:color w:val="0000EE"/>
                </w:rPr>
                <w:t>Schedule 14A (File No. 001-12593) filed on May 2, 2011).</w:t>
              </w:r>
            </w:hyperlink>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5">
              <w:r>
                <w:rPr>
                  <w:rFonts w:ascii="Times New Roman" w:cs="Times New Roman" w:eastAsia="Times New Roman" w:hAnsi="Times New Roman"/>
                  <w:sz w:val="12"/>
                  <w:szCs w:val="12"/>
                  <w:color w:val="0000EE"/>
                </w:rPr>
                <w:t>Form of Notice of Grant of Restricted Stock and Restricted Stock Agreement under 2008 Equity Incentive Plan (Non-Employee Directors) (incorporated by</w:t>
              </w:r>
            </w:hyperlink>
          </w:p>
        </w:tc>
        <w:tc>
          <w:tcPr>
            <w:tcW w:w="0" w:type="dxa"/>
            <w:vAlign w:val="bottom"/>
          </w:tcPr>
          <w:p>
            <w:pPr>
              <w:spacing w:after="0"/>
              <w:rPr>
                <w:sz w:val="1"/>
                <w:szCs w:val="1"/>
                <w:color w:val="auto"/>
              </w:rPr>
            </w:pPr>
          </w:p>
        </w:tc>
      </w:tr>
      <w:tr>
        <w:trPr>
          <w:trHeight w:val="124"/>
        </w:trPr>
        <w:tc>
          <w:tcPr>
            <w:tcW w:w="110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rPr>
              <w:t>10.3</w:t>
            </w:r>
            <w:r>
              <w:rPr>
                <w:rFonts w:ascii="Arial" w:cs="Arial" w:eastAsia="Arial" w:hAnsi="Arial"/>
                <w:sz w:val="12"/>
                <w:szCs w:val="12"/>
                <w:color w:val="auto"/>
              </w:rPr>
              <w:t>ⱡ</w:t>
            </w:r>
          </w:p>
        </w:tc>
        <w:tc>
          <w:tcPr>
            <w:tcW w:w="7500" w:type="dxa"/>
            <w:vAlign w:val="bottom"/>
            <w:tcBorders>
              <w:top w:val="single" w:sz="8" w:color="0000EE"/>
            </w:tcBorders>
            <w:gridSpan w:val="10"/>
          </w:tcPr>
          <w:p>
            <w:pPr>
              <w:spacing w:after="0" w:line="124" w:lineRule="exact"/>
              <w:rPr>
                <w:rFonts w:ascii="Times New Roman" w:cs="Times New Roman" w:eastAsia="Times New Roman" w:hAnsi="Times New Roman"/>
                <w:sz w:val="12"/>
                <w:szCs w:val="12"/>
                <w:color w:val="0000EE"/>
              </w:rPr>
            </w:pPr>
            <w:hyperlink r:id="rId95">
              <w:r>
                <w:rPr>
                  <w:rFonts w:ascii="Times New Roman" w:cs="Times New Roman" w:eastAsia="Times New Roman" w:hAnsi="Times New Roman"/>
                  <w:sz w:val="12"/>
                  <w:szCs w:val="12"/>
                  <w:color w:val="0000EE"/>
                </w:rPr>
                <w:t>reference to Exhibit 10.2 to the Company’s Current Report on Form 8-K (File No. 001-12593) filed on May 21, 2008).</w:t>
              </w:r>
            </w:hyperlink>
          </w:p>
        </w:tc>
        <w:tc>
          <w:tcPr>
            <w:tcW w:w="3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6">
              <w:r>
                <w:rPr>
                  <w:rFonts w:ascii="Times New Roman" w:cs="Times New Roman" w:eastAsia="Times New Roman" w:hAnsi="Times New Roman"/>
                  <w:sz w:val="12"/>
                  <w:szCs w:val="12"/>
                  <w:color w:val="0000EE"/>
                </w:rPr>
                <w:t>Form of Notice of Grant of Restricted Stock and Restricted Stock Agreement under 2008 Equity Incentive Plan (incorporated by reference to Exhibit 10.3 to the</w:t>
              </w:r>
            </w:hyperlink>
          </w:p>
        </w:tc>
        <w:tc>
          <w:tcPr>
            <w:tcW w:w="0" w:type="dxa"/>
            <w:vAlign w:val="bottom"/>
          </w:tcPr>
          <w:p>
            <w:pPr>
              <w:spacing w:after="0"/>
              <w:rPr>
                <w:sz w:val="1"/>
                <w:szCs w:val="1"/>
                <w:color w:val="auto"/>
              </w:rPr>
            </w:pPr>
          </w:p>
        </w:tc>
      </w:tr>
      <w:tr>
        <w:trPr>
          <w:trHeight w:val="124"/>
        </w:trPr>
        <w:tc>
          <w:tcPr>
            <w:tcW w:w="110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rPr>
              <w:t>10.4</w:t>
            </w:r>
            <w:r>
              <w:rPr>
                <w:rFonts w:ascii="Arial" w:cs="Arial" w:eastAsia="Arial" w:hAnsi="Arial"/>
                <w:sz w:val="12"/>
                <w:szCs w:val="12"/>
                <w:color w:val="auto"/>
              </w:rPr>
              <w:t>ⱡ</w:t>
            </w:r>
          </w:p>
        </w:tc>
        <w:tc>
          <w:tcPr>
            <w:tcW w:w="422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96">
              <w:r>
                <w:rPr>
                  <w:rFonts w:ascii="Times New Roman" w:cs="Times New Roman" w:eastAsia="Times New Roman" w:hAnsi="Times New Roman"/>
                  <w:sz w:val="12"/>
                  <w:szCs w:val="12"/>
                  <w:color w:val="0000EE"/>
                  <w:w w:val="99"/>
                </w:rPr>
                <w:t>Company’s Current Report on Form 8-K (File No. 001- 12593) filed on May 21, 2008).</w:t>
              </w:r>
            </w:hyperlink>
          </w:p>
        </w:tc>
        <w:tc>
          <w:tcPr>
            <w:tcW w:w="3480" w:type="dxa"/>
            <w:vAlign w:val="bottom"/>
            <w:tcBorders>
              <w:top w:val="single" w:sz="8" w:color="0000EE"/>
            </w:tcBorders>
            <w:gridSpan w:val="10"/>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758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97">
              <w:r>
                <w:rPr>
                  <w:rFonts w:ascii="Times New Roman" w:cs="Times New Roman" w:eastAsia="Times New Roman" w:hAnsi="Times New Roman"/>
                  <w:sz w:val="12"/>
                  <w:szCs w:val="12"/>
                  <w:color w:val="0000EE"/>
                  <w:w w:val="99"/>
                </w:rPr>
                <w:t>Form of Notice of Grant of Incentive Stock Option and Option Agreement under 2008 Equity Incentive Plan (incorporated by reference to Exhibit 10.4 to the</w:t>
              </w:r>
            </w:hyperlink>
          </w:p>
        </w:tc>
        <w:tc>
          <w:tcPr>
            <w:tcW w:w="2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860" w:type="dxa"/>
            <w:vAlign w:val="bottom"/>
            <w:gridSpan w:val="18"/>
          </w:tcPr>
          <w:p>
            <w:pPr>
              <w:spacing w:after="0" w:line="124" w:lineRule="exact"/>
              <w:rPr>
                <w:rFonts w:ascii="Times New Roman" w:cs="Times New Roman" w:eastAsia="Times New Roman" w:hAnsi="Times New Roman"/>
                <w:sz w:val="12"/>
                <w:szCs w:val="12"/>
                <w:color w:val="0000EE"/>
              </w:rPr>
            </w:pPr>
            <w:hyperlink r:id="rId97">
              <w:r>
                <w:rPr>
                  <w:rFonts w:ascii="Times New Roman" w:cs="Times New Roman" w:eastAsia="Times New Roman" w:hAnsi="Times New Roman"/>
                  <w:sz w:val="12"/>
                  <w:szCs w:val="12"/>
                  <w:color w:val="0000EE"/>
                </w:rPr>
                <w:t>Company’s Current Report on Form 8-K (File No. 001- 12593) filed on May 21, 2008).</w:t>
              </w:r>
            </w:hyperlink>
          </w:p>
        </w:tc>
        <w:tc>
          <w:tcPr>
            <w:tcW w:w="0" w:type="dxa"/>
            <w:vAlign w:val="bottom"/>
          </w:tcPr>
          <w:p>
            <w:pPr>
              <w:spacing w:after="0"/>
              <w:rPr>
                <w:sz w:val="1"/>
                <w:szCs w:val="1"/>
                <w:color w:val="auto"/>
              </w:rPr>
            </w:pPr>
          </w:p>
        </w:tc>
      </w:tr>
      <w:tr>
        <w:trPr>
          <w:trHeight w:val="439"/>
        </w:trPr>
        <w:tc>
          <w:tcPr>
            <w:tcW w:w="1100" w:type="dxa"/>
            <w:vAlign w:val="bottom"/>
          </w:tcPr>
          <w:p>
            <w:pPr>
              <w:spacing w:after="0"/>
              <w:rPr>
                <w:sz w:val="24"/>
                <w:szCs w:val="24"/>
                <w:color w:val="auto"/>
              </w:rPr>
            </w:pPr>
          </w:p>
        </w:tc>
        <w:tc>
          <w:tcPr>
            <w:tcW w:w="4220" w:type="dxa"/>
            <w:vAlign w:val="bottom"/>
            <w:tcBorders>
              <w:top w:val="single" w:sz="8" w:color="0000EE"/>
            </w:tcBorders>
            <w:gridSpan w:val="5"/>
          </w:tcPr>
          <w:p>
            <w:pPr>
              <w:jc w:val="center"/>
              <w:ind w:left="2480"/>
              <w:spacing w:after="0"/>
              <w:rPr>
                <w:sz w:val="20"/>
                <w:szCs w:val="20"/>
                <w:color w:val="auto"/>
              </w:rPr>
            </w:pPr>
            <w:r>
              <w:rPr>
                <w:rFonts w:ascii="Times New Roman" w:cs="Times New Roman" w:eastAsia="Times New Roman" w:hAnsi="Times New Roman"/>
                <w:sz w:val="12"/>
                <w:szCs w:val="12"/>
                <w:color w:val="auto"/>
                <w:w w:val="99"/>
              </w:rPr>
              <w:t>71</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0" w:right="139" w:hanging="479"/>
        <w:spacing w:after="0" w:line="267"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10.5</w:t>
      </w:r>
      <w:r>
        <w:rPr>
          <w:rFonts w:ascii="Arial" w:cs="Arial" w:eastAsia="Arial" w:hAnsi="Arial"/>
          <w:sz w:val="12"/>
          <w:szCs w:val="12"/>
          <w:color w:val="auto"/>
        </w:rPr>
        <w:t>ⱡ</w:t>
      </w:r>
      <w:r>
        <w:rPr>
          <w:sz w:val="20"/>
          <w:szCs w:val="20"/>
          <w:color w:val="auto"/>
        </w:rPr>
        <w:tab/>
      </w:r>
      <w:hyperlink r:id="rId98">
        <w:r>
          <w:rPr>
            <w:rFonts w:ascii="Times New Roman" w:cs="Times New Roman" w:eastAsia="Times New Roman" w:hAnsi="Times New Roman"/>
            <w:sz w:val="12"/>
            <w:szCs w:val="12"/>
            <w:u w:val="single" w:color="auto"/>
            <w:color w:val="0000EE"/>
          </w:rPr>
          <w:t>Form of Notice of Grant of Nonqualified Stock Option and Option Agreement under 2008 Equity Incentive Plan (incorporated by reference to Exhibit 10.5 to the</w:t>
        </w:r>
      </w:hyperlink>
      <w:r>
        <w:rPr>
          <w:rFonts w:ascii="Times New Roman" w:cs="Times New Roman" w:eastAsia="Times New Roman" w:hAnsi="Times New Roman"/>
          <w:sz w:val="12"/>
          <w:szCs w:val="12"/>
          <w:u w:val="single" w:color="auto"/>
          <w:color w:val="0000EE"/>
        </w:rPr>
        <w:t xml:space="preserve"> </w:t>
      </w:r>
      <w:hyperlink r:id="rId98">
        <w:r>
          <w:rPr>
            <w:rFonts w:ascii="Times New Roman" w:cs="Times New Roman" w:eastAsia="Times New Roman" w:hAnsi="Times New Roman"/>
            <w:sz w:val="12"/>
            <w:szCs w:val="12"/>
            <w:u w:val="single" w:color="auto"/>
            <w:color w:val="0000EE"/>
          </w:rPr>
          <w:t>Company’s Current Report on Form 8-K (File No. 001- 12593) filed on May 21, 2008).</w:t>
        </w:r>
      </w:hyperlink>
    </w:p>
    <w:p>
      <w:pPr>
        <w:spacing w:after="0" w:line="1" w:lineRule="exact"/>
        <w:rPr>
          <w:sz w:val="20"/>
          <w:szCs w:val="20"/>
          <w:color w:val="auto"/>
        </w:rPr>
      </w:pPr>
    </w:p>
    <w:p>
      <w:pPr>
        <w:ind w:left="1120" w:right="339" w:hanging="479"/>
        <w:spacing w:after="0" w:line="25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10.6</w:t>
      </w:r>
      <w:r>
        <w:rPr>
          <w:rFonts w:ascii="Arial" w:cs="Arial" w:eastAsia="Arial" w:hAnsi="Arial"/>
          <w:sz w:val="12"/>
          <w:szCs w:val="12"/>
          <w:color w:val="auto"/>
        </w:rPr>
        <w:t>ⱡ</w:t>
      </w:r>
      <w:r>
        <w:rPr>
          <w:sz w:val="20"/>
          <w:szCs w:val="20"/>
          <w:color w:val="auto"/>
        </w:rPr>
        <w:tab/>
      </w:r>
      <w:hyperlink r:id="rId99">
        <w:r>
          <w:rPr>
            <w:rFonts w:ascii="Times New Roman" w:cs="Times New Roman" w:eastAsia="Times New Roman" w:hAnsi="Times New Roman"/>
            <w:sz w:val="12"/>
            <w:szCs w:val="12"/>
            <w:u w:val="single" w:color="auto"/>
            <w:color w:val="0000EE"/>
          </w:rPr>
          <w:t>Deferred Compensation Plan for Select Employees of ATN International, Inc. (incorporated by reference to Exhibit 10.1 to the Company’s Current Report on</w:t>
        </w:r>
      </w:hyperlink>
      <w:r>
        <w:rPr>
          <w:rFonts w:ascii="Times New Roman" w:cs="Times New Roman" w:eastAsia="Times New Roman" w:hAnsi="Times New Roman"/>
          <w:sz w:val="12"/>
          <w:szCs w:val="12"/>
          <w:u w:val="single" w:color="auto"/>
          <w:color w:val="0000EE"/>
        </w:rPr>
        <w:t xml:space="preserve"> </w:t>
      </w:r>
      <w:hyperlink r:id="rId99">
        <w:r>
          <w:rPr>
            <w:rFonts w:ascii="Times New Roman" w:cs="Times New Roman" w:eastAsia="Times New Roman" w:hAnsi="Times New Roman"/>
            <w:sz w:val="12"/>
            <w:szCs w:val="12"/>
            <w:u w:val="single" w:color="auto"/>
            <w:color w:val="0000EE"/>
          </w:rPr>
          <w:t>Form 8-K (File No. 001-12593) filed on January 6, 2009).</w:t>
        </w:r>
      </w:hyperlink>
    </w:p>
    <w:p>
      <w:pPr>
        <w:spacing w:after="0" w:line="1" w:lineRule="exact"/>
        <w:rPr>
          <w:sz w:val="20"/>
          <w:szCs w:val="20"/>
          <w:color w:val="auto"/>
        </w:rPr>
      </w:pPr>
    </w:p>
    <w:p>
      <w:pPr>
        <w:ind w:left="1120" w:right="139" w:hanging="479"/>
        <w:spacing w:after="0" w:line="25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10.7</w:t>
      </w:r>
      <w:r>
        <w:rPr>
          <w:rFonts w:ascii="Arial" w:cs="Arial" w:eastAsia="Arial" w:hAnsi="Arial"/>
          <w:sz w:val="12"/>
          <w:szCs w:val="12"/>
          <w:color w:val="auto"/>
        </w:rPr>
        <w:t>ⱡ</w:t>
      </w:r>
      <w:r>
        <w:rPr>
          <w:sz w:val="20"/>
          <w:szCs w:val="20"/>
          <w:color w:val="auto"/>
        </w:rPr>
        <w:tab/>
      </w:r>
      <w:hyperlink r:id="rId100">
        <w:r>
          <w:rPr>
            <w:rFonts w:ascii="Times New Roman" w:cs="Times New Roman" w:eastAsia="Times New Roman" w:hAnsi="Times New Roman"/>
            <w:sz w:val="12"/>
            <w:szCs w:val="12"/>
            <w:u w:val="single" w:color="auto"/>
            <w:color w:val="0000EE"/>
          </w:rPr>
          <w:t>Form of Restricted Stock Unit Agreement under the 2008 Equity Incentive Plan (incorporated by reference to Exhibit 10.2 to the Company’s Quarterly Report on</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Form 10-Q (File No. 001-12593) filed on May 9, 2018).</w:t>
        </w:r>
      </w:hyperlink>
    </w:p>
    <w:p>
      <w:pPr>
        <w:spacing w:after="0" w:line="1" w:lineRule="exact"/>
        <w:rPr>
          <w:sz w:val="20"/>
          <w:szCs w:val="20"/>
          <w:color w:val="auto"/>
        </w:rPr>
      </w:pPr>
    </w:p>
    <w:p>
      <w:pPr>
        <w:ind w:left="1120" w:right="359" w:hanging="479"/>
        <w:spacing w:after="0" w:line="25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10.8</w:t>
      </w:r>
      <w:r>
        <w:rPr>
          <w:rFonts w:ascii="Arial" w:cs="Arial" w:eastAsia="Arial" w:hAnsi="Arial"/>
          <w:sz w:val="12"/>
          <w:szCs w:val="12"/>
          <w:color w:val="auto"/>
        </w:rPr>
        <w:t>ⱡ</w:t>
      </w:r>
      <w:r>
        <w:rPr>
          <w:sz w:val="20"/>
          <w:szCs w:val="20"/>
          <w:color w:val="auto"/>
        </w:rPr>
        <w:tab/>
      </w:r>
      <w:hyperlink r:id="rId101">
        <w:r>
          <w:rPr>
            <w:rFonts w:ascii="Times New Roman" w:cs="Times New Roman" w:eastAsia="Times New Roman" w:hAnsi="Times New Roman"/>
            <w:sz w:val="12"/>
            <w:szCs w:val="12"/>
            <w:u w:val="single" w:color="auto"/>
            <w:color w:val="0000EE"/>
          </w:rPr>
          <w:t>Form of Restricted Stock Unit Award Grant Notice and Restricted Stock Unit Agreement under the 2008 Equity Incentive Plan (incorporated by reference to</w:t>
        </w:r>
      </w:hyperlink>
      <w:r>
        <w:rPr>
          <w:rFonts w:ascii="Times New Roman" w:cs="Times New Roman" w:eastAsia="Times New Roman" w:hAnsi="Times New Roman"/>
          <w:sz w:val="12"/>
          <w:szCs w:val="12"/>
          <w:u w:val="single" w:color="auto"/>
          <w:color w:val="0000EE"/>
        </w:rPr>
        <w:t xml:space="preserve"> </w:t>
      </w:r>
      <w:hyperlink r:id="rId101">
        <w:r>
          <w:rPr>
            <w:rFonts w:ascii="Times New Roman" w:cs="Times New Roman" w:eastAsia="Times New Roman" w:hAnsi="Times New Roman"/>
            <w:sz w:val="12"/>
            <w:szCs w:val="12"/>
            <w:u w:val="single" w:color="auto"/>
            <w:color w:val="0000EE"/>
          </w:rPr>
          <w:t>Exhibit 10.2 to the Company’s Current Report on Form 8-K (File No. 001-12593) filed on March 15, 2021).</w:t>
        </w:r>
      </w:hyperlink>
    </w:p>
    <w:p>
      <w:pPr>
        <w:spacing w:after="0" w:line="1" w:lineRule="exact"/>
        <w:rPr>
          <w:sz w:val="20"/>
          <w:szCs w:val="20"/>
          <w:color w:val="auto"/>
        </w:rPr>
      </w:pPr>
    </w:p>
    <w:p>
      <w:pPr>
        <w:ind w:left="1120" w:right="39" w:hanging="479"/>
        <w:spacing w:after="0" w:line="25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10.9</w:t>
      </w:r>
      <w:r>
        <w:rPr>
          <w:rFonts w:ascii="Arial" w:cs="Arial" w:eastAsia="Arial" w:hAnsi="Arial"/>
          <w:sz w:val="12"/>
          <w:szCs w:val="12"/>
          <w:color w:val="auto"/>
        </w:rPr>
        <w:t>ⱡ</w:t>
      </w:r>
      <w:r>
        <w:rPr>
          <w:sz w:val="20"/>
          <w:szCs w:val="20"/>
          <w:color w:val="auto"/>
        </w:rPr>
        <w:tab/>
      </w:r>
      <w:hyperlink r:id="rId102">
        <w:r>
          <w:rPr>
            <w:rFonts w:ascii="Times New Roman" w:cs="Times New Roman" w:eastAsia="Times New Roman" w:hAnsi="Times New Roman"/>
            <w:sz w:val="12"/>
            <w:szCs w:val="12"/>
            <w:u w:val="single" w:color="auto"/>
            <w:color w:val="0000EE"/>
          </w:rPr>
          <w:t>Form of Performance Stock Unit Award Grant Notice and Performance Stock Unit Agreement (incorporated by reference to Exhibit 10.1 to the Company’s Current</w:t>
        </w:r>
      </w:hyperlink>
      <w:r>
        <w:rPr>
          <w:rFonts w:ascii="Times New Roman" w:cs="Times New Roman" w:eastAsia="Times New Roman" w:hAnsi="Times New Roman"/>
          <w:sz w:val="12"/>
          <w:szCs w:val="12"/>
          <w:u w:val="single" w:color="auto"/>
          <w:color w:val="0000EE"/>
        </w:rPr>
        <w:t xml:space="preserve"> </w:t>
      </w:r>
      <w:hyperlink r:id="rId102">
        <w:r>
          <w:rPr>
            <w:rFonts w:ascii="Times New Roman" w:cs="Times New Roman" w:eastAsia="Times New Roman" w:hAnsi="Times New Roman"/>
            <w:sz w:val="12"/>
            <w:szCs w:val="12"/>
            <w:u w:val="single" w:color="auto"/>
            <w:color w:val="0000EE"/>
          </w:rPr>
          <w:t>Report on Form 8-K (File No. 001-12593) filed on March 15, 2021).</w:t>
        </w:r>
      </w:hyperlink>
    </w:p>
    <w:p>
      <w:pPr>
        <w:spacing w:after="0" w:line="1" w:lineRule="exact"/>
        <w:rPr>
          <w:sz w:val="20"/>
          <w:szCs w:val="20"/>
          <w:color w:val="auto"/>
        </w:rPr>
      </w:pPr>
    </w:p>
    <w:p>
      <w:pPr>
        <w:ind w:left="1120" w:right="139" w:hanging="539"/>
        <w:spacing w:after="0" w:line="261"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10.10</w:t>
      </w:r>
      <w:r>
        <w:rPr>
          <w:rFonts w:ascii="Arial" w:cs="Arial" w:eastAsia="Arial" w:hAnsi="Arial"/>
          <w:sz w:val="12"/>
          <w:szCs w:val="12"/>
          <w:color w:val="auto"/>
        </w:rPr>
        <w:t>ⱡ</w:t>
      </w:r>
      <w:r>
        <w:rPr>
          <w:sz w:val="20"/>
          <w:szCs w:val="20"/>
          <w:color w:val="auto"/>
        </w:rPr>
        <w:tab/>
      </w:r>
      <w:hyperlink r:id="rId103">
        <w:r>
          <w:rPr>
            <w:rFonts w:ascii="Times New Roman" w:cs="Times New Roman" w:eastAsia="Times New Roman" w:hAnsi="Times New Roman"/>
            <w:sz w:val="12"/>
            <w:szCs w:val="12"/>
            <w:u w:val="single" w:color="auto"/>
            <w:color w:val="0000EE"/>
          </w:rPr>
          <w:t>Form of Severance Agreement with Non-CEO Executive Officers (incorporated by reference to Exhibit 10.2 to the Company’s Current Report on Form 8-K (File</w:t>
        </w:r>
      </w:hyperlink>
      <w:r>
        <w:rPr>
          <w:rFonts w:ascii="Times New Roman" w:cs="Times New Roman" w:eastAsia="Times New Roman" w:hAnsi="Times New Roman"/>
          <w:sz w:val="12"/>
          <w:szCs w:val="12"/>
          <w:u w:val="single" w:color="auto"/>
          <w:color w:val="0000EE"/>
        </w:rPr>
        <w:t xml:space="preserve"> </w:t>
      </w:r>
      <w:hyperlink r:id="rId103">
        <w:r>
          <w:rPr>
            <w:rFonts w:ascii="Times New Roman" w:cs="Times New Roman" w:eastAsia="Times New Roman" w:hAnsi="Times New Roman"/>
            <w:sz w:val="12"/>
            <w:szCs w:val="12"/>
            <w:u w:val="single" w:color="auto"/>
            <w:color w:val="0000EE"/>
          </w:rPr>
          <w:t>No. 001-12593) filed on March 19, 2019).</w:t>
        </w:r>
      </w:hyperlink>
    </w:p>
    <w:p>
      <w:pPr>
        <w:ind w:left="600"/>
        <w:spacing w:after="0"/>
        <w:tabs>
          <w:tab w:leader="none" w:pos="1100" w:val="left"/>
        </w:tabs>
        <w:rPr>
          <w:sz w:val="20"/>
          <w:szCs w:val="20"/>
          <w:color w:val="auto"/>
        </w:rPr>
      </w:pPr>
      <w:r>
        <w:rPr>
          <w:rFonts w:ascii="Times New Roman" w:cs="Times New Roman" w:eastAsia="Times New Roman" w:hAnsi="Times New Roman"/>
          <w:sz w:val="12"/>
          <w:szCs w:val="12"/>
          <w:color w:val="auto"/>
        </w:rPr>
        <w:t>10.11</w:t>
      </w:r>
      <w:r>
        <w:rPr>
          <w:rFonts w:ascii="Arial" w:cs="Arial" w:eastAsia="Arial" w:hAnsi="Arial"/>
          <w:sz w:val="12"/>
          <w:szCs w:val="12"/>
          <w:color w:val="auto"/>
        </w:rPr>
        <w:t>ⱡ</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u w:val="single" w:color="auto"/>
          <w:color w:val="0000EE"/>
        </w:rPr>
        <w:t>Form of Severance Agreement with Non-CEO Executive Officers.</w:t>
      </w:r>
    </w:p>
    <w:p>
      <w:pPr>
        <w:spacing w:after="0" w:line="18"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2"/>
          <w:szCs w:val="12"/>
          <w:color w:val="auto"/>
        </w:rPr>
        <w:t>10.12</w:t>
      </w:r>
      <w:r>
        <w:rPr>
          <w:rFonts w:ascii="Arial" w:cs="Arial" w:eastAsia="Arial" w:hAnsi="Arial"/>
          <w:sz w:val="12"/>
          <w:szCs w:val="12"/>
          <w:color w:val="auto"/>
        </w:rPr>
        <w:t>ⱡ</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u w:val="single" w:color="auto"/>
          <w:color w:val="0000EE"/>
        </w:rPr>
        <w:t>Form of Severance Agreement with Chief Executive Officer.</w:t>
      </w:r>
    </w:p>
    <w:p>
      <w:pPr>
        <w:spacing w:after="0" w:line="14" w:lineRule="exact"/>
        <w:rPr>
          <w:sz w:val="20"/>
          <w:szCs w:val="20"/>
          <w:color w:val="auto"/>
        </w:rPr>
      </w:pPr>
    </w:p>
    <w:p>
      <w:pPr>
        <w:ind w:left="1120" w:right="159" w:hanging="539"/>
        <w:spacing w:after="0" w:line="264"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10.13</w:t>
      </w:r>
      <w:r>
        <w:rPr>
          <w:sz w:val="20"/>
          <w:szCs w:val="20"/>
          <w:color w:val="auto"/>
        </w:rPr>
        <w:tab/>
      </w:r>
      <w:hyperlink r:id="rId104">
        <w:r>
          <w:rPr>
            <w:rFonts w:ascii="Times New Roman" w:cs="Times New Roman" w:eastAsia="Times New Roman" w:hAnsi="Times New Roman"/>
            <w:sz w:val="12"/>
            <w:szCs w:val="12"/>
            <w:u w:val="single" w:color="auto"/>
            <w:color w:val="0000EE"/>
          </w:rPr>
          <w:t>Fourth Amended and Restated Credit Agreement dated as of December 19, 2014 by and among the Company, as Borrower, CoBank, ACB, as Administrative</w:t>
        </w:r>
      </w:hyperlink>
      <w:r>
        <w:rPr>
          <w:rFonts w:ascii="Times New Roman" w:cs="Times New Roman" w:eastAsia="Times New Roman" w:hAnsi="Times New Roman"/>
          <w:sz w:val="12"/>
          <w:szCs w:val="12"/>
          <w:u w:val="single" w:color="auto"/>
          <w:color w:val="0000EE"/>
        </w:rPr>
        <w:t xml:space="preserve"> </w:t>
      </w:r>
      <w:hyperlink r:id="rId104">
        <w:r>
          <w:rPr>
            <w:rFonts w:ascii="Times New Roman" w:cs="Times New Roman" w:eastAsia="Times New Roman" w:hAnsi="Times New Roman"/>
            <w:sz w:val="12"/>
            <w:szCs w:val="12"/>
            <w:u w:val="single" w:color="auto"/>
            <w:color w:val="0000EE"/>
          </w:rPr>
          <w:t>Agent, Lead Arranger, Swingline Lender, an Issuing Lender and a Lender, Fifth Third Bank, as a Joint Lead Arranger, MUFG Union Bank, N.A., as a Joint Lead</w:t>
        </w:r>
      </w:hyperlink>
      <w:r>
        <w:rPr>
          <w:rFonts w:ascii="Times New Roman" w:cs="Times New Roman" w:eastAsia="Times New Roman" w:hAnsi="Times New Roman"/>
          <w:sz w:val="12"/>
          <w:szCs w:val="12"/>
          <w:u w:val="single" w:color="auto"/>
          <w:color w:val="0000EE"/>
        </w:rPr>
        <w:t xml:space="preserve"> </w:t>
      </w:r>
      <w:hyperlink r:id="rId104">
        <w:r>
          <w:rPr>
            <w:rFonts w:ascii="Times New Roman" w:cs="Times New Roman" w:eastAsia="Times New Roman" w:hAnsi="Times New Roman"/>
            <w:sz w:val="12"/>
            <w:szCs w:val="12"/>
            <w:u w:val="single" w:color="auto"/>
            <w:color w:val="0000EE"/>
          </w:rPr>
          <w:t>Arranger and an Issuing Lender, the Guarantors named therein and the other Lenders named therein (incorporated by reference to Exhibit 10.1 to the Company’s</w:t>
        </w:r>
      </w:hyperlink>
      <w:r>
        <w:rPr>
          <w:rFonts w:ascii="Times New Roman" w:cs="Times New Roman" w:eastAsia="Times New Roman" w:hAnsi="Times New Roman"/>
          <w:sz w:val="12"/>
          <w:szCs w:val="12"/>
          <w:u w:val="single" w:color="auto"/>
          <w:color w:val="0000EE"/>
        </w:rPr>
        <w:t xml:space="preserve"> </w:t>
      </w:r>
      <w:hyperlink r:id="rId104">
        <w:r>
          <w:rPr>
            <w:rFonts w:ascii="Times New Roman" w:cs="Times New Roman" w:eastAsia="Times New Roman" w:hAnsi="Times New Roman"/>
            <w:sz w:val="12"/>
            <w:szCs w:val="12"/>
            <w:u w:val="single" w:color="auto"/>
            <w:color w:val="0000EE"/>
          </w:rPr>
          <w:t>Current Report on Form 8-K (File No. 001-12593) filed on December 23, 2014).</w:t>
        </w:r>
      </w:hyperlink>
    </w:p>
    <w:p>
      <w:pPr>
        <w:spacing w:after="0" w:line="1" w:lineRule="exact"/>
        <w:rPr>
          <w:rFonts w:ascii="Times New Roman" w:cs="Times New Roman" w:eastAsia="Times New Roman" w:hAnsi="Times New Roman"/>
          <w:sz w:val="12"/>
          <w:szCs w:val="12"/>
          <w:u w:val="single" w:color="auto"/>
          <w:color w:val="0000EE"/>
        </w:rPr>
      </w:pPr>
    </w:p>
    <w:p>
      <w:pPr>
        <w:ind w:left="1120" w:right="439" w:hanging="539"/>
        <w:spacing w:after="0" w:line="26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10.14</w:t>
      </w:r>
      <w:r>
        <w:rPr>
          <w:sz w:val="20"/>
          <w:szCs w:val="20"/>
          <w:color w:val="auto"/>
        </w:rPr>
        <w:tab/>
      </w:r>
      <w:hyperlink r:id="rId105">
        <w:r>
          <w:rPr>
            <w:rFonts w:ascii="Times New Roman" w:cs="Times New Roman" w:eastAsia="Times New Roman" w:hAnsi="Times New Roman"/>
            <w:sz w:val="12"/>
            <w:szCs w:val="12"/>
            <w:u w:val="single" w:color="auto"/>
            <w:color w:val="0000EE"/>
          </w:rPr>
          <w:t>Amendment, Consent and Confirmation Agreement, dated January 11, 2016, by and among ATN International, Inc., as Borrower, CoBank, ACB, as</w:t>
        </w:r>
      </w:hyperlink>
      <w:r>
        <w:rPr>
          <w:rFonts w:ascii="Times New Roman" w:cs="Times New Roman" w:eastAsia="Times New Roman" w:hAnsi="Times New Roman"/>
          <w:sz w:val="12"/>
          <w:szCs w:val="12"/>
          <w:u w:val="single" w:color="auto"/>
          <w:color w:val="0000EE"/>
        </w:rPr>
        <w:t xml:space="preserve"> </w:t>
      </w:r>
      <w:hyperlink r:id="rId105">
        <w:r>
          <w:rPr>
            <w:rFonts w:ascii="Times New Roman" w:cs="Times New Roman" w:eastAsia="Times New Roman" w:hAnsi="Times New Roman"/>
            <w:sz w:val="12"/>
            <w:szCs w:val="12"/>
            <w:u w:val="single" w:color="auto"/>
            <w:color w:val="0000EE"/>
          </w:rPr>
          <w:t>Administrative Agent, and the Guarantors and other Lenders named therein (incorporated by reference to Exhibit 10.1 to the Company’s Current Report on</w:t>
        </w:r>
      </w:hyperlink>
      <w:r>
        <w:rPr>
          <w:rFonts w:ascii="Times New Roman" w:cs="Times New Roman" w:eastAsia="Times New Roman" w:hAnsi="Times New Roman"/>
          <w:sz w:val="12"/>
          <w:szCs w:val="12"/>
          <w:u w:val="single" w:color="auto"/>
          <w:color w:val="0000EE"/>
        </w:rPr>
        <w:t xml:space="preserve"> </w:t>
      </w:r>
      <w:hyperlink r:id="rId105">
        <w:r>
          <w:rPr>
            <w:rFonts w:ascii="Times New Roman" w:cs="Times New Roman" w:eastAsia="Times New Roman" w:hAnsi="Times New Roman"/>
            <w:sz w:val="12"/>
            <w:szCs w:val="12"/>
            <w:u w:val="single" w:color="auto"/>
            <w:color w:val="0000EE"/>
          </w:rPr>
          <w:t>Form 8-K (File No. 001-12593) filed on January 15, 2016).</w:t>
        </w:r>
      </w:hyperlink>
    </w:p>
    <w:p>
      <w:pPr>
        <w:spacing w:after="0" w:line="2" w:lineRule="exact"/>
        <w:rPr>
          <w:rFonts w:ascii="Times New Roman" w:cs="Times New Roman" w:eastAsia="Times New Roman" w:hAnsi="Times New Roman"/>
          <w:sz w:val="12"/>
          <w:szCs w:val="12"/>
          <w:u w:val="single" w:color="auto"/>
          <w:color w:val="0000EE"/>
        </w:rPr>
      </w:pPr>
    </w:p>
    <w:p>
      <w:pPr>
        <w:jc w:val="both"/>
        <w:ind w:left="1120" w:right="59" w:hanging="539"/>
        <w:spacing w:after="0" w:line="260"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10.15</w:t>
      </w:r>
      <w:r>
        <w:rPr>
          <w:sz w:val="20"/>
          <w:szCs w:val="20"/>
          <w:color w:val="auto"/>
        </w:rPr>
        <w:tab/>
      </w:r>
      <w:hyperlink r:id="rId106">
        <w:r>
          <w:rPr>
            <w:rFonts w:ascii="Times New Roman" w:cs="Times New Roman" w:eastAsia="Times New Roman" w:hAnsi="Times New Roman"/>
            <w:sz w:val="12"/>
            <w:szCs w:val="12"/>
            <w:u w:val="single" w:color="auto"/>
            <w:color w:val="0000EE"/>
          </w:rPr>
          <w:t>Third Amendment and Confirmation Agreement dated as of April 10, 2019 by and among the Company, as Borrower, CoBank, ACB, as Administrative Agent, the</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Guarantors named therein and the other Lenders named therein (incorporated by reference to Exhibit 10.1 to the Company’s Current Report on Form 8-K (File No.</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001-12593) filed on April 16, 2019).</w:t>
        </w:r>
      </w:hyperlink>
    </w:p>
    <w:p>
      <w:pPr>
        <w:spacing w:after="0" w:line="2" w:lineRule="exact"/>
        <w:rPr>
          <w:rFonts w:ascii="Times New Roman" w:cs="Times New Roman" w:eastAsia="Times New Roman" w:hAnsi="Times New Roman"/>
          <w:sz w:val="12"/>
          <w:szCs w:val="12"/>
          <w:u w:val="single" w:color="auto"/>
          <w:color w:val="0000EE"/>
        </w:rPr>
      </w:pPr>
    </w:p>
    <w:p>
      <w:pPr>
        <w:ind w:left="1120" w:right="119" w:hanging="539"/>
        <w:spacing w:after="0" w:line="266"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10.16</w:t>
      </w:r>
      <w:r>
        <w:rPr>
          <w:sz w:val="20"/>
          <w:szCs w:val="20"/>
          <w:color w:val="auto"/>
        </w:rPr>
        <w:tab/>
      </w:r>
      <w:hyperlink r:id="rId107">
        <w:r>
          <w:rPr>
            <w:rFonts w:ascii="Times New Roman" w:cs="Times New Roman" w:eastAsia="Times New Roman" w:hAnsi="Times New Roman"/>
            <w:sz w:val="12"/>
            <w:szCs w:val="12"/>
            <w:u w:val="single" w:color="auto"/>
            <w:color w:val="0000EE"/>
          </w:rPr>
          <w:t>Fourth Amendment, Consent and Confirmation Agreement, dated November 7, 2022, among ATN International, Inc., each of the Guarantors named therein,</w:t>
        </w:r>
      </w:hyperlink>
      <w:r>
        <w:rPr>
          <w:rFonts w:ascii="Times New Roman" w:cs="Times New Roman" w:eastAsia="Times New Roman" w:hAnsi="Times New Roman"/>
          <w:sz w:val="12"/>
          <w:szCs w:val="12"/>
          <w:u w:val="single" w:color="auto"/>
          <w:color w:val="0000EE"/>
        </w:rPr>
        <w:t xml:space="preserve"> </w:t>
      </w:r>
      <w:hyperlink r:id="rId107">
        <w:r>
          <w:rPr>
            <w:rFonts w:ascii="Times New Roman" w:cs="Times New Roman" w:eastAsia="Times New Roman" w:hAnsi="Times New Roman"/>
            <w:sz w:val="12"/>
            <w:szCs w:val="12"/>
            <w:u w:val="single" w:color="auto"/>
            <w:color w:val="0000EE"/>
          </w:rPr>
          <w:t>CoBank, ACB, and each of the Lenders named therein (incorporated by reference to Exhibit 10.1 to the Company’s Quarterly Report on Form 10-Q (File No. 001</w:t>
        </w:r>
      </w:hyperlink>
      <w:r>
        <w:rPr>
          <w:rFonts w:ascii="Times New Roman" w:cs="Times New Roman" w:eastAsia="Times New Roman" w:hAnsi="Times New Roman"/>
          <w:sz w:val="12"/>
          <w:szCs w:val="12"/>
          <w:u w:val="single" w:color="auto"/>
          <w:color w:val="0000EE"/>
        </w:rPr>
        <w:t xml:space="preserve"> </w:t>
      </w:r>
      <w:hyperlink r:id="rId107">
        <w:r>
          <w:rPr>
            <w:rFonts w:ascii="Times New Roman" w:cs="Times New Roman" w:eastAsia="Times New Roman" w:hAnsi="Times New Roman"/>
            <w:sz w:val="12"/>
            <w:szCs w:val="12"/>
            <w:u w:val="single" w:color="auto"/>
            <w:color w:val="0000EE"/>
          </w:rPr>
          <w:t>12593) filed on November 9, 2022).</w:t>
        </w:r>
      </w:hyperlink>
    </w:p>
    <w:p>
      <w:pPr>
        <w:jc w:val="both"/>
        <w:ind w:left="1120" w:right="119" w:hanging="539"/>
        <w:spacing w:after="0" w:line="266"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10.17</w:t>
      </w:r>
      <w:r>
        <w:rPr>
          <w:sz w:val="20"/>
          <w:szCs w:val="20"/>
          <w:color w:val="auto"/>
        </w:rPr>
        <w:tab/>
      </w:r>
      <w:hyperlink r:id="rId108">
        <w:r>
          <w:rPr>
            <w:rFonts w:ascii="Times New Roman" w:cs="Times New Roman" w:eastAsia="Times New Roman" w:hAnsi="Times New Roman"/>
            <w:sz w:val="12"/>
            <w:szCs w:val="12"/>
            <w:u w:val="single" w:color="auto"/>
            <w:color w:val="0000EE"/>
          </w:rPr>
          <w:t>Amendment Agreement, dated as of December 28, 2022 , among, ATN International, Inc., as Borrower, CoBank, ACB, as Administrative Agent, and the Lenders</w:t>
        </w:r>
      </w:hyperlink>
      <w:r>
        <w:rPr>
          <w:rFonts w:ascii="Times New Roman" w:cs="Times New Roman" w:eastAsia="Times New Roman" w:hAnsi="Times New Roman"/>
          <w:sz w:val="12"/>
          <w:szCs w:val="12"/>
          <w:u w:val="single" w:color="auto"/>
          <w:color w:val="0000EE"/>
        </w:rPr>
        <w:t xml:space="preserve"> </w:t>
      </w:r>
      <w:hyperlink r:id="rId108">
        <w:r>
          <w:rPr>
            <w:rFonts w:ascii="Times New Roman" w:cs="Times New Roman" w:eastAsia="Times New Roman" w:hAnsi="Times New Roman"/>
            <w:sz w:val="12"/>
            <w:szCs w:val="12"/>
            <w:u w:val="single" w:color="auto"/>
            <w:color w:val="0000EE"/>
          </w:rPr>
          <w:t>and Guarantors party thereto (incorporated by reference to Exhibit 10.3 to the Company’s Current Report on Form 8-K (File No. 001-12593) filed on December</w:t>
        </w:r>
      </w:hyperlink>
      <w:r>
        <w:rPr>
          <w:rFonts w:ascii="Times New Roman" w:cs="Times New Roman" w:eastAsia="Times New Roman" w:hAnsi="Times New Roman"/>
          <w:sz w:val="12"/>
          <w:szCs w:val="12"/>
          <w:u w:val="single" w:color="auto"/>
          <w:color w:val="0000EE"/>
        </w:rPr>
        <w:t xml:space="preserve"> </w:t>
      </w:r>
      <w:hyperlink r:id="rId108">
        <w:r>
          <w:rPr>
            <w:rFonts w:ascii="Times New Roman" w:cs="Times New Roman" w:eastAsia="Times New Roman" w:hAnsi="Times New Roman"/>
            <w:sz w:val="12"/>
            <w:szCs w:val="12"/>
            <w:u w:val="single" w:color="auto"/>
            <w:color w:val="0000EE"/>
          </w:rPr>
          <w:t>30, 2022).</w:t>
        </w:r>
      </w:hyperlink>
    </w:p>
    <w:p>
      <w:pPr>
        <w:ind w:left="1120" w:right="539" w:hanging="539"/>
        <w:spacing w:after="0" w:line="266"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10.18</w:t>
      </w:r>
      <w:r>
        <w:rPr>
          <w:sz w:val="20"/>
          <w:szCs w:val="20"/>
          <w:color w:val="auto"/>
        </w:rPr>
        <w:tab/>
      </w:r>
      <w:hyperlink r:id="rId109">
        <w:r>
          <w:rPr>
            <w:rFonts w:ascii="Times New Roman" w:cs="Times New Roman" w:eastAsia="Times New Roman" w:hAnsi="Times New Roman"/>
            <w:sz w:val="12"/>
            <w:szCs w:val="12"/>
            <w:u w:val="single" w:color="auto"/>
            <w:color w:val="0000EE"/>
          </w:rPr>
          <w:t>Credit Agreement, dated as of March 26, 2020, among Commnet Finance, LLC, as Borrower, Commnet Wireless, LLC, as Originator and Servicer, ATN</w:t>
        </w:r>
      </w:hyperlink>
      <w:r>
        <w:rPr>
          <w:rFonts w:ascii="Times New Roman" w:cs="Times New Roman" w:eastAsia="Times New Roman" w:hAnsi="Times New Roman"/>
          <w:sz w:val="12"/>
          <w:szCs w:val="12"/>
          <w:u w:val="single" w:color="auto"/>
          <w:color w:val="0000EE"/>
        </w:rPr>
        <w:t xml:space="preserve"> </w:t>
      </w:r>
      <w:hyperlink r:id="rId109">
        <w:r>
          <w:rPr>
            <w:rFonts w:ascii="Times New Roman" w:cs="Times New Roman" w:eastAsia="Times New Roman" w:hAnsi="Times New Roman"/>
            <w:sz w:val="12"/>
            <w:szCs w:val="12"/>
            <w:u w:val="single" w:color="auto"/>
            <w:color w:val="0000EE"/>
          </w:rPr>
          <w:t>International, Inc., as Limited Guarantor, CoBank, ACB, as Administrative Agent, Lead Arranger, and Sole Bookrunner, and the Lenders party thereto</w:t>
        </w:r>
      </w:hyperlink>
      <w:r>
        <w:rPr>
          <w:rFonts w:ascii="Times New Roman" w:cs="Times New Roman" w:eastAsia="Times New Roman" w:hAnsi="Times New Roman"/>
          <w:sz w:val="12"/>
          <w:szCs w:val="12"/>
          <w:u w:val="single" w:color="auto"/>
          <w:color w:val="0000EE"/>
        </w:rPr>
        <w:t xml:space="preserve"> </w:t>
      </w:r>
      <w:hyperlink r:id="rId109">
        <w:r>
          <w:rPr>
            <w:rFonts w:ascii="Times New Roman" w:cs="Times New Roman" w:eastAsia="Times New Roman" w:hAnsi="Times New Roman"/>
            <w:sz w:val="12"/>
            <w:szCs w:val="12"/>
            <w:u w:val="single" w:color="auto"/>
            <w:color w:val="0000EE"/>
          </w:rPr>
          <w:t>(incorporated by reference to Exhibit 10.1 to the Company’s Current Report on Form 8-K (File No. 001-12593) filed on April 1, 2020).</w:t>
        </w:r>
      </w:hyperlink>
    </w:p>
    <w:p>
      <w:pPr>
        <w:ind w:left="1120" w:right="79" w:hanging="539"/>
        <w:spacing w:after="0" w:line="259" w:lineRule="auto"/>
        <w:tabs>
          <w:tab w:leader="none" w:pos="11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10.19</w:t>
      </w:r>
      <w:r>
        <w:rPr>
          <w:sz w:val="20"/>
          <w:szCs w:val="20"/>
          <w:color w:val="auto"/>
        </w:rPr>
        <w:tab/>
      </w:r>
      <w:hyperlink r:id="rId110">
        <w:r>
          <w:rPr>
            <w:rFonts w:ascii="Times New Roman" w:cs="Times New Roman" w:eastAsia="Times New Roman" w:hAnsi="Times New Roman"/>
            <w:sz w:val="12"/>
            <w:szCs w:val="12"/>
            <w:u w:val="single" w:color="auto"/>
            <w:color w:val="0000EE"/>
          </w:rPr>
          <w:t>Consent, Release and Confirmation Agreement, entered into as of March 26, 2020, among ATN International, Inc., as Borrower, each of the subsidiaries of ATN</w:t>
        </w:r>
      </w:hyperlink>
      <w:r>
        <w:rPr>
          <w:rFonts w:ascii="Times New Roman" w:cs="Times New Roman" w:eastAsia="Times New Roman" w:hAnsi="Times New Roman"/>
          <w:sz w:val="12"/>
          <w:szCs w:val="12"/>
          <w:u w:val="single" w:color="auto"/>
          <w:color w:val="0000EE"/>
        </w:rPr>
        <w:t xml:space="preserve"> </w:t>
      </w:r>
      <w:hyperlink r:id="rId110">
        <w:r>
          <w:rPr>
            <w:rFonts w:ascii="Times New Roman" w:cs="Times New Roman" w:eastAsia="Times New Roman" w:hAnsi="Times New Roman"/>
            <w:sz w:val="12"/>
            <w:szCs w:val="12"/>
            <w:u w:val="single" w:color="auto"/>
            <w:color w:val="0000EE"/>
          </w:rPr>
          <w:t>International, Inc., identified as guarantors on the signature pages thereto, CoBank, ACB, as Administrative Agent, and each of the financial institutions identified</w:t>
        </w:r>
      </w:hyperlink>
      <w:r>
        <w:rPr>
          <w:rFonts w:ascii="Times New Roman" w:cs="Times New Roman" w:eastAsia="Times New Roman" w:hAnsi="Times New Roman"/>
          <w:sz w:val="12"/>
          <w:szCs w:val="12"/>
          <w:u w:val="single" w:color="auto"/>
          <w:color w:val="0000EE"/>
        </w:rPr>
        <w:t xml:space="preserve"> </w:t>
      </w:r>
      <w:hyperlink r:id="rId110">
        <w:r>
          <w:rPr>
            <w:rFonts w:ascii="Times New Roman" w:cs="Times New Roman" w:eastAsia="Times New Roman" w:hAnsi="Times New Roman"/>
            <w:sz w:val="12"/>
            <w:szCs w:val="12"/>
            <w:u w:val="single" w:color="auto"/>
            <w:color w:val="0000EE"/>
          </w:rPr>
          <w:t>as a Lender on the signature pages thereto (incorporated by reference to Exhibit 10.2 to the Company’s Current Report on Form 8-K (File No. 001-12593) filed on</w:t>
        </w:r>
      </w:hyperlink>
      <w:r>
        <w:rPr>
          <w:rFonts w:ascii="Times New Roman" w:cs="Times New Roman" w:eastAsia="Times New Roman" w:hAnsi="Times New Roman"/>
          <w:sz w:val="12"/>
          <w:szCs w:val="12"/>
          <w:u w:val="single" w:color="auto"/>
          <w:color w:val="0000EE"/>
        </w:rPr>
        <w:t xml:space="preserve"> </w:t>
      </w:r>
      <w:hyperlink r:id="rId110">
        <w:r>
          <w:rPr>
            <w:rFonts w:ascii="Times New Roman" w:cs="Times New Roman" w:eastAsia="Times New Roman" w:hAnsi="Times New Roman"/>
            <w:sz w:val="12"/>
            <w:szCs w:val="12"/>
            <w:u w:val="single" w:color="auto"/>
            <w:color w:val="0000EE"/>
          </w:rPr>
          <w:t>April 1, 2020).</w:t>
        </w:r>
      </w:hyperlink>
    </w:p>
    <w:p>
      <w:pPr>
        <w:spacing w:after="0" w:line="266" w:lineRule="exact"/>
        <w:rPr>
          <w:rFonts w:ascii="Times New Roman" w:cs="Times New Roman" w:eastAsia="Times New Roman" w:hAnsi="Times New Roman"/>
          <w:sz w:val="12"/>
          <w:szCs w:val="12"/>
          <w:u w:val="single" w:color="auto"/>
          <w:color w:val="0000EE"/>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u w:val="single" w:color="auto"/>
          <w:color w:val="0000EE"/>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138"/>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35"/>
        </w:trPr>
        <w:tc>
          <w:tcPr>
            <w:tcW w:w="860" w:type="dxa"/>
            <w:vAlign w:val="bottom"/>
            <w:tcBorders>
              <w:top w:val="single" w:sz="8" w:color="0000EE"/>
            </w:tcBorders>
          </w:tcPr>
          <w:p>
            <w:pPr>
              <w:ind w:left="560"/>
              <w:spacing w:after="0"/>
              <w:rPr>
                <w:sz w:val="20"/>
                <w:szCs w:val="20"/>
                <w:color w:val="auto"/>
              </w:rPr>
            </w:pPr>
            <w:r>
              <w:rPr>
                <w:rFonts w:ascii="Times New Roman" w:cs="Times New Roman" w:eastAsia="Times New Roman" w:hAnsi="Times New Roman"/>
                <w:sz w:val="12"/>
                <w:szCs w:val="12"/>
                <w:color w:val="auto"/>
              </w:rPr>
              <w:t>10.20</w:t>
            </w:r>
          </w:p>
        </w:tc>
        <w:tc>
          <w:tcPr>
            <w:tcW w:w="24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112">
              <w:r>
                <w:rPr>
                  <w:rFonts w:ascii="Times New Roman" w:cs="Times New Roman" w:eastAsia="Times New Roman" w:hAnsi="Times New Roman"/>
                  <w:sz w:val="12"/>
                  <w:szCs w:val="12"/>
                  <w:color w:val="0000EE"/>
                  <w:w w:val="99"/>
                </w:rPr>
                <w:t>Amendment and Confirmation Agreement, effective as of December 22, 2022 , among Commnet Finance, LLC, as Borrower, Commnet Wireless, LLC, as</w:t>
              </w:r>
            </w:hyperlink>
          </w:p>
        </w:tc>
        <w:tc>
          <w:tcPr>
            <w:tcW w:w="400" w:type="dxa"/>
            <w:vAlign w:val="bottom"/>
            <w:gridSpan w:val="15"/>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6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r:id="rId112">
              <w:r>
                <w:rPr>
                  <w:rFonts w:ascii="Times New Roman" w:cs="Times New Roman" w:eastAsia="Times New Roman" w:hAnsi="Times New Roman"/>
                  <w:sz w:val="12"/>
                  <w:szCs w:val="12"/>
                  <w:color w:val="0000EE"/>
                  <w:w w:val="99"/>
                </w:rPr>
                <w:t>Originator and Servicer, ATN International, Inc., as Limited Guarantor, CoBank, ACB, as Administrative Agent, Lead Arranger, and Sole Bookrunner, and the</w:t>
              </w:r>
            </w:hyperlink>
          </w:p>
        </w:tc>
        <w:tc>
          <w:tcPr>
            <w:tcW w:w="200" w:type="dxa"/>
            <w:vAlign w:val="bottom"/>
            <w:gridSpan w:val="9"/>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7"/>
          </w:tcPr>
          <w:p>
            <w:pPr>
              <w:spacing w:after="0" w:line="124" w:lineRule="exact"/>
              <w:rPr>
                <w:rFonts w:ascii="Times New Roman" w:cs="Times New Roman" w:eastAsia="Times New Roman" w:hAnsi="Times New Roman"/>
                <w:sz w:val="12"/>
                <w:szCs w:val="12"/>
                <w:color w:val="0000EE"/>
              </w:rPr>
            </w:pPr>
            <w:hyperlink r:id="rId112">
              <w:r>
                <w:rPr>
                  <w:rFonts w:ascii="Times New Roman" w:cs="Times New Roman" w:eastAsia="Times New Roman" w:hAnsi="Times New Roman"/>
                  <w:sz w:val="12"/>
                  <w:szCs w:val="12"/>
                  <w:color w:val="0000EE"/>
                </w:rPr>
                <w:t>Lenders party thereto (incorporated by reference to Exhibit 10.1 to the</w:t>
              </w:r>
            </w:hyperlink>
          </w:p>
        </w:tc>
        <w:tc>
          <w:tcPr>
            <w:tcW w:w="4340" w:type="dxa"/>
            <w:vAlign w:val="bottom"/>
            <w:gridSpan w:val="23"/>
          </w:tcPr>
          <w:p>
            <w:pPr>
              <w:ind w:left="80"/>
              <w:spacing w:after="0" w:line="124" w:lineRule="exact"/>
              <w:rPr>
                <w:rFonts w:ascii="Times New Roman" w:cs="Times New Roman" w:eastAsia="Times New Roman" w:hAnsi="Times New Roman"/>
                <w:sz w:val="12"/>
                <w:szCs w:val="12"/>
                <w:color w:val="0000EE"/>
              </w:rPr>
            </w:pPr>
            <w:hyperlink r:id="rId112">
              <w:r>
                <w:rPr>
                  <w:rFonts w:ascii="Times New Roman" w:cs="Times New Roman" w:eastAsia="Times New Roman" w:hAnsi="Times New Roman"/>
                  <w:sz w:val="12"/>
                  <w:szCs w:val="12"/>
                  <w:color w:val="0000EE"/>
                </w:rPr>
                <w:t>Company’s Current Report on Form 8-K (File No. 001-12593) filed on December 30,</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6"/>
              </w:rPr>
            </w:pPr>
            <w:hyperlink r:id="rId112">
              <w:r>
                <w:rPr>
                  <w:rFonts w:ascii="Times New Roman" w:cs="Times New Roman" w:eastAsia="Times New Roman" w:hAnsi="Times New Roman"/>
                  <w:sz w:val="12"/>
                  <w:szCs w:val="12"/>
                  <w:color w:val="0000EE"/>
                  <w:w w:val="96"/>
                </w:rPr>
                <w:t>2022).</w:t>
              </w:r>
            </w:hyperlink>
          </w:p>
        </w:tc>
        <w:tc>
          <w:tcPr>
            <w:tcW w:w="52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6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10.21</w:t>
            </w:r>
          </w:p>
        </w:tc>
        <w:tc>
          <w:tcPr>
            <w:tcW w:w="240" w:type="dxa"/>
            <w:vAlign w:val="bottom"/>
          </w:tcPr>
          <w:p>
            <w:pPr>
              <w:spacing w:after="0"/>
              <w:rPr>
                <w:sz w:val="10"/>
                <w:szCs w:val="10"/>
                <w:color w:val="auto"/>
              </w:rPr>
            </w:pPr>
          </w:p>
        </w:tc>
        <w:tc>
          <w:tcPr>
            <w:tcW w:w="7800" w:type="dxa"/>
            <w:vAlign w:val="bottom"/>
            <w:tcBorders>
              <w:bottom w:val="single" w:sz="8" w:color="0000EE"/>
            </w:tcBorders>
            <w:gridSpan w:val="27"/>
          </w:tcPr>
          <w:p>
            <w:pPr>
              <w:spacing w:after="0" w:line="124" w:lineRule="exact"/>
              <w:rPr>
                <w:rFonts w:ascii="Times New Roman" w:cs="Times New Roman" w:eastAsia="Times New Roman" w:hAnsi="Times New Roman"/>
                <w:sz w:val="12"/>
                <w:szCs w:val="12"/>
                <w:color w:val="0000EE"/>
                <w:w w:val="99"/>
              </w:rPr>
            </w:pPr>
            <w:hyperlink r:id="rId113">
              <w:r>
                <w:rPr>
                  <w:rFonts w:ascii="Times New Roman" w:cs="Times New Roman" w:eastAsia="Times New Roman" w:hAnsi="Times New Roman"/>
                  <w:sz w:val="12"/>
                  <w:szCs w:val="12"/>
                  <w:color w:val="0000EE"/>
                  <w:w w:val="99"/>
                </w:rPr>
                <w:t>Agreement between the Government of the Co-Operative Republic of Guyana and Atlantic Tele- Network, Inc., dated June 18, 1990 (incorporated by reference to</w:t>
              </w:r>
            </w:hyperlink>
          </w:p>
        </w:tc>
        <w:tc>
          <w:tcPr>
            <w:tcW w:w="6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5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113">
              <w:r>
                <w:rPr>
                  <w:rFonts w:ascii="Times New Roman" w:cs="Times New Roman" w:eastAsia="Times New Roman" w:hAnsi="Times New Roman"/>
                  <w:sz w:val="12"/>
                  <w:szCs w:val="12"/>
                  <w:color w:val="0000EE"/>
                  <w:w w:val="99"/>
                </w:rPr>
                <w:t>Exhibit 10.1 to the Company's Quarterly Report on Form 10-Q (File No. 001-12593) for the quarterly period ended March 31, 2006 filed on May 15, 2006).</w:t>
              </w:r>
            </w:hyperlink>
          </w:p>
        </w:tc>
        <w:tc>
          <w:tcPr>
            <w:tcW w:w="340" w:type="dxa"/>
            <w:vAlign w:val="bottom"/>
            <w:gridSpan w:val="13"/>
          </w:tcPr>
          <w:p>
            <w:pPr>
              <w:spacing w:after="0"/>
              <w:rPr>
                <w:sz w:val="10"/>
                <w:szCs w:val="10"/>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10.22</w:t>
            </w: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14">
              <w:r>
                <w:rPr>
                  <w:rFonts w:ascii="Times New Roman" w:cs="Times New Roman" w:eastAsia="Times New Roman" w:hAnsi="Times New Roman"/>
                  <w:sz w:val="12"/>
                  <w:szCs w:val="12"/>
                  <w:color w:val="0000EE"/>
                </w:rPr>
                <w:t>Amendment to the Agreement between the Government of the Co-Operative Republic of Guyana and ATN International, Inc., dated November 2, 2012</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14">
              <w:r>
                <w:rPr>
                  <w:rFonts w:ascii="Times New Roman" w:cs="Times New Roman" w:eastAsia="Times New Roman" w:hAnsi="Times New Roman"/>
                  <w:sz w:val="12"/>
                  <w:szCs w:val="12"/>
                  <w:color w:val="0000EE"/>
                </w:rPr>
                <w:t>(incorporated by reference to Exhibit 10.20 to the Company’s Annual Report on Form 10-K (File No. 001-12593) for the year ended December 31, 2012 filed on</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tcBorders>
              <w:top w:val="single" w:sz="8" w:color="0000EE"/>
            </w:tcBorders>
            <w:gridSpan w:val="7"/>
          </w:tcPr>
          <w:p>
            <w:pPr>
              <w:spacing w:after="0" w:line="124" w:lineRule="exact"/>
              <w:rPr>
                <w:rFonts w:ascii="Times New Roman" w:cs="Times New Roman" w:eastAsia="Times New Roman" w:hAnsi="Times New Roman"/>
                <w:sz w:val="12"/>
                <w:szCs w:val="12"/>
                <w:color w:val="0000EE"/>
              </w:rPr>
            </w:pPr>
            <w:hyperlink r:id="rId114">
              <w:r>
                <w:rPr>
                  <w:rFonts w:ascii="Times New Roman" w:cs="Times New Roman" w:eastAsia="Times New Roman" w:hAnsi="Times New Roman"/>
                  <w:sz w:val="12"/>
                  <w:szCs w:val="12"/>
                  <w:color w:val="0000EE"/>
                </w:rPr>
                <w:t>March 18, 2013).</w:t>
              </w:r>
            </w:hyperlink>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10.23</w:t>
            </w:r>
          </w:p>
        </w:tc>
        <w:tc>
          <w:tcPr>
            <w:tcW w:w="240" w:type="dxa"/>
            <w:vAlign w:val="bottom"/>
          </w:tcPr>
          <w:p>
            <w:pPr>
              <w:spacing w:after="0"/>
              <w:rPr>
                <w:sz w:val="10"/>
                <w:szCs w:val="10"/>
                <w:color w:val="auto"/>
              </w:rPr>
            </w:pPr>
          </w:p>
        </w:tc>
        <w:tc>
          <w:tcPr>
            <w:tcW w:w="760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115">
              <w:r>
                <w:rPr>
                  <w:rFonts w:ascii="Times New Roman" w:cs="Times New Roman" w:eastAsia="Times New Roman" w:hAnsi="Times New Roman"/>
                  <w:sz w:val="12"/>
                  <w:szCs w:val="12"/>
                  <w:color w:val="0000EE"/>
                  <w:w w:val="99"/>
                </w:rPr>
                <w:t>Loan Agreement, dated as of July 1, 2016, by and among ATN VI Holdings, LLC, Caribbean Asset Holdings LLC, and Rural Telephone Finance Cooperative</w:t>
              </w:r>
            </w:hyperlink>
          </w:p>
        </w:tc>
        <w:tc>
          <w:tcPr>
            <w:tcW w:w="260" w:type="dxa"/>
            <w:vAlign w:val="bottom"/>
            <w:gridSpan w:val="10"/>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15">
              <w:r>
                <w:rPr>
                  <w:rFonts w:ascii="Times New Roman" w:cs="Times New Roman" w:eastAsia="Times New Roman" w:hAnsi="Times New Roman"/>
                  <w:sz w:val="12"/>
                  <w:szCs w:val="12"/>
                  <w:color w:val="0000EE"/>
                </w:rPr>
                <w:t>(incorporated by reference to Exhibit 10.2 to the Company’s Quarterly Report on Form 10-Q (File No. 001-12593) for the quarterly period ended June 30, 2016</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15">
              <w:r>
                <w:rPr>
                  <w:rFonts w:ascii="Times New Roman" w:cs="Times New Roman" w:eastAsia="Times New Roman" w:hAnsi="Times New Roman"/>
                  <w:sz w:val="12"/>
                  <w:szCs w:val="12"/>
                  <w:color w:val="0000EE"/>
                  <w:w w:val="99"/>
                </w:rPr>
                <w:t>filed on August 9, 2016).</w:t>
              </w:r>
            </w:hyperlink>
          </w:p>
        </w:tc>
        <w:tc>
          <w:tcPr>
            <w:tcW w:w="2300" w:type="dxa"/>
            <w:vAlign w:val="bottom"/>
            <w:tcBorders>
              <w:top w:val="single" w:sz="8" w:color="0000EE"/>
            </w:tcBorders>
            <w:gridSpan w:val="4"/>
          </w:tcPr>
          <w:p>
            <w:pPr>
              <w:spacing w:after="0"/>
              <w:rPr>
                <w:sz w:val="10"/>
                <w:szCs w:val="10"/>
                <w:color w:val="auto"/>
              </w:rPr>
            </w:pPr>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10.24</w:t>
            </w:r>
          </w:p>
        </w:tc>
        <w:tc>
          <w:tcPr>
            <w:tcW w:w="240" w:type="dxa"/>
            <w:vAlign w:val="bottom"/>
          </w:tcPr>
          <w:p>
            <w:pPr>
              <w:spacing w:after="0"/>
              <w:rPr>
                <w:sz w:val="10"/>
                <w:szCs w:val="10"/>
                <w:color w:val="auto"/>
              </w:rPr>
            </w:pPr>
          </w:p>
        </w:tc>
        <w:tc>
          <w:tcPr>
            <w:tcW w:w="78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16">
              <w:r>
                <w:rPr>
                  <w:rFonts w:ascii="Times New Roman" w:cs="Times New Roman" w:eastAsia="Times New Roman" w:hAnsi="Times New Roman"/>
                  <w:sz w:val="12"/>
                  <w:szCs w:val="12"/>
                  <w:color w:val="0000EE"/>
                  <w:w w:val="99"/>
                </w:rPr>
                <w:t>Limited Waiver of Net Leverage Ratio dated as of February 27, 2018, between ATN VI Holdings, LLC and the Rural Telephone Finance Cooperative (incorporated</w:t>
              </w:r>
            </w:hyperlink>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180" w:type="dxa"/>
            <w:vAlign w:val="bottom"/>
            <w:tcBorders>
              <w:bottom w:val="single" w:sz="8" w:color="0000EE"/>
            </w:tcBorders>
            <w:gridSpan w:val="11"/>
          </w:tcPr>
          <w:p>
            <w:pPr>
              <w:spacing w:after="0" w:line="133" w:lineRule="exact"/>
              <w:rPr>
                <w:rFonts w:ascii="Times New Roman" w:cs="Times New Roman" w:eastAsia="Times New Roman" w:hAnsi="Times New Roman"/>
                <w:sz w:val="12"/>
                <w:szCs w:val="12"/>
                <w:color w:val="0000EE"/>
                <w:w w:val="99"/>
              </w:rPr>
            </w:pPr>
            <w:hyperlink r:id="rId116">
              <w:r>
                <w:rPr>
                  <w:rFonts w:ascii="Times New Roman" w:cs="Times New Roman" w:eastAsia="Times New Roman" w:hAnsi="Times New Roman"/>
                  <w:sz w:val="12"/>
                  <w:szCs w:val="12"/>
                  <w:color w:val="0000EE"/>
                  <w:w w:val="99"/>
                </w:rPr>
                <w:t>by reference to Exhibit 10.25 to the Company’s Annual Report on Form 10-K (File No. 001-12593) filed on February 28, 2018).</w:t>
              </w:r>
            </w:hyperlink>
          </w:p>
        </w:tc>
        <w:tc>
          <w:tcPr>
            <w:tcW w:w="1680" w:type="dxa"/>
            <w:vAlign w:val="bottom"/>
            <w:gridSpan w:val="19"/>
          </w:tcPr>
          <w:p>
            <w:pPr>
              <w:spacing w:after="0"/>
              <w:rPr>
                <w:sz w:val="11"/>
                <w:szCs w:val="11"/>
                <w:color w:val="auto"/>
              </w:rPr>
            </w:pPr>
          </w:p>
        </w:tc>
      </w:tr>
      <w:tr>
        <w:trPr>
          <w:trHeight w:val="133"/>
        </w:trPr>
        <w:tc>
          <w:tcPr>
            <w:tcW w:w="86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10.25</w:t>
            </w:r>
          </w:p>
        </w:tc>
        <w:tc>
          <w:tcPr>
            <w:tcW w:w="240" w:type="dxa"/>
            <w:vAlign w:val="bottom"/>
          </w:tcPr>
          <w:p>
            <w:pPr>
              <w:spacing w:after="0"/>
              <w:rPr>
                <w:sz w:val="11"/>
                <w:szCs w:val="11"/>
                <w:color w:val="auto"/>
              </w:rPr>
            </w:pPr>
          </w:p>
        </w:tc>
        <w:tc>
          <w:tcPr>
            <w:tcW w:w="7860" w:type="dxa"/>
            <w:vAlign w:val="bottom"/>
            <w:tcBorders>
              <w:bottom w:val="single" w:sz="8" w:color="0000EE"/>
            </w:tcBorders>
            <w:gridSpan w:val="30"/>
          </w:tcPr>
          <w:p>
            <w:pPr>
              <w:spacing w:after="0" w:line="133" w:lineRule="exact"/>
              <w:rPr>
                <w:rFonts w:ascii="Times New Roman" w:cs="Times New Roman" w:eastAsia="Times New Roman" w:hAnsi="Times New Roman"/>
                <w:sz w:val="12"/>
                <w:szCs w:val="12"/>
                <w:color w:val="0000EE"/>
                <w:w w:val="99"/>
              </w:rPr>
            </w:pPr>
            <w:hyperlink r:id="rId117">
              <w:r>
                <w:rPr>
                  <w:rFonts w:ascii="Times New Roman" w:cs="Times New Roman" w:eastAsia="Times New Roman" w:hAnsi="Times New Roman"/>
                  <w:sz w:val="12"/>
                  <w:szCs w:val="12"/>
                  <w:color w:val="0000EE"/>
                  <w:w w:val="99"/>
                </w:rPr>
                <w:t>Limited Waiver of Net Leverage Ratio dated as of February 25, 2019, between ATN VI Holdings, LLC and the Rural Telephone Finance Cooperative (incorporated</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17">
              <w:r>
                <w:rPr>
                  <w:rFonts w:ascii="Times New Roman" w:cs="Times New Roman" w:eastAsia="Times New Roman" w:hAnsi="Times New Roman"/>
                  <w:sz w:val="12"/>
                  <w:szCs w:val="12"/>
                  <w:color w:val="0000EE"/>
                </w:rPr>
                <w:t>by reference to Exhibit 10.19 to the Company’s Annual Report on Form 10-K (File No. 001-12593) filed on February 28, 2019)</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10.26</w:t>
            </w:r>
          </w:p>
        </w:tc>
        <w:tc>
          <w:tcPr>
            <w:tcW w:w="240" w:type="dxa"/>
            <w:vAlign w:val="bottom"/>
          </w:tcPr>
          <w:p>
            <w:pPr>
              <w:spacing w:after="0"/>
              <w:rPr>
                <w:sz w:val="10"/>
                <w:szCs w:val="10"/>
                <w:color w:val="auto"/>
              </w:rPr>
            </w:pPr>
          </w:p>
        </w:tc>
        <w:tc>
          <w:tcPr>
            <w:tcW w:w="78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18">
              <w:r>
                <w:rPr>
                  <w:rFonts w:ascii="Times New Roman" w:cs="Times New Roman" w:eastAsia="Times New Roman" w:hAnsi="Times New Roman"/>
                  <w:sz w:val="12"/>
                  <w:szCs w:val="12"/>
                  <w:color w:val="0000EE"/>
                  <w:w w:val="99"/>
                </w:rPr>
                <w:t>Limited Waiver of Net Leverage Ratio dated as of February 26, 2020, between ATN VI Holdings, LLC and the Rural Telephone Finance Cooperative (incorporated</w:t>
              </w:r>
            </w:hyperlink>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60" w:type="dxa"/>
            <w:vAlign w:val="bottom"/>
            <w:gridSpan w:val="30"/>
          </w:tcPr>
          <w:p>
            <w:pPr>
              <w:spacing w:after="0" w:line="133" w:lineRule="exact"/>
              <w:rPr>
                <w:rFonts w:ascii="Times New Roman" w:cs="Times New Roman" w:eastAsia="Times New Roman" w:hAnsi="Times New Roman"/>
                <w:sz w:val="12"/>
                <w:szCs w:val="12"/>
                <w:color w:val="0000EE"/>
              </w:rPr>
            </w:pPr>
            <w:hyperlink r:id="rId118">
              <w:r>
                <w:rPr>
                  <w:rFonts w:ascii="Times New Roman" w:cs="Times New Roman" w:eastAsia="Times New Roman" w:hAnsi="Times New Roman"/>
                  <w:sz w:val="12"/>
                  <w:szCs w:val="12"/>
                  <w:color w:val="0000EE"/>
                </w:rPr>
                <w:t>by reference to Exhibit 10.18 to the Company’s Annual Report on Form 10-K (File No. 001-12593) for the year ended December 31, 2019 filed on March 2,</w:t>
              </w:r>
            </w:hyperlink>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33" w:lineRule="exact"/>
              <w:rPr>
                <w:rFonts w:ascii="Times New Roman" w:cs="Times New Roman" w:eastAsia="Times New Roman" w:hAnsi="Times New Roman"/>
                <w:sz w:val="12"/>
                <w:szCs w:val="12"/>
                <w:color w:val="0000EE"/>
                <w:w w:val="96"/>
              </w:rPr>
            </w:pPr>
            <w:hyperlink r:id="rId118">
              <w:r>
                <w:rPr>
                  <w:rFonts w:ascii="Times New Roman" w:cs="Times New Roman" w:eastAsia="Times New Roman" w:hAnsi="Times New Roman"/>
                  <w:sz w:val="12"/>
                  <w:szCs w:val="12"/>
                  <w:color w:val="0000EE"/>
                  <w:w w:val="96"/>
                </w:rPr>
                <w:t>2020).</w:t>
              </w:r>
            </w:hyperlink>
          </w:p>
        </w:tc>
        <w:tc>
          <w:tcPr>
            <w:tcW w:w="5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4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86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10.27</w:t>
            </w:r>
          </w:p>
        </w:tc>
        <w:tc>
          <w:tcPr>
            <w:tcW w:w="240" w:type="dxa"/>
            <w:vAlign w:val="bottom"/>
          </w:tcPr>
          <w:p>
            <w:pPr>
              <w:spacing w:after="0"/>
              <w:rPr>
                <w:sz w:val="10"/>
                <w:szCs w:val="10"/>
                <w:color w:val="auto"/>
              </w:rPr>
            </w:pPr>
          </w:p>
        </w:tc>
        <w:tc>
          <w:tcPr>
            <w:tcW w:w="78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19">
              <w:r>
                <w:rPr>
                  <w:rFonts w:ascii="Times New Roman" w:cs="Times New Roman" w:eastAsia="Times New Roman" w:hAnsi="Times New Roman"/>
                  <w:sz w:val="12"/>
                  <w:szCs w:val="12"/>
                  <w:color w:val="0000EE"/>
                  <w:w w:val="99"/>
                </w:rPr>
                <w:t>Limited Waiver of Net Leverage Ratio dated as of February 25, 2021, between ATN VI Holdings, LLC and the Rural Telephone Finance Cooperative (incorporated</w:t>
              </w:r>
            </w:hyperlink>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20" w:type="dxa"/>
            <w:vAlign w:val="bottom"/>
            <w:tcBorders>
              <w:bottom w:val="single" w:sz="8" w:color="0000EE"/>
            </w:tcBorders>
            <w:gridSpan w:val="9"/>
          </w:tcPr>
          <w:p>
            <w:pPr>
              <w:spacing w:after="0" w:line="133" w:lineRule="exact"/>
              <w:rPr>
                <w:rFonts w:ascii="Times New Roman" w:cs="Times New Roman" w:eastAsia="Times New Roman" w:hAnsi="Times New Roman"/>
                <w:sz w:val="12"/>
                <w:szCs w:val="12"/>
                <w:color w:val="0000EE"/>
              </w:rPr>
            </w:pPr>
            <w:hyperlink r:id="rId119">
              <w:r>
                <w:rPr>
                  <w:rFonts w:ascii="Times New Roman" w:cs="Times New Roman" w:eastAsia="Times New Roman" w:hAnsi="Times New Roman"/>
                  <w:sz w:val="12"/>
                  <w:szCs w:val="12"/>
                  <w:color w:val="0000EE"/>
                </w:rPr>
                <w:t>by reference to Exhibit 10.21 to the Company’s Annual Report on Form 10-K (File No. 001 12593) filed on March 1, 2021).</w:t>
              </w:r>
            </w:hyperlink>
          </w:p>
        </w:tc>
        <w:tc>
          <w:tcPr>
            <w:tcW w:w="1840" w:type="dxa"/>
            <w:vAlign w:val="bottom"/>
            <w:gridSpan w:val="21"/>
          </w:tcPr>
          <w:p>
            <w:pPr>
              <w:spacing w:after="0"/>
              <w:rPr>
                <w:sz w:val="11"/>
                <w:szCs w:val="11"/>
                <w:color w:val="auto"/>
              </w:rPr>
            </w:pPr>
          </w:p>
        </w:tc>
      </w:tr>
      <w:tr>
        <w:trPr>
          <w:trHeight w:val="133"/>
        </w:trPr>
        <w:tc>
          <w:tcPr>
            <w:tcW w:w="86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10.28</w:t>
            </w:r>
          </w:p>
        </w:tc>
        <w:tc>
          <w:tcPr>
            <w:tcW w:w="240" w:type="dxa"/>
            <w:vAlign w:val="bottom"/>
          </w:tcPr>
          <w:p>
            <w:pPr>
              <w:spacing w:after="0"/>
              <w:rPr>
                <w:sz w:val="11"/>
                <w:szCs w:val="11"/>
                <w:color w:val="auto"/>
              </w:rPr>
            </w:pPr>
          </w:p>
        </w:tc>
        <w:tc>
          <w:tcPr>
            <w:tcW w:w="7760" w:type="dxa"/>
            <w:vAlign w:val="bottom"/>
            <w:tcBorders>
              <w:bottom w:val="single" w:sz="8" w:color="0000EE"/>
            </w:tcBorders>
            <w:gridSpan w:val="25"/>
          </w:tcPr>
          <w:p>
            <w:pPr>
              <w:spacing w:after="0" w:line="133" w:lineRule="exact"/>
              <w:rPr>
                <w:rFonts w:ascii="Times New Roman" w:cs="Times New Roman" w:eastAsia="Times New Roman" w:hAnsi="Times New Roman"/>
                <w:sz w:val="12"/>
                <w:szCs w:val="12"/>
                <w:color w:val="0000EE"/>
                <w:w w:val="99"/>
              </w:rPr>
            </w:pPr>
            <w:hyperlink r:id="rId120">
              <w:r>
                <w:rPr>
                  <w:rFonts w:ascii="Times New Roman" w:cs="Times New Roman" w:eastAsia="Times New Roman" w:hAnsi="Times New Roman"/>
                  <w:sz w:val="12"/>
                  <w:szCs w:val="12"/>
                  <w:color w:val="0000EE"/>
                  <w:w w:val="99"/>
                </w:rPr>
                <w:t>Consent and Waiver between Rural Telephone Finance Cooperative, Caribbean Asset Holdings, LLC and DTR Holdings, LLC, dated May 7, 2018. (incorporated</w:t>
              </w:r>
            </w:hyperlink>
          </w:p>
        </w:tc>
        <w:tc>
          <w:tcPr>
            <w:tcW w:w="100" w:type="dxa"/>
            <w:vAlign w:val="bottom"/>
            <w:gridSpan w:val="5"/>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60" w:type="dxa"/>
            <w:vAlign w:val="bottom"/>
            <w:gridSpan w:val="30"/>
          </w:tcPr>
          <w:p>
            <w:pPr>
              <w:spacing w:after="0" w:line="133" w:lineRule="exact"/>
              <w:rPr>
                <w:rFonts w:ascii="Times New Roman" w:cs="Times New Roman" w:eastAsia="Times New Roman" w:hAnsi="Times New Roman"/>
                <w:sz w:val="12"/>
                <w:szCs w:val="12"/>
                <w:color w:val="0000EE"/>
              </w:rPr>
            </w:pPr>
            <w:hyperlink r:id="rId120">
              <w:r>
                <w:rPr>
                  <w:rFonts w:ascii="Times New Roman" w:cs="Times New Roman" w:eastAsia="Times New Roman" w:hAnsi="Times New Roman"/>
                  <w:sz w:val="12"/>
                  <w:szCs w:val="12"/>
                  <w:color w:val="0000EE"/>
                </w:rPr>
                <w:t>by reference to Exhibit 10.1 to the Company’s Quarterly Report on Form 10-Q (File No. 001-12593) filed on May 9, 2018)</w:t>
              </w:r>
              <w:r>
                <w:rPr>
                  <w:rFonts w:ascii="Times New Roman" w:cs="Times New Roman" w:eastAsia="Times New Roman" w:hAnsi="Times New Roman"/>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6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10.29</w:t>
            </w:r>
          </w:p>
        </w:tc>
        <w:tc>
          <w:tcPr>
            <w:tcW w:w="240" w:type="dxa"/>
            <w:vAlign w:val="bottom"/>
          </w:tcPr>
          <w:p>
            <w:pPr>
              <w:spacing w:after="0"/>
              <w:rPr>
                <w:sz w:val="11"/>
                <w:szCs w:val="11"/>
                <w:color w:val="auto"/>
              </w:rPr>
            </w:pPr>
          </w:p>
        </w:tc>
        <w:tc>
          <w:tcPr>
            <w:tcW w:w="7860" w:type="dxa"/>
            <w:vAlign w:val="bottom"/>
            <w:gridSpan w:val="30"/>
          </w:tcPr>
          <w:p>
            <w:pPr>
              <w:spacing w:after="0" w:line="133" w:lineRule="exact"/>
              <w:rPr>
                <w:rFonts w:ascii="Times New Roman" w:cs="Times New Roman" w:eastAsia="Times New Roman" w:hAnsi="Times New Roman"/>
                <w:sz w:val="12"/>
                <w:szCs w:val="12"/>
                <w:color w:val="0000EE"/>
              </w:rPr>
            </w:pPr>
            <w:hyperlink r:id="rId121">
              <w:r>
                <w:rPr>
                  <w:rFonts w:ascii="Times New Roman" w:cs="Times New Roman" w:eastAsia="Times New Roman" w:hAnsi="Times New Roman"/>
                  <w:sz w:val="12"/>
                  <w:szCs w:val="12"/>
                  <w:color w:val="0000EE"/>
                </w:rPr>
                <w:t>Consent and Waiver between Rural Telephone Finance Cooperative, Caribbean Asset Holdings, LLC and DTR Holdings, LLC, dated August 3, 2018.</w:t>
              </w:r>
            </w:hyperlink>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760" w:type="dxa"/>
            <w:vAlign w:val="bottom"/>
            <w:tcBorders>
              <w:top w:val="single" w:sz="8" w:color="0000EE"/>
              <w:bottom w:val="single" w:sz="8" w:color="0000EE"/>
            </w:tcBorders>
            <w:gridSpan w:val="12"/>
          </w:tcPr>
          <w:p>
            <w:pPr>
              <w:spacing w:after="0" w:line="133" w:lineRule="exact"/>
              <w:rPr>
                <w:rFonts w:ascii="Times New Roman" w:cs="Times New Roman" w:eastAsia="Times New Roman" w:hAnsi="Times New Roman"/>
                <w:sz w:val="12"/>
                <w:szCs w:val="12"/>
                <w:color w:val="0000EE"/>
                <w:w w:val="99"/>
              </w:rPr>
            </w:pPr>
            <w:hyperlink r:id="rId121">
              <w:r>
                <w:rPr>
                  <w:rFonts w:ascii="Times New Roman" w:cs="Times New Roman" w:eastAsia="Times New Roman" w:hAnsi="Times New Roman"/>
                  <w:sz w:val="12"/>
                  <w:szCs w:val="12"/>
                  <w:color w:val="0000EE"/>
                  <w:w w:val="99"/>
                </w:rPr>
                <w:t>(incorporated by reference to Exhibit 10.1 to the Company’s Quarterly Report on Form 10-Q (File No. 001-12593) filed on August 8, 2018).</w:t>
              </w:r>
            </w:hyperlink>
          </w:p>
        </w:tc>
        <w:tc>
          <w:tcPr>
            <w:tcW w:w="440" w:type="dxa"/>
            <w:vAlign w:val="bottom"/>
            <w:tcBorders>
              <w:top w:val="single" w:sz="8" w:color="0000EE"/>
            </w:tcBorders>
          </w:tcPr>
          <w:p>
            <w:pPr>
              <w:spacing w:after="0"/>
              <w:rPr>
                <w:sz w:val="11"/>
                <w:szCs w:val="11"/>
                <w:color w:val="auto"/>
              </w:rPr>
            </w:pPr>
          </w:p>
        </w:tc>
        <w:tc>
          <w:tcPr>
            <w:tcW w:w="660" w:type="dxa"/>
            <w:vAlign w:val="bottom"/>
            <w:gridSpan w:val="17"/>
          </w:tcPr>
          <w:p>
            <w:pPr>
              <w:spacing w:after="0"/>
              <w:rPr>
                <w:sz w:val="11"/>
                <w:szCs w:val="11"/>
                <w:color w:val="auto"/>
              </w:rPr>
            </w:pPr>
          </w:p>
        </w:tc>
      </w:tr>
      <w:tr>
        <w:trPr>
          <w:trHeight w:val="133"/>
        </w:trPr>
        <w:tc>
          <w:tcPr>
            <w:tcW w:w="86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10.30</w:t>
            </w:r>
          </w:p>
        </w:tc>
        <w:tc>
          <w:tcPr>
            <w:tcW w:w="240" w:type="dxa"/>
            <w:vAlign w:val="bottom"/>
          </w:tcPr>
          <w:p>
            <w:pPr>
              <w:spacing w:after="0"/>
              <w:rPr>
                <w:sz w:val="11"/>
                <w:szCs w:val="11"/>
                <w:color w:val="auto"/>
              </w:rPr>
            </w:pPr>
          </w:p>
        </w:tc>
        <w:tc>
          <w:tcPr>
            <w:tcW w:w="7580" w:type="dxa"/>
            <w:vAlign w:val="bottom"/>
            <w:tcBorders>
              <w:bottom w:val="single" w:sz="8" w:color="0000EE"/>
            </w:tcBorders>
            <w:gridSpan w:val="19"/>
          </w:tcPr>
          <w:p>
            <w:pPr>
              <w:spacing w:after="0" w:line="133" w:lineRule="exact"/>
              <w:rPr>
                <w:rFonts w:ascii="Times New Roman" w:cs="Times New Roman" w:eastAsia="Times New Roman" w:hAnsi="Times New Roman"/>
                <w:sz w:val="12"/>
                <w:szCs w:val="12"/>
                <w:color w:val="0000EE"/>
                <w:w w:val="99"/>
              </w:rPr>
            </w:pPr>
            <w:hyperlink r:id="rId122">
              <w:r>
                <w:rPr>
                  <w:rFonts w:ascii="Times New Roman" w:cs="Times New Roman" w:eastAsia="Times New Roman" w:hAnsi="Times New Roman"/>
                  <w:sz w:val="12"/>
                  <w:szCs w:val="12"/>
                  <w:color w:val="0000EE"/>
                  <w:w w:val="99"/>
                </w:rPr>
                <w:t>Amendment to Loan Agreement dated May 5, 2022 between ATN VI Holdings, LLC and Rural Telephone Finance Cooperative (incorporated by reference to</w:t>
              </w:r>
            </w:hyperlink>
          </w:p>
        </w:tc>
        <w:tc>
          <w:tcPr>
            <w:tcW w:w="280" w:type="dxa"/>
            <w:vAlign w:val="bottom"/>
            <w:gridSpan w:val="11"/>
          </w:tcPr>
          <w:p>
            <w:pPr>
              <w:spacing w:after="0"/>
              <w:rPr>
                <w:sz w:val="11"/>
                <w:szCs w:val="11"/>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50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122">
              <w:r>
                <w:rPr>
                  <w:rFonts w:ascii="Times New Roman" w:cs="Times New Roman" w:eastAsia="Times New Roman" w:hAnsi="Times New Roman"/>
                  <w:sz w:val="12"/>
                  <w:szCs w:val="12"/>
                  <w:color w:val="0000EE"/>
                  <w:w w:val="99"/>
                </w:rPr>
                <w:t>Exhibit 10.1 to the Company’s Quarterly Report on Form 10-Q (file No. 001-12593) for the quarterly period ended March 31, 2022 filed on May 10, 2022).</w:t>
              </w:r>
            </w:hyperlink>
          </w:p>
        </w:tc>
        <w:tc>
          <w:tcPr>
            <w:tcW w:w="360" w:type="dxa"/>
            <w:vAlign w:val="bottom"/>
            <w:gridSpan w:val="14"/>
          </w:tcPr>
          <w:p>
            <w:pPr>
              <w:spacing w:after="0"/>
              <w:rPr>
                <w:sz w:val="10"/>
                <w:szCs w:val="10"/>
                <w:color w:val="auto"/>
              </w:rPr>
            </w:pPr>
          </w:p>
        </w:tc>
      </w:tr>
      <w:tr>
        <w:trPr>
          <w:trHeight w:val="124"/>
        </w:trPr>
        <w:tc>
          <w:tcPr>
            <w:tcW w:w="1100" w:type="dxa"/>
            <w:vAlign w:val="bottom"/>
            <w:gridSpan w:val="2"/>
          </w:tcPr>
          <w:p>
            <w:pPr>
              <w:ind w:left="560"/>
              <w:spacing w:after="0" w:line="124" w:lineRule="exact"/>
              <w:rPr>
                <w:sz w:val="20"/>
                <w:szCs w:val="20"/>
                <w:color w:val="auto"/>
              </w:rPr>
            </w:pPr>
            <w:r>
              <w:rPr>
                <w:rFonts w:ascii="Times New Roman" w:cs="Times New Roman" w:eastAsia="Times New Roman" w:hAnsi="Times New Roman"/>
                <w:sz w:val="12"/>
                <w:szCs w:val="12"/>
                <w:color w:val="auto"/>
              </w:rPr>
              <w:t>10.31#</w:t>
            </w:r>
          </w:p>
        </w:tc>
        <w:tc>
          <w:tcPr>
            <w:tcW w:w="78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23">
              <w:r>
                <w:rPr>
                  <w:rFonts w:ascii="Times New Roman" w:cs="Times New Roman" w:eastAsia="Times New Roman" w:hAnsi="Times New Roman"/>
                  <w:sz w:val="12"/>
                  <w:szCs w:val="12"/>
                  <w:color w:val="0000EE"/>
                  <w:w w:val="99"/>
                </w:rPr>
                <w:t>Network Build and Maintenance Agreement, dated as of July 31, 2019, by and between Commnet Wireless, LLC, a wholly owned subsidiary of ATN International,</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23">
              <w:r>
                <w:rPr>
                  <w:rFonts w:ascii="Times New Roman" w:cs="Times New Roman" w:eastAsia="Times New Roman" w:hAnsi="Times New Roman"/>
                  <w:sz w:val="12"/>
                  <w:szCs w:val="12"/>
                  <w:color w:val="0000EE"/>
                </w:rPr>
                <w:t>Inc., and AT&amp;T Mobility LLC (incorporated by reference to Exhibit 10.1 to the Company’s Quarterly Report on Form 10-Q (File No. 001-12593) for the quarterly</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tcBorders>
              <w:top w:val="single" w:sz="8" w:color="0000EE"/>
            </w:tcBorders>
            <w:gridSpan w:val="7"/>
          </w:tcPr>
          <w:p>
            <w:pPr>
              <w:spacing w:after="0" w:line="124" w:lineRule="exact"/>
              <w:rPr>
                <w:rFonts w:ascii="Times New Roman" w:cs="Times New Roman" w:eastAsia="Times New Roman" w:hAnsi="Times New Roman"/>
                <w:sz w:val="12"/>
                <w:szCs w:val="12"/>
                <w:color w:val="0000EE"/>
              </w:rPr>
            </w:pPr>
            <w:hyperlink r:id="rId123">
              <w:r>
                <w:rPr>
                  <w:rFonts w:ascii="Times New Roman" w:cs="Times New Roman" w:eastAsia="Times New Roman" w:hAnsi="Times New Roman"/>
                  <w:sz w:val="12"/>
                  <w:szCs w:val="12"/>
                  <w:color w:val="0000EE"/>
                </w:rPr>
                <w:t>period ended September 30, 2019 filed on November 8, 2019).</w:t>
              </w:r>
            </w:hyperlink>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gridSpan w:val="2"/>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gridSpan w:val="2"/>
          </w:tcPr>
          <w:p>
            <w:pPr>
              <w:ind w:left="560"/>
              <w:spacing w:after="0" w:line="124" w:lineRule="exact"/>
              <w:rPr>
                <w:sz w:val="20"/>
                <w:szCs w:val="20"/>
                <w:color w:val="auto"/>
              </w:rPr>
            </w:pPr>
            <w:r>
              <w:rPr>
                <w:rFonts w:ascii="Times New Roman" w:cs="Times New Roman" w:eastAsia="Times New Roman" w:hAnsi="Times New Roman"/>
                <w:sz w:val="12"/>
                <w:szCs w:val="12"/>
                <w:color w:val="auto"/>
              </w:rPr>
              <w:t>10.32#</w:t>
            </w:r>
          </w:p>
        </w:tc>
        <w:tc>
          <w:tcPr>
            <w:tcW w:w="778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w w:val="99"/>
              </w:rPr>
            </w:pPr>
            <w:hyperlink r:id="rId124">
              <w:r>
                <w:rPr>
                  <w:rFonts w:ascii="Times New Roman" w:cs="Times New Roman" w:eastAsia="Times New Roman" w:hAnsi="Times New Roman"/>
                  <w:sz w:val="12"/>
                  <w:szCs w:val="12"/>
                  <w:color w:val="0000EE"/>
                  <w:w w:val="99"/>
                </w:rPr>
                <w:t>First Amendment to Network Build and Maintenance Agreement dated as of 6th day of August, 2020 and effective as of the 1st day of July, 2020 by and between</w:t>
              </w:r>
            </w:hyperlink>
          </w:p>
        </w:tc>
        <w:tc>
          <w:tcPr>
            <w:tcW w:w="8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Commnet Wireless, LLC and AT&amp;T Mobility LLC (incorporated by reference to Exhibit 10.1 to the Company’s Quarterly Report on Form 10-Q (File No. 001-</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12593) filed on November 4, 2020).</w:t>
              </w:r>
            </w:hyperlink>
          </w:p>
        </w:tc>
        <w:tc>
          <w:tcPr>
            <w:tcW w:w="1760" w:type="dxa"/>
            <w:vAlign w:val="bottom"/>
            <w:tcBorders>
              <w:top w:val="single" w:sz="8" w:color="0000EE"/>
            </w:tcBorders>
            <w:gridSpan w:val="2"/>
          </w:tcPr>
          <w:p>
            <w:pPr>
              <w:spacing w:after="0"/>
              <w:rPr>
                <w:sz w:val="10"/>
                <w:szCs w:val="10"/>
                <w:color w:val="auto"/>
              </w:rPr>
            </w:pPr>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100" w:type="dxa"/>
            <w:vAlign w:val="bottom"/>
            <w:gridSpan w:val="2"/>
          </w:tcPr>
          <w:p>
            <w:pPr>
              <w:ind w:left="560"/>
              <w:spacing w:after="0" w:line="124" w:lineRule="exact"/>
              <w:rPr>
                <w:sz w:val="20"/>
                <w:szCs w:val="20"/>
                <w:color w:val="auto"/>
              </w:rPr>
            </w:pPr>
            <w:r>
              <w:rPr>
                <w:rFonts w:ascii="Times New Roman" w:cs="Times New Roman" w:eastAsia="Times New Roman" w:hAnsi="Times New Roman"/>
                <w:sz w:val="12"/>
                <w:szCs w:val="12"/>
                <w:color w:val="auto"/>
              </w:rPr>
              <w:t>10.33#</w:t>
            </w:r>
          </w:p>
        </w:tc>
        <w:tc>
          <w:tcPr>
            <w:tcW w:w="770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Second Amendment to Network Build and Maintenance Agreement dated as of the 4th day of May, 2021 and effective as of the 1st day of January, 2021 by and</w:t>
              </w:r>
            </w:hyperlink>
          </w:p>
        </w:tc>
        <w:tc>
          <w:tcPr>
            <w:tcW w:w="16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30"/>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between Commnet Wireless, LLC and AT&amp;T Mobility LLC (incorporated by reference to Exhibit 10.1 to the Company’s Quarterly Report on Form 10-Q (File No.</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001-12593) filed on May 10, 2021).</w:t>
              </w:r>
            </w:hyperlink>
          </w:p>
        </w:tc>
        <w:tc>
          <w:tcPr>
            <w:tcW w:w="1780" w:type="dxa"/>
            <w:vAlign w:val="bottom"/>
            <w:tcBorders>
              <w:top w:val="single" w:sz="8" w:color="0000EE"/>
            </w:tcBorders>
            <w:gridSpan w:val="3"/>
          </w:tcPr>
          <w:p>
            <w:pPr>
              <w:spacing w:after="0"/>
              <w:rPr>
                <w:sz w:val="10"/>
                <w:szCs w:val="10"/>
                <w:color w:val="auto"/>
              </w:rPr>
            </w:pPr>
          </w:p>
        </w:tc>
        <w:tc>
          <w:tcPr>
            <w:tcW w:w="2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r>
      <w:tr>
        <w:trPr>
          <w:trHeight w:val="439"/>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7"/>
          </w:tcPr>
          <w:p>
            <w:pPr>
              <w:ind w:left="3320"/>
              <w:spacing w:after="0"/>
              <w:rPr>
                <w:sz w:val="20"/>
                <w:szCs w:val="20"/>
                <w:color w:val="auto"/>
              </w:rPr>
            </w:pPr>
            <w:r>
              <w:rPr>
                <w:rFonts w:ascii="Times New Roman" w:cs="Times New Roman" w:eastAsia="Times New Roman" w:hAnsi="Times New Roman"/>
                <w:sz w:val="12"/>
                <w:szCs w:val="12"/>
                <w:color w:val="auto"/>
              </w:rPr>
              <w:t>73</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1">
            <w:col w:w="9019"/>
          </w:cols>
          <w:pgMar w:left="1440" w:top="380" w:right="1440"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138"/>
        </w:trPr>
        <w:tc>
          <w:tcPr>
            <w:tcW w:w="8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97"/>
              </w:rPr>
              <w:t>Table of Contents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35"/>
        </w:trPr>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10.34#</w:t>
            </w:r>
          </w:p>
        </w:tc>
        <w:tc>
          <w:tcPr>
            <w:tcW w:w="776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Third Amendment to Network Build and Maintenance Agreement dated as of the 4th day of August, 2022 and effective as of the 1st day of January, 2022 by and</w:t>
              </w:r>
            </w:hyperlink>
          </w:p>
        </w:tc>
        <w:tc>
          <w:tcPr>
            <w:tcW w:w="100" w:type="dxa"/>
            <w:vAlign w:val="bottom"/>
            <w:gridSpan w:val="3"/>
          </w:tcPr>
          <w:p>
            <w:pPr>
              <w:spacing w:after="0"/>
              <w:rPr>
                <w:sz w:val="24"/>
                <w:szCs w:val="24"/>
                <w:color w:val="auto"/>
              </w:rPr>
            </w:pPr>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40" w:type="dxa"/>
            <w:vAlign w:val="bottom"/>
            <w:tcBorders>
              <w:bottom w:val="single" w:sz="8" w:color="0000EE"/>
            </w:tcBorders>
            <w:gridSpan w:val="16"/>
          </w:tcPr>
          <w:p>
            <w:pPr>
              <w:spacing w:after="0" w:line="133" w:lineRule="exact"/>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between Commnet Wireless, LLC and AT&amp;T Mobility LLC , incorporated by reference to Exhibit 10.2 to the Company’s Quarterly Report on Form 10-Q (file No.</w:t>
              </w:r>
            </w:hyperlink>
          </w:p>
        </w:tc>
        <w:tc>
          <w:tcPr>
            <w:tcW w:w="20" w:type="dxa"/>
            <w:vAlign w:val="bottom"/>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60" w:type="dxa"/>
            <w:vAlign w:val="bottom"/>
            <w:gridSpan w:val="17"/>
          </w:tcPr>
          <w:p>
            <w:pPr>
              <w:spacing w:after="0" w:line="133" w:lineRule="exact"/>
              <w:rPr>
                <w:rFonts w:ascii="Times New Roman" w:cs="Times New Roman" w:eastAsia="Times New Roman" w:hAnsi="Times New Roman"/>
                <w:sz w:val="12"/>
                <w:szCs w:val="12"/>
                <w:color w:val="0000EE"/>
              </w:rPr>
            </w:pPr>
            <w:hyperlink r:id="rId126">
              <w:r>
                <w:rPr>
                  <w:rFonts w:ascii="Times New Roman" w:cs="Times New Roman" w:eastAsia="Times New Roman" w:hAnsi="Times New Roman"/>
                  <w:sz w:val="12"/>
                  <w:szCs w:val="12"/>
                  <w:color w:val="0000EE"/>
                </w:rPr>
                <w:t>001-12593) for the quarterly period ended June 30, 2022 filed on August 8, 2022.</w:t>
              </w:r>
            </w:hyperlink>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110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10.35#</w:t>
            </w:r>
          </w:p>
        </w:tc>
        <w:tc>
          <w:tcPr>
            <w:tcW w:w="7860" w:type="dxa"/>
            <w:vAlign w:val="bottom"/>
            <w:gridSpan w:val="17"/>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Amended and Restated Limited Liability Company Agreement of ALSK Holdings, dated as of July 21, 2021 by and among ALSK Holdings, the Company, F3C</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17"/>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IV, certain affiliates of F3C IV, and certain other institutional investors (incorporated by reference to Exhibit 10.1 to the Company’s Current Report on Form 8-K</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720" w:type="dxa"/>
            <w:vAlign w:val="bottom"/>
            <w:tcBorders>
              <w:top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(File No. 001-12593) filed on July 22, 2021).</w:t>
              </w:r>
            </w:hyperlink>
          </w:p>
        </w:tc>
        <w:tc>
          <w:tcPr>
            <w:tcW w:w="140" w:type="dxa"/>
            <w:vAlign w:val="bottom"/>
            <w:gridSpan w:val="5"/>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240" w:type="dxa"/>
            <w:vAlign w:val="bottom"/>
          </w:tcPr>
          <w:p>
            <w:pPr>
              <w:spacing w:after="0"/>
              <w:rPr>
                <w:sz w:val="12"/>
                <w:szCs w:val="12"/>
                <w:color w:val="auto"/>
              </w:rPr>
            </w:pPr>
          </w:p>
        </w:tc>
        <w:tc>
          <w:tcPr>
            <w:tcW w:w="782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color w:val="0000EE"/>
                </w:rPr>
                <w:t>Credit Agreement, dated as of July 22, 2021, by and among the Borrower, Parent and certain of the   Parent’s direct and indirect subsidiaries, as guarantors, Fifth</w:t>
              </w:r>
            </w:hyperlink>
          </w:p>
        </w:tc>
        <w:tc>
          <w:tcPr>
            <w:tcW w:w="40" w:type="dxa"/>
            <w:vAlign w:val="bottom"/>
            <w:gridSpan w:val="2"/>
          </w:tcPr>
          <w:p>
            <w:pPr>
              <w:spacing w:after="0"/>
              <w:rPr>
                <w:sz w:val="12"/>
                <w:szCs w:val="12"/>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4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color w:val="0000EE"/>
                </w:rPr>
                <w:t>Third Bank, National Association, as Administrative Agent, and the lenders party thereto (incorporated by reference to Exhibit 10.2 to the Company’s Current</w:t>
              </w:r>
            </w:hyperlink>
          </w:p>
        </w:tc>
        <w:tc>
          <w:tcPr>
            <w:tcW w:w="220" w:type="dxa"/>
            <w:vAlign w:val="bottom"/>
            <w:gridSpan w:val="6"/>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128">
              <w:r>
                <w:rPr>
                  <w:rFonts w:ascii="Times New Roman" w:cs="Times New Roman" w:eastAsia="Times New Roman" w:hAnsi="Times New Roman"/>
                  <w:sz w:val="12"/>
                  <w:szCs w:val="12"/>
                  <w:color w:val="0000EE"/>
                  <w:w w:val="99"/>
                </w:rPr>
                <w:t>Report on Form 8-K (File No. 001-12593) filed on July 22, 2021).</w:t>
              </w:r>
            </w:hyperlink>
          </w:p>
        </w:tc>
        <w:tc>
          <w:tcPr>
            <w:tcW w:w="4660" w:type="dxa"/>
            <w:vAlign w:val="bottom"/>
            <w:gridSpan w:val="12"/>
          </w:tcPr>
          <w:p>
            <w:pPr>
              <w:spacing w:after="0"/>
              <w:rPr>
                <w:sz w:val="10"/>
                <w:szCs w:val="10"/>
                <w:color w:val="auto"/>
              </w:rPr>
            </w:pPr>
          </w:p>
        </w:tc>
      </w:tr>
      <w:tr>
        <w:trPr>
          <w:trHeight w:val="124"/>
        </w:trPr>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10.37</w:t>
            </w:r>
          </w:p>
        </w:tc>
        <w:tc>
          <w:tcPr>
            <w:tcW w:w="240" w:type="dxa"/>
            <w:vAlign w:val="bottom"/>
          </w:tcPr>
          <w:p>
            <w:pPr>
              <w:spacing w:after="0"/>
              <w:rPr>
                <w:sz w:val="10"/>
                <w:szCs w:val="10"/>
                <w:color w:val="auto"/>
              </w:rPr>
            </w:pPr>
          </w:p>
        </w:tc>
        <w:tc>
          <w:tcPr>
            <w:tcW w:w="742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First Amendment Agreement, dated as of December 23, 2022 , among Alaska Communications Systems Group, Inc., Alaska Management, Inc., the other</w:t>
              </w:r>
            </w:hyperlink>
          </w:p>
        </w:tc>
        <w:tc>
          <w:tcPr>
            <w:tcW w:w="44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Guarantors identified on the signature pages thereto, the Lenders party thereto, and Fifth Third Bank, National Association, as Administrative Agent, an L/C Issuer</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129">
              <w:r>
                <w:rPr>
                  <w:rFonts w:ascii="Times New Roman" w:cs="Times New Roman" w:eastAsia="Times New Roman" w:hAnsi="Times New Roman"/>
                  <w:sz w:val="12"/>
                  <w:szCs w:val="12"/>
                  <w:color w:val="0000EE"/>
                  <w:w w:val="99"/>
                </w:rPr>
                <w:t>and Swing Line Lender and Bank of the West, as an L/C Issuer (incorporated by reference to Exhibit 10.2 to the Company’s Current Report on Form 8-K (File No.</w:t>
              </w:r>
            </w:hyperlink>
          </w:p>
        </w:tc>
      </w:tr>
      <w:tr>
        <w:trPr>
          <w:trHeight w:val="124"/>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17"/>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001-12593) filed on December 30, 2022).</w:t>
              </w:r>
            </w:hyperlink>
          </w:p>
        </w:tc>
      </w:tr>
      <w:tr>
        <w:trPr>
          <w:trHeight w:val="124"/>
        </w:trPr>
        <w:tc>
          <w:tcPr>
            <w:tcW w:w="110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21 *</w:t>
            </w:r>
          </w:p>
        </w:tc>
        <w:tc>
          <w:tcPr>
            <w:tcW w:w="188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Subsidiaries of ATN International, Inc.</w:t>
            </w:r>
          </w:p>
        </w:tc>
        <w:tc>
          <w:tcPr>
            <w:tcW w:w="160" w:type="dxa"/>
            <w:vAlign w:val="bottom"/>
            <w:tcBorders>
              <w:top w:val="single" w:sz="8" w:color="0000EE"/>
            </w:tcBorders>
          </w:tcPr>
          <w:p>
            <w:pPr>
              <w:spacing w:after="0"/>
              <w:rPr>
                <w:sz w:val="10"/>
                <w:szCs w:val="10"/>
                <w:color w:val="auto"/>
              </w:rPr>
            </w:pPr>
          </w:p>
        </w:tc>
        <w:tc>
          <w:tcPr>
            <w:tcW w:w="5820" w:type="dxa"/>
            <w:vAlign w:val="bottom"/>
            <w:gridSpan w:val="14"/>
          </w:tcPr>
          <w:p>
            <w:pPr>
              <w:spacing w:after="0"/>
              <w:rPr>
                <w:sz w:val="10"/>
                <w:szCs w:val="10"/>
                <w:color w:val="auto"/>
              </w:rPr>
            </w:pPr>
          </w:p>
        </w:tc>
      </w:tr>
      <w:tr>
        <w:trPr>
          <w:trHeight w:val="124"/>
        </w:trPr>
        <w:tc>
          <w:tcPr>
            <w:tcW w:w="110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23.1*</w:t>
            </w:r>
          </w:p>
        </w:tc>
        <w:tc>
          <w:tcPr>
            <w:tcW w:w="446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Consent of Independent Registered Public Accounting Firm—PricewaterhouseCoopers LLP.</w:t>
            </w:r>
          </w:p>
        </w:tc>
        <w:tc>
          <w:tcPr>
            <w:tcW w:w="3400" w:type="dxa"/>
            <w:vAlign w:val="bottom"/>
            <w:gridSpan w:val="10"/>
          </w:tcPr>
          <w:p>
            <w:pPr>
              <w:spacing w:after="0"/>
              <w:rPr>
                <w:sz w:val="10"/>
                <w:szCs w:val="10"/>
                <w:color w:val="auto"/>
              </w:rPr>
            </w:pPr>
          </w:p>
        </w:tc>
      </w:tr>
      <w:tr>
        <w:trPr>
          <w:trHeight w:val="133"/>
        </w:trPr>
        <w:tc>
          <w:tcPr>
            <w:tcW w:w="11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31.1**</w:t>
            </w:r>
          </w:p>
        </w:tc>
        <w:tc>
          <w:tcPr>
            <w:tcW w:w="786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EE"/>
              </w:rPr>
              <w:t>Certification of Principal Executive Officer pursuant to Rule 13a- 14(a) of the Securities Exchange Act of 1934, as adopted pursuant to Rule 302 of the Sarbanes-</w:t>
            </w:r>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0000EE"/>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9"/>
              </w:rPr>
              <w:t>Oxley Act of 2002.</w:t>
            </w:r>
          </w:p>
        </w:tc>
        <w:tc>
          <w:tcPr>
            <w:tcW w:w="6820" w:type="dxa"/>
            <w:vAlign w:val="bottom"/>
            <w:tcBorders>
              <w:top w:val="single" w:sz="8" w:color="0000EE"/>
            </w:tcBorders>
            <w:gridSpan w:val="13"/>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133"/>
        </w:trPr>
        <w:tc>
          <w:tcPr>
            <w:tcW w:w="11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31.2**</w:t>
            </w:r>
          </w:p>
        </w:tc>
        <w:tc>
          <w:tcPr>
            <w:tcW w:w="774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Financial Officer pursuant to Rule 13a- 14(a) of the Securities Exchange Act of 1934, as adopted pursuant to Rule 302 of the Sarbanes-</w:t>
            </w:r>
          </w:p>
        </w:tc>
        <w:tc>
          <w:tcPr>
            <w:tcW w:w="120" w:type="dxa"/>
            <w:vAlign w:val="bottom"/>
            <w:gridSpan w:val="4"/>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9"/>
              </w:rPr>
              <w:t>Oxley Act of 2002.</w:t>
            </w:r>
          </w:p>
        </w:tc>
        <w:tc>
          <w:tcPr>
            <w:tcW w:w="6920" w:type="dxa"/>
            <w:vAlign w:val="bottom"/>
            <w:gridSpan w:val="16"/>
          </w:tcPr>
          <w:p>
            <w:pPr>
              <w:spacing w:after="0"/>
              <w:rPr>
                <w:sz w:val="11"/>
                <w:szCs w:val="11"/>
                <w:color w:val="auto"/>
              </w:rPr>
            </w:pPr>
          </w:p>
        </w:tc>
      </w:tr>
      <w:tr>
        <w:trPr>
          <w:trHeight w:val="133"/>
        </w:trPr>
        <w:tc>
          <w:tcPr>
            <w:tcW w:w="11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32.1**</w:t>
            </w:r>
          </w:p>
        </w:tc>
        <w:tc>
          <w:tcPr>
            <w:tcW w:w="72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Executive Officer pursuant to 18 USC. Section 1350, as adopted pursuant to Section 906 of the Sarbanes-Oxley Act of 2002.</w:t>
            </w:r>
          </w:p>
        </w:tc>
        <w:tc>
          <w:tcPr>
            <w:tcW w:w="620" w:type="dxa"/>
            <w:vAlign w:val="bottom"/>
            <w:gridSpan w:val="8"/>
          </w:tcPr>
          <w:p>
            <w:pPr>
              <w:spacing w:after="0"/>
              <w:rPr>
                <w:sz w:val="11"/>
                <w:szCs w:val="11"/>
                <w:color w:val="auto"/>
              </w:rPr>
            </w:pPr>
          </w:p>
        </w:tc>
      </w:tr>
      <w:tr>
        <w:trPr>
          <w:trHeight w:val="133"/>
        </w:trPr>
        <w:tc>
          <w:tcPr>
            <w:tcW w:w="11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32.2**</w:t>
            </w:r>
          </w:p>
        </w:tc>
        <w:tc>
          <w:tcPr>
            <w:tcW w:w="720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Financial Officer pursuant to 18 USC. Section 1350, as adopted pursuant to Section 906 of the Sarbanes-Oxley Act of 2002.</w:t>
            </w:r>
          </w:p>
        </w:tc>
        <w:tc>
          <w:tcPr>
            <w:tcW w:w="660" w:type="dxa"/>
            <w:vAlign w:val="bottom"/>
            <w:gridSpan w:val="9"/>
          </w:tcPr>
          <w:p>
            <w:pPr>
              <w:spacing w:after="0"/>
              <w:rPr>
                <w:sz w:val="11"/>
                <w:szCs w:val="11"/>
                <w:color w:val="auto"/>
              </w:rPr>
            </w:pPr>
          </w:p>
        </w:tc>
      </w:tr>
      <w:tr>
        <w:trPr>
          <w:trHeight w:val="158"/>
        </w:trPr>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101.INS</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 Inline</w:t>
            </w:r>
          </w:p>
        </w:tc>
      </w:tr>
      <w:tr>
        <w:trPr>
          <w:trHeight w:val="153"/>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XBRL document</w:t>
            </w:r>
          </w:p>
        </w:tc>
      </w:tr>
      <w:tr>
        <w:trPr>
          <w:trHeight w:val="153"/>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101.SCH**</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53"/>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101.CAL**</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53"/>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101.DEF**</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53"/>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101.LAB**</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55"/>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101.PRE**</w:t>
            </w:r>
          </w:p>
        </w:tc>
        <w:tc>
          <w:tcPr>
            <w:tcW w:w="786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ind w:left="1120" w:hanging="441"/>
        <w:spacing w:after="0"/>
        <w:tabs>
          <w:tab w:leader="none" w:pos="112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embedded within Exhibit 101).</w:t>
      </w:r>
    </w:p>
    <w:p>
      <w:pPr>
        <w:spacing w:after="0" w:line="301"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29"/>
        </w:numPr>
        <w:rPr>
          <w:rFonts w:ascii="Arial" w:cs="Arial" w:eastAsia="Arial" w:hAnsi="Arial"/>
          <w:sz w:val="12"/>
          <w:szCs w:val="12"/>
          <w:color w:val="auto"/>
        </w:rPr>
      </w:pPr>
      <w:r>
        <w:rPr>
          <w:rFonts w:ascii="Times New Roman" w:cs="Times New Roman" w:eastAsia="Times New Roman" w:hAnsi="Times New Roman"/>
          <w:sz w:val="12"/>
          <w:szCs w:val="12"/>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-126365</wp:posOffset>
            </wp:positionV>
            <wp:extent cx="142303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29" w:lineRule="exact"/>
        <w:rPr>
          <w:sz w:val="20"/>
          <w:szCs w:val="20"/>
          <w:color w:val="auto"/>
        </w:rPr>
      </w:pPr>
    </w:p>
    <w:p>
      <w:pPr>
        <w:ind w:left="240" w:hanging="218"/>
        <w:spacing w:after="0"/>
        <w:tabs>
          <w:tab w:leader="none" w:pos="2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50" w:lineRule="exact"/>
        <w:rPr>
          <w:sz w:val="20"/>
          <w:szCs w:val="20"/>
          <w:color w:val="auto"/>
        </w:rPr>
      </w:pPr>
    </w:p>
    <w:p>
      <w:pPr>
        <w:ind w:left="240" w:right="99" w:hanging="218"/>
        <w:spacing w:after="0" w:line="279" w:lineRule="auto"/>
        <w:tabs>
          <w:tab w:leader="none" w:pos="2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it by reference.</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Portions of this exhibit (indicated by asterisks) have been omitted in accordance with the rules of the Securities and Exchange Commission.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80" w:right="1440"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and Exchange Act of 1934, the registrant has duly caused this report to be signed on its behalf by the undersigned, thereunto duly authorized, in Beverly, Massachusetts on the 15th day of March, 2023.</w:t>
      </w:r>
    </w:p>
    <w:p>
      <w:pPr>
        <w:sectPr>
          <w:pgSz w:w="11900" w:h="16838" w:orient="portrait"/>
          <w:cols w:equalWidth="0" w:num="1">
            <w:col w:w="9019"/>
          </w:cols>
          <w:pgMar w:left="1440" w:top="390" w:right="1440" w:bottom="1440" w:gutter="0" w:footer="0" w:header="0"/>
        </w:sectPr>
      </w:pP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1"/>
          <w:szCs w:val="11"/>
          <w:color w:val="auto"/>
        </w:rPr>
        <w:t>ATN International, Inc.</w:t>
      </w:r>
    </w:p>
    <w:p>
      <w:pPr>
        <w:spacing w:after="0" w:line="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w:t>
      </w:r>
      <w:r>
        <w:rPr>
          <w:rFonts w:ascii="Times New Roman" w:cs="Times New Roman" w:eastAsia="Times New Roman" w:hAnsi="Times New Roman"/>
          <w:sz w:val="8"/>
          <w:szCs w:val="8"/>
          <w:color w:val="auto"/>
        </w:rPr>
        <w:t>ichael</w:t>
      </w:r>
      <w:r>
        <w:rPr>
          <w:rFonts w:ascii="Times New Roman" w:cs="Times New Roman" w:eastAsia="Times New Roman" w:hAnsi="Times New Roman"/>
          <w:sz w:val="12"/>
          <w:szCs w:val="12"/>
          <w:color w:val="auto"/>
        </w:rPr>
        <w:t xml:space="preserve"> T. P</w:t>
      </w:r>
      <w:r>
        <w:rPr>
          <w:rFonts w:ascii="Times New Roman" w:cs="Times New Roman" w:eastAsia="Times New Roman" w:hAnsi="Times New Roman"/>
          <w:sz w:val="8"/>
          <w:szCs w:val="8"/>
          <w:color w:val="auto"/>
        </w:rPr>
        <w:t>rior</w:t>
      </w:r>
    </w:p>
    <w:p>
      <w:pPr>
        <w:spacing w:after="0" w:line="167" w:lineRule="exact"/>
        <w:rPr>
          <w:sz w:val="20"/>
          <w:szCs w:val="20"/>
          <w:color w:val="auto"/>
        </w:rPr>
      </w:pPr>
    </w:p>
    <w:p>
      <w:pPr>
        <w:sectPr>
          <w:pgSz w:w="11900" w:h="16838" w:orient="portrait"/>
          <w:cols w:equalWidth="0" w:num="2">
            <w:col w:w="5480" w:space="60"/>
            <w:col w:w="3479"/>
          </w:cols>
          <w:pgMar w:left="1440" w:top="390"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2"/>
          <w:szCs w:val="12"/>
          <w:color w:val="auto"/>
        </w:rPr>
        <w:t>Michael T. Prior</w:t>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1"/>
          <w:szCs w:val="11"/>
          <w:i w:val="1"/>
          <w:iCs w:val="1"/>
          <w:color w:val="auto"/>
        </w:rPr>
        <w:t>Chairman, President and Chief Executive Officer</w:t>
      </w:r>
    </w:p>
    <w:p>
      <w:pPr>
        <w:sectPr>
          <w:pgSz w:w="11900" w:h="16838" w:orient="portrait"/>
          <w:cols w:equalWidth="0" w:num="1">
            <w:col w:w="9019"/>
          </w:cols>
          <w:pgMar w:left="1440" w:top="390" w:right="1440" w:bottom="1440" w:gutter="0" w:footer="0" w:header="0"/>
          <w:type w:val="continuous"/>
        </w:sectPr>
      </w:pPr>
    </w:p>
    <w:p>
      <w:pPr>
        <w:spacing w:after="0" w:line="331"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indicated on the 15th day of March, 2023.</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4460" w:type="dxa"/>
            <w:vAlign w:val="bottom"/>
          </w:tcPr>
          <w:p>
            <w:pPr>
              <w:ind w:left="2140"/>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139"/>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M</w:t>
            </w:r>
            <w:r>
              <w:rPr>
                <w:rFonts w:ascii="Times New Roman" w:cs="Times New Roman" w:eastAsia="Times New Roman" w:hAnsi="Times New Roman"/>
                <w:sz w:val="8"/>
                <w:szCs w:val="8"/>
                <w:color w:val="auto"/>
              </w:rPr>
              <w:t>ichael</w:t>
            </w:r>
            <w:r>
              <w:rPr>
                <w:rFonts w:ascii="Times New Roman" w:cs="Times New Roman" w:eastAsia="Times New Roman" w:hAnsi="Times New Roman"/>
                <w:sz w:val="12"/>
                <w:szCs w:val="12"/>
                <w:color w:val="auto"/>
              </w:rPr>
              <w:t xml:space="preserve"> T. P</w:t>
            </w:r>
            <w:r>
              <w:rPr>
                <w:rFonts w:ascii="Times New Roman" w:cs="Times New Roman" w:eastAsia="Times New Roman" w:hAnsi="Times New Roman"/>
                <w:sz w:val="8"/>
                <w:szCs w:val="8"/>
                <w:color w:val="auto"/>
              </w:rPr>
              <w:t>rior</w:t>
            </w:r>
          </w:p>
        </w:tc>
        <w:tc>
          <w:tcPr>
            <w:tcW w:w="180" w:type="dxa"/>
            <w:vAlign w:val="bottom"/>
          </w:tcPr>
          <w:p>
            <w:pPr>
              <w:spacing w:after="0"/>
              <w:rPr>
                <w:sz w:val="12"/>
                <w:szCs w:val="12"/>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Chairman, President and Chief Executive Officer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Michael T. Prior</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Justin D. Benincasa</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B</w:t>
            </w:r>
            <w:r>
              <w:rPr>
                <w:rFonts w:ascii="Times New Roman" w:cs="Times New Roman" w:eastAsia="Times New Roman" w:hAnsi="Times New Roman"/>
                <w:sz w:val="8"/>
                <w:szCs w:val="8"/>
                <w:color w:val="auto"/>
              </w:rPr>
              <w:t>ernard</w:t>
            </w:r>
            <w:r>
              <w:rPr>
                <w:rFonts w:ascii="Times New Roman" w:cs="Times New Roman" w:eastAsia="Times New Roman" w:hAnsi="Times New Roman"/>
                <w:sz w:val="12"/>
                <w:szCs w:val="12"/>
                <w:color w:val="auto"/>
              </w:rPr>
              <w:t xml:space="preserve"> J. B</w:t>
            </w:r>
            <w:r>
              <w:rPr>
                <w:rFonts w:ascii="Times New Roman" w:cs="Times New Roman" w:eastAsia="Times New Roman" w:hAnsi="Times New Roman"/>
                <w:sz w:val="8"/>
                <w:szCs w:val="8"/>
                <w:color w:val="auto"/>
              </w:rPr>
              <w:t>ulkin</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8"/>
              </w:rPr>
              <w:t>Bernard J. Bulkin</w:t>
            </w:r>
          </w:p>
        </w:tc>
        <w:tc>
          <w:tcPr>
            <w:tcW w:w="4460" w:type="dxa"/>
            <w:vAlign w:val="bottom"/>
          </w:tcPr>
          <w:p>
            <w:pPr>
              <w:spacing w:after="0"/>
              <w:rPr>
                <w:sz w:val="13"/>
                <w:szCs w:val="13"/>
                <w:color w:val="auto"/>
              </w:rPr>
            </w:pP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ames</w:t>
            </w:r>
            <w:r>
              <w:rPr>
                <w:rFonts w:ascii="Times New Roman" w:cs="Times New Roman" w:eastAsia="Times New Roman" w:hAnsi="Times New Roman"/>
                <w:sz w:val="12"/>
                <w:szCs w:val="12"/>
                <w:color w:val="auto"/>
              </w:rPr>
              <w:t xml:space="preserve"> S. E</w:t>
            </w:r>
            <w:r>
              <w:rPr>
                <w:rFonts w:ascii="Times New Roman" w:cs="Times New Roman" w:eastAsia="Times New Roman" w:hAnsi="Times New Roman"/>
                <w:sz w:val="8"/>
                <w:szCs w:val="8"/>
                <w:color w:val="auto"/>
              </w:rPr>
              <w:t>isenstein</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James S. Eisenstein</w:t>
            </w:r>
          </w:p>
        </w:tc>
        <w:tc>
          <w:tcPr>
            <w:tcW w:w="4460" w:type="dxa"/>
            <w:vAlign w:val="bottom"/>
          </w:tcPr>
          <w:p>
            <w:pPr>
              <w:spacing w:after="0"/>
              <w:rPr>
                <w:sz w:val="13"/>
                <w:szCs w:val="13"/>
                <w:color w:val="auto"/>
              </w:rPr>
            </w:pP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R</w:t>
            </w:r>
            <w:r>
              <w:rPr>
                <w:rFonts w:ascii="Times New Roman" w:cs="Times New Roman" w:eastAsia="Times New Roman" w:hAnsi="Times New Roman"/>
                <w:sz w:val="8"/>
                <w:szCs w:val="8"/>
                <w:color w:val="auto"/>
              </w:rPr>
              <w:t>ichard</w:t>
            </w:r>
            <w:r>
              <w:rPr>
                <w:rFonts w:ascii="Times New Roman" w:cs="Times New Roman" w:eastAsia="Times New Roman" w:hAnsi="Times New Roman"/>
                <w:sz w:val="12"/>
                <w:szCs w:val="12"/>
                <w:color w:val="auto"/>
              </w:rPr>
              <w:t xml:space="preserve"> J. G</w:t>
            </w:r>
            <w:r>
              <w:rPr>
                <w:rFonts w:ascii="Times New Roman" w:cs="Times New Roman" w:eastAsia="Times New Roman" w:hAnsi="Times New Roman"/>
                <w:sz w:val="8"/>
                <w:szCs w:val="8"/>
                <w:color w:val="auto"/>
              </w:rPr>
              <w:t>anong</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Richard J. Ganong</w:t>
            </w:r>
          </w:p>
        </w:tc>
        <w:tc>
          <w:tcPr>
            <w:tcW w:w="4460" w:type="dxa"/>
            <w:vAlign w:val="bottom"/>
          </w:tcPr>
          <w:p>
            <w:pPr>
              <w:spacing w:after="0"/>
              <w:rPr>
                <w:sz w:val="13"/>
                <w:szCs w:val="13"/>
                <w:color w:val="auto"/>
              </w:rPr>
            </w:pPr>
          </w:p>
        </w:tc>
      </w:tr>
      <w:tr>
        <w:trPr>
          <w:trHeight w:val="304"/>
        </w:trPr>
        <w:tc>
          <w:tcPr>
            <w:tcW w:w="4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/s/ APRIL V. HENRY</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8"/>
              </w:rPr>
              <w:t>April V. Henry</w:t>
            </w:r>
          </w:p>
        </w:tc>
        <w:tc>
          <w:tcPr>
            <w:tcW w:w="4460" w:type="dxa"/>
            <w:vAlign w:val="bottom"/>
          </w:tcPr>
          <w:p>
            <w:pPr>
              <w:spacing w:after="0"/>
              <w:rPr>
                <w:sz w:val="13"/>
                <w:szCs w:val="13"/>
                <w:color w:val="auto"/>
              </w:rPr>
            </w:pP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P</w:t>
            </w:r>
            <w:r>
              <w:rPr>
                <w:rFonts w:ascii="Times New Roman" w:cs="Times New Roman" w:eastAsia="Times New Roman" w:hAnsi="Times New Roman"/>
                <w:sz w:val="8"/>
                <w:szCs w:val="8"/>
                <w:color w:val="auto"/>
              </w:rPr>
              <w:t>amela</w:t>
            </w:r>
            <w:r>
              <w:rPr>
                <w:rFonts w:ascii="Times New Roman" w:cs="Times New Roman" w:eastAsia="Times New Roman" w:hAnsi="Times New Roman"/>
                <w:sz w:val="12"/>
                <w:szCs w:val="12"/>
                <w:color w:val="auto"/>
              </w:rPr>
              <w:t xml:space="preserve"> F. L</w:t>
            </w:r>
            <w:r>
              <w:rPr>
                <w:rFonts w:ascii="Times New Roman" w:cs="Times New Roman" w:eastAsia="Times New Roman" w:hAnsi="Times New Roman"/>
                <w:sz w:val="8"/>
                <w:szCs w:val="8"/>
                <w:color w:val="auto"/>
              </w:rPr>
              <w:t>enehan</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Pamela F. Lenehan</w:t>
            </w:r>
          </w:p>
        </w:tc>
        <w:tc>
          <w:tcPr>
            <w:tcW w:w="4460" w:type="dxa"/>
            <w:vAlign w:val="bottom"/>
          </w:tcPr>
          <w:p>
            <w:pPr>
              <w:spacing w:after="0"/>
              <w:rPr>
                <w:sz w:val="13"/>
                <w:szCs w:val="13"/>
                <w:color w:val="auto"/>
              </w:rPr>
            </w:pPr>
          </w:p>
        </w:tc>
      </w:tr>
      <w:tr>
        <w:trPr>
          <w:trHeight w:val="304"/>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/s/ L</w:t>
            </w:r>
            <w:r>
              <w:rPr>
                <w:rFonts w:ascii="Times New Roman" w:cs="Times New Roman" w:eastAsia="Times New Roman" w:hAnsi="Times New Roman"/>
                <w:sz w:val="8"/>
                <w:szCs w:val="8"/>
                <w:color w:val="auto"/>
              </w:rPr>
              <w:t>iane</w:t>
            </w:r>
            <w:r>
              <w:rPr>
                <w:rFonts w:ascii="Times New Roman" w:cs="Times New Roman" w:eastAsia="Times New Roman" w:hAnsi="Times New Roman"/>
                <w:sz w:val="12"/>
                <w:szCs w:val="12"/>
                <w:color w:val="auto"/>
              </w:rPr>
              <w:t xml:space="preserve"> J. P</w:t>
            </w:r>
            <w:r>
              <w:rPr>
                <w:rFonts w:ascii="Times New Roman" w:cs="Times New Roman" w:eastAsia="Times New Roman" w:hAnsi="Times New Roman"/>
                <w:sz w:val="8"/>
                <w:szCs w:val="8"/>
                <w:color w:val="auto"/>
              </w:rPr>
              <w:t>elletier</w:t>
            </w: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8"/>
              </w:rPr>
              <w:t>Liane J. Pelletier</w:t>
            </w:r>
          </w:p>
        </w:tc>
        <w:tc>
          <w:tcPr>
            <w:tcW w:w="44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77" w:name="page78"/>
    <w:bookmarkEnd w:id="77"/>
    <w:tbl>
      <w:tblPr>
        <w:tblLayout w:type="fixed"/>
        <w:tblInd w:w="20" w:type="dxa"/>
        <w:tblCellMar>
          <w:top w:w="0" w:type="dxa"/>
          <w:left w:w="0" w:type="dxa"/>
          <w:bottom w:w="0" w:type="dxa"/>
          <w:right w:w="0" w:type="dxa"/>
        </w:tblCellMar>
      </w:tblPr>
      <w:tr>
        <w:trPr>
          <w:trHeight w:val="138"/>
        </w:trPr>
        <w:tc>
          <w:tcPr>
            <w:tcW w:w="7820" w:type="dxa"/>
            <w:vAlign w:val="bottom"/>
            <w:gridSpan w:val="1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40" w:type="dxa"/>
            <w:vAlign w:val="bottom"/>
          </w:tcPr>
          <w:p>
            <w:pPr>
              <w:spacing w:after="0"/>
              <w:rPr>
                <w:sz w:val="12"/>
                <w:szCs w:val="12"/>
                <w:color w:val="auto"/>
              </w:rPr>
            </w:pPr>
          </w:p>
        </w:tc>
      </w:tr>
      <w:tr>
        <w:trPr>
          <w:trHeight w:val="862"/>
        </w:trPr>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4780" w:type="dxa"/>
            <w:vAlign w:val="bottom"/>
            <w:gridSpan w:val="8"/>
          </w:tcPr>
          <w:p>
            <w:pPr>
              <w:jc w:val="center"/>
              <w:ind w:right="1900"/>
              <w:spacing w:after="0"/>
              <w:rPr>
                <w:sz w:val="20"/>
                <w:szCs w:val="20"/>
                <w:color w:val="auto"/>
              </w:rPr>
            </w:pPr>
            <w:r>
              <w:rPr>
                <w:rFonts w:ascii="Times New Roman" w:cs="Times New Roman" w:eastAsia="Times New Roman" w:hAnsi="Times New Roman"/>
                <w:sz w:val="12"/>
                <w:szCs w:val="12"/>
                <w:b w:val="1"/>
                <w:bCs w:val="1"/>
                <w:color w:val="auto"/>
                <w:w w:val="99"/>
              </w:rPr>
              <w:t>ATN INTERNATIONAL, INC. AND SUBSIDIARIES</w:t>
            </w:r>
          </w:p>
        </w:tc>
        <w:tc>
          <w:tcPr>
            <w:tcW w:w="1140" w:type="dxa"/>
            <w:vAlign w:val="bottom"/>
          </w:tcPr>
          <w:p>
            <w:pPr>
              <w:spacing w:after="0"/>
              <w:rPr>
                <w:sz w:val="24"/>
                <w:szCs w:val="24"/>
                <w:color w:val="auto"/>
              </w:rPr>
            </w:pPr>
          </w:p>
        </w:tc>
      </w:tr>
      <w:tr>
        <w:trPr>
          <w:trHeight w:val="273"/>
        </w:trPr>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60" w:type="dxa"/>
            <w:vAlign w:val="bottom"/>
            <w:gridSpan w:val="9"/>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CONSOLIDATED FINANCIAL STATEMENTS AND FINANCIAL STATEMENT SCHEDULE</w:t>
            </w:r>
          </w:p>
        </w:tc>
        <w:tc>
          <w:tcPr>
            <w:tcW w:w="1140" w:type="dxa"/>
            <w:vAlign w:val="bottom"/>
          </w:tcPr>
          <w:p>
            <w:pPr>
              <w:spacing w:after="0"/>
              <w:rPr>
                <w:sz w:val="23"/>
                <w:szCs w:val="23"/>
                <w:color w:val="auto"/>
              </w:rPr>
            </w:pPr>
          </w:p>
        </w:tc>
      </w:tr>
      <w:tr>
        <w:trPr>
          <w:trHeight w:val="159"/>
        </w:trPr>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7"/>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w w:val="99"/>
              </w:rPr>
              <w:t>December 31, 2022, 2021 and 2020</w:t>
            </w:r>
          </w:p>
        </w:tc>
        <w:tc>
          <w:tcPr>
            <w:tcW w:w="1140" w:type="dxa"/>
            <w:vAlign w:val="bottom"/>
          </w:tcPr>
          <w:p>
            <w:pPr>
              <w:spacing w:after="0"/>
              <w:rPr>
                <w:sz w:val="13"/>
                <w:szCs w:val="13"/>
                <w:color w:val="auto"/>
              </w:rPr>
            </w:pPr>
          </w:p>
        </w:tc>
      </w:tr>
      <w:tr>
        <w:trPr>
          <w:trHeight w:val="288"/>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gridSpan w:val="6"/>
          </w:tcPr>
          <w:p>
            <w:pPr>
              <w:jc w:val="center"/>
              <w:ind w:right="2780"/>
              <w:spacing w:after="0"/>
              <w:rPr>
                <w:sz w:val="20"/>
                <w:szCs w:val="20"/>
                <w:color w:val="auto"/>
              </w:rPr>
            </w:pPr>
            <w:r>
              <w:rPr>
                <w:rFonts w:ascii="Times New Roman" w:cs="Times New Roman" w:eastAsia="Times New Roman" w:hAnsi="Times New Roman"/>
                <w:sz w:val="12"/>
                <w:szCs w:val="12"/>
                <w:b w:val="1"/>
                <w:bCs w:val="1"/>
                <w:color w:val="auto"/>
                <w:w w:val="98"/>
              </w:rPr>
              <w:t>INDEX</w:t>
            </w:r>
          </w:p>
        </w:tc>
        <w:tc>
          <w:tcPr>
            <w:tcW w:w="11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(PCAOB ID: 238)</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F-2</w:t>
            </w:r>
          </w:p>
        </w:tc>
      </w:tr>
      <w:tr>
        <w:trPr>
          <w:trHeight w:val="140"/>
        </w:trPr>
        <w:tc>
          <w:tcPr>
            <w:tcW w:w="60" w:type="dxa"/>
            <w:vAlign w:val="bottom"/>
          </w:tcPr>
          <w:p>
            <w:pPr>
              <w:spacing w:after="0"/>
              <w:rPr>
                <w:sz w:val="12"/>
                <w:szCs w:val="12"/>
                <w:color w:val="auto"/>
              </w:rPr>
            </w:pPr>
          </w:p>
        </w:tc>
        <w:tc>
          <w:tcPr>
            <w:tcW w:w="3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auto"/>
              </w:rPr>
              <w:t>FINANCIAL STATEMENTS</w:t>
            </w:r>
          </w:p>
        </w:tc>
        <w:tc>
          <w:tcPr>
            <w:tcW w:w="3880" w:type="dxa"/>
            <w:vAlign w:val="bottom"/>
            <w:gridSpan w:val="6"/>
          </w:tcPr>
          <w:p>
            <w:pPr>
              <w:spacing w:after="0"/>
              <w:rPr>
                <w:sz w:val="12"/>
                <w:szCs w:val="12"/>
                <w:color w:val="auto"/>
              </w:rPr>
            </w:pPr>
          </w:p>
        </w:tc>
        <w:tc>
          <w:tcPr>
            <w:tcW w:w="1140" w:type="dxa"/>
            <w:vAlign w:val="bottom"/>
          </w:tcPr>
          <w:p>
            <w:pPr>
              <w:spacing w:after="0"/>
              <w:rPr>
                <w:sz w:val="12"/>
                <w:szCs w:val="12"/>
                <w:color w:val="auto"/>
              </w:rPr>
            </w:pPr>
          </w:p>
        </w:tc>
      </w:tr>
      <w:tr>
        <w:trPr>
          <w:trHeight w:val="128"/>
        </w:trPr>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580" w:type="dxa"/>
            <w:vAlign w:val="bottom"/>
            <w:gridSpan w:val="10"/>
          </w:tcPr>
          <w:p>
            <w:pPr>
              <w:spacing w:after="0" w:line="128" w:lineRule="exact"/>
              <w:rPr>
                <w:sz w:val="20"/>
                <w:szCs w:val="20"/>
                <w:color w:val="auto"/>
              </w:rPr>
            </w:pPr>
            <w:r>
              <w:rPr>
                <w:rFonts w:ascii="Times New Roman" w:cs="Times New Roman" w:eastAsia="Times New Roman" w:hAnsi="Times New Roman"/>
                <w:sz w:val="12"/>
                <w:szCs w:val="12"/>
                <w:color w:val="0000EE"/>
              </w:rPr>
              <w:t>Consolidated Balance Sheets—December 31, 2022 and 2021</w:t>
            </w: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F-5</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58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Consolidated Income Statements for the Years Ended December 31, 2022, 2021 and 2020</w:t>
            </w: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F-6</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2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Comprehensive Income for the Years Ended December 31, 2022, 2021 and 2020</w:t>
            </w:r>
          </w:p>
        </w:tc>
        <w:tc>
          <w:tcPr>
            <w:tcW w:w="2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w:t>
            </w: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Equity for the Years Ended December 31, 2022, 2021 and 2020</w:t>
            </w:r>
          </w:p>
        </w:tc>
        <w:tc>
          <w:tcPr>
            <w:tcW w:w="3180" w:type="dxa"/>
            <w:vAlign w:val="bottom"/>
            <w:gridSpan w:val="4"/>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F-8</w:t>
            </w: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4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Cash Flows for the Years Ended December 31, 2022, 2021 and 2020</w:t>
            </w:r>
          </w:p>
        </w:tc>
        <w:tc>
          <w:tcPr>
            <w:tcW w:w="2940" w:type="dxa"/>
            <w:vAlign w:val="bottom"/>
            <w:gridSpan w:val="3"/>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F-9</w:t>
            </w:r>
          </w:p>
        </w:tc>
      </w:tr>
      <w:tr>
        <w:trPr>
          <w:trHeight w:val="124"/>
        </w:trPr>
        <w:tc>
          <w:tcPr>
            <w:tcW w:w="60" w:type="dxa"/>
            <w:vAlign w:val="bottom"/>
          </w:tcPr>
          <w:p>
            <w:pPr>
              <w:spacing w:after="0"/>
              <w:rPr>
                <w:sz w:val="10"/>
                <w:szCs w:val="10"/>
                <w:color w:val="auto"/>
              </w:rPr>
            </w:pPr>
          </w:p>
        </w:tc>
        <w:tc>
          <w:tcPr>
            <w:tcW w:w="776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F-10</w:t>
            </w:r>
          </w:p>
        </w:tc>
      </w:tr>
      <w:tr>
        <w:trPr>
          <w:trHeight w:val="140"/>
        </w:trPr>
        <w:tc>
          <w:tcPr>
            <w:tcW w:w="60" w:type="dxa"/>
            <w:vAlign w:val="bottom"/>
          </w:tcPr>
          <w:p>
            <w:pPr>
              <w:spacing w:after="0"/>
              <w:rPr>
                <w:sz w:val="12"/>
                <w:szCs w:val="12"/>
                <w:color w:val="auto"/>
              </w:rPr>
            </w:pPr>
          </w:p>
        </w:tc>
        <w:tc>
          <w:tcPr>
            <w:tcW w:w="2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auto"/>
              </w:rPr>
              <w:t>FINANCIAL STATEMENT SCHEDULE</w:t>
            </w:r>
          </w:p>
        </w:tc>
        <w:tc>
          <w:tcPr>
            <w:tcW w:w="4780" w:type="dxa"/>
            <w:vAlign w:val="bottom"/>
            <w:gridSpan w:val="8"/>
          </w:tcPr>
          <w:p>
            <w:pPr>
              <w:spacing w:after="0"/>
              <w:rPr>
                <w:sz w:val="12"/>
                <w:szCs w:val="12"/>
                <w:color w:val="auto"/>
              </w:rPr>
            </w:pPr>
          </w:p>
        </w:tc>
        <w:tc>
          <w:tcPr>
            <w:tcW w:w="1140" w:type="dxa"/>
            <w:vAlign w:val="bottom"/>
          </w:tcPr>
          <w:p>
            <w:pPr>
              <w:spacing w:after="0"/>
              <w:rPr>
                <w:sz w:val="12"/>
                <w:szCs w:val="12"/>
                <w:color w:val="auto"/>
              </w:rPr>
            </w:pPr>
          </w:p>
        </w:tc>
      </w:tr>
      <w:tr>
        <w:trPr>
          <w:trHeight w:val="128"/>
        </w:trPr>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00" w:type="dxa"/>
            <w:vAlign w:val="bottom"/>
            <w:tcBorders>
              <w:bottom w:val="single" w:sz="8" w:color="0000EE"/>
            </w:tcBorders>
            <w:gridSpan w:val="8"/>
          </w:tcPr>
          <w:p>
            <w:pPr>
              <w:spacing w:after="0" w:line="128" w:lineRule="exact"/>
              <w:rPr>
                <w:sz w:val="20"/>
                <w:szCs w:val="20"/>
                <w:color w:val="auto"/>
              </w:rPr>
            </w:pPr>
            <w:r>
              <w:rPr>
                <w:rFonts w:ascii="Times New Roman" w:cs="Times New Roman" w:eastAsia="Times New Roman" w:hAnsi="Times New Roman"/>
                <w:sz w:val="12"/>
                <w:szCs w:val="12"/>
                <w:color w:val="0000EE"/>
                <w:w w:val="99"/>
              </w:rPr>
              <w:t>Schedule II—Valuation and Qualifying Accounts for the Years Ended December 31, 2022, 2021 and 2020</w:t>
            </w:r>
          </w:p>
        </w:tc>
        <w:tc>
          <w:tcPr>
            <w:tcW w:w="2480" w:type="dxa"/>
            <w:vAlign w:val="bottom"/>
            <w:gridSpan w:val="2"/>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F-67</w:t>
            </w:r>
          </w:p>
        </w:tc>
      </w:tr>
      <w:tr>
        <w:trPr>
          <w:trHeight w:val="736"/>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gridSpan w:val="6"/>
          </w:tcPr>
          <w:p>
            <w:pPr>
              <w:jc w:val="center"/>
              <w:ind w:right="2800"/>
              <w:spacing w:after="0"/>
              <w:rPr>
                <w:sz w:val="20"/>
                <w:szCs w:val="20"/>
                <w:color w:val="auto"/>
              </w:rPr>
            </w:pPr>
            <w:r>
              <w:rPr>
                <w:rFonts w:ascii="Times New Roman" w:cs="Times New Roman" w:eastAsia="Times New Roman" w:hAnsi="Times New Roman"/>
                <w:sz w:val="12"/>
                <w:szCs w:val="12"/>
                <w:color w:val="auto"/>
                <w:w w:val="95"/>
              </w:rPr>
              <w:t>F-1</w:t>
            </w:r>
          </w:p>
        </w:tc>
        <w:tc>
          <w:tcPr>
            <w:tcW w:w="1140" w:type="dxa"/>
            <w:vAlign w:val="bottom"/>
          </w:tcPr>
          <w:p>
            <w:pPr>
              <w:spacing w:after="0"/>
              <w:rPr>
                <w:sz w:val="24"/>
                <w:szCs w:val="24"/>
                <w:color w:val="auto"/>
              </w:rPr>
            </w:pPr>
          </w:p>
        </w:tc>
      </w:tr>
      <w:tr>
        <w:trPr>
          <w:trHeight w:val="367"/>
        </w:trPr>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the Board of Directors and Stockholders of ATN International, Inc.</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27"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ATN International, Inc. and its subsidiaries (the “Company”) as of December 31, 2022 and 2021, and the related consolidated statements of income, of comprehensive income, of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98" w:lineRule="exact"/>
        <w:rPr>
          <w:sz w:val="20"/>
          <w:szCs w:val="20"/>
          <w:color w:val="auto"/>
        </w:rPr>
      </w:pPr>
    </w:p>
    <w:p>
      <w:pPr>
        <w:jc w:val="both"/>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27"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1"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As described in Management’s Report on Internal Control over Financial Reporting, management has excluded Sacred Wind Enterprises, Inc. from its assessment of internal control over financial reporting as of December 31, 2022, because it was acquired by the Company in a purchase business combination during 2022. We have also excluded Sacred Wind Enterprises, Inc. from our audit of internal control over financial reporting. Sacred Wind Enterprises, Inc. is a subsidiary whose total assets and total revenues excluded from management’s assessment and our audit of internal control over financial reporting represent 6% and less than 1%, respectively, of the related consolidated financial statement amounts as of and for the year ended December 31, 2022.</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36" w:lineRule="exact"/>
        <w:rPr>
          <w:sz w:val="20"/>
          <w:szCs w:val="20"/>
          <w:color w:val="auto"/>
        </w:rPr>
      </w:pPr>
    </w:p>
    <w:p>
      <w:pPr>
        <w:ind w:left="20" w:right="99" w:firstLine="432"/>
        <w:spacing w:after="0" w:line="256"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left="20" w:right="39" w:firstLine="432"/>
        <w:spacing w:after="0" w:line="327" w:lineRule="auto"/>
        <w:rPr>
          <w:sz w:val="20"/>
          <w:szCs w:val="20"/>
          <w:color w:val="auto"/>
        </w:rPr>
      </w:pPr>
      <w:r>
        <w:rPr>
          <w:rFonts w:ascii="Times New Roman" w:cs="Times New Roman" w:eastAsia="Times New Roman" w:hAnsi="Times New Roman"/>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jc w:val="both"/>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Goodwill impairment assessment for a certain reporting unit in the US Telecom segment</w:t>
      </w:r>
    </w:p>
    <w:p>
      <w:pPr>
        <w:spacing w:after="0" w:line="152"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color w:val="auto"/>
        </w:rPr>
        <w:t>As described in Notes 2 and 7 to the consolidated financial statements, the Company’s consolidated goodwill balance was $40.1 million as of December 31, 2022. The goodwill balance associated with the US Telecom segment was $35.3 million, and a majority of the US Telecom segment’s goodwill is associated with a certain reporting unit. Management assesses goodwill for impairment on an annual basis in the fourth quarter or more frequently when events or circumstances occur indicating that the fair value of a reporting unit may be below its carrying value. If the carrying value of the reporting unit, including goodwill, exceeds the fair value of the reporting unit an impairment charge is recorded equal to the excess, but not more than the total amount of goodwill allocated to the reporting unit. For its annual impairment analysis, as of October 1, 2022, the Company performed a quantitative analysis for the goodwill held in its US Telecom segment, and the quantitative analysis indicated that the fair value of the reporting unit exceeded its carrying value. Management determined the fair value of the reporting unit using the income approach. The income approach is based on a discounted cash flow model. The discounted cash flow model requires the exercise of significant judgment, including judgments and assumptions about appropriate discount rates and revenue growth.</w:t>
      </w:r>
    </w:p>
    <w:p>
      <w:pPr>
        <w:spacing w:after="0" w:line="101"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the goodwill impairment assessment for a certain reporting unit in the US Telecom segment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revenue growth and the discount rate; and (iii) the audit effort involved the use of professionals with specialized skill and knowledge.</w:t>
      </w:r>
    </w:p>
    <w:p>
      <w:pPr>
        <w:spacing w:after="0" w:line="104"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for a certain reporting unit in the US Telecom segment. These procedures also included, among others (i) testing management’s process for developing the fair value estimate of the reporting unit; (ii) evaluating the appropriateness of the discounted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cash flow model; (iii) testing the completeness and accuracy of underlying data used in the discounted cash flow model; and (iv) evaluating the reasonableness of significant assumptions used by management related to revenue growth and the discount rate. Evaluating the reasonableness of management’s significant assumptions related to revenue growth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 and (ii) the reasonableness of the discount rate assumption.</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Boston, Massachusetts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March 15, 2023</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have served as the Company’s auditor since 2002.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CONSOLIDATED BALANCE SHEETS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December 31, 2022 and 2021</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5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00" w:type="dxa"/>
            <w:vAlign w:val="bottom"/>
          </w:tcPr>
          <w:p>
            <w:pPr>
              <w:spacing w:after="0"/>
              <w:rPr>
                <w:sz w:val="7"/>
                <w:szCs w:val="7"/>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103"/>
        </w:trPr>
        <w:tc>
          <w:tcPr>
            <w:tcW w:w="5120" w:type="dxa"/>
            <w:vAlign w:val="bottom"/>
            <w:vMerge w:val="restart"/>
          </w:tcPr>
          <w:p>
            <w:pPr>
              <w:ind w:left="31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8"/>
                <w:szCs w:val="8"/>
                <w:b w:val="1"/>
                <w:bCs w:val="1"/>
                <w:color w:val="auto"/>
              </w:rPr>
              <w:t>2022</w:t>
            </w: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2021</w:t>
            </w:r>
          </w:p>
        </w:tc>
        <w:tc>
          <w:tcPr>
            <w:tcW w:w="0" w:type="dxa"/>
            <w:vAlign w:val="bottom"/>
          </w:tcPr>
          <w:p>
            <w:pPr>
              <w:spacing w:after="0"/>
              <w:rPr>
                <w:sz w:val="1"/>
                <w:szCs w:val="1"/>
                <w:color w:val="auto"/>
              </w:rPr>
            </w:pPr>
          </w:p>
        </w:tc>
      </w:tr>
      <w:tr>
        <w:trPr>
          <w:trHeight w:val="88"/>
        </w:trPr>
        <w:tc>
          <w:tcPr>
            <w:tcW w:w="512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2180" w:type="dxa"/>
            <w:vAlign w:val="bottom"/>
            <w:gridSpan w:val="2"/>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54,660</w:t>
            </w:r>
          </w:p>
        </w:tc>
        <w:tc>
          <w:tcPr>
            <w:tcW w:w="12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79,601</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Restricted cash</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5,068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1,096</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receivable, net of allowances for credit losses of $15.2 million and $13.9 million, respectively</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86,816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73,701</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Customer receivable</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5,803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4,145</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Inventory, materials and supplies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17,902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10,177</w:t>
            </w:r>
          </w:p>
        </w:tc>
        <w:tc>
          <w:tcPr>
            <w:tcW w:w="0" w:type="dxa"/>
            <w:vAlign w:val="bottom"/>
          </w:tcPr>
          <w:p>
            <w:pPr>
              <w:spacing w:after="0"/>
              <w:rPr>
                <w:sz w:val="1"/>
                <w:szCs w:val="1"/>
                <w:color w:val="auto"/>
              </w:rPr>
            </w:pPr>
          </w:p>
        </w:tc>
      </w:tr>
      <w:tr>
        <w:trPr>
          <w:trHeight w:val="99"/>
        </w:trPr>
        <w:tc>
          <w:tcPr>
            <w:tcW w:w="51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0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59,139</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63,597</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208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229,688</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232,617</w:t>
            </w:r>
          </w:p>
        </w:tc>
        <w:tc>
          <w:tcPr>
            <w:tcW w:w="0" w:type="dxa"/>
            <w:vAlign w:val="bottom"/>
          </w:tcPr>
          <w:p>
            <w:pPr>
              <w:spacing w:after="0"/>
              <w:rPr>
                <w:sz w:val="1"/>
                <w:szCs w:val="1"/>
                <w:color w:val="auto"/>
              </w:rPr>
            </w:pPr>
          </w:p>
        </w:tc>
      </w:tr>
      <w:tr>
        <w:trPr>
          <w:trHeight w:val="88"/>
        </w:trPr>
        <w:tc>
          <w:tcPr>
            <w:tcW w:w="51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Fixed Assets:</w:t>
            </w: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Property, plant and equipment</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1,977,978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1,748,092</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Less accumulated depreciation</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(922,024)</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(804,883)</w:t>
            </w:r>
          </w:p>
        </w:tc>
        <w:tc>
          <w:tcPr>
            <w:tcW w:w="0" w:type="dxa"/>
            <w:vAlign w:val="bottom"/>
          </w:tcPr>
          <w:p>
            <w:pPr>
              <w:spacing w:after="0"/>
              <w:rPr>
                <w:sz w:val="1"/>
                <w:szCs w:val="1"/>
                <w:color w:val="auto"/>
              </w:rPr>
            </w:pPr>
          </w:p>
        </w:tc>
      </w:tr>
      <w:tr>
        <w:trPr>
          <w:trHeight w:val="88"/>
        </w:trPr>
        <w:tc>
          <w:tcPr>
            <w:tcW w:w="5120" w:type="dxa"/>
            <w:vAlign w:val="bottom"/>
            <w:tcBorders>
              <w:top w:val="single" w:sz="8" w:color="CCEEFF"/>
            </w:tcBorders>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Net fixed assets</w:t>
            </w:r>
          </w:p>
        </w:tc>
        <w:tc>
          <w:tcPr>
            <w:tcW w:w="20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7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1,055,954</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7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943,209</w:t>
            </w:r>
          </w:p>
        </w:tc>
        <w:tc>
          <w:tcPr>
            <w:tcW w:w="0" w:type="dxa"/>
            <w:vAlign w:val="bottom"/>
          </w:tcPr>
          <w:p>
            <w:pPr>
              <w:spacing w:after="0"/>
              <w:rPr>
                <w:sz w:val="1"/>
                <w:szCs w:val="1"/>
                <w:color w:val="auto"/>
              </w:rPr>
            </w:pPr>
          </w:p>
        </w:tc>
      </w:tr>
      <w:tr>
        <w:trPr>
          <w:trHeight w:val="88"/>
        </w:trPr>
        <w:tc>
          <w:tcPr>
            <w:tcW w:w="51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Telecommunication licenses, net</w:t>
            </w: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113,698</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113,766</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Intangible assets, net</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31,992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44,294</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108,702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118,843</w:t>
            </w: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 long term</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46,706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39,652</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20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81,025</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76,119</w:t>
            </w:r>
          </w:p>
        </w:tc>
        <w:tc>
          <w:tcPr>
            <w:tcW w:w="0" w:type="dxa"/>
            <w:vAlign w:val="bottom"/>
          </w:tcPr>
          <w:p>
            <w:pPr>
              <w:spacing w:after="0"/>
              <w:rPr>
                <w:sz w:val="1"/>
                <w:szCs w:val="1"/>
                <w:color w:val="auto"/>
              </w:rPr>
            </w:pPr>
          </w:p>
        </w:tc>
      </w:tr>
      <w:tr>
        <w:trPr>
          <w:trHeight w:val="95"/>
        </w:trPr>
        <w:tc>
          <w:tcPr>
            <w:tcW w:w="512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20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1,707,869</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1,608,604</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540"/>
              <w:spacing w:after="0" w:line="99" w:lineRule="exact"/>
              <w:rPr>
                <w:sz w:val="20"/>
                <w:szCs w:val="20"/>
                <w:color w:val="auto"/>
              </w:rPr>
            </w:pPr>
            <w:r>
              <w:rPr>
                <w:rFonts w:ascii="Times New Roman" w:cs="Times New Roman" w:eastAsia="Times New Roman" w:hAnsi="Times New Roman"/>
                <w:sz w:val="10"/>
                <w:szCs w:val="10"/>
                <w:b w:val="1"/>
                <w:bCs w:val="1"/>
                <w:color w:val="auto"/>
                <w:w w:val="97"/>
              </w:rPr>
              <w:t>LIABILITIES, REDEEMABLE NONCONTROLLING INTERESTS AND EQUITY</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2180" w:type="dxa"/>
            <w:vAlign w:val="bottom"/>
            <w:gridSpan w:val="2"/>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6,173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4,665</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customer receivable credit facility</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6,073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4,620</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payable and accrued liabilities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155,224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151,463</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Dividends payable</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3,310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2,672</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5,681</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lease liabilities</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15,457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16,201</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Advance payments and deposits</w:t>
            </w:r>
          </w:p>
        </w:tc>
        <w:tc>
          <w:tcPr>
            <w:tcW w:w="20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39,608</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35,642</w:t>
            </w: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20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233,180</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220,944</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Deferred income taxes</w:t>
            </w:r>
          </w:p>
        </w:tc>
        <w:tc>
          <w:tcPr>
            <w:tcW w:w="2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28,650</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21,460</w:t>
            </w: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Lease liabilities, excluding current portion</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83,319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91,719</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liabilities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138,420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142,033</w:t>
            </w: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credit facility, net of current portion</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39,275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30,148</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Long-term debt, excluding current portion</w:t>
            </w:r>
          </w:p>
        </w:tc>
        <w:tc>
          <w:tcPr>
            <w:tcW w:w="20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415,727</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327,111</w:t>
            </w: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20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938,571</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833,415</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Commitments and contingencies (Note 14)</w:t>
            </w:r>
          </w:p>
        </w:tc>
        <w:tc>
          <w:tcPr>
            <w:tcW w:w="2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Redeemable noncontrolling interests:</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redeemable noncontrolling interests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55,152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50,296</w:t>
            </w:r>
          </w:p>
        </w:tc>
        <w:tc>
          <w:tcPr>
            <w:tcW w:w="0" w:type="dxa"/>
            <w:vAlign w:val="bottom"/>
          </w:tcPr>
          <w:p>
            <w:pPr>
              <w:spacing w:after="0"/>
              <w:rPr>
                <w:sz w:val="1"/>
                <w:szCs w:val="1"/>
                <w:color w:val="auto"/>
              </w:rPr>
            </w:pPr>
          </w:p>
        </w:tc>
      </w:tr>
      <w:tr>
        <w:trPr>
          <w:trHeight w:val="99"/>
        </w:trPr>
        <w:tc>
          <w:tcPr>
            <w:tcW w:w="51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Common redeemable noncontrolling interests</w:t>
            </w:r>
          </w:p>
        </w:tc>
        <w:tc>
          <w:tcPr>
            <w:tcW w:w="20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37,317</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22,640</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redeemable noncontrolling interests</w:t>
            </w:r>
          </w:p>
        </w:tc>
        <w:tc>
          <w:tcPr>
            <w:tcW w:w="208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92,469</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72,936</w:t>
            </w:r>
          </w:p>
        </w:tc>
        <w:tc>
          <w:tcPr>
            <w:tcW w:w="0" w:type="dxa"/>
            <w:vAlign w:val="bottom"/>
          </w:tcPr>
          <w:p>
            <w:pPr>
              <w:spacing w:after="0"/>
              <w:rPr>
                <w:sz w:val="1"/>
                <w:szCs w:val="1"/>
                <w:color w:val="auto"/>
              </w:rPr>
            </w:pPr>
          </w:p>
        </w:tc>
      </w:tr>
      <w:tr>
        <w:trPr>
          <w:trHeight w:val="88"/>
        </w:trPr>
        <w:tc>
          <w:tcPr>
            <w:tcW w:w="51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ATN International, Inc. Stockholders’ Equity:</w:t>
            </w: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stock, $0.01 par value per share; 10,000,000 shares authorized, none issued and outstanding</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5"/>
        </w:trPr>
        <w:tc>
          <w:tcPr>
            <w:tcW w:w="5120" w:type="dxa"/>
            <w:vAlign w:val="bottom"/>
          </w:tcPr>
          <w:p>
            <w:pPr>
              <w:ind w:left="140"/>
              <w:spacing w:after="0" w:line="85" w:lineRule="exact"/>
              <w:rPr>
                <w:sz w:val="20"/>
                <w:szCs w:val="20"/>
                <w:color w:val="auto"/>
              </w:rPr>
            </w:pPr>
            <w:r>
              <w:rPr>
                <w:rFonts w:ascii="Times New Roman" w:cs="Times New Roman" w:eastAsia="Times New Roman" w:hAnsi="Times New Roman"/>
                <w:sz w:val="8"/>
                <w:szCs w:val="8"/>
                <w:color w:val="auto"/>
              </w:rPr>
              <w:t>Common stock, $0.01 par value per share; 50,000,000 shares authorized; 17,584,057 and 17,476,542 shares issued, respectively,</w:t>
            </w:r>
          </w:p>
        </w:tc>
        <w:tc>
          <w:tcPr>
            <w:tcW w:w="2180" w:type="dxa"/>
            <w:vAlign w:val="bottom"/>
            <w:gridSpan w:val="2"/>
          </w:tcPr>
          <w:p>
            <w:pPr>
              <w:jc w:val="right"/>
              <w:ind w:right="796"/>
              <w:spacing w:after="0" w:line="85" w:lineRule="exact"/>
              <w:rPr>
                <w:sz w:val="20"/>
                <w:szCs w:val="20"/>
                <w:color w:val="auto"/>
              </w:rPr>
            </w:pPr>
            <w:r>
              <w:rPr>
                <w:rFonts w:ascii="Times New Roman" w:cs="Times New Roman" w:eastAsia="Times New Roman" w:hAnsi="Times New Roman"/>
                <w:sz w:val="8"/>
                <w:szCs w:val="8"/>
                <w:color w:val="auto"/>
              </w:rPr>
              <w:t>15,763,341 and 15,712,941 shares</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120" w:type="dxa"/>
            <w:vAlign w:val="bottom"/>
          </w:tcPr>
          <w:p>
            <w:pPr>
              <w:ind w:left="140"/>
              <w:spacing w:after="0" w:line="114" w:lineRule="exact"/>
              <w:rPr>
                <w:sz w:val="20"/>
                <w:szCs w:val="20"/>
                <w:color w:val="auto"/>
              </w:rPr>
            </w:pPr>
            <w:r>
              <w:rPr>
                <w:rFonts w:ascii="Times New Roman" w:cs="Times New Roman" w:eastAsia="Times New Roman" w:hAnsi="Times New Roman"/>
                <w:sz w:val="10"/>
                <w:szCs w:val="10"/>
                <w:color w:val="auto"/>
              </w:rPr>
              <w:t>outstanding, respectively</w:t>
            </w: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Treasury stock, at cost; 1,820,716 and 1,763,601 shares, respectively</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(73,825)</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(71,714)</w:t>
            </w:r>
          </w:p>
        </w:tc>
        <w:tc>
          <w:tcPr>
            <w:tcW w:w="0" w:type="dxa"/>
            <w:vAlign w:val="bottom"/>
          </w:tcPr>
          <w:p>
            <w:pPr>
              <w:spacing w:after="0"/>
              <w:rPr>
                <w:sz w:val="1"/>
                <w:szCs w:val="1"/>
                <w:color w:val="auto"/>
              </w:rPr>
            </w:pPr>
          </w:p>
        </w:tc>
      </w:tr>
      <w:tr>
        <w:trPr>
          <w:trHeight w:val="99"/>
        </w:trPr>
        <w:tc>
          <w:tcPr>
            <w:tcW w:w="51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Additional paid-in capital</w:t>
            </w: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198,449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192,132</w:t>
            </w:r>
          </w:p>
        </w:tc>
        <w:tc>
          <w:tcPr>
            <w:tcW w:w="0" w:type="dxa"/>
            <w:vAlign w:val="bottom"/>
          </w:tcPr>
          <w:p>
            <w:pPr>
              <w:spacing w:after="0"/>
              <w:rPr>
                <w:sz w:val="1"/>
                <w:szCs w:val="1"/>
                <w:color w:val="auto"/>
              </w:rPr>
            </w:pPr>
          </w:p>
        </w:tc>
      </w:tr>
      <w:tr>
        <w:trPr>
          <w:trHeight w:val="99"/>
        </w:trPr>
        <w:tc>
          <w:tcPr>
            <w:tcW w:w="51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449,806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475,887</w:t>
            </w:r>
          </w:p>
        </w:tc>
        <w:tc>
          <w:tcPr>
            <w:tcW w:w="0" w:type="dxa"/>
            <w:vAlign w:val="bottom"/>
          </w:tcPr>
          <w:p>
            <w:pPr>
              <w:spacing w:after="0"/>
              <w:rPr>
                <w:sz w:val="1"/>
                <w:szCs w:val="1"/>
                <w:color w:val="auto"/>
              </w:rPr>
            </w:pPr>
          </w:p>
        </w:tc>
      </w:tr>
      <w:tr>
        <w:trPr>
          <w:trHeight w:val="99"/>
        </w:trPr>
        <w:tc>
          <w:tcPr>
            <w:tcW w:w="51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20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6,210</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4,773</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ATN International, Inc. stockholders’ equity</w:t>
            </w:r>
          </w:p>
        </w:tc>
        <w:tc>
          <w:tcPr>
            <w:tcW w:w="208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580,813</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601,250</w:t>
            </w:r>
          </w:p>
        </w:tc>
        <w:tc>
          <w:tcPr>
            <w:tcW w:w="0" w:type="dxa"/>
            <w:vAlign w:val="bottom"/>
          </w:tcPr>
          <w:p>
            <w:pPr>
              <w:spacing w:after="0"/>
              <w:rPr>
                <w:sz w:val="1"/>
                <w:szCs w:val="1"/>
                <w:color w:val="auto"/>
              </w:rPr>
            </w:pPr>
          </w:p>
        </w:tc>
      </w:tr>
      <w:tr>
        <w:trPr>
          <w:trHeight w:val="88"/>
        </w:trPr>
        <w:tc>
          <w:tcPr>
            <w:tcW w:w="512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Noncontrolling interests</w:t>
            </w:r>
          </w:p>
        </w:tc>
        <w:tc>
          <w:tcPr>
            <w:tcW w:w="20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96,016</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101,003</w:t>
            </w:r>
          </w:p>
        </w:tc>
        <w:tc>
          <w:tcPr>
            <w:tcW w:w="0" w:type="dxa"/>
            <w:vAlign w:val="bottom"/>
          </w:tcPr>
          <w:p>
            <w:pPr>
              <w:spacing w:after="0"/>
              <w:rPr>
                <w:sz w:val="1"/>
                <w:szCs w:val="1"/>
                <w:color w:val="auto"/>
              </w:rPr>
            </w:pPr>
          </w:p>
        </w:tc>
      </w:tr>
      <w:tr>
        <w:trPr>
          <w:trHeight w:val="88"/>
        </w:trPr>
        <w:tc>
          <w:tcPr>
            <w:tcW w:w="51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Total equity</w:t>
            </w:r>
          </w:p>
        </w:tc>
        <w:tc>
          <w:tcPr>
            <w:tcW w:w="208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676,829</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702,253</w:t>
            </w:r>
          </w:p>
        </w:tc>
        <w:tc>
          <w:tcPr>
            <w:tcW w:w="0" w:type="dxa"/>
            <w:vAlign w:val="bottom"/>
          </w:tcPr>
          <w:p>
            <w:pPr>
              <w:spacing w:after="0"/>
              <w:rPr>
                <w:sz w:val="1"/>
                <w:szCs w:val="1"/>
                <w:color w:val="auto"/>
              </w:rPr>
            </w:pPr>
          </w:p>
        </w:tc>
      </w:tr>
      <w:tr>
        <w:trPr>
          <w:trHeight w:val="95"/>
        </w:trPr>
        <w:tc>
          <w:tcPr>
            <w:tcW w:w="51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Total liabilities, redeemable noncontrolling interests and equity</w:t>
            </w:r>
          </w:p>
        </w:tc>
        <w:tc>
          <w:tcPr>
            <w:tcW w:w="208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1,707,869</w:t>
            </w: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1,608,604</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Years Ended December 31, 2022, 2021 and 2020</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6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79"/>
        </w:trPr>
        <w:tc>
          <w:tcPr>
            <w:tcW w:w="67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right"/>
              <w:ind w:right="192"/>
              <w:spacing w:after="0" w:line="79" w:lineRule="exact"/>
              <w:rPr>
                <w:sz w:val="20"/>
                <w:szCs w:val="20"/>
                <w:color w:val="auto"/>
              </w:rPr>
            </w:pPr>
            <w:r>
              <w:rPr>
                <w:rFonts w:ascii="Times New Roman" w:cs="Times New Roman" w:eastAsia="Times New Roman" w:hAnsi="Times New Roman"/>
                <w:sz w:val="8"/>
                <w:szCs w:val="8"/>
                <w:b w:val="1"/>
                <w:bCs w:val="1"/>
                <w:color w:val="auto"/>
              </w:rPr>
              <w:t>2022</w:t>
            </w:r>
          </w:p>
        </w:tc>
        <w:tc>
          <w:tcPr>
            <w:tcW w:w="1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jc w:val="right"/>
              <w:ind w:right="193"/>
              <w:spacing w:after="0" w:line="79" w:lineRule="exact"/>
              <w:rPr>
                <w:sz w:val="20"/>
                <w:szCs w:val="20"/>
                <w:color w:val="auto"/>
              </w:rPr>
            </w:pPr>
            <w:r>
              <w:rPr>
                <w:rFonts w:ascii="Times New Roman" w:cs="Times New Roman" w:eastAsia="Times New Roman" w:hAnsi="Times New Roman"/>
                <w:sz w:val="8"/>
                <w:szCs w:val="8"/>
                <w:b w:val="1"/>
                <w:bCs w:val="1"/>
                <w:color w:val="auto"/>
              </w:rPr>
              <w:t>2021</w:t>
            </w: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right"/>
              <w:ind w:right="192"/>
              <w:spacing w:after="0" w:line="79" w:lineRule="exact"/>
              <w:rPr>
                <w:sz w:val="20"/>
                <w:szCs w:val="20"/>
                <w:color w:val="auto"/>
              </w:rPr>
            </w:pPr>
            <w:r>
              <w:rPr>
                <w:rFonts w:ascii="Times New Roman" w:cs="Times New Roman" w:eastAsia="Times New Roman" w:hAnsi="Times New Roman"/>
                <w:sz w:val="8"/>
                <w:szCs w:val="8"/>
                <w:b w:val="1"/>
                <w:bCs w:val="1"/>
                <w:color w:val="auto"/>
              </w:rPr>
              <w:t>2020</w:t>
            </w:r>
          </w:p>
        </w:tc>
        <w:tc>
          <w:tcPr>
            <w:tcW w:w="20" w:type="dxa"/>
            <w:vAlign w:val="bottom"/>
          </w:tcPr>
          <w:p>
            <w:pPr>
              <w:spacing w:after="0"/>
              <w:rPr>
                <w:sz w:val="6"/>
                <w:szCs w:val="6"/>
                <w:color w:val="auto"/>
              </w:rPr>
            </w:pPr>
          </w:p>
        </w:tc>
      </w:tr>
      <w:tr>
        <w:trPr>
          <w:trHeight w:val="115"/>
        </w:trPr>
        <w:tc>
          <w:tcPr>
            <w:tcW w:w="67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REVENUE:</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Communication services</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692,221</w:t>
            </w:r>
          </w:p>
        </w:tc>
        <w:tc>
          <w:tcPr>
            <w:tcW w:w="12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549,620</w:t>
            </w:r>
          </w:p>
        </w:tc>
        <w:tc>
          <w:tcPr>
            <w:tcW w:w="120" w:type="dxa"/>
            <w:vAlign w:val="bottom"/>
          </w:tcPr>
          <w:p>
            <w:pPr>
              <w:spacing w:after="0"/>
              <w:rPr>
                <w:sz w:val="8"/>
                <w:szCs w:val="8"/>
                <w:color w:val="auto"/>
              </w:rPr>
            </w:pPr>
          </w:p>
        </w:tc>
        <w:tc>
          <w:tcPr>
            <w:tcW w:w="160" w:type="dxa"/>
            <w:vAlign w:val="bottom"/>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433,509</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Construction</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15,762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35,889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10,913</w:t>
            </w:r>
          </w:p>
        </w:tc>
        <w:tc>
          <w:tcPr>
            <w:tcW w:w="20" w:type="dxa"/>
            <w:vAlign w:val="bottom"/>
          </w:tcPr>
          <w:p>
            <w:pPr>
              <w:spacing w:after="0"/>
              <w:rPr>
                <w:sz w:val="8"/>
                <w:szCs w:val="8"/>
                <w:color w:val="auto"/>
              </w:rPr>
            </w:pPr>
          </w:p>
        </w:tc>
      </w:tr>
      <w:tr>
        <w:trPr>
          <w:trHeight w:val="99"/>
        </w:trPr>
        <w:tc>
          <w:tcPr>
            <w:tcW w:w="67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17,762</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17,198</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11,022</w:t>
            </w:r>
          </w:p>
        </w:tc>
        <w:tc>
          <w:tcPr>
            <w:tcW w:w="20" w:type="dxa"/>
            <w:vAlign w:val="bottom"/>
          </w:tcPr>
          <w:p>
            <w:pPr>
              <w:spacing w:after="0"/>
              <w:rPr>
                <w:sz w:val="8"/>
                <w:szCs w:val="8"/>
                <w:color w:val="auto"/>
              </w:rPr>
            </w:pPr>
          </w:p>
        </w:tc>
      </w:tr>
      <w:tr>
        <w:trPr>
          <w:trHeight w:val="88"/>
        </w:trPr>
        <w:tc>
          <w:tcPr>
            <w:tcW w:w="678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Total revenue</w:t>
            </w:r>
          </w:p>
        </w:tc>
        <w:tc>
          <w:tcPr>
            <w:tcW w:w="14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725,745</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602,707</w:t>
            </w: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455,444</w:t>
            </w:r>
          </w:p>
        </w:tc>
        <w:tc>
          <w:tcPr>
            <w:tcW w:w="20" w:type="dxa"/>
            <w:vAlign w:val="bottom"/>
          </w:tcPr>
          <w:p>
            <w:pPr>
              <w:spacing w:after="0"/>
              <w:rPr>
                <w:sz w:val="7"/>
                <w:szCs w:val="7"/>
                <w:color w:val="auto"/>
              </w:rPr>
            </w:pPr>
          </w:p>
        </w:tc>
      </w:tr>
      <w:tr>
        <w:trPr>
          <w:trHeight w:val="88"/>
        </w:trPr>
        <w:tc>
          <w:tcPr>
            <w:tcW w:w="67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OPERATING EXPENSES </w:t>
            </w:r>
            <w:r>
              <w:rPr>
                <w:rFonts w:ascii="Times New Roman" w:cs="Times New Roman" w:eastAsia="Times New Roman" w:hAnsi="Times New Roman"/>
                <w:sz w:val="10"/>
                <w:szCs w:val="10"/>
                <w:i w:val="1"/>
                <w:iCs w:val="1"/>
                <w:color w:val="auto"/>
              </w:rPr>
              <w:t>(excluding depreciation and amortization unless otherwise indicated)</w:t>
            </w:r>
            <w:r>
              <w:rPr>
                <w:rFonts w:ascii="Times New Roman" w:cs="Times New Roman" w:eastAsia="Times New Roman" w:hAnsi="Times New Roman"/>
                <w:sz w:val="10"/>
                <w:szCs w:val="10"/>
                <w:b w:val="1"/>
                <w:bCs w:val="1"/>
                <w:color w:val="auto"/>
              </w:rPr>
              <w:t>:</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communication services and other</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312,895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249,322</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185,113</w:t>
            </w:r>
          </w:p>
        </w:tc>
        <w:tc>
          <w:tcPr>
            <w:tcW w:w="20" w:type="dxa"/>
            <w:vAlign w:val="bottom"/>
          </w:tcPr>
          <w:p>
            <w:pPr>
              <w:spacing w:after="0"/>
              <w:rPr>
                <w:sz w:val="8"/>
                <w:szCs w:val="8"/>
                <w:color w:val="auto"/>
              </w:rPr>
            </w:pP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construction revenue</w:t>
            </w: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15,763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36,055</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10,616</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Selling, general and administrative</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231,805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188,283</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139,011</w:t>
            </w:r>
          </w:p>
        </w:tc>
        <w:tc>
          <w:tcPr>
            <w:tcW w:w="20" w:type="dxa"/>
            <w:vAlign w:val="bottom"/>
          </w:tcPr>
          <w:p>
            <w:pPr>
              <w:spacing w:after="0"/>
              <w:rPr>
                <w:sz w:val="8"/>
                <w:szCs w:val="8"/>
                <w:color w:val="auto"/>
              </w:rPr>
            </w:pP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Transaction-related charges</w:t>
            </w: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4,798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10,221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1,641</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135,137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102,731</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86,504</w:t>
            </w:r>
          </w:p>
        </w:tc>
        <w:tc>
          <w:tcPr>
            <w:tcW w:w="20" w:type="dxa"/>
            <w:vAlign w:val="bottom"/>
          </w:tcPr>
          <w:p>
            <w:pPr>
              <w:spacing w:after="0"/>
              <w:rPr>
                <w:sz w:val="8"/>
                <w:szCs w:val="8"/>
                <w:color w:val="auto"/>
              </w:rPr>
            </w:pP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intangibles from acquisitions</w:t>
            </w: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13,016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7,775</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1,807</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Goodwill impairment</w:t>
            </w:r>
          </w:p>
        </w:tc>
        <w:tc>
          <w:tcPr>
            <w:tcW w:w="1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20,587</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67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Loss on disposition of long-lived assets</w:t>
            </w: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4,389</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2,759</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21,572</w:t>
            </w:r>
          </w:p>
        </w:tc>
        <w:tc>
          <w:tcPr>
            <w:tcW w:w="20" w:type="dxa"/>
            <w:vAlign w:val="bottom"/>
          </w:tcPr>
          <w:p>
            <w:pPr>
              <w:spacing w:after="0"/>
              <w:rPr>
                <w:sz w:val="8"/>
                <w:szCs w:val="8"/>
                <w:color w:val="auto"/>
              </w:rPr>
            </w:pPr>
          </w:p>
        </w:tc>
      </w:tr>
      <w:tr>
        <w:trPr>
          <w:trHeight w:val="88"/>
        </w:trPr>
        <w:tc>
          <w:tcPr>
            <w:tcW w:w="678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717,803</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617,733</w:t>
            </w: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446,264</w:t>
            </w:r>
          </w:p>
        </w:tc>
        <w:tc>
          <w:tcPr>
            <w:tcW w:w="20" w:type="dxa"/>
            <w:vAlign w:val="bottom"/>
          </w:tcPr>
          <w:p>
            <w:pPr>
              <w:spacing w:after="0"/>
              <w:rPr>
                <w:sz w:val="7"/>
                <w:szCs w:val="7"/>
                <w:color w:val="auto"/>
              </w:rPr>
            </w:pPr>
          </w:p>
        </w:tc>
      </w:tr>
      <w:tr>
        <w:trPr>
          <w:trHeight w:val="88"/>
        </w:trPr>
        <w:tc>
          <w:tcPr>
            <w:tcW w:w="6780" w:type="dxa"/>
            <w:vAlign w:val="bottom"/>
            <w:tcBorders>
              <w:bottom w:val="single" w:sz="8" w:color="CCEEFF"/>
            </w:tcBorders>
          </w:tcPr>
          <w:p>
            <w:pPr>
              <w:ind w:left="220"/>
              <w:spacing w:after="0" w:line="88" w:lineRule="exact"/>
              <w:rPr>
                <w:sz w:val="20"/>
                <w:szCs w:val="20"/>
                <w:color w:val="auto"/>
              </w:rPr>
            </w:pPr>
            <w:r>
              <w:rPr>
                <w:rFonts w:ascii="Times New Roman" w:cs="Times New Roman" w:eastAsia="Times New Roman" w:hAnsi="Times New Roman"/>
                <w:sz w:val="10"/>
                <w:szCs w:val="10"/>
                <w:color w:val="auto"/>
              </w:rPr>
              <w:t>Income (loss) from operations</w:t>
            </w: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7,942</w:t>
            </w: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(15,026)</w:t>
            </w: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9,180</w:t>
            </w:r>
          </w:p>
        </w:tc>
        <w:tc>
          <w:tcPr>
            <w:tcW w:w="20" w:type="dxa"/>
            <w:vAlign w:val="bottom"/>
          </w:tcPr>
          <w:p>
            <w:pPr>
              <w:spacing w:after="0"/>
              <w:rPr>
                <w:sz w:val="7"/>
                <w:szCs w:val="7"/>
                <w:color w:val="auto"/>
              </w:rPr>
            </w:pPr>
          </w:p>
        </w:tc>
      </w:tr>
      <w:tr>
        <w:trPr>
          <w:trHeight w:val="88"/>
        </w:trPr>
        <w:tc>
          <w:tcPr>
            <w:tcW w:w="67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income</w:t>
            </w: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421</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expense</w:t>
            </w:r>
          </w:p>
        </w:tc>
        <w:tc>
          <w:tcPr>
            <w:tcW w:w="1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(20,417)</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(9,614)</w:t>
            </w: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(5,347)</w:t>
            </w:r>
          </w:p>
        </w:tc>
      </w:tr>
      <w:tr>
        <w:trPr>
          <w:trHeight w:val="99"/>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 income</w:t>
            </w:r>
          </w:p>
        </w:tc>
        <w:tc>
          <w:tcPr>
            <w:tcW w:w="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4,245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1,821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(4,161)</w:t>
            </w:r>
          </w:p>
        </w:tc>
      </w:tr>
      <w:tr>
        <w:trPr>
          <w:trHeight w:val="88"/>
        </w:trPr>
        <w:tc>
          <w:tcPr>
            <w:tcW w:w="6780" w:type="dxa"/>
            <w:vAlign w:val="bottom"/>
            <w:tcBorders>
              <w:top w:val="single" w:sz="8" w:color="CCEEFF"/>
            </w:tcBorders>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Other expense</w:t>
            </w: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(15,998)</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(7,661)</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(9,087)</w:t>
            </w:r>
          </w:p>
        </w:tc>
        <w:tc>
          <w:tcPr>
            <w:tcW w:w="20" w:type="dxa"/>
            <w:vAlign w:val="bottom"/>
          </w:tcPr>
          <w:p>
            <w:pPr>
              <w:spacing w:after="0"/>
              <w:rPr>
                <w:sz w:val="7"/>
                <w:szCs w:val="7"/>
                <w:color w:val="auto"/>
              </w:rPr>
            </w:pPr>
          </w:p>
        </w:tc>
      </w:tr>
      <w:tr>
        <w:trPr>
          <w:trHeight w:val="88"/>
        </w:trPr>
        <w:tc>
          <w:tcPr>
            <w:tcW w:w="67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INCOME (LOSS) BEFORE INCOME TAXES</w:t>
            </w:r>
          </w:p>
        </w:tc>
        <w:tc>
          <w:tcPr>
            <w:tcW w:w="14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(8,056)</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(22,687)</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93</w:t>
            </w:r>
          </w:p>
        </w:tc>
        <w:tc>
          <w:tcPr>
            <w:tcW w:w="20" w:type="dxa"/>
            <w:vAlign w:val="bottom"/>
          </w:tcPr>
          <w:p>
            <w:pPr>
              <w:spacing w:after="0"/>
              <w:rPr>
                <w:sz w:val="7"/>
                <w:szCs w:val="7"/>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Income tax (benefit) expense</w:t>
            </w:r>
          </w:p>
        </w:tc>
        <w:tc>
          <w:tcPr>
            <w:tcW w:w="1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(473)</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(1,878)</w:t>
            </w: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801</w:t>
            </w:r>
          </w:p>
        </w:tc>
        <w:tc>
          <w:tcPr>
            <w:tcW w:w="20" w:type="dxa"/>
            <w:vAlign w:val="bottom"/>
          </w:tcPr>
          <w:p>
            <w:pPr>
              <w:spacing w:after="0"/>
              <w:rPr>
                <w:sz w:val="8"/>
                <w:szCs w:val="8"/>
                <w:color w:val="auto"/>
              </w:rPr>
            </w:pPr>
          </w:p>
        </w:tc>
      </w:tr>
      <w:tr>
        <w:trPr>
          <w:trHeight w:val="88"/>
        </w:trPr>
        <w:tc>
          <w:tcPr>
            <w:tcW w:w="67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(7,583)</w:t>
            </w: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(20,809)</w:t>
            </w: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(708)</w:t>
            </w:r>
          </w:p>
        </w:tc>
        <w:tc>
          <w:tcPr>
            <w:tcW w:w="20" w:type="dxa"/>
            <w:vAlign w:val="bottom"/>
          </w:tcPr>
          <w:p>
            <w:pPr>
              <w:spacing w:after="0"/>
              <w:rPr>
                <w:sz w:val="7"/>
                <w:szCs w:val="7"/>
                <w:color w:val="auto"/>
              </w:rPr>
            </w:pPr>
          </w:p>
        </w:tc>
      </w:tr>
      <w:tr>
        <w:trPr>
          <w:trHeight w:val="99"/>
        </w:trPr>
        <w:tc>
          <w:tcPr>
            <w:tcW w:w="67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Net (income) loss attributable to noncontrolling interests, net of tax expense (benefit) of $(0.8) million, $(0.4) million, and $1.1 million respectively</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1,938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(1,299)</w:t>
            </w: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(13,414)</w:t>
            </w:r>
          </w:p>
        </w:tc>
      </w:tr>
      <w:tr>
        <w:trPr>
          <w:trHeight w:val="95"/>
        </w:trPr>
        <w:tc>
          <w:tcPr>
            <w:tcW w:w="67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 ATTRIBUTABLE TO ATN INTERNATIONAL, INC. STOCKHOLDERS</w:t>
            </w: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(5,645)</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(22,108)</w:t>
            </w:r>
          </w:p>
        </w:tc>
        <w:tc>
          <w:tcPr>
            <w:tcW w:w="12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(14,122)</w:t>
            </w:r>
          </w:p>
        </w:tc>
        <w:tc>
          <w:tcPr>
            <w:tcW w:w="20" w:type="dxa"/>
            <w:vAlign w:val="bottom"/>
          </w:tcPr>
          <w:p>
            <w:pPr>
              <w:spacing w:after="0"/>
              <w:rPr>
                <w:sz w:val="8"/>
                <w:szCs w:val="8"/>
                <w:color w:val="auto"/>
              </w:rPr>
            </w:pPr>
          </w:p>
        </w:tc>
      </w:tr>
      <w:tr>
        <w:trPr>
          <w:trHeight w:val="99"/>
        </w:trPr>
        <w:tc>
          <w:tcPr>
            <w:tcW w:w="67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NET LOSS PER WEIGHTED AVERAGE SHARE ATTRIBUTABLE TO ATN INTERNATIONAL, INC. STOCKHOLDERS:</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67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(0.67)</w:t>
            </w:r>
          </w:p>
        </w:tc>
        <w:tc>
          <w:tcPr>
            <w:tcW w:w="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(1.52)</w:t>
            </w:r>
          </w:p>
        </w:tc>
        <w:tc>
          <w:tcPr>
            <w:tcW w:w="160" w:type="dxa"/>
            <w:vAlign w:val="bottom"/>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(0.89)</w:t>
            </w:r>
          </w:p>
        </w:tc>
        <w:tc>
          <w:tcPr>
            <w:tcW w:w="20" w:type="dxa"/>
            <w:vAlign w:val="bottom"/>
          </w:tcPr>
          <w:p>
            <w:pPr>
              <w:spacing w:after="0"/>
              <w:rPr>
                <w:sz w:val="9"/>
                <w:szCs w:val="9"/>
                <w:color w:val="auto"/>
              </w:rPr>
            </w:pPr>
          </w:p>
        </w:tc>
      </w:tr>
      <w:tr>
        <w:trPr>
          <w:trHeight w:val="119"/>
        </w:trPr>
        <w:tc>
          <w:tcPr>
            <w:tcW w:w="6780" w:type="dxa"/>
            <w:vAlign w:val="bottom"/>
            <w:tcBorders>
              <w:top w:val="single" w:sz="8" w:color="CCEEFF"/>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Diluted</w:t>
            </w: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(0.89)</w:t>
            </w:r>
          </w:p>
        </w:tc>
        <w:tc>
          <w:tcPr>
            <w:tcW w:w="20" w:type="dxa"/>
            <w:vAlign w:val="bottom"/>
          </w:tcPr>
          <w:p>
            <w:pPr>
              <w:spacing w:after="0"/>
              <w:rPr>
                <w:sz w:val="10"/>
                <w:szCs w:val="10"/>
                <w:color w:val="auto"/>
              </w:rPr>
            </w:pPr>
          </w:p>
        </w:tc>
      </w:tr>
      <w:tr>
        <w:trPr>
          <w:trHeight w:val="86"/>
        </w:trPr>
        <w:tc>
          <w:tcPr>
            <w:tcW w:w="6780" w:type="dxa"/>
            <w:vAlign w:val="bottom"/>
          </w:tcPr>
          <w:p>
            <w:pPr>
              <w:spacing w:after="0" w:line="86" w:lineRule="exact"/>
              <w:rPr>
                <w:sz w:val="20"/>
                <w:szCs w:val="20"/>
                <w:color w:val="auto"/>
              </w:rPr>
            </w:pPr>
            <w:r>
              <w:rPr>
                <w:rFonts w:ascii="Times New Roman" w:cs="Times New Roman" w:eastAsia="Times New Roman" w:hAnsi="Times New Roman"/>
                <w:sz w:val="8"/>
                <w:szCs w:val="8"/>
                <w:b w:val="1"/>
                <w:bCs w:val="1"/>
                <w:color w:val="auto"/>
              </w:rPr>
              <w:t>WEIGHTED AVERAGE COMMON SHARES OUTSTANDING:</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9"/>
        </w:trPr>
        <w:tc>
          <w:tcPr>
            <w:tcW w:w="67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15,751</w:t>
            </w: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15,867</w:t>
            </w: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15,923</w:t>
            </w:r>
          </w:p>
        </w:tc>
        <w:tc>
          <w:tcPr>
            <w:tcW w:w="20" w:type="dxa"/>
            <w:vAlign w:val="bottom"/>
          </w:tcPr>
          <w:p>
            <w:pPr>
              <w:spacing w:after="0"/>
              <w:rPr>
                <w:sz w:val="10"/>
                <w:szCs w:val="10"/>
                <w:color w:val="auto"/>
              </w:rPr>
            </w:pPr>
          </w:p>
        </w:tc>
      </w:tr>
      <w:tr>
        <w:trPr>
          <w:trHeight w:val="93"/>
        </w:trPr>
        <w:tc>
          <w:tcPr>
            <w:tcW w:w="6780" w:type="dxa"/>
            <w:vAlign w:val="bottom"/>
            <w:tcBorders>
              <w:bottom w:val="single" w:sz="8" w:color="CCEEFF"/>
            </w:tcBorders>
          </w:tcPr>
          <w:p>
            <w:pPr>
              <w:ind w:left="140"/>
              <w:spacing w:after="0" w:line="86" w:lineRule="exact"/>
              <w:rPr>
                <w:sz w:val="20"/>
                <w:szCs w:val="20"/>
                <w:color w:val="auto"/>
              </w:rPr>
            </w:pPr>
            <w:r>
              <w:rPr>
                <w:rFonts w:ascii="Times New Roman" w:cs="Times New Roman" w:eastAsia="Times New Roman" w:hAnsi="Times New Roman"/>
                <w:sz w:val="8"/>
                <w:szCs w:val="8"/>
                <w:color w:val="auto"/>
              </w:rPr>
              <w:t>Diluted</w:t>
            </w: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15,751</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15,867</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15,923</w:t>
            </w:r>
          </w:p>
        </w:tc>
        <w:tc>
          <w:tcPr>
            <w:tcW w:w="20" w:type="dxa"/>
            <w:vAlign w:val="bottom"/>
          </w:tcPr>
          <w:p>
            <w:pPr>
              <w:spacing w:after="0"/>
              <w:rPr>
                <w:sz w:val="8"/>
                <w:szCs w:val="8"/>
                <w:color w:val="auto"/>
              </w:rPr>
            </w:pPr>
          </w:p>
        </w:tc>
      </w:tr>
      <w:tr>
        <w:trPr>
          <w:trHeight w:val="106"/>
        </w:trPr>
        <w:tc>
          <w:tcPr>
            <w:tcW w:w="6780" w:type="dxa"/>
            <w:vAlign w:val="bottom"/>
            <w:tcBorders>
              <w:bottom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DIVIDENDS PER SHARE APPLICABLE TO COMMON STOCK</w:t>
            </w: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0.72</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0.68</w:t>
            </w:r>
          </w:p>
        </w:tc>
        <w:tc>
          <w:tcPr>
            <w:tcW w:w="1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0.68</w:t>
            </w:r>
          </w:p>
        </w:tc>
        <w:tc>
          <w:tcPr>
            <w:tcW w:w="20" w:type="dxa"/>
            <w:vAlign w:val="bottom"/>
          </w:tcPr>
          <w:p>
            <w:pPr>
              <w:spacing w:after="0"/>
              <w:rPr>
                <w:sz w:val="9"/>
                <w:szCs w:val="9"/>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Years Ended December 31, 2022, 2021, and 2020</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90"/>
        </w:trPr>
        <w:tc>
          <w:tcPr>
            <w:tcW w:w="65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7"/>
                <w:szCs w:val="7"/>
                <w:b w:val="1"/>
                <w:bCs w:val="1"/>
                <w:color w:val="auto"/>
              </w:rPr>
              <w:t>Year Ended December 31,</w:t>
            </w: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88"/>
        </w:trPr>
        <w:tc>
          <w:tcPr>
            <w:tcW w:w="65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r>
      <w:tr>
        <w:trPr>
          <w:trHeight w:val="133"/>
        </w:trPr>
        <w:tc>
          <w:tcPr>
            <w:tcW w:w="6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(20,809)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(708)</w:t>
            </w:r>
          </w:p>
        </w:tc>
      </w:tr>
      <w:tr>
        <w:trPr>
          <w:trHeight w:val="144"/>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 net of tax expense of $(0.2) million, $0.4 million, and $0 respectively</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(1,385)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(689)</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33"/>
        </w:trPr>
        <w:tc>
          <w:tcPr>
            <w:tcW w:w="65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Projected pension and postretirement benefit obligations, net of tax expense of $(0.2) million, $(0.1) million and $0.1 million,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5"/>
        </w:trPr>
        <w:tc>
          <w:tcPr>
            <w:tcW w:w="6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w:t>
            </w:r>
          </w:p>
        </w:tc>
      </w:tr>
      <w:tr>
        <w:trPr>
          <w:trHeight w:val="14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Reclassification of loss on pension settlement, net of $(0.8) million of tax</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Reclassification of foreign currency (gains) losses on assets sold and held for sale, net of tax expense of $0.2 million, $0 and $0</w:t>
            </w:r>
          </w:p>
        </w:tc>
        <w:tc>
          <w:tcPr>
            <w:tcW w:w="1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6,036</w:t>
            </w:r>
          </w:p>
        </w:tc>
      </w:tr>
      <w:tr>
        <w:trPr>
          <w:trHeight w:val="14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Unrealized gain (loss) on derivatives</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33"/>
        </w:trPr>
        <w:tc>
          <w:tcPr>
            <w:tcW w:w="6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net of tax</w:t>
            </w: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1,437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4,495</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3,560</w:t>
            </w:r>
          </w:p>
        </w:tc>
      </w:tr>
      <w:tr>
        <w:trPr>
          <w:trHeight w:val="133"/>
        </w:trPr>
        <w:tc>
          <w:tcPr>
            <w:tcW w:w="6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(loss)</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(16,314)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2,852</w:t>
            </w:r>
          </w:p>
        </w:tc>
      </w:tr>
      <w:tr>
        <w:trPr>
          <w:trHeight w:val="144"/>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Less: Comprehensive income (loss) attributable to noncontrolling interests</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(1,299)</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(13,414)</w:t>
            </w:r>
          </w:p>
        </w:tc>
      </w:tr>
      <w:tr>
        <w:trPr>
          <w:trHeight w:val="140"/>
        </w:trPr>
        <w:tc>
          <w:tcPr>
            <w:tcW w:w="65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 attributable to ATN International, Inc.</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(4,208)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(17,613)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(10,562)</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CONSOLIDATED STATEMENTS OF EQUITY</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 the Years Ended December 31, 2022, 2021 and 2020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4"/>
          </w:tcPr>
          <w:p>
            <w:pPr>
              <w:jc w:val="right"/>
              <w:ind w:right="667"/>
              <w:spacing w:after="0"/>
              <w:rPr>
                <w:sz w:val="20"/>
                <w:szCs w:val="20"/>
                <w:color w:val="auto"/>
              </w:rPr>
            </w:pPr>
            <w:r>
              <w:rPr>
                <w:rFonts w:ascii="Times New Roman" w:cs="Times New Roman" w:eastAsia="Times New Roman" w:hAnsi="Times New Roman"/>
                <w:sz w:val="7"/>
                <w:szCs w:val="7"/>
                <w:b w:val="1"/>
                <w:bCs w:val="1"/>
                <w:color w:val="auto"/>
                <w:w w:val="94"/>
              </w:rPr>
              <w:t>Total Redeemable Noncontrolling Interests</w:t>
            </w: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7"/>
                <w:szCs w:val="7"/>
                <w:b w:val="1"/>
                <w:bCs w:val="1"/>
                <w:color w:val="auto"/>
              </w:rPr>
              <w:t>Total Equity</w:t>
            </w: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77"/>
        </w:trPr>
        <w:tc>
          <w:tcPr>
            <w:tcW w:w="2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240" w:type="dxa"/>
            <w:vAlign w:val="bottom"/>
          </w:tcPr>
          <w:p>
            <w:pPr>
              <w:spacing w:after="0"/>
              <w:rPr>
                <w:sz w:val="6"/>
                <w:szCs w:val="6"/>
                <w:color w:val="auto"/>
              </w:rPr>
            </w:pPr>
          </w:p>
        </w:tc>
        <w:tc>
          <w:tcPr>
            <w:tcW w:w="56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220" w:type="dxa"/>
            <w:vAlign w:val="bottom"/>
          </w:tcPr>
          <w:p>
            <w:pPr>
              <w:spacing w:after="0"/>
              <w:rPr>
                <w:sz w:val="6"/>
                <w:szCs w:val="6"/>
                <w:color w:val="auto"/>
              </w:rPr>
            </w:pPr>
          </w:p>
        </w:tc>
        <w:tc>
          <w:tcPr>
            <w:tcW w:w="920" w:type="dxa"/>
            <w:vAlign w:val="bottom"/>
            <w:tcBorders>
              <w:right w:val="single" w:sz="8" w:color="auto"/>
            </w:tcBorders>
          </w:tcPr>
          <w:p>
            <w:pPr>
              <w:jc w:val="right"/>
              <w:ind w:right="7"/>
              <w:spacing w:after="0" w:line="78" w:lineRule="exact"/>
              <w:rPr>
                <w:sz w:val="20"/>
                <w:szCs w:val="20"/>
                <w:color w:val="auto"/>
              </w:rPr>
            </w:pPr>
            <w:r>
              <w:rPr>
                <w:rFonts w:ascii="Times New Roman" w:cs="Times New Roman" w:eastAsia="Times New Roman" w:hAnsi="Times New Roman"/>
                <w:sz w:val="7"/>
                <w:szCs w:val="7"/>
                <w:b w:val="1"/>
                <w:bCs w:val="1"/>
                <w:color w:val="auto"/>
              </w:rPr>
              <w:t>Total</w:t>
            </w: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jc w:val="right"/>
              <w:ind w:right="167"/>
              <w:spacing w:after="0" w:line="78" w:lineRule="exact"/>
              <w:rPr>
                <w:sz w:val="20"/>
                <w:szCs w:val="20"/>
                <w:color w:val="auto"/>
              </w:rPr>
            </w:pPr>
            <w:r>
              <w:rPr>
                <w:rFonts w:ascii="Times New Roman" w:cs="Times New Roman" w:eastAsia="Times New Roman" w:hAnsi="Times New Roman"/>
                <w:sz w:val="7"/>
                <w:szCs w:val="7"/>
                <w:b w:val="1"/>
                <w:bCs w:val="1"/>
                <w:color w:val="auto"/>
              </w:rPr>
              <w:t>Treasury</w:t>
            </w:r>
          </w:p>
        </w:tc>
        <w:tc>
          <w:tcPr>
            <w:tcW w:w="48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jc w:val="right"/>
              <w:ind w:right="127"/>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56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Other</w:t>
            </w:r>
          </w:p>
        </w:tc>
        <w:tc>
          <w:tcPr>
            <w:tcW w:w="160" w:type="dxa"/>
            <w:vAlign w:val="bottom"/>
          </w:tcPr>
          <w:p>
            <w:pPr>
              <w:spacing w:after="0"/>
              <w:rPr>
                <w:sz w:val="6"/>
                <w:szCs w:val="6"/>
                <w:color w:val="auto"/>
              </w:rPr>
            </w:pPr>
          </w:p>
        </w:tc>
        <w:tc>
          <w:tcPr>
            <w:tcW w:w="5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ATNI</w:t>
            </w:r>
          </w:p>
        </w:tc>
        <w:tc>
          <w:tcPr>
            <w:tcW w:w="140" w:type="dxa"/>
            <w:vAlign w:val="bottom"/>
          </w:tcPr>
          <w:p>
            <w:pPr>
              <w:spacing w:after="0"/>
              <w:rPr>
                <w:sz w:val="6"/>
                <w:szCs w:val="6"/>
                <w:color w:val="auto"/>
              </w:rPr>
            </w:pPr>
          </w:p>
        </w:tc>
        <w:tc>
          <w:tcPr>
            <w:tcW w:w="46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Non-</w:t>
            </w: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1"/>
        </w:trPr>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Preferred</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Redeemable</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b w:val="1"/>
                <w:bCs w:val="1"/>
                <w:color w:val="auto"/>
              </w:rPr>
              <w:t>Stock,</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Paid In</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Retained</w:t>
            </w:r>
          </w:p>
        </w:tc>
        <w:tc>
          <w:tcPr>
            <w:tcW w:w="140" w:type="dxa"/>
            <w:vAlign w:val="bottom"/>
          </w:tcPr>
          <w:p>
            <w:pPr>
              <w:spacing w:after="0"/>
              <w:rPr>
                <w:sz w:val="7"/>
                <w:szCs w:val="7"/>
                <w:color w:val="auto"/>
              </w:rPr>
            </w:pP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7"/>
                <w:szCs w:val="7"/>
                <w:b w:val="1"/>
                <w:bCs w:val="1"/>
                <w:color w:val="auto"/>
              </w:rPr>
              <w:t>Common</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Comprehensive</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Stockholders’</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Controlling</w:t>
            </w:r>
          </w:p>
        </w:tc>
        <w:tc>
          <w:tcPr>
            <w:tcW w:w="240" w:type="dxa"/>
            <w:vAlign w:val="bottom"/>
          </w:tcPr>
          <w:p>
            <w:pPr>
              <w:spacing w:after="0"/>
              <w:rPr>
                <w:sz w:val="7"/>
                <w:szCs w:val="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5"/>
        </w:trPr>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Units</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Units</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Noncontrolling Interests</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b w:val="1"/>
                <w:bCs w:val="1"/>
                <w:color w:val="auto"/>
              </w:rPr>
              <w:t>at cost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Capital</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Earnings</w:t>
            </w:r>
          </w:p>
        </w:tc>
        <w:tc>
          <w:tcPr>
            <w:tcW w:w="140" w:type="dxa"/>
            <w:vAlign w:val="bottom"/>
          </w:tcPr>
          <w:p>
            <w:pPr>
              <w:spacing w:after="0"/>
              <w:rPr>
                <w:sz w:val="7"/>
                <w:szCs w:val="7"/>
                <w:color w:val="auto"/>
              </w:rPr>
            </w:pPr>
          </w:p>
        </w:tc>
        <w:tc>
          <w:tcPr>
            <w:tcW w:w="660" w:type="dxa"/>
            <w:vAlign w:val="bottom"/>
          </w:tcPr>
          <w:p>
            <w:pPr>
              <w:jc w:val="center"/>
              <w:ind w:left="167"/>
              <w:spacing w:after="0"/>
              <w:rPr>
                <w:sz w:val="20"/>
                <w:szCs w:val="20"/>
                <w:color w:val="auto"/>
              </w:rPr>
            </w:pPr>
            <w:r>
              <w:rPr>
                <w:rFonts w:ascii="Times New Roman" w:cs="Times New Roman" w:eastAsia="Times New Roman" w:hAnsi="Times New Roman"/>
                <w:sz w:val="7"/>
                <w:szCs w:val="7"/>
                <w:b w:val="1"/>
                <w:bCs w:val="1"/>
                <w:color w:val="auto"/>
                <w:w w:val="87"/>
              </w:rPr>
              <w:t>Units</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Income/(Loss)</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240" w:type="dxa"/>
            <w:vAlign w:val="bottom"/>
          </w:tcPr>
          <w:p>
            <w:pPr>
              <w:spacing w:after="0"/>
              <w:rPr>
                <w:sz w:val="7"/>
                <w:szCs w:val="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Equity</w:t>
            </w:r>
          </w:p>
        </w:tc>
      </w:tr>
      <w:tr>
        <w:trPr>
          <w:trHeight w:val="70"/>
        </w:trPr>
        <w:tc>
          <w:tcPr>
            <w:tcW w:w="2180" w:type="dxa"/>
            <w:vAlign w:val="bottom"/>
            <w:tcBorders>
              <w:top w:val="single" w:sz="8" w:color="CCEEFF"/>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December 31, 2021</w:t>
            </w:r>
          </w:p>
        </w:tc>
        <w:tc>
          <w:tcPr>
            <w:tcW w:w="1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50,296</w:t>
            </w:r>
          </w:p>
        </w:tc>
        <w:tc>
          <w:tcPr>
            <w:tcW w:w="2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22,640</w:t>
            </w:r>
          </w:p>
        </w:tc>
        <w:tc>
          <w:tcPr>
            <w:tcW w:w="2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bottom w:val="single" w:sz="8" w:color="auto"/>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72,936</w:t>
            </w:r>
          </w:p>
        </w:tc>
        <w:tc>
          <w:tcPr>
            <w:tcW w:w="1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ind w:right="107"/>
              <w:spacing w:after="0" w:line="70" w:lineRule="exact"/>
              <w:rPr>
                <w:sz w:val="20"/>
                <w:szCs w:val="20"/>
                <w:color w:val="auto"/>
              </w:rPr>
            </w:pPr>
            <w:r>
              <w:rPr>
                <w:rFonts w:ascii="Times New Roman" w:cs="Times New Roman" w:eastAsia="Times New Roman" w:hAnsi="Times New Roman"/>
                <w:sz w:val="7"/>
                <w:szCs w:val="7"/>
                <w:color w:val="auto"/>
              </w:rPr>
              <w:t>(71,714)$</w:t>
            </w:r>
          </w:p>
        </w:tc>
        <w:tc>
          <w:tcPr>
            <w:tcW w:w="4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192,132</w:t>
            </w:r>
          </w:p>
        </w:tc>
        <w:tc>
          <w:tcPr>
            <w:tcW w:w="20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475,887</w:t>
            </w: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ind w:left="440"/>
              <w:spacing w:after="0" w:line="70"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4,773</w:t>
            </w:r>
          </w:p>
        </w:tc>
        <w:tc>
          <w:tcPr>
            <w:tcW w:w="1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601,250</w:t>
            </w:r>
          </w:p>
        </w:tc>
        <w:tc>
          <w:tcPr>
            <w:tcW w:w="1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101,003</w:t>
            </w:r>
          </w:p>
        </w:tc>
        <w:tc>
          <w:tcPr>
            <w:tcW w:w="2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702,253</w:t>
            </w:r>
          </w:p>
        </w:tc>
        <w:tc>
          <w:tcPr>
            <w:tcW w:w="20" w:type="dxa"/>
            <w:vAlign w:val="bottom"/>
          </w:tcPr>
          <w:p>
            <w:pPr>
              <w:spacing w:after="0"/>
              <w:rPr>
                <w:sz w:val="6"/>
                <w:szCs w:val="6"/>
                <w:color w:val="auto"/>
              </w:rPr>
            </w:pPr>
          </w:p>
        </w:tc>
      </w:tr>
      <w:tr>
        <w:trPr>
          <w:trHeight w:val="70"/>
        </w:trPr>
        <w:tc>
          <w:tcPr>
            <w:tcW w:w="2180" w:type="dxa"/>
            <w:vAlign w:val="bottom"/>
          </w:tcPr>
          <w:p>
            <w:pPr>
              <w:spacing w:after="0" w:line="70" w:lineRule="exact"/>
              <w:rPr>
                <w:sz w:val="20"/>
                <w:szCs w:val="20"/>
                <w:color w:val="auto"/>
              </w:rPr>
            </w:pPr>
            <w:r>
              <w:rPr>
                <w:rFonts w:ascii="Times New Roman" w:cs="Times New Roman" w:eastAsia="Times New Roman" w:hAnsi="Times New Roman"/>
                <w:sz w:val="7"/>
                <w:szCs w:val="7"/>
                <w:color w:val="auto"/>
              </w:rPr>
              <w:t>Issuance of 591 common units</w:t>
            </w:r>
          </w:p>
        </w:tc>
        <w:tc>
          <w:tcPr>
            <w:tcW w:w="160" w:type="dxa"/>
            <w:vAlign w:val="bottom"/>
          </w:tcPr>
          <w:p>
            <w:pPr>
              <w:spacing w:after="0"/>
              <w:rPr>
                <w:sz w:val="6"/>
                <w:szCs w:val="6"/>
                <w:color w:val="auto"/>
              </w:rPr>
            </w:pPr>
          </w:p>
        </w:tc>
        <w:tc>
          <w:tcPr>
            <w:tcW w:w="5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6"/>
                <w:szCs w:val="6"/>
                <w:color w:val="auto"/>
              </w:rPr>
            </w:pP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14,760</w:t>
            </w:r>
          </w:p>
        </w:tc>
        <w:tc>
          <w:tcPr>
            <w:tcW w:w="220" w:type="dxa"/>
            <w:vAlign w:val="bottom"/>
          </w:tcPr>
          <w:p>
            <w:pPr>
              <w:spacing w:after="0"/>
              <w:rPr>
                <w:sz w:val="6"/>
                <w:szCs w:val="6"/>
                <w:color w:val="auto"/>
              </w:rPr>
            </w:pPr>
          </w:p>
        </w:tc>
        <w:tc>
          <w:tcPr>
            <w:tcW w:w="920" w:type="dxa"/>
            <w:vAlign w:val="bottom"/>
            <w:tcBorders>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14,760</w:t>
            </w:r>
          </w:p>
        </w:tc>
        <w:tc>
          <w:tcPr>
            <w:tcW w:w="12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620" w:type="dxa"/>
            <w:vAlign w:val="bottom"/>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6"/>
                <w:szCs w:val="6"/>
                <w:color w:val="auto"/>
              </w:rPr>
            </w:pPr>
          </w:p>
        </w:tc>
        <w:tc>
          <w:tcPr>
            <w:tcW w:w="660" w:type="dxa"/>
            <w:vAlign w:val="bottom"/>
          </w:tcPr>
          <w:p>
            <w:pPr>
              <w:ind w:left="440"/>
              <w:spacing w:after="0" w:line="70"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6"/>
                <w:szCs w:val="6"/>
                <w:color w:val="auto"/>
              </w:rPr>
            </w:pP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6"/>
                <w:szCs w:val="6"/>
                <w:color w:val="auto"/>
              </w:rPr>
            </w:pPr>
          </w:p>
        </w:tc>
        <w:tc>
          <w:tcPr>
            <w:tcW w:w="4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6"/>
                <w:szCs w:val="6"/>
                <w:color w:val="auto"/>
              </w:rPr>
            </w:pP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r>
      <w:tr>
        <w:trPr>
          <w:trHeight w:val="16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107,515 common units</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w:t>
            </w:r>
          </w:p>
        </w:tc>
        <w:tc>
          <w:tcPr>
            <w:tcW w:w="20" w:type="dxa"/>
            <w:vAlign w:val="bottom"/>
          </w:tcPr>
          <w:p>
            <w:pPr>
              <w:spacing w:after="0"/>
              <w:rPr>
                <w:sz w:val="14"/>
                <w:szCs w:val="14"/>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Purchase of 57,115 shares of common stock</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47"/>
              <w:spacing w:after="0"/>
              <w:rPr>
                <w:sz w:val="20"/>
                <w:szCs w:val="20"/>
                <w:color w:val="auto"/>
              </w:rPr>
            </w:pPr>
            <w:r>
              <w:rPr>
                <w:rFonts w:ascii="Times New Roman" w:cs="Times New Roman" w:eastAsia="Times New Roman" w:hAnsi="Times New Roman"/>
                <w:sz w:val="7"/>
                <w:szCs w:val="7"/>
                <w:color w:val="auto"/>
              </w:rPr>
              <w:t>(2,111)</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(2,111)</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(2,111)</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6,779</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6,779</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572</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7,351</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Dividends declared on common stock ($0.72 per common share)</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(11,346)</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(11,346)</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(3,531)</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(14,877)</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Investments made by minority shareholders in consolidated affiliates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(462)</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(462)</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(4,429)</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(4,891)</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4,856</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4,856</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(4,856)</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(4,856)</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(4,856)</w:t>
            </w: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4,234</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4,234</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(4,234)</w:t>
            </w:r>
          </w:p>
        </w:tc>
        <w:tc>
          <w:tcPr>
            <w:tcW w:w="140" w:type="dxa"/>
            <w:vAlign w:val="bottom"/>
          </w:tcPr>
          <w:p>
            <w:pPr>
              <w:spacing w:after="0"/>
              <w:rPr>
                <w:sz w:val="7"/>
                <w:szCs w:val="7"/>
                <w:color w:val="auto"/>
              </w:rPr>
            </w:pPr>
          </w:p>
        </w:tc>
        <w:tc>
          <w:tcPr>
            <w:tcW w:w="660" w:type="dxa"/>
            <w:vAlign w:val="bottom"/>
          </w:tcPr>
          <w:p>
            <w:pPr>
              <w:jc w:val="center"/>
              <w:ind w:left="167"/>
              <w:spacing w:after="0"/>
              <w:rPr>
                <w:sz w:val="20"/>
                <w:szCs w:val="20"/>
                <w:color w:val="auto"/>
              </w:rPr>
            </w:pPr>
            <w:r>
              <w:rPr>
                <w:rFonts w:ascii="Times New Roman" w:cs="Times New Roman" w:eastAsia="Times New Roman" w:hAnsi="Times New Roman"/>
                <w:sz w:val="7"/>
                <w:szCs w:val="7"/>
                <w:color w:val="auto"/>
                <w:w w:val="88"/>
              </w:rPr>
              <w:t>4,317</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83</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83</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180" w:type="dxa"/>
            <w:vAlign w:val="bottom"/>
          </w:tcPr>
          <w:p>
            <w:pPr>
              <w:ind w:left="140"/>
              <w:spacing w:after="0"/>
              <w:rPr>
                <w:sz w:val="20"/>
                <w:szCs w:val="20"/>
                <w:color w:val="auto"/>
              </w:rPr>
            </w:pPr>
            <w:r>
              <w:rPr>
                <w:rFonts w:ascii="Times New Roman" w:cs="Times New Roman" w:eastAsia="Times New Roman" w:hAnsi="Times New Roman"/>
                <w:sz w:val="7"/>
                <w:szCs w:val="7"/>
                <w:color w:val="auto"/>
              </w:rPr>
              <w:t>Net income (loss)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(4,317)</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(4,317)</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(5,645)</w:t>
            </w:r>
          </w:p>
        </w:tc>
        <w:tc>
          <w:tcPr>
            <w:tcW w:w="140" w:type="dxa"/>
            <w:vAlign w:val="bottom"/>
          </w:tcPr>
          <w:p>
            <w:pPr>
              <w:spacing w:after="0"/>
              <w:rPr>
                <w:sz w:val="7"/>
                <w:szCs w:val="7"/>
                <w:color w:val="auto"/>
              </w:rPr>
            </w:pPr>
          </w:p>
        </w:tc>
        <w:tc>
          <w:tcPr>
            <w:tcW w:w="660" w:type="dxa"/>
            <w:vAlign w:val="bottom"/>
          </w:tcPr>
          <w:p>
            <w:pPr>
              <w:jc w:val="center"/>
              <w:ind w:left="167"/>
              <w:spacing w:after="0"/>
              <w:rPr>
                <w:sz w:val="20"/>
                <w:szCs w:val="20"/>
                <w:color w:val="auto"/>
              </w:rPr>
            </w:pPr>
            <w:r>
              <w:rPr>
                <w:rFonts w:ascii="Times New Roman" w:cs="Times New Roman" w:eastAsia="Times New Roman" w:hAnsi="Times New Roman"/>
                <w:sz w:val="7"/>
                <w:szCs w:val="7"/>
                <w:color w:val="auto"/>
                <w:w w:val="87"/>
              </w:rPr>
              <w:t>(4,317)</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(9,962)</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2,379</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(7,583)</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Other comprehensive income (loss)</w:t>
            </w:r>
          </w:p>
        </w:tc>
        <w:tc>
          <w:tcPr>
            <w:tcW w:w="1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1,437</w:t>
            </w:r>
          </w:p>
        </w:tc>
        <w:tc>
          <w:tcPr>
            <w:tcW w:w="16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1,437</w:t>
            </w:r>
          </w:p>
        </w:tc>
        <w:tc>
          <w:tcPr>
            <w:tcW w:w="14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1,437</w:t>
            </w:r>
          </w:p>
        </w:tc>
        <w:tc>
          <w:tcPr>
            <w:tcW w:w="20" w:type="dxa"/>
            <w:vAlign w:val="bottom"/>
          </w:tcPr>
          <w:p>
            <w:pPr>
              <w:spacing w:after="0"/>
              <w:rPr>
                <w:sz w:val="7"/>
                <w:szCs w:val="7"/>
                <w:color w:val="auto"/>
              </w:rPr>
            </w:pPr>
          </w:p>
        </w:tc>
      </w:tr>
      <w:tr>
        <w:trPr>
          <w:trHeight w:val="70"/>
        </w:trPr>
        <w:tc>
          <w:tcPr>
            <w:tcW w:w="2180" w:type="dxa"/>
            <w:vAlign w:val="bottom"/>
            <w:tcBorders>
              <w:bottom w:val="single" w:sz="8" w:color="CCEEFF"/>
            </w:tcBorders>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w:t>
            </w: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(4,317)</w:t>
            </w: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(4,317)</w:t>
            </w: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(5,645)</w:t>
            </w: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center"/>
              <w:ind w:left="167"/>
              <w:spacing w:after="0" w:line="70" w:lineRule="exact"/>
              <w:rPr>
                <w:sz w:val="20"/>
                <w:szCs w:val="20"/>
                <w:color w:val="auto"/>
              </w:rPr>
            </w:pPr>
            <w:r>
              <w:rPr>
                <w:rFonts w:ascii="Times New Roman" w:cs="Times New Roman" w:eastAsia="Times New Roman" w:hAnsi="Times New Roman"/>
                <w:sz w:val="7"/>
                <w:szCs w:val="7"/>
                <w:color w:val="auto"/>
                <w:w w:val="87"/>
              </w:rPr>
              <w:t>(4,317)</w:t>
            </w: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1,437</w:t>
            </w: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(8,525)</w:t>
            </w: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2,379</w:t>
            </w:r>
          </w:p>
        </w:tc>
        <w:tc>
          <w:tcPr>
            <w:tcW w:w="2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(6,146)</w:t>
            </w:r>
          </w:p>
        </w:tc>
        <w:tc>
          <w:tcPr>
            <w:tcW w:w="20" w:type="dxa"/>
            <w:vAlign w:val="bottom"/>
          </w:tcPr>
          <w:p>
            <w:pPr>
              <w:spacing w:after="0"/>
              <w:rPr>
                <w:sz w:val="6"/>
                <w:szCs w:val="6"/>
                <w:color w:val="auto"/>
              </w:rPr>
            </w:pPr>
          </w:p>
        </w:tc>
      </w:tr>
      <w:tr>
        <w:trPr>
          <w:trHeight w:val="77"/>
        </w:trPr>
        <w:tc>
          <w:tcPr>
            <w:tcW w:w="2180" w:type="dxa"/>
            <w:vAlign w:val="bottom"/>
            <w:tcBorders>
              <w:bottom w:val="single" w:sz="8" w:color="CCEEFF"/>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December 31, 2022</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55,152</w:t>
            </w:r>
          </w:p>
        </w:tc>
        <w:tc>
          <w:tcPr>
            <w:tcW w:w="2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37,317</w:t>
            </w:r>
          </w:p>
        </w:tc>
        <w:tc>
          <w:tcPr>
            <w:tcW w:w="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92,469</w:t>
            </w:r>
          </w:p>
        </w:tc>
        <w:tc>
          <w:tcPr>
            <w:tcW w:w="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ind w:right="107"/>
              <w:spacing w:after="0" w:line="70" w:lineRule="exact"/>
              <w:rPr>
                <w:sz w:val="20"/>
                <w:szCs w:val="20"/>
                <w:color w:val="auto"/>
              </w:rPr>
            </w:pPr>
            <w:r>
              <w:rPr>
                <w:rFonts w:ascii="Times New Roman" w:cs="Times New Roman" w:eastAsia="Times New Roman" w:hAnsi="Times New Roman"/>
                <w:sz w:val="7"/>
                <w:szCs w:val="7"/>
                <w:color w:val="auto"/>
              </w:rPr>
              <w:t>(73,825)$</w:t>
            </w: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198,449</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449,806</w:t>
            </w: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ind w:left="440"/>
              <w:spacing w:after="0" w:line="70"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6,210</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580,813</w:t>
            </w:r>
          </w:p>
        </w:tc>
        <w:tc>
          <w:tcPr>
            <w:tcW w:w="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96,016</w:t>
            </w:r>
          </w:p>
        </w:tc>
        <w:tc>
          <w:tcPr>
            <w:tcW w:w="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676,829</w:t>
            </w:r>
          </w:p>
        </w:tc>
        <w:tc>
          <w:tcPr>
            <w:tcW w:w="20" w:type="dxa"/>
            <w:vAlign w:val="bottom"/>
          </w:tcPr>
          <w:p>
            <w:pPr>
              <w:spacing w:after="0"/>
              <w:rPr>
                <w:sz w:val="6"/>
                <w:szCs w:val="6"/>
                <w:color w:val="auto"/>
              </w:rPr>
            </w:pPr>
          </w:p>
        </w:tc>
      </w:tr>
      <w:tr>
        <w:trPr>
          <w:trHeight w:val="81"/>
        </w:trPr>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Balance, December 31, 2020</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7"/>
                <w:szCs w:val="7"/>
                <w:color w:val="auto"/>
              </w:rPr>
              <w:t>— $</w:t>
            </w:r>
          </w:p>
        </w:tc>
        <w:tc>
          <w:tcPr>
            <w:tcW w:w="780" w:type="dxa"/>
            <w:vAlign w:val="bottom"/>
            <w:tcBorders>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172</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7"/>
                <w:szCs w:val="7"/>
                <w:color w:val="auto"/>
              </w:rPr>
              <w:t>(59,456)$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187,754</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516,901</w:t>
            </w: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 $</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278</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645,649</w:t>
            </w:r>
          </w:p>
        </w:tc>
        <w:tc>
          <w:tcPr>
            <w:tcW w:w="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108,687</w:t>
            </w:r>
          </w:p>
        </w:tc>
        <w:tc>
          <w:tcPr>
            <w:tcW w:w="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754,336</w:t>
            </w:r>
          </w:p>
        </w:tc>
        <w:tc>
          <w:tcPr>
            <w:tcW w:w="20" w:type="dxa"/>
            <w:vAlign w:val="bottom"/>
          </w:tcPr>
          <w:p>
            <w:pPr>
              <w:spacing w:after="0"/>
              <w:rPr>
                <w:sz w:val="7"/>
                <w:szCs w:val="7"/>
                <w:color w:val="auto"/>
              </w:rPr>
            </w:pPr>
          </w:p>
        </w:tc>
      </w:tr>
      <w:tr>
        <w:trPr>
          <w:trHeight w:val="70"/>
        </w:trPr>
        <w:tc>
          <w:tcPr>
            <w:tcW w:w="2180" w:type="dxa"/>
            <w:vAlign w:val="bottom"/>
          </w:tcPr>
          <w:p>
            <w:pPr>
              <w:spacing w:after="0" w:line="70" w:lineRule="exact"/>
              <w:rPr>
                <w:sz w:val="20"/>
                <w:szCs w:val="20"/>
                <w:color w:val="auto"/>
              </w:rPr>
            </w:pPr>
            <w:r>
              <w:rPr>
                <w:rFonts w:ascii="Times New Roman" w:cs="Times New Roman" w:eastAsia="Times New Roman" w:hAnsi="Times New Roman"/>
                <w:sz w:val="7"/>
                <w:szCs w:val="7"/>
                <w:color w:val="auto"/>
              </w:rPr>
              <w:t>Issuance of 48,334 preferred units</w:t>
            </w:r>
          </w:p>
        </w:tc>
        <w:tc>
          <w:tcPr>
            <w:tcW w:w="160" w:type="dxa"/>
            <w:vAlign w:val="bottom"/>
          </w:tcPr>
          <w:p>
            <w:pPr>
              <w:spacing w:after="0"/>
              <w:rPr>
                <w:sz w:val="6"/>
                <w:szCs w:val="6"/>
                <w:color w:val="auto"/>
              </w:rPr>
            </w:pPr>
          </w:p>
        </w:tc>
        <w:tc>
          <w:tcPr>
            <w:tcW w:w="5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48,334</w:t>
            </w:r>
          </w:p>
        </w:tc>
        <w:tc>
          <w:tcPr>
            <w:tcW w:w="240" w:type="dxa"/>
            <w:vAlign w:val="bottom"/>
          </w:tcPr>
          <w:p>
            <w:pPr>
              <w:spacing w:after="0"/>
              <w:rPr>
                <w:sz w:val="6"/>
                <w:szCs w:val="6"/>
                <w:color w:val="auto"/>
              </w:rPr>
            </w:pP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6"/>
                <w:szCs w:val="6"/>
                <w:color w:val="auto"/>
              </w:rPr>
            </w:pPr>
          </w:p>
        </w:tc>
        <w:tc>
          <w:tcPr>
            <w:tcW w:w="920" w:type="dxa"/>
            <w:vAlign w:val="bottom"/>
            <w:tcBorders>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48,334</w:t>
            </w:r>
          </w:p>
        </w:tc>
        <w:tc>
          <w:tcPr>
            <w:tcW w:w="12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620" w:type="dxa"/>
            <w:vAlign w:val="bottom"/>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6"/>
                <w:szCs w:val="6"/>
                <w:color w:val="auto"/>
              </w:rPr>
            </w:pPr>
          </w:p>
        </w:tc>
        <w:tc>
          <w:tcPr>
            <w:tcW w:w="660" w:type="dxa"/>
            <w:vAlign w:val="bottom"/>
          </w:tcPr>
          <w:p>
            <w:pPr>
              <w:ind w:left="440"/>
              <w:spacing w:after="0" w:line="70"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6"/>
                <w:szCs w:val="6"/>
                <w:color w:val="auto"/>
              </w:rPr>
            </w:pP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6"/>
                <w:szCs w:val="6"/>
                <w:color w:val="auto"/>
              </w:rPr>
            </w:pPr>
          </w:p>
        </w:tc>
        <w:tc>
          <w:tcPr>
            <w:tcW w:w="4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6"/>
                <w:szCs w:val="6"/>
                <w:color w:val="auto"/>
              </w:rPr>
            </w:pP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23,199 common units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22,640</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22,640</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Purchase of 139,784 shares of common stock</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47"/>
              <w:spacing w:after="0"/>
              <w:rPr>
                <w:sz w:val="20"/>
                <w:szCs w:val="20"/>
                <w:color w:val="auto"/>
              </w:rPr>
            </w:pPr>
            <w:r>
              <w:rPr>
                <w:rFonts w:ascii="Times New Roman" w:cs="Times New Roman" w:eastAsia="Times New Roman" w:hAnsi="Times New Roman"/>
                <w:sz w:val="7"/>
                <w:szCs w:val="7"/>
                <w:color w:val="auto"/>
              </w:rPr>
              <w:t>(12,258)</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(12,258)</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(12,258)</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6,182</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6,182</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334</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6,516</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Exercise of stock options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383</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383</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383</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Noncontrolling interest in equity acquired</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796</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796</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Dividends declared on common stock ($0.68 per common share)</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(10,780)</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(10,780)</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(5,468)</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(16,248)</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Accrued dividend on redeemable preferred</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1,962</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1,962</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(1,962)</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(1,962)</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(1,962)</w:t>
            </w: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(2,187)</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(2,187)</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(10,809)</w:t>
            </w:r>
          </w:p>
        </w:tc>
        <w:tc>
          <w:tcPr>
            <w:tcW w:w="240" w:type="dxa"/>
            <w:vAlign w:val="bottom"/>
          </w:tcPr>
          <w:p>
            <w:pPr>
              <w:spacing w:after="0"/>
              <w:rPr>
                <w:sz w:val="7"/>
                <w:szCs w:val="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(12,996)</w:t>
            </w: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6,164</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6,164</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(6,164)</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7"/>
                <w:szCs w:val="7"/>
                <w:color w:val="auto"/>
                <w:w w:val="88"/>
              </w:rPr>
              <w:t>6,164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Net income (loss)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(6,164)</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(6,164)</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(22,108)</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7"/>
                <w:szCs w:val="7"/>
                <w:color w:val="auto"/>
                <w:w w:val="87"/>
              </w:rPr>
              <w:t>(6,164)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(28,272)</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7,463</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(20,809)</w:t>
            </w:r>
          </w:p>
        </w:tc>
        <w:tc>
          <w:tcPr>
            <w:tcW w:w="20" w:type="dxa"/>
            <w:vAlign w:val="bottom"/>
          </w:tcPr>
          <w:p>
            <w:pPr>
              <w:spacing w:after="0"/>
              <w:rPr>
                <w:sz w:val="7"/>
                <w:szCs w:val="7"/>
                <w:color w:val="auto"/>
              </w:rPr>
            </w:pPr>
          </w:p>
        </w:tc>
      </w:tr>
      <w:tr>
        <w:trPr>
          <w:trHeight w:val="81"/>
        </w:trPr>
        <w:tc>
          <w:tcPr>
            <w:tcW w:w="2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7"/>
                <w:szCs w:val="7"/>
                <w:color w:val="auto"/>
              </w:rPr>
              <w:t>Other comprehensive income (loss)</w:t>
            </w: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4,495</w:t>
            </w: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4,495</w:t>
            </w: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4,495</w:t>
            </w:r>
          </w:p>
        </w:tc>
        <w:tc>
          <w:tcPr>
            <w:tcW w:w="20" w:type="dxa"/>
            <w:vAlign w:val="bottom"/>
          </w:tcPr>
          <w:p>
            <w:pPr>
              <w:spacing w:after="0"/>
              <w:rPr>
                <w:sz w:val="7"/>
                <w:szCs w:val="7"/>
                <w:color w:val="auto"/>
              </w:rPr>
            </w:pPr>
          </w:p>
        </w:tc>
      </w:tr>
      <w:tr>
        <w:trPr>
          <w:trHeight w:val="70"/>
        </w:trPr>
        <w:tc>
          <w:tcPr>
            <w:tcW w:w="21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w:t>
            </w:r>
          </w:p>
        </w:tc>
        <w:tc>
          <w:tcPr>
            <w:tcW w:w="16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(6,164)</w:t>
            </w: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right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(6,164)</w:t>
            </w:r>
          </w:p>
        </w:tc>
        <w:tc>
          <w:tcPr>
            <w:tcW w:w="1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(22,108)</w:t>
            </w: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jc w:val="center"/>
              <w:ind w:left="167"/>
              <w:spacing w:after="0" w:line="70" w:lineRule="exact"/>
              <w:rPr>
                <w:sz w:val="20"/>
                <w:szCs w:val="20"/>
                <w:color w:val="auto"/>
              </w:rPr>
            </w:pPr>
            <w:r>
              <w:rPr>
                <w:rFonts w:ascii="Times New Roman" w:cs="Times New Roman" w:eastAsia="Times New Roman" w:hAnsi="Times New Roman"/>
                <w:sz w:val="7"/>
                <w:szCs w:val="7"/>
                <w:color w:val="auto"/>
                <w:w w:val="87"/>
              </w:rPr>
              <w:t>(6,164)</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4,495</w:t>
            </w:r>
          </w:p>
        </w:tc>
        <w:tc>
          <w:tcPr>
            <w:tcW w:w="16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(23,777)</w:t>
            </w:r>
          </w:p>
        </w:tc>
        <w:tc>
          <w:tcPr>
            <w:tcW w:w="14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7,463</w:t>
            </w:r>
          </w:p>
        </w:tc>
        <w:tc>
          <w:tcPr>
            <w:tcW w:w="24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(16,314)</w:t>
            </w:r>
          </w:p>
        </w:tc>
        <w:tc>
          <w:tcPr>
            <w:tcW w:w="20" w:type="dxa"/>
            <w:vAlign w:val="bottom"/>
          </w:tcPr>
          <w:p>
            <w:pPr>
              <w:spacing w:after="0"/>
              <w:rPr>
                <w:sz w:val="6"/>
                <w:szCs w:val="6"/>
                <w:color w:val="auto"/>
              </w:rPr>
            </w:pPr>
          </w:p>
        </w:tc>
      </w:tr>
      <w:tr>
        <w:trPr>
          <w:trHeight w:val="77"/>
        </w:trPr>
        <w:tc>
          <w:tcPr>
            <w:tcW w:w="2180" w:type="dxa"/>
            <w:vAlign w:val="bottom"/>
            <w:tcBorders>
              <w:bottom w:val="single" w:sz="8" w:color="CCEEFF"/>
            </w:tcBorders>
          </w:tcPr>
          <w:p>
            <w:pPr>
              <w:spacing w:after="0" w:line="70" w:lineRule="exact"/>
              <w:rPr>
                <w:sz w:val="20"/>
                <w:szCs w:val="20"/>
                <w:color w:val="auto"/>
              </w:rPr>
            </w:pPr>
            <w:r>
              <w:rPr>
                <w:rFonts w:ascii="Times New Roman" w:cs="Times New Roman" w:eastAsia="Times New Roman" w:hAnsi="Times New Roman"/>
                <w:sz w:val="7"/>
                <w:szCs w:val="7"/>
                <w:color w:val="auto"/>
              </w:rPr>
              <w:t>Balance, December 31, 2021</w:t>
            </w: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50,296</w:t>
            </w:r>
          </w:p>
        </w:tc>
        <w:tc>
          <w:tcPr>
            <w:tcW w:w="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22,640</w:t>
            </w:r>
          </w:p>
        </w:tc>
        <w:tc>
          <w:tcPr>
            <w:tcW w:w="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72,936</w:t>
            </w:r>
          </w:p>
        </w:tc>
        <w:tc>
          <w:tcPr>
            <w:tcW w:w="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ind w:right="107"/>
              <w:spacing w:after="0" w:line="70" w:lineRule="exact"/>
              <w:rPr>
                <w:sz w:val="20"/>
                <w:szCs w:val="20"/>
                <w:color w:val="auto"/>
              </w:rPr>
            </w:pPr>
            <w:r>
              <w:rPr>
                <w:rFonts w:ascii="Times New Roman" w:cs="Times New Roman" w:eastAsia="Times New Roman" w:hAnsi="Times New Roman"/>
                <w:sz w:val="7"/>
                <w:szCs w:val="7"/>
                <w:color w:val="auto"/>
              </w:rPr>
              <w:t>(71,714)$</w:t>
            </w:r>
          </w:p>
        </w:tc>
        <w:tc>
          <w:tcPr>
            <w:tcW w:w="4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192,132</w:t>
            </w:r>
          </w:p>
        </w:tc>
        <w:tc>
          <w:tcPr>
            <w:tcW w:w="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475,887</w:t>
            </w:r>
          </w:p>
        </w:tc>
        <w:tc>
          <w:tcPr>
            <w:tcW w:w="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ind w:left="440"/>
              <w:spacing w:after="0" w:line="70"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4,773</w:t>
            </w: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601,250</w:t>
            </w:r>
          </w:p>
        </w:tc>
        <w:tc>
          <w:tcPr>
            <w:tcW w:w="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101,003</w:t>
            </w:r>
          </w:p>
        </w:tc>
        <w:tc>
          <w:tcPr>
            <w:tcW w:w="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702,253</w:t>
            </w:r>
          </w:p>
        </w:tc>
        <w:tc>
          <w:tcPr>
            <w:tcW w:w="20" w:type="dxa"/>
            <w:vAlign w:val="bottom"/>
          </w:tcPr>
          <w:p>
            <w:pPr>
              <w:spacing w:after="0"/>
              <w:rPr>
                <w:sz w:val="6"/>
                <w:szCs w:val="6"/>
                <w:color w:val="auto"/>
              </w:rPr>
            </w:pPr>
          </w:p>
        </w:tc>
      </w:tr>
      <w:tr>
        <w:trPr>
          <w:trHeight w:val="90"/>
        </w:trPr>
        <w:tc>
          <w:tcPr>
            <w:tcW w:w="2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7"/>
                <w:szCs w:val="7"/>
                <w:color w:val="auto"/>
              </w:rPr>
              <w:t>Balance, December 31, 2019</w:t>
            </w: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7"/>
                <w:szCs w:val="7"/>
                <w:color w:val="auto"/>
              </w:rPr>
              <w:t>— $</w:t>
            </w:r>
          </w:p>
        </w:tc>
        <w:tc>
          <w:tcPr>
            <w:tcW w:w="78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172</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7"/>
                <w:szCs w:val="7"/>
                <w:color w:val="auto"/>
              </w:rPr>
              <w:t>(51,129)$</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188,471</w:t>
            </w:r>
          </w:p>
        </w:tc>
        <w:tc>
          <w:tcPr>
            <w:tcW w:w="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541,890</w:t>
            </w:r>
          </w:p>
        </w:tc>
        <w:tc>
          <w:tcPr>
            <w:tcW w:w="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7"/>
                <w:szCs w:val="7"/>
                <w:color w:val="auto"/>
              </w:rPr>
              <w:t>— $</w:t>
            </w:r>
          </w:p>
        </w:tc>
        <w:tc>
          <w:tcPr>
            <w:tcW w:w="72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7"/>
                <w:szCs w:val="7"/>
                <w:color w:val="auto"/>
              </w:rPr>
              <w:t>(3,282)$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676,122</w:t>
            </w:r>
          </w:p>
        </w:tc>
        <w:tc>
          <w:tcPr>
            <w:tcW w:w="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129,961</w:t>
            </w:r>
          </w:p>
        </w:tc>
        <w:tc>
          <w:tcPr>
            <w:tcW w:w="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806,083</w:t>
            </w:r>
          </w:p>
        </w:tc>
        <w:tc>
          <w:tcPr>
            <w:tcW w:w="20" w:type="dxa"/>
            <w:vAlign w:val="bottom"/>
          </w:tcPr>
          <w:p>
            <w:pPr>
              <w:spacing w:after="0"/>
              <w:rPr>
                <w:sz w:val="7"/>
                <w:szCs w:val="7"/>
                <w:color w:val="auto"/>
              </w:rPr>
            </w:pPr>
          </w:p>
        </w:tc>
      </w:tr>
      <w:tr>
        <w:trPr>
          <w:trHeight w:val="70"/>
        </w:trPr>
        <w:tc>
          <w:tcPr>
            <w:tcW w:w="21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Purchase of 161,500 shares of common stock</w:t>
            </w: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6"/>
                <w:szCs w:val="6"/>
                <w:color w:val="auto"/>
              </w:rPr>
            </w:pPr>
          </w:p>
        </w:tc>
        <w:tc>
          <w:tcPr>
            <w:tcW w:w="920" w:type="dxa"/>
            <w:vAlign w:val="bottom"/>
            <w:tcBorders>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jc w:val="right"/>
              <w:ind w:right="147"/>
              <w:spacing w:after="0" w:line="70" w:lineRule="exact"/>
              <w:rPr>
                <w:sz w:val="20"/>
                <w:szCs w:val="20"/>
                <w:color w:val="auto"/>
              </w:rPr>
            </w:pPr>
            <w:r>
              <w:rPr>
                <w:rFonts w:ascii="Times New Roman" w:cs="Times New Roman" w:eastAsia="Times New Roman" w:hAnsi="Times New Roman"/>
                <w:sz w:val="7"/>
                <w:szCs w:val="7"/>
                <w:color w:val="auto"/>
              </w:rPr>
              <w:t>(8,327)</w:t>
            </w:r>
          </w:p>
        </w:tc>
        <w:tc>
          <w:tcPr>
            <w:tcW w:w="48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ind w:left="440"/>
              <w:spacing w:after="0" w:line="70"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6"/>
                <w:szCs w:val="6"/>
                <w:color w:val="auto"/>
              </w:rPr>
            </w:pPr>
          </w:p>
        </w:tc>
        <w:tc>
          <w:tcPr>
            <w:tcW w:w="52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(8,327)</w:t>
            </w:r>
          </w:p>
        </w:tc>
        <w:tc>
          <w:tcPr>
            <w:tcW w:w="140" w:type="dxa"/>
            <w:vAlign w:val="bottom"/>
            <w:shd w:val="clear" w:color="auto" w:fill="CCEEFF"/>
          </w:tcPr>
          <w:p>
            <w:pPr>
              <w:spacing w:after="0"/>
              <w:rPr>
                <w:sz w:val="6"/>
                <w:szCs w:val="6"/>
                <w:color w:val="auto"/>
              </w:rPr>
            </w:pPr>
          </w:p>
        </w:tc>
        <w:tc>
          <w:tcPr>
            <w:tcW w:w="46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(8,327)</w:t>
            </w:r>
          </w:p>
        </w:tc>
        <w:tc>
          <w:tcPr>
            <w:tcW w:w="20" w:type="dxa"/>
            <w:vAlign w:val="bottom"/>
          </w:tcPr>
          <w:p>
            <w:pPr>
              <w:spacing w:after="0"/>
              <w:rPr>
                <w:sz w:val="6"/>
                <w:szCs w:val="6"/>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Investments made by minority shareholders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5,603</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5,603</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309</w:t>
            </w: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5,912</w:t>
            </w: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Dividends declared on common stock ($0.68 per common share)</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(10,867)</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(10,867)</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(10,867)</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Distributions to noncontrolling interests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(12,378)</w:t>
            </w:r>
          </w:p>
        </w:tc>
        <w:tc>
          <w:tcPr>
            <w:tcW w:w="2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(12,378)</w:t>
            </w: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(5,020)</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(5,020)</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(23,919)</w:t>
            </w:r>
          </w:p>
        </w:tc>
        <w:tc>
          <w:tcPr>
            <w:tcW w:w="240" w:type="dxa"/>
            <w:vAlign w:val="bottom"/>
          </w:tcPr>
          <w:p>
            <w:pPr>
              <w:spacing w:after="0"/>
              <w:rPr>
                <w:sz w:val="7"/>
                <w:szCs w:val="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(28,939)</w:t>
            </w: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Comprehensive income (loss):</w:t>
            </w: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Net income (loss)</w:t>
            </w:r>
          </w:p>
        </w:tc>
        <w:tc>
          <w:tcPr>
            <w:tcW w:w="16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2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(14,122)</w:t>
            </w:r>
          </w:p>
        </w:tc>
        <w:tc>
          <w:tcPr>
            <w:tcW w:w="140" w:type="dxa"/>
            <w:vAlign w:val="bottom"/>
          </w:tcPr>
          <w:p>
            <w:pPr>
              <w:spacing w:after="0"/>
              <w:rPr>
                <w:sz w:val="7"/>
                <w:szCs w:val="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(14,122)</w:t>
            </w:r>
          </w:p>
        </w:tc>
        <w:tc>
          <w:tcPr>
            <w:tcW w:w="1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13,414</w:t>
            </w:r>
          </w:p>
        </w:tc>
        <w:tc>
          <w:tcPr>
            <w:tcW w:w="24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(708)</w:t>
            </w:r>
          </w:p>
        </w:tc>
        <w:tc>
          <w:tcPr>
            <w:tcW w:w="20" w:type="dxa"/>
            <w:vAlign w:val="bottom"/>
          </w:tcPr>
          <w:p>
            <w:pPr>
              <w:spacing w:after="0"/>
              <w:rPr>
                <w:sz w:val="7"/>
                <w:szCs w:val="7"/>
                <w:color w:val="auto"/>
              </w:rPr>
            </w:pPr>
          </w:p>
        </w:tc>
      </w:tr>
      <w:tr>
        <w:trPr>
          <w:trHeight w:val="8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Other comprehensive loss</w:t>
            </w:r>
          </w:p>
        </w:tc>
        <w:tc>
          <w:tcPr>
            <w:tcW w:w="1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3,560</w:t>
            </w:r>
          </w:p>
        </w:tc>
        <w:tc>
          <w:tcPr>
            <w:tcW w:w="16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3,560</w:t>
            </w:r>
          </w:p>
        </w:tc>
        <w:tc>
          <w:tcPr>
            <w:tcW w:w="14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3,560</w:t>
            </w:r>
          </w:p>
        </w:tc>
        <w:tc>
          <w:tcPr>
            <w:tcW w:w="20" w:type="dxa"/>
            <w:vAlign w:val="bottom"/>
          </w:tcPr>
          <w:p>
            <w:pPr>
              <w:spacing w:after="0"/>
              <w:rPr>
                <w:sz w:val="7"/>
                <w:szCs w:val="7"/>
                <w:color w:val="auto"/>
              </w:rPr>
            </w:pPr>
          </w:p>
        </w:tc>
      </w:tr>
      <w:tr>
        <w:trPr>
          <w:trHeight w:val="70"/>
        </w:trPr>
        <w:tc>
          <w:tcPr>
            <w:tcW w:w="2180" w:type="dxa"/>
            <w:vAlign w:val="bottom"/>
            <w:tcBorders>
              <w:bottom w:val="single" w:sz="8" w:color="CCEEFF"/>
            </w:tcBorders>
          </w:tcPr>
          <w:p>
            <w:pPr>
              <w:spacing w:after="0" w:line="70" w:lineRule="exact"/>
              <w:rPr>
                <w:sz w:val="20"/>
                <w:szCs w:val="20"/>
                <w:color w:val="auto"/>
              </w:rPr>
            </w:pPr>
            <w:r>
              <w:rPr>
                <w:rFonts w:ascii="Times New Roman" w:cs="Times New Roman" w:eastAsia="Times New Roman" w:hAnsi="Times New Roman"/>
                <w:sz w:val="7"/>
                <w:szCs w:val="7"/>
                <w:i w:val="1"/>
                <w:iCs w:val="1"/>
                <w:color w:val="auto"/>
              </w:rPr>
              <w:t>Total comprehensive income</w:t>
            </w: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(14,122)</w:t>
            </w: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ind w:left="440"/>
              <w:spacing w:after="0" w:line="70"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3,560</w:t>
            </w: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(10,562)</w:t>
            </w: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13,414</w:t>
            </w:r>
          </w:p>
        </w:tc>
        <w:tc>
          <w:tcPr>
            <w:tcW w:w="2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2,852</w:t>
            </w:r>
          </w:p>
        </w:tc>
        <w:tc>
          <w:tcPr>
            <w:tcW w:w="20" w:type="dxa"/>
            <w:vAlign w:val="bottom"/>
          </w:tcPr>
          <w:p>
            <w:pPr>
              <w:spacing w:after="0"/>
              <w:rPr>
                <w:sz w:val="6"/>
                <w:szCs w:val="6"/>
                <w:color w:val="auto"/>
              </w:rPr>
            </w:pPr>
          </w:p>
        </w:tc>
      </w:tr>
      <w:tr>
        <w:trPr>
          <w:trHeight w:val="77"/>
        </w:trPr>
        <w:tc>
          <w:tcPr>
            <w:tcW w:w="2180" w:type="dxa"/>
            <w:vAlign w:val="bottom"/>
            <w:tcBorders>
              <w:bottom w:val="single" w:sz="8" w:color="CCEEFF"/>
            </w:tcBorders>
            <w:shd w:val="clear" w:color="auto" w:fill="CCEEFF"/>
          </w:tcPr>
          <w:p>
            <w:pPr>
              <w:ind w:left="140"/>
              <w:spacing w:after="0" w:line="70" w:lineRule="exact"/>
              <w:rPr>
                <w:sz w:val="20"/>
                <w:szCs w:val="20"/>
                <w:color w:val="auto"/>
              </w:rPr>
            </w:pPr>
            <w:r>
              <w:rPr>
                <w:rFonts w:ascii="Times New Roman" w:cs="Times New Roman" w:eastAsia="Times New Roman" w:hAnsi="Times New Roman"/>
                <w:sz w:val="7"/>
                <w:szCs w:val="7"/>
                <w:color w:val="auto"/>
              </w:rPr>
              <w:t>Balance, December 31, 2020</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gridSpan w:val="2"/>
            <w:shd w:val="clear" w:color="auto" w:fill="CCEEFF"/>
          </w:tcPr>
          <w:p>
            <w:pPr>
              <w:jc w:val="right"/>
              <w:ind w:right="171"/>
              <w:spacing w:after="0" w:line="70" w:lineRule="exact"/>
              <w:rPr>
                <w:sz w:val="20"/>
                <w:szCs w:val="20"/>
                <w:color w:val="auto"/>
              </w:rPr>
            </w:pPr>
            <w:r>
              <w:rPr>
                <w:rFonts w:ascii="Times New Roman" w:cs="Times New Roman" w:eastAsia="Times New Roman" w:hAnsi="Times New Roman"/>
                <w:sz w:val="7"/>
                <w:szCs w:val="7"/>
                <w:color w:val="auto"/>
              </w:rPr>
              <w:t>— $</w:t>
            </w:r>
          </w:p>
        </w:tc>
        <w:tc>
          <w:tcPr>
            <w:tcW w:w="780" w:type="dxa"/>
            <w:vAlign w:val="bottom"/>
            <w:tcBorders>
              <w:bottom w:val="single" w:sz="8" w:color="auto"/>
            </w:tcBorders>
            <w:gridSpan w:val="2"/>
            <w:shd w:val="clear" w:color="auto" w:fill="CCEEFF"/>
          </w:tcPr>
          <w:p>
            <w:pPr>
              <w:jc w:val="right"/>
              <w:ind w:right="153"/>
              <w:spacing w:after="0" w:line="70" w:lineRule="exact"/>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bottom w:val="single" w:sz="8" w:color="auto"/>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ind w:right="107"/>
              <w:spacing w:after="0" w:line="70" w:lineRule="exact"/>
              <w:rPr>
                <w:sz w:val="20"/>
                <w:szCs w:val="20"/>
                <w:color w:val="auto"/>
              </w:rPr>
            </w:pPr>
            <w:r>
              <w:rPr>
                <w:rFonts w:ascii="Times New Roman" w:cs="Times New Roman" w:eastAsia="Times New Roman" w:hAnsi="Times New Roman"/>
                <w:sz w:val="7"/>
                <w:szCs w:val="7"/>
                <w:color w:val="auto"/>
              </w:rPr>
              <w:t>(59,456)$</w:t>
            </w: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187,754</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516,901</w:t>
            </w: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ind w:left="440"/>
              <w:spacing w:after="0" w:line="70"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278</w:t>
            </w: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645,649</w:t>
            </w:r>
          </w:p>
        </w:tc>
        <w:tc>
          <w:tcPr>
            <w:tcW w:w="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108,687</w:t>
            </w:r>
          </w:p>
        </w:tc>
        <w:tc>
          <w:tcPr>
            <w:tcW w:w="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754,336</w:t>
            </w:r>
          </w:p>
        </w:tc>
        <w:tc>
          <w:tcPr>
            <w:tcW w:w="20" w:type="dxa"/>
            <w:vAlign w:val="bottom"/>
          </w:tcPr>
          <w:p>
            <w:pPr>
              <w:spacing w:after="0"/>
              <w:rPr>
                <w:sz w:val="6"/>
                <w:szCs w:val="6"/>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6865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ectPr>
          <w:pgSz w:w="11900" w:h="16838" w:orient="portrait"/>
          <w:cols w:equalWidth="0" w:num="1">
            <w:col w:w="10520"/>
          </w:cols>
          <w:pgMar w:left="680" w:top="390" w:right="69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ATN INTERNATIONAL, INC. AND SUBSIDIARIES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CONSOLIDATED STATEMENTS OF CASH FLOWS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 the Years Ended December 31, 2022, 2021 and 2020</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90"/>
        </w:trPr>
        <w:tc>
          <w:tcPr>
            <w:tcW w:w="4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3"/>
          </w:tcPr>
          <w:p>
            <w:pPr>
              <w:jc w:val="right"/>
              <w:ind w:right="178"/>
              <w:spacing w:after="0"/>
              <w:rPr>
                <w:sz w:val="20"/>
                <w:szCs w:val="20"/>
                <w:color w:val="auto"/>
              </w:rPr>
            </w:pPr>
            <w:r>
              <w:rPr>
                <w:rFonts w:ascii="Times New Roman" w:cs="Times New Roman" w:eastAsia="Times New Roman" w:hAnsi="Times New Roman"/>
                <w:sz w:val="7"/>
                <w:szCs w:val="7"/>
                <w:b w:val="1"/>
                <w:bCs w:val="1"/>
                <w:color w:val="auto"/>
              </w:rPr>
              <w:t>Year Ended December 31,</w:t>
            </w: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70"/>
        </w:trPr>
        <w:tc>
          <w:tcPr>
            <w:tcW w:w="486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b w:val="1"/>
                <w:bCs w:val="1"/>
                <w:color w:val="auto"/>
              </w:rPr>
              <w:t>2022</w:t>
            </w: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jc w:val="right"/>
              <w:ind w:right="438"/>
              <w:spacing w:after="0" w:line="70" w:lineRule="exact"/>
              <w:rPr>
                <w:sz w:val="20"/>
                <w:szCs w:val="20"/>
                <w:color w:val="auto"/>
              </w:rPr>
            </w:pPr>
            <w:r>
              <w:rPr>
                <w:rFonts w:ascii="Times New Roman" w:cs="Times New Roman" w:eastAsia="Times New Roman" w:hAnsi="Times New Roman"/>
                <w:sz w:val="7"/>
                <w:szCs w:val="7"/>
                <w:b w:val="1"/>
                <w:bCs w:val="1"/>
                <w:color w:val="auto"/>
              </w:rPr>
              <w:t>2021</w:t>
            </w: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jc w:val="right"/>
              <w:ind w:right="278"/>
              <w:spacing w:after="0" w:line="70" w:lineRule="exact"/>
              <w:rPr>
                <w:sz w:val="20"/>
                <w:szCs w:val="20"/>
                <w:color w:val="auto"/>
              </w:rPr>
            </w:pPr>
            <w:r>
              <w:rPr>
                <w:rFonts w:ascii="Times New Roman" w:cs="Times New Roman" w:eastAsia="Times New Roman" w:hAnsi="Times New Roman"/>
                <w:sz w:val="7"/>
                <w:szCs w:val="7"/>
                <w:b w:val="1"/>
                <w:bCs w:val="1"/>
                <w:color w:val="auto"/>
              </w:rPr>
              <w:t>2020</w:t>
            </w:r>
          </w:p>
        </w:tc>
      </w:tr>
      <w:tr>
        <w:trPr>
          <w:trHeight w:val="79"/>
        </w:trPr>
        <w:tc>
          <w:tcPr>
            <w:tcW w:w="4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operating activities:</w:t>
            </w:r>
          </w:p>
        </w:tc>
        <w:tc>
          <w:tcPr>
            <w:tcW w:w="1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tcBorders>
              <w:right w:val="single" w:sz="8" w:color="CCEEFF"/>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Net income</w:t>
            </w:r>
          </w:p>
        </w:tc>
        <w:tc>
          <w:tcPr>
            <w:tcW w:w="1780" w:type="dxa"/>
            <w:vAlign w:val="bottom"/>
            <w:gridSpan w:val="2"/>
          </w:tcPr>
          <w:p>
            <w:pPr>
              <w:jc w:val="right"/>
              <w:ind w:right="451"/>
              <w:spacing w:after="0" w:line="90"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(7,583)</w:t>
            </w:r>
          </w:p>
        </w:tc>
        <w:tc>
          <w:tcPr>
            <w:tcW w:w="320" w:type="dxa"/>
            <w:vAlign w:val="bottom"/>
            <w:gridSpan w:val="2"/>
          </w:tcPr>
          <w:p>
            <w:pPr>
              <w:jc w:val="right"/>
              <w:ind w:right="134"/>
              <w:spacing w:after="0" w:line="90" w:lineRule="exact"/>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(20,809)</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(708)</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Adjustments to reconcile net income to net cash flows provided by operating activities: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Depreciation</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135,137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102,731</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86,504</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acquisition intangibles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13,016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7,775</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1,807</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Provision for doubtful accounts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6,693</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4,850</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5,010</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debt discount and debt issuance costs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2,014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1,275</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530</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disposition of long-lived assets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4,387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2,759</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21,572</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Stock-based compensation</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7,406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6,581</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5,912</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Deferred income taxes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(7,452)</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(6,612)</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(7,317)</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(Gain) loss on equity investments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(5,656)</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86</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3,427</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pension settlement</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1,725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Goodwill impairment</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20,587</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Unrealized gain on foreign currency</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(81)</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357</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Changes in operating assets and liabilities, excluding the effects of acquisitions and dispositions: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4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receivable</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(10,385)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(4,900)</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(17,774)</w:t>
            </w:r>
          </w:p>
        </w:tc>
      </w:tr>
      <w:tr>
        <w:trPr>
          <w:trHeight w:val="90"/>
        </w:trPr>
        <w:tc>
          <w:tcPr>
            <w:tcW w:w="4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Customer receivable</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(8,713)</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(32,955)</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Prepaid income taxes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6,206</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84</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2,218</w:t>
            </w:r>
          </w:p>
        </w:tc>
      </w:tr>
      <w:tr>
        <w:trPr>
          <w:trHeight w:val="90"/>
        </w:trPr>
        <w:tc>
          <w:tcPr>
            <w:tcW w:w="4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Accrued taxes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2,981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(3,953)</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799</w:t>
            </w:r>
          </w:p>
        </w:tc>
      </w:tr>
      <w:tr>
        <w:trPr>
          <w:trHeight w:val="90"/>
        </w:trPr>
        <w:tc>
          <w:tcPr>
            <w:tcW w:w="4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Materials and supplies, prepayments, and other current assets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(15,525)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(5,297)</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(18,624)</w:t>
            </w:r>
          </w:p>
        </w:tc>
      </w:tr>
      <w:tr>
        <w:trPr>
          <w:trHeight w:val="90"/>
        </w:trPr>
        <w:tc>
          <w:tcPr>
            <w:tcW w:w="4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payable and accrued liabilities, advance payments and deposits and other current liabilities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11,681</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12,597</w:t>
            </w:r>
          </w:p>
        </w:tc>
      </w:tr>
      <w:tr>
        <w:trPr>
          <w:trHeight w:val="90"/>
        </w:trPr>
        <w:tc>
          <w:tcPr>
            <w:tcW w:w="4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Other assets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(9,979)</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(226)</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(8,790)</w:t>
            </w:r>
          </w:p>
        </w:tc>
      </w:tr>
      <w:tr>
        <w:trPr>
          <w:trHeight w:val="90"/>
        </w:trPr>
        <w:tc>
          <w:tcPr>
            <w:tcW w:w="4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Other liabilities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(11,235)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(3,028)</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(1,236)</w:t>
            </w:r>
          </w:p>
        </w:tc>
      </w:tr>
      <w:tr>
        <w:trPr>
          <w:trHeight w:val="79"/>
        </w:trPr>
        <w:tc>
          <w:tcPr>
            <w:tcW w:w="4860" w:type="dxa"/>
            <w:vAlign w:val="bottom"/>
            <w:tcBorders>
              <w:bottom w:val="single" w:sz="8" w:color="CCEEFF"/>
            </w:tcBorders>
          </w:tcPr>
          <w:p>
            <w:pPr>
              <w:ind w:left="220"/>
              <w:spacing w:after="0" w:line="79" w:lineRule="exact"/>
              <w:rPr>
                <w:sz w:val="20"/>
                <w:szCs w:val="20"/>
                <w:color w:val="auto"/>
              </w:rPr>
            </w:pPr>
            <w:r>
              <w:rPr>
                <w:rFonts w:ascii="Times New Roman" w:cs="Times New Roman" w:eastAsia="Times New Roman" w:hAnsi="Times New Roman"/>
                <w:sz w:val="8"/>
                <w:szCs w:val="8"/>
                <w:color w:val="auto"/>
              </w:rPr>
              <w:t>Net cash provided by operating activities</w:t>
            </w:r>
          </w:p>
        </w:tc>
        <w:tc>
          <w:tcPr>
            <w:tcW w:w="1260" w:type="dxa"/>
            <w:vAlign w:val="bottom"/>
            <w:tcBorders>
              <w:bottom w:val="single" w:sz="8" w:color="CCEEFF"/>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102,912</w:t>
            </w: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jc w:val="right"/>
              <w:ind w:right="98"/>
              <w:spacing w:after="0" w:line="79" w:lineRule="exact"/>
              <w:rPr>
                <w:sz w:val="20"/>
                <w:szCs w:val="20"/>
                <w:color w:val="auto"/>
              </w:rPr>
            </w:pPr>
            <w:r>
              <w:rPr>
                <w:rFonts w:ascii="Times New Roman" w:cs="Times New Roman" w:eastAsia="Times New Roman" w:hAnsi="Times New Roman"/>
                <w:sz w:val="8"/>
                <w:szCs w:val="8"/>
                <w:color w:val="auto"/>
              </w:rPr>
              <w:t>80,548</w:t>
            </w:r>
          </w:p>
        </w:tc>
        <w:tc>
          <w:tcPr>
            <w:tcW w:w="20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86,284</w:t>
            </w:r>
          </w:p>
        </w:tc>
      </w:tr>
      <w:tr>
        <w:trPr>
          <w:trHeight w:val="79"/>
        </w:trPr>
        <w:tc>
          <w:tcPr>
            <w:tcW w:w="4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investing activities:</w:t>
            </w:r>
          </w:p>
        </w:tc>
        <w:tc>
          <w:tcPr>
            <w:tcW w:w="1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tcBorders>
              <w:right w:val="single" w:sz="8" w:color="CCEEFF"/>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Capital expenditures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(160,114)</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(96,442)</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(60,358)</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Government capital programs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4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disbursed</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(7,905)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(9,700)</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(14,965)</w:t>
            </w:r>
          </w:p>
        </w:tc>
      </w:tr>
      <w:tr>
        <w:trPr>
          <w:trHeight w:val="90"/>
        </w:trPr>
        <w:tc>
          <w:tcPr>
            <w:tcW w:w="4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received</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2,853</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7,517</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16,316</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strategic investments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(2,750)</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(6,399)</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(2,768)</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Sale of businesses, net of transferred cash of $0 and $0.9 million, respectively</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1,835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18,597</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Acquisition of business net of cash acquired of $9.4 million and $11.9 million, respectively</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(18,044)</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(340,152)</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Spectrum deposit refund</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1,136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strategic investments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15,745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11,969</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spectrum; including deposits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(1,068)</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(20,396)</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short-term investments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(116)</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sale of assets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1,067</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120</w:t>
            </w:r>
          </w:p>
        </w:tc>
      </w:tr>
      <w:tr>
        <w:trPr>
          <w:trHeight w:val="79"/>
        </w:trPr>
        <w:tc>
          <w:tcPr>
            <w:tcW w:w="4860" w:type="dxa"/>
            <w:vAlign w:val="bottom"/>
            <w:tcBorders>
              <w:bottom w:val="single" w:sz="8" w:color="CCEEFF"/>
            </w:tcBorders>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used in investing activities</w:t>
            </w:r>
          </w:p>
        </w:tc>
        <w:tc>
          <w:tcPr>
            <w:tcW w:w="1260" w:type="dxa"/>
            <w:vAlign w:val="bottom"/>
            <w:tcBorders>
              <w:bottom w:val="single" w:sz="8" w:color="CCEEFF"/>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(167,245)</w:t>
            </w: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jc w:val="right"/>
              <w:ind w:right="78"/>
              <w:spacing w:after="0" w:line="79" w:lineRule="exact"/>
              <w:rPr>
                <w:sz w:val="20"/>
                <w:szCs w:val="20"/>
                <w:color w:val="auto"/>
              </w:rPr>
            </w:pPr>
            <w:r>
              <w:rPr>
                <w:rFonts w:ascii="Times New Roman" w:cs="Times New Roman" w:eastAsia="Times New Roman" w:hAnsi="Times New Roman"/>
                <w:sz w:val="8"/>
                <w:szCs w:val="8"/>
                <w:color w:val="auto"/>
              </w:rPr>
              <w:t>(426,579)</w:t>
            </w:r>
          </w:p>
        </w:tc>
        <w:tc>
          <w:tcPr>
            <w:tcW w:w="20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(70,198)</w:t>
            </w:r>
          </w:p>
        </w:tc>
      </w:tr>
      <w:tr>
        <w:trPr>
          <w:trHeight w:val="79"/>
        </w:trPr>
        <w:tc>
          <w:tcPr>
            <w:tcW w:w="4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financing activities:</w:t>
            </w:r>
          </w:p>
        </w:tc>
        <w:tc>
          <w:tcPr>
            <w:tcW w:w="1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tcBorders>
              <w:right w:val="single" w:sz="8" w:color="CCEEFF"/>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paid on common stock</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(10,708)</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(10,813)</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(10,891)</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Distributions to noncontrolling interests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(3,531)</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(7,468)</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(10,368)</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Payment of debt issuance costs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(873)</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(6,568)</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(1,096)</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Finance lease payment</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(1,069)</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repayments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(5,222)</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(8,758)</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(13,751)</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borrowings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20,000</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210,000</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borrowings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115,250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97,000</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repayments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(72,250)</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(33,500)</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mezzanine equity</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71,533</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customer receivable credit facility</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15,425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37,321</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Repayment of customer receivable credit facility</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(4,960)</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(1,828)</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stock- based compensation</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(1,169)</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(1,713)</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(1,733)</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share repurchase plan</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(942)</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(10,546)</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(6,589)</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exercise of stock options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383</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Investments made by minority shareholders in consolidated affiliates</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22</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Repurchases of noncontrolling interests</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(4,891)</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(13,312)</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(28,939)</w:t>
            </w:r>
          </w:p>
        </w:tc>
      </w:tr>
      <w:tr>
        <w:trPr>
          <w:trHeight w:val="90"/>
        </w:trPr>
        <w:tc>
          <w:tcPr>
            <w:tcW w:w="4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Contingent consideration paid for business acquisition</w:t>
            </w:r>
          </w:p>
        </w:tc>
        <w:tc>
          <w:tcPr>
            <w:tcW w:w="1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(1,718)</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79"/>
        </w:trPr>
        <w:tc>
          <w:tcPr>
            <w:tcW w:w="4860" w:type="dxa"/>
            <w:vAlign w:val="bottom"/>
            <w:tcBorders>
              <w:top w:val="single" w:sz="8" w:color="CCEEFF"/>
            </w:tcBorders>
            <w:shd w:val="clear" w:color="auto" w:fill="CCEEFF"/>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provided by (used in) financing activities</w:t>
            </w:r>
          </w:p>
        </w:tc>
        <w:tc>
          <w:tcPr>
            <w:tcW w:w="12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bottom w:val="single" w:sz="8" w:color="auto"/>
            </w:tcBorders>
            <w:shd w:val="clear" w:color="auto" w:fill="CCEEFF"/>
          </w:tcPr>
          <w:p>
            <w:pPr>
              <w:spacing w:after="0"/>
              <w:rPr>
                <w:sz w:val="6"/>
                <w:szCs w:val="6"/>
                <w:color w:val="auto"/>
              </w:rPr>
            </w:pPr>
          </w:p>
        </w:tc>
        <w:tc>
          <w:tcPr>
            <w:tcW w:w="3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43,364</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bottom w:val="single" w:sz="8" w:color="auto"/>
            </w:tcBorders>
            <w:shd w:val="clear" w:color="auto" w:fill="CCEEFF"/>
          </w:tcPr>
          <w:p>
            <w:pPr>
              <w:spacing w:after="0"/>
              <w:rPr>
                <w:sz w:val="6"/>
                <w:szCs w:val="6"/>
                <w:color w:val="auto"/>
              </w:rPr>
            </w:pPr>
          </w:p>
        </w:tc>
        <w:tc>
          <w:tcPr>
            <w:tcW w:w="780" w:type="dxa"/>
            <w:vAlign w:val="bottom"/>
            <w:tcBorders>
              <w:top w:val="single" w:sz="8" w:color="auto"/>
              <w:bottom w:val="single" w:sz="8" w:color="auto"/>
              <w:right w:val="single" w:sz="8" w:color="CCEEFF"/>
            </w:tcBorders>
            <w:shd w:val="clear" w:color="auto" w:fill="CCEEFF"/>
          </w:tcPr>
          <w:p>
            <w:pPr>
              <w:jc w:val="right"/>
              <w:ind w:right="98"/>
              <w:spacing w:after="0" w:line="79" w:lineRule="exact"/>
              <w:rPr>
                <w:sz w:val="20"/>
                <w:szCs w:val="20"/>
                <w:color w:val="auto"/>
              </w:rPr>
            </w:pPr>
            <w:r>
              <w:rPr>
                <w:rFonts w:ascii="Times New Roman" w:cs="Times New Roman" w:eastAsia="Times New Roman" w:hAnsi="Times New Roman"/>
                <w:sz w:val="8"/>
                <w:szCs w:val="8"/>
                <w:color w:val="auto"/>
              </w:rPr>
              <w:t>321,731</w:t>
            </w: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600" w:type="dxa"/>
            <w:vAlign w:val="bottom"/>
            <w:tcBorders>
              <w:top w:val="single" w:sz="8" w:color="CCEEFF"/>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(73,367)</w:t>
            </w:r>
          </w:p>
        </w:tc>
      </w:tr>
      <w:tr>
        <w:trPr>
          <w:trHeight w:val="79"/>
        </w:trPr>
        <w:tc>
          <w:tcPr>
            <w:tcW w:w="486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Effect of foreign currency exchange rates on cash and cash equivalents</w:t>
            </w:r>
          </w:p>
        </w:tc>
        <w:tc>
          <w:tcPr>
            <w:tcW w:w="1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right"/>
              <w:ind w:right="98"/>
              <w:spacing w:after="0" w:line="79"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6"/>
                <w:szCs w:val="6"/>
                <w:color w:val="auto"/>
              </w:rPr>
            </w:pP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(80)</w:t>
            </w:r>
          </w:p>
        </w:tc>
      </w:tr>
      <w:tr>
        <w:trPr>
          <w:trHeight w:val="90"/>
        </w:trPr>
        <w:tc>
          <w:tcPr>
            <w:tcW w:w="486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change in cash, cash equivalents, and restricted cash</w:t>
            </w:r>
          </w:p>
        </w:tc>
        <w:tc>
          <w:tcPr>
            <w:tcW w:w="1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(20,969)</w:t>
            </w: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(24,300)</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(57,361)</w:t>
            </w:r>
          </w:p>
        </w:tc>
      </w:tr>
      <w:tr>
        <w:trPr>
          <w:trHeight w:val="90"/>
        </w:trPr>
        <w:tc>
          <w:tcPr>
            <w:tcW w:w="4860" w:type="dxa"/>
            <w:vAlign w:val="bottom"/>
            <w:tcBorders>
              <w:bottom w:val="single" w:sz="8" w:color="CCEEFF"/>
            </w:tcBorders>
          </w:tcPr>
          <w:p>
            <w:pPr>
              <w:spacing w:after="0" w:line="90" w:lineRule="exact"/>
              <w:rPr>
                <w:sz w:val="20"/>
                <w:szCs w:val="20"/>
                <w:color w:val="auto"/>
              </w:rPr>
            </w:pPr>
            <w:r>
              <w:rPr>
                <w:rFonts w:ascii="Times New Roman" w:cs="Times New Roman" w:eastAsia="Times New Roman" w:hAnsi="Times New Roman"/>
                <w:sz w:val="8"/>
                <w:szCs w:val="8"/>
                <w:color w:val="auto"/>
              </w:rPr>
              <w:t>Total cash, cash equivalents, and restricted cash, beginning of period</w:t>
            </w:r>
          </w:p>
        </w:tc>
        <w:tc>
          <w:tcPr>
            <w:tcW w:w="126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80,697</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104,997</w:t>
            </w: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162,358</w:t>
            </w:r>
          </w:p>
        </w:tc>
      </w:tr>
      <w:tr>
        <w:trPr>
          <w:trHeight w:val="99"/>
        </w:trPr>
        <w:tc>
          <w:tcPr>
            <w:tcW w:w="4860" w:type="dxa"/>
            <w:vAlign w:val="bottom"/>
            <w:tcBorders>
              <w:bottom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Total cash, cash equivalents, and restricted cash, end of period</w:t>
            </w:r>
          </w:p>
        </w:tc>
        <w:tc>
          <w:tcPr>
            <w:tcW w:w="126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59,728</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right w:val="single" w:sz="8" w:color="CCEEFF"/>
            </w:tcBorders>
            <w:shd w:val="clear" w:color="auto" w:fill="CCEEFF"/>
          </w:tcPr>
          <w:p>
            <w:pPr>
              <w:jc w:val="right"/>
              <w:ind w:right="98"/>
              <w:spacing w:after="0" w:line="79" w:lineRule="exact"/>
              <w:rPr>
                <w:sz w:val="20"/>
                <w:szCs w:val="20"/>
                <w:color w:val="auto"/>
              </w:rPr>
            </w:pPr>
            <w:r>
              <w:rPr>
                <w:rFonts w:ascii="Times New Roman" w:cs="Times New Roman" w:eastAsia="Times New Roman" w:hAnsi="Times New Roman"/>
                <w:sz w:val="8"/>
                <w:szCs w:val="8"/>
                <w:color w:val="auto"/>
              </w:rPr>
              <w:t>80,697</w:t>
            </w: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104,997</w:t>
            </w:r>
          </w:p>
        </w:tc>
      </w:tr>
      <w:tr>
        <w:trPr>
          <w:trHeight w:val="77"/>
        </w:trPr>
        <w:tc>
          <w:tcPr>
            <w:tcW w:w="4860" w:type="dxa"/>
            <w:vAlign w:val="bottom"/>
          </w:tcPr>
          <w:p>
            <w:pPr>
              <w:spacing w:after="0" w:line="77" w:lineRule="exact"/>
              <w:rPr>
                <w:sz w:val="20"/>
                <w:szCs w:val="20"/>
                <w:color w:val="auto"/>
              </w:rPr>
            </w:pPr>
            <w:r>
              <w:rPr>
                <w:rFonts w:ascii="Times New Roman" w:cs="Times New Roman" w:eastAsia="Times New Roman" w:hAnsi="Times New Roman"/>
                <w:sz w:val="8"/>
                <w:szCs w:val="8"/>
                <w:color w:val="auto"/>
              </w:rPr>
              <w:t>Supplemental cash flow information:</w:t>
            </w:r>
          </w:p>
        </w:tc>
        <w:tc>
          <w:tcPr>
            <w:tcW w:w="1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11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Interest paid</w:t>
            </w:r>
          </w:p>
        </w:tc>
        <w:tc>
          <w:tcPr>
            <w:tcW w:w="1780" w:type="dxa"/>
            <w:vAlign w:val="bottom"/>
            <w:gridSpan w:val="2"/>
            <w:shd w:val="clear" w:color="auto" w:fill="CCEEFF"/>
          </w:tcPr>
          <w:p>
            <w:pPr>
              <w:jc w:val="right"/>
              <w:ind w:right="451"/>
              <w:spacing w:after="0" w:line="90"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19,924</w:t>
            </w:r>
          </w:p>
        </w:tc>
        <w:tc>
          <w:tcPr>
            <w:tcW w:w="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34"/>
              <w:spacing w:after="0" w:line="90" w:lineRule="exact"/>
              <w:rPr>
                <w:sz w:val="20"/>
                <w:szCs w:val="20"/>
                <w:color w:val="auto"/>
              </w:rPr>
            </w:pPr>
            <w:r>
              <w:rPr>
                <w:rFonts w:ascii="Times New Roman" w:cs="Times New Roman" w:eastAsia="Times New Roman" w:hAnsi="Times New Roman"/>
                <w:sz w:val="8"/>
                <w:szCs w:val="8"/>
                <w:color w:val="auto"/>
              </w:rPr>
              <w:t>$</w:t>
            </w: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8,231</w:t>
            </w:r>
          </w:p>
        </w:tc>
        <w:tc>
          <w:tcPr>
            <w:tcW w:w="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4,829</w:t>
            </w:r>
          </w:p>
        </w:tc>
      </w:tr>
      <w:tr>
        <w:trPr>
          <w:trHeight w:val="84"/>
        </w:trPr>
        <w:tc>
          <w:tcPr>
            <w:tcW w:w="4860" w:type="dxa"/>
            <w:vAlign w:val="bottom"/>
            <w:tcBorders>
              <w:top w:val="single" w:sz="8" w:color="CCEEFF"/>
              <w:bottom w:val="single" w:sz="8" w:color="CCEEFF"/>
            </w:tcBorders>
          </w:tcPr>
          <w:p>
            <w:pPr>
              <w:ind w:left="140"/>
              <w:spacing w:after="0" w:line="77" w:lineRule="exact"/>
              <w:rPr>
                <w:sz w:val="20"/>
                <w:szCs w:val="20"/>
                <w:color w:val="auto"/>
              </w:rPr>
            </w:pPr>
            <w:r>
              <w:rPr>
                <w:rFonts w:ascii="Times New Roman" w:cs="Times New Roman" w:eastAsia="Times New Roman" w:hAnsi="Times New Roman"/>
                <w:sz w:val="8"/>
                <w:szCs w:val="8"/>
                <w:color w:val="auto"/>
              </w:rPr>
              <w:t>Taxes paid</w:t>
            </w:r>
          </w:p>
        </w:tc>
        <w:tc>
          <w:tcPr>
            <w:tcW w:w="1260" w:type="dxa"/>
            <w:vAlign w:val="bottom"/>
            <w:tcBorders>
              <w:top w:val="single" w:sz="8" w:color="CCEEFF"/>
              <w:bottom w:val="single" w:sz="8" w:color="CCEEFF"/>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3,241</w:t>
            </w:r>
          </w:p>
        </w:tc>
        <w:tc>
          <w:tcPr>
            <w:tcW w:w="80" w:type="dxa"/>
            <w:vAlign w:val="bottom"/>
            <w:tcBorders>
              <w:top w:val="single" w:sz="8" w:color="CCEEFF"/>
              <w:bottom w:val="single" w:sz="8" w:color="CCEEFF"/>
            </w:tcBorders>
          </w:tcPr>
          <w:p>
            <w:pPr>
              <w:spacing w:after="0"/>
              <w:rPr>
                <w:sz w:val="7"/>
                <w:szCs w:val="7"/>
                <w:color w:val="auto"/>
              </w:rPr>
            </w:pPr>
          </w:p>
        </w:tc>
        <w:tc>
          <w:tcPr>
            <w:tcW w:w="120" w:type="dxa"/>
            <w:vAlign w:val="bottom"/>
            <w:tcBorders>
              <w:top w:val="single" w:sz="8" w:color="CCEEFF"/>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ind w:right="98"/>
              <w:spacing w:after="0" w:line="77" w:lineRule="exact"/>
              <w:rPr>
                <w:sz w:val="20"/>
                <w:szCs w:val="20"/>
                <w:color w:val="auto"/>
              </w:rPr>
            </w:pPr>
            <w:r>
              <w:rPr>
                <w:rFonts w:ascii="Times New Roman" w:cs="Times New Roman" w:eastAsia="Times New Roman" w:hAnsi="Times New Roman"/>
                <w:sz w:val="8"/>
                <w:szCs w:val="8"/>
                <w:color w:val="auto"/>
              </w:rPr>
              <w:t>3,969</w:t>
            </w: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6,117</w:t>
            </w:r>
          </w:p>
        </w:tc>
      </w:tr>
      <w:tr>
        <w:trPr>
          <w:trHeight w:val="110"/>
        </w:trPr>
        <w:tc>
          <w:tcPr>
            <w:tcW w:w="4860" w:type="dxa"/>
            <w:vAlign w:val="bottom"/>
            <w:tcBorders>
              <w:bottom w:val="single" w:sz="8" w:color="CCEEFF"/>
            </w:tcBorders>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declared, not paid</w:t>
            </w:r>
          </w:p>
        </w:tc>
        <w:tc>
          <w:tcPr>
            <w:tcW w:w="12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3,310</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2,672</w:t>
            </w: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2,703</w:t>
            </w:r>
          </w:p>
        </w:tc>
      </w:tr>
      <w:tr>
        <w:trPr>
          <w:trHeight w:val="77"/>
        </w:trPr>
        <w:tc>
          <w:tcPr>
            <w:tcW w:w="4860" w:type="dxa"/>
            <w:vAlign w:val="bottom"/>
          </w:tcPr>
          <w:p>
            <w:pPr>
              <w:spacing w:after="0" w:line="77" w:lineRule="exact"/>
              <w:rPr>
                <w:sz w:val="20"/>
                <w:szCs w:val="20"/>
                <w:color w:val="auto"/>
              </w:rPr>
            </w:pPr>
            <w:r>
              <w:rPr>
                <w:rFonts w:ascii="Times New Roman" w:cs="Times New Roman" w:eastAsia="Times New Roman" w:hAnsi="Times New Roman"/>
                <w:sz w:val="8"/>
                <w:szCs w:val="8"/>
                <w:color w:val="auto"/>
              </w:rPr>
              <w:t>Noncash investing activity:</w:t>
            </w:r>
          </w:p>
        </w:tc>
        <w:tc>
          <w:tcPr>
            <w:tcW w:w="1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0"/>
        </w:trPr>
        <w:tc>
          <w:tcPr>
            <w:tcW w:w="4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property, plant and equipment included in accounts payable and accrued expenses</w:t>
            </w:r>
          </w:p>
        </w:tc>
        <w:tc>
          <w:tcPr>
            <w:tcW w:w="1780" w:type="dxa"/>
            <w:vAlign w:val="bottom"/>
            <w:gridSpan w:val="2"/>
            <w:shd w:val="clear" w:color="auto" w:fill="CCEEFF"/>
          </w:tcPr>
          <w:p>
            <w:pPr>
              <w:jc w:val="right"/>
              <w:ind w:right="451"/>
              <w:spacing w:after="0" w:line="90"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27,811</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134"/>
              <w:spacing w:after="0" w:line="90" w:lineRule="exact"/>
              <w:rPr>
                <w:sz w:val="20"/>
                <w:szCs w:val="20"/>
                <w:color w:val="auto"/>
              </w:rPr>
            </w:pPr>
            <w:r>
              <w:rPr>
                <w:rFonts w:ascii="Times New Roman" w:cs="Times New Roman" w:eastAsia="Times New Roman" w:hAnsi="Times New Roman"/>
                <w:sz w:val="8"/>
                <w:szCs w:val="8"/>
                <w:color w:val="auto"/>
              </w:rPr>
              <w:t>$</w:t>
            </w:r>
          </w:p>
        </w:tc>
        <w:tc>
          <w:tcPr>
            <w:tcW w:w="780" w:type="dxa"/>
            <w:vAlign w:val="bottom"/>
            <w:tcBorders>
              <w:right w:val="single" w:sz="8" w:color="CCEEFF"/>
            </w:tcBorders>
            <w:shd w:val="clear" w:color="auto" w:fill="CCEEFF"/>
          </w:tcPr>
          <w:p>
            <w:pPr>
              <w:jc w:val="right"/>
              <w:ind w:right="98"/>
              <w:spacing w:after="0" w:line="90" w:lineRule="exact"/>
              <w:rPr>
                <w:sz w:val="20"/>
                <w:szCs w:val="20"/>
                <w:color w:val="auto"/>
              </w:rPr>
            </w:pPr>
            <w:r>
              <w:rPr>
                <w:rFonts w:ascii="Times New Roman" w:cs="Times New Roman" w:eastAsia="Times New Roman" w:hAnsi="Times New Roman"/>
                <w:sz w:val="8"/>
                <w:szCs w:val="8"/>
                <w:color w:val="auto"/>
              </w:rPr>
              <w:t>22,093</w:t>
            </w:r>
          </w:p>
        </w:tc>
        <w:tc>
          <w:tcPr>
            <w:tcW w:w="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21,746</w:t>
            </w:r>
          </w:p>
        </w:tc>
      </w:tr>
      <w:tr>
        <w:trPr>
          <w:trHeight w:val="27"/>
        </w:trPr>
        <w:tc>
          <w:tcPr>
            <w:tcW w:w="48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7"/>
          <w:szCs w:val="7"/>
          <w:color w:val="auto"/>
        </w:rPr>
        <w:t>The accompanying notes are an integral part of these consolidated financial statements.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ORGANIZATION AND BUSINESS OPERATIONS</w:t>
      </w:r>
    </w:p>
    <w:p>
      <w:pPr>
        <w:spacing w:after="0" w:line="181" w:lineRule="exact"/>
        <w:rPr>
          <w:sz w:val="20"/>
          <w:szCs w:val="20"/>
          <w:color w:val="auto"/>
        </w:rPr>
      </w:pPr>
    </w:p>
    <w:p>
      <w:pPr>
        <w:jc w:val="both"/>
        <w:ind w:left="40" w:right="79" w:firstLine="317"/>
        <w:spacing w:after="0" w:line="260" w:lineRule="auto"/>
        <w:rPr>
          <w:sz w:val="20"/>
          <w:szCs w:val="20"/>
          <w:color w:val="auto"/>
        </w:rPr>
      </w:pPr>
      <w:r>
        <w:rPr>
          <w:rFonts w:ascii="Times New Roman" w:cs="Times New Roman" w:eastAsia="Times New Roman" w:hAnsi="Times New Roman"/>
          <w:sz w:val="12"/>
          <w:szCs w:val="12"/>
          <w:color w:val="auto"/>
        </w:rPr>
        <w:t>The Company provides digital infrastructure and communications services in the United States and internationally, including in the Caribbean region, with a focus on smaller markets, many of which are rural or remote, with a growing demand for infrastructure investments, Through its operating subsidiaries, it primarily provides: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40" w:lineRule="exact"/>
        <w:rPr>
          <w:sz w:val="20"/>
          <w:szCs w:val="20"/>
          <w:color w:val="auto"/>
        </w:rPr>
      </w:pPr>
    </w:p>
    <w:p>
      <w:pPr>
        <w:jc w:val="both"/>
        <w:ind w:left="40" w:right="179" w:firstLine="317"/>
        <w:spacing w:after="0" w:line="254" w:lineRule="auto"/>
        <w:rPr>
          <w:sz w:val="20"/>
          <w:szCs w:val="20"/>
          <w:color w:val="auto"/>
        </w:rPr>
      </w:pPr>
      <w:r>
        <w:rPr>
          <w:rFonts w:ascii="Times New Roman" w:cs="Times New Roman" w:eastAsia="Times New Roman" w:hAnsi="Times New Roman"/>
          <w:sz w:val="12"/>
          <w:szCs w:val="12"/>
          <w:color w:val="auto"/>
        </w:rPr>
        <w:t>At the holding company level, the Company oversees the allocation of capital within and among its subsidiaries, affiliates, new investments, and stockholders. The Company has developed significant operational expertise and resources that it uses to augment the capabilities of its individual operating subsidiaries in its local markets. The Company has built a platform of resources and expertise to support its operating subsidiaries and to improve their quality of service with greater economies of scale and expertise than would typically be available at the operating subsidiary level. The Company provides management, technical, financial, regulatory, and marketing services to its operating subsidiaries and typically receive a management fee calculated as a percentage of their revenues, which is eliminated in consolidation. The Company also actively evaluates potential acquisitions, investment opportunities and other strategic transactions, both domestic and international, and generally look for those that it believes fit the Company’s profile of telecommunications businesses and have the potential to complement its “glass and steel” and “first to fiber”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December 31, 2022, the Company offered the following types of services to its customers:</w:t>
      </w:r>
    </w:p>
    <w:p>
      <w:pPr>
        <w:spacing w:after="0" w:line="101" w:lineRule="exact"/>
        <w:rPr>
          <w:sz w:val="20"/>
          <w:szCs w:val="20"/>
          <w:color w:val="auto"/>
        </w:rPr>
      </w:pPr>
    </w:p>
    <w:p>
      <w:pPr>
        <w:ind w:left="800" w:right="99" w:hanging="218"/>
        <w:spacing w:after="0" w:line="286" w:lineRule="auto"/>
        <w:tabs>
          <w:tab w:leader="none" w:pos="8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Mobility Telecommunications Services</w:t>
      </w:r>
      <w:r>
        <w:rPr>
          <w:rFonts w:ascii="Times New Roman" w:cs="Times New Roman" w:eastAsia="Times New Roman" w:hAnsi="Times New Roman"/>
          <w:sz w:val="12"/>
          <w:szCs w:val="12"/>
          <w:color w:val="auto"/>
        </w:rPr>
        <w:t>. The Company offers mobile communications services over its wireless networks and related equipment (such as handsets)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both its business 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8"/>
        <w:spacing w:after="0" w:line="268" w:lineRule="auto"/>
        <w:tabs>
          <w:tab w:leader="none" w:pos="8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The Company provides fixed data and voice telecommunications services to business and consumer customers. These services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include consumer broadband and high 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8"/>
        <w:spacing w:after="0" w:line="286" w:lineRule="auto"/>
        <w:tabs>
          <w:tab w:leader="none" w:pos="8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The Company delivers services to other telecommunications providers such as the leasing of critical network infrastructure,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wholesale roaming,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299" w:hanging="218"/>
        <w:spacing w:after="0" w:line="286" w:lineRule="auto"/>
        <w:tabs>
          <w:tab w:leader="none" w:pos="8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The Company provides information technology services such as network, application, infrastructure and hosting services to both its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customers to complement its fixed services in its existing markets.</w:t>
      </w:r>
    </w:p>
    <w:p>
      <w:pPr>
        <w:spacing w:after="0" w:line="107" w:lineRule="exact"/>
        <w:rPr>
          <w:sz w:val="20"/>
          <w:szCs w:val="20"/>
          <w:color w:val="auto"/>
        </w:rPr>
      </w:pPr>
    </w:p>
    <w:p>
      <w:pPr>
        <w:ind w:left="40" w:right="219" w:firstLine="317"/>
        <w:spacing w:after="0" w:line="279" w:lineRule="auto"/>
        <w:rPr>
          <w:sz w:val="20"/>
          <w:szCs w:val="20"/>
          <w:color w:val="auto"/>
        </w:rPr>
      </w:pPr>
      <w:r>
        <w:rPr>
          <w:rFonts w:ascii="Times New Roman" w:cs="Times New Roman" w:eastAsia="Times New Roman" w:hAnsi="Times New Roman"/>
          <w:sz w:val="12"/>
          <w:szCs w:val="12"/>
          <w:color w:val="auto"/>
        </w:rPr>
        <w:t>Through December 31, 2022, the Company had identified two operating segments to manage and review its operations and to facilitate investor presentations of the Company’s results. These operating segments are as follows:</w:t>
      </w:r>
    </w:p>
    <w:p>
      <w:pPr>
        <w:spacing w:after="0" w:line="107" w:lineRule="exact"/>
        <w:rPr>
          <w:sz w:val="20"/>
          <w:szCs w:val="20"/>
          <w:color w:val="auto"/>
        </w:rPr>
      </w:pPr>
    </w:p>
    <w:p>
      <w:pPr>
        <w:ind w:left="800" w:right="59" w:hanging="209"/>
        <w:spacing w:after="0" w:line="286" w:lineRule="auto"/>
        <w:tabs>
          <w:tab w:leader="none" w:pos="8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the Company’s international markets, it offers fixed services, services mobility services, carrier services and managed services to customers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Bermuda, the Cayman Islands, Guyana and the US Virgin Islands.</w:t>
      </w:r>
    </w:p>
    <w:p>
      <w:pPr>
        <w:spacing w:after="0" w:line="103" w:lineRule="exact"/>
        <w:rPr>
          <w:rFonts w:ascii="Times New Roman" w:cs="Times New Roman" w:eastAsia="Times New Roman" w:hAnsi="Times New Roman"/>
          <w:sz w:val="12"/>
          <w:szCs w:val="12"/>
          <w:color w:val="auto"/>
        </w:rPr>
      </w:pPr>
    </w:p>
    <w:p>
      <w:pPr>
        <w:ind w:left="800" w:right="359" w:hanging="209"/>
        <w:spacing w:after="0" w:line="334" w:lineRule="auto"/>
        <w:tabs>
          <w:tab w:leader="none" w:pos="80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i w:val="1"/>
          <w:iCs w:val="1"/>
          <w:color w:val="auto"/>
        </w:rPr>
        <w:t xml:space="preserve">US Telecom. </w:t>
      </w:r>
      <w:r>
        <w:rPr>
          <w:rFonts w:ascii="Times New Roman" w:cs="Times New Roman" w:eastAsia="Times New Roman" w:hAnsi="Times New Roman"/>
          <w:sz w:val="11"/>
          <w:szCs w:val="11"/>
          <w:color w:val="auto"/>
        </w:rPr>
        <w:t>In the United States, the Company offers fixed services, carrier services, and managed services to business and consumer customers in Alaska and the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western United States. As of December 31, 2022, the Company discontinued providing private network services to retail customers in the western United States.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the Company’s principal subsidiaries, the segments in which it reports its revenue and the markets it served as of</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December 31, 2022:</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Segment</w:t>
            </w:r>
          </w:p>
        </w:tc>
        <w:tc>
          <w:tcPr>
            <w:tcW w:w="120" w:type="dxa"/>
            <w:vAlign w:val="bottom"/>
          </w:tcPr>
          <w:p>
            <w:pPr>
              <w:spacing w:after="0"/>
              <w:rPr>
                <w:sz w:val="10"/>
                <w:szCs w:val="10"/>
                <w:color w:val="auto"/>
              </w:rPr>
            </w:pPr>
          </w:p>
        </w:tc>
        <w:tc>
          <w:tcPr>
            <w:tcW w:w="2360" w:type="dxa"/>
            <w:vAlign w:val="bottom"/>
          </w:tcPr>
          <w:p>
            <w:pPr>
              <w:ind w:left="102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140" w:type="dxa"/>
            <w:vAlign w:val="bottom"/>
          </w:tcPr>
          <w:p>
            <w:pPr>
              <w:spacing w:after="0"/>
              <w:rPr>
                <w:sz w:val="10"/>
                <w:szCs w:val="10"/>
                <w:color w:val="auto"/>
              </w:rPr>
            </w:pPr>
          </w:p>
        </w:tc>
        <w:tc>
          <w:tcPr>
            <w:tcW w:w="2600" w:type="dxa"/>
            <w:vAlign w:val="bottom"/>
            <w:gridSpan w:val="2"/>
          </w:tcPr>
          <w:p>
            <w:pPr>
              <w:ind w:left="1060"/>
              <w:spacing w:after="0"/>
              <w:rPr>
                <w:sz w:val="20"/>
                <w:szCs w:val="20"/>
                <w:color w:val="auto"/>
              </w:rPr>
            </w:pPr>
            <w:r>
              <w:rPr>
                <w:rFonts w:ascii="Times New Roman" w:cs="Times New Roman" w:eastAsia="Times New Roman" w:hAnsi="Times New Roman"/>
                <w:sz w:val="10"/>
                <w:szCs w:val="10"/>
                <w:b w:val="1"/>
                <w:bCs w:val="1"/>
                <w:color w:val="auto"/>
              </w:rPr>
              <w:t>Markets</w:t>
            </w:r>
          </w:p>
        </w:tc>
        <w:tc>
          <w:tcPr>
            <w:tcW w:w="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Tradenames</w:t>
            </w:r>
          </w:p>
        </w:tc>
      </w:tr>
      <w:tr>
        <w:trPr>
          <w:trHeight w:val="133"/>
        </w:trPr>
        <w:tc>
          <w:tcPr>
            <w:tcW w:w="2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International Telecom</w:t>
            </w:r>
          </w:p>
        </w:tc>
        <w:tc>
          <w:tcPr>
            <w:tcW w:w="12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 Islands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40" w:type="dxa"/>
            <w:vAlign w:val="bottom"/>
          </w:tcPr>
          <w:p>
            <w:pPr>
              <w:spacing w:after="0"/>
              <w:rPr>
                <w:sz w:val="11"/>
                <w:szCs w:val="11"/>
                <w:color w:val="auto"/>
              </w:rPr>
            </w:pPr>
          </w:p>
        </w:tc>
        <w:tc>
          <w:tcPr>
            <w:tcW w:w="2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74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Bermuda, Cayman Islands, Guyana, US Virgin</w:t>
            </w:r>
          </w:p>
        </w:tc>
        <w:tc>
          <w:tcPr>
            <w:tcW w:w="1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r>
      <w:tr>
        <w:trPr>
          <w:trHeight w:val="155"/>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Islands</w:t>
            </w: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4"/>
        </w:trPr>
        <w:tc>
          <w:tcPr>
            <w:tcW w:w="224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Carrier Services</w:t>
            </w: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Bermuda, Guyana, US Virgin Islands</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40" w:type="dxa"/>
            <w:vAlign w:val="bottom"/>
          </w:tcPr>
          <w:p>
            <w:pPr>
              <w:spacing w:after="0"/>
              <w:rPr>
                <w:sz w:val="11"/>
                <w:szCs w:val="11"/>
                <w:color w:val="auto"/>
              </w:rPr>
            </w:pPr>
          </w:p>
        </w:tc>
        <w:tc>
          <w:tcPr>
            <w:tcW w:w="2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74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Bermuda, Cayman Islands, US Virgin Islands,</w:t>
            </w:r>
          </w:p>
        </w:tc>
        <w:tc>
          <w:tcPr>
            <w:tcW w:w="1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Fireminds, One, Logic, GTT,</w:t>
            </w:r>
          </w:p>
        </w:tc>
      </w:tr>
      <w:tr>
        <w:trPr>
          <w:trHeight w:val="155"/>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Guyana</w:t>
            </w:r>
          </w:p>
        </w:tc>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Viya</w:t>
            </w:r>
          </w:p>
        </w:tc>
      </w:tr>
      <w:tr>
        <w:trPr>
          <w:trHeight w:val="122"/>
        </w:trPr>
        <w:tc>
          <w:tcPr>
            <w:tcW w:w="224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US Telecom</w:t>
            </w:r>
          </w:p>
        </w:tc>
        <w:tc>
          <w:tcPr>
            <w:tcW w:w="120" w:type="dxa"/>
            <w:vAlign w:val="bottom"/>
            <w:tcBorders>
              <w:top w:val="single" w:sz="8" w:color="CCEEFF"/>
            </w:tcBorders>
            <w:shd w:val="clear" w:color="auto" w:fill="CCEEFF"/>
          </w:tcPr>
          <w:p>
            <w:pPr>
              <w:spacing w:after="0"/>
              <w:rPr>
                <w:sz w:val="10"/>
                <w:szCs w:val="10"/>
                <w:color w:val="auto"/>
              </w:rPr>
            </w:pPr>
          </w:p>
        </w:tc>
        <w:tc>
          <w:tcPr>
            <w:tcW w:w="23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0"/>
                <w:szCs w:val="10"/>
                <w:color w:val="auto"/>
              </w:rPr>
            </w:pPr>
          </w:p>
        </w:tc>
        <w:tc>
          <w:tcPr>
            <w:tcW w:w="24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 markets)</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Choice, Choice NTUA</w:t>
            </w:r>
          </w:p>
        </w:tc>
      </w:tr>
      <w:tr>
        <w:trPr>
          <w:trHeight w:val="155"/>
        </w:trPr>
        <w:tc>
          <w:tcPr>
            <w:tcW w:w="2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Wireless</w:t>
            </w:r>
          </w:p>
        </w:tc>
      </w:tr>
      <w:tr>
        <w:trPr>
          <w:trHeight w:val="133"/>
        </w:trPr>
        <w:tc>
          <w:tcPr>
            <w:tcW w:w="2240" w:type="dxa"/>
            <w:vAlign w:val="bottom"/>
          </w:tcPr>
          <w:p>
            <w:pPr>
              <w:spacing w:after="0"/>
              <w:rPr>
                <w:sz w:val="11"/>
                <w:szCs w:val="11"/>
                <w:color w:val="auto"/>
              </w:rPr>
            </w:pPr>
          </w:p>
        </w:tc>
        <w:tc>
          <w:tcPr>
            <w:tcW w:w="2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74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44"/>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Commnet, Choice, Choice</w:t>
            </w:r>
          </w:p>
        </w:tc>
      </w:tr>
      <w:tr>
        <w:trPr>
          <w:trHeight w:val="144"/>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NTUA Wireless, Sacred Wind</w:t>
            </w:r>
          </w:p>
        </w:tc>
      </w:tr>
      <w:tr>
        <w:trPr>
          <w:trHeight w:val="155"/>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Communications, Ethos</w:t>
            </w:r>
          </w:p>
        </w:tc>
      </w:tr>
      <w:tr>
        <w:trPr>
          <w:trHeight w:val="133"/>
        </w:trPr>
        <w:tc>
          <w:tcPr>
            <w:tcW w:w="224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740" w:type="dxa"/>
            <w:vAlign w:val="bottom"/>
            <w:gridSpan w:val="3"/>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44"/>
        </w:trPr>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Commnet, Essextel, Sacred</w:t>
            </w:r>
          </w:p>
        </w:tc>
      </w:tr>
      <w:tr>
        <w:trPr>
          <w:trHeight w:val="155"/>
        </w:trPr>
        <w:tc>
          <w:tcPr>
            <w:tcW w:w="2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Wind Communications</w:t>
            </w:r>
          </w:p>
        </w:tc>
      </w:tr>
      <w:tr>
        <w:trPr>
          <w:trHeight w:val="133"/>
        </w:trPr>
        <w:tc>
          <w:tcPr>
            <w:tcW w:w="2240" w:type="dxa"/>
            <w:vAlign w:val="bottom"/>
          </w:tcPr>
          <w:p>
            <w:pPr>
              <w:spacing w:after="0"/>
              <w:rPr>
                <w:sz w:val="11"/>
                <w:szCs w:val="11"/>
                <w:color w:val="auto"/>
              </w:rPr>
            </w:pPr>
          </w:p>
        </w:tc>
        <w:tc>
          <w:tcPr>
            <w:tcW w:w="2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74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55"/>
        </w:trPr>
        <w:tc>
          <w:tcPr>
            <w:tcW w:w="2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Choice</w:t>
            </w: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81"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the Company, its majority-owned subsidiaries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146"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 xml:space="preserve">Certain reclassifications have been made to the December 31, 2020 financial statements to conform to the December 31, 2021 and 2022 presentation. Such reclassifications include the disaggregation of revenue and costs of revenue to separately reflect </w:t>
      </w:r>
      <w:r>
        <w:rPr>
          <w:rFonts w:ascii="Times New Roman" w:cs="Times New Roman" w:eastAsia="Times New Roman" w:hAnsi="Times New Roman"/>
          <w:sz w:val="12"/>
          <w:szCs w:val="12"/>
          <w:i w:val="1"/>
          <w:iCs w:val="1"/>
          <w:color w:val="auto"/>
        </w:rPr>
        <w:t>Construction Revenue</w:t>
      </w:r>
      <w:r>
        <w:rPr>
          <w:rFonts w:ascii="Times New Roman" w:cs="Times New Roman" w:eastAsia="Times New Roman" w:hAnsi="Times New Roman"/>
          <w:sz w:val="12"/>
          <w:szCs w:val="12"/>
          <w:color w:val="auto"/>
        </w:rPr>
        <w:t xml:space="preserve"> and the related </w:t>
      </w:r>
      <w:r>
        <w:rPr>
          <w:rFonts w:ascii="Times New Roman" w:cs="Times New Roman" w:eastAsia="Times New Roman" w:hAnsi="Times New Roman"/>
          <w:sz w:val="12"/>
          <w:szCs w:val="12"/>
          <w:i w:val="1"/>
          <w:iCs w:val="1"/>
          <w:color w:val="auto"/>
        </w:rPr>
        <w:t>Cost of Construction Revenue</w:t>
      </w:r>
      <w:r>
        <w:rPr>
          <w:rFonts w:ascii="Times New Roman" w:cs="Times New Roman" w:eastAsia="Times New Roman" w:hAnsi="Times New Roman"/>
          <w:sz w:val="12"/>
          <w:szCs w:val="12"/>
          <w:color w:val="auto"/>
        </w:rPr>
        <w:t xml:space="preserve"> on the Company’s income statement. On the balance sheet, amounts due to the Company under the FirstNet Agreement have been segregated as </w:t>
      </w:r>
      <w:r>
        <w:rPr>
          <w:rFonts w:ascii="Times New Roman" w:cs="Times New Roman" w:eastAsia="Times New Roman" w:hAnsi="Times New Roman"/>
          <w:sz w:val="12"/>
          <w:szCs w:val="12"/>
          <w:i w:val="1"/>
          <w:iCs w:val="1"/>
          <w:color w:val="auto"/>
        </w:rPr>
        <w:t>Customer Receivable</w:t>
      </w:r>
      <w:r>
        <w:rPr>
          <w:rFonts w:ascii="Times New Roman" w:cs="Times New Roman" w:eastAsia="Times New Roman" w:hAnsi="Times New Roman"/>
          <w:sz w:val="12"/>
          <w:szCs w:val="12"/>
          <w:color w:val="auto"/>
        </w:rPr>
        <w:t xml:space="preserve"> (within both the current and long-term asset sections of the balance sheet) and Customer Relationships, net are now included with Trade Names, net within </w:t>
      </w:r>
      <w:r>
        <w:rPr>
          <w:rFonts w:ascii="Times New Roman" w:cs="Times New Roman" w:eastAsia="Times New Roman" w:hAnsi="Times New Roman"/>
          <w:sz w:val="12"/>
          <w:szCs w:val="12"/>
          <w:i w:val="1"/>
          <w:iCs w:val="1"/>
          <w:color w:val="auto"/>
        </w:rPr>
        <w:t>Intangible assets, net</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accounting principles generally accepted in the United States requires management to make estimates and assumptions that affect the reported amounts of assets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172"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Company considers all investments with an original maturity of three months or less at date of purchase to be cash equivalents. The Company places its cash and temporary investments with banks and other institutions that it believes have a high credit quality. At December 31, 2022, the Company had $17.9 million of its cash on deposit with noninsured institutions such as corporate money market issuers and cash held in foreign banks. The Company’s cash and cash equivalents are not subject to any restrictions (see Note 8). As of December 31, 2022 and 2021, the Company held $4.9 million and $5.5 million, respectively, of its cash in Guyana dollars. While there are risks associated with the conversion of Guyana dollars to US dollars due to limited liquidity in the Guyana foreign currency markets, to date it has not prevented the Company from converting Guyana dollars into US dollars within a given three month period or from converting at a price that reasonably approximates the reported exchange rate.</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Restricted Cash</w:t>
      </w:r>
    </w:p>
    <w:p>
      <w:pPr>
        <w:spacing w:after="0" w:line="181"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Company classifies cash that is legally restricted as to withdrawal or usage as restricted cash. Restricted cash as of December 31, 2022 and December 31, 2021 primarily relates to cash that is restricted for regulatory purposes.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Short Term Investments</w:t>
      </w:r>
    </w:p>
    <w:p>
      <w:pPr>
        <w:spacing w:after="0" w:line="181" w:lineRule="exact"/>
        <w:rPr>
          <w:sz w:val="20"/>
          <w:szCs w:val="20"/>
          <w:color w:val="auto"/>
        </w:rPr>
      </w:pPr>
    </w:p>
    <w:p>
      <w:pPr>
        <w:jc w:val="both"/>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The Company's short-term investments consist of corporate bonds, which have remaining maturities of more than three months at the date of purchase, and equity securities classified as available for sale, which are stated at fair value. Unrealized gains and losses are recorded in other income. The estimated fair values of investments are based on quoted market prices as of the end of the reporting period.</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w:t>
      </w:r>
    </w:p>
    <w:p>
      <w:pPr>
        <w:spacing w:after="0" w:line="172"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The Company adopted ASU 2016-13 on January 1, 2020. The standard requires that certain financial assets be measured at amortized cost reflecting an allowance for estimated credit losses expected to occur over the life of the assets. The estimate of credit losses is based on all relevant information including historical information, current conditions, and reasonable and supportable forecasts that affect the collectability of the amounts. The Company adopted ASU 2016-13 using the modified retrospective approach, however, there was no impact of adoption on retained earnings.</w:t>
      </w:r>
    </w:p>
    <w:p>
      <w:pPr>
        <w:spacing w:after="0" w:line="149"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ASU 2016-13 impacts the Company’s calculation of credit losses from trade receivables. Historically, the Company recorded credit losses subsequent to the initial revenue transaction. After adoption of ASU 2016-13, the Company records an estimate of future credit losses in conjunction with the revenue transactions based on information available including historical experience, credit worthiness of customers, the Company’s historical experience with customers, current market and economic conditions, and management’s expectations of future conditions. That estimate is updated as additional information becomes available. Uncollectible amounts are charged against the allowance account. The Company’s allowance for uncollectible accounts receivable is based on management’s assessment of the collectability of assets pooled together with similar risk characteristics.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Inventory, Materials and Supplies</w:t>
      </w:r>
    </w:p>
    <w:p>
      <w:pPr>
        <w:spacing w:after="0" w:line="172"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Inventory, materials and supplies primarily include handsets and other equipment held for sale to customers. These balances are recorded at the lower of cost, determined on the basis of specific identification, or market, determined using replacement value.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Assets</w:t>
      </w:r>
    </w:p>
    <w:p>
      <w:pPr>
        <w:spacing w:after="0" w:line="181"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The Company’s fixed assets are recorded at cost and depreciated using the straight-line method generally between 3 and 39 years. Expenditures for major renewals and betterments that extend the useful lives of fixed assets are capitalized to fixed assets. Repairs and replacements of minor items of property are charged to period operating expense as incurred. The cost of fixed assets in service and under construction includes internal and external costs necessary to bring an asset to the condition and location necessary for its intended use. Grants received for the construction of assets are recognized as a reduction of the cost of fixed assets, a subsequent reduction of depreciation expense over the useful lives of those assets within the income statement and as an investing cash flow in the statements of cash flows.</w:t>
      </w:r>
    </w:p>
    <w:p>
      <w:pPr>
        <w:spacing w:after="0" w:line="143"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Company capitalizes certain costs of developing and purchasing new information systems in accordance with internal use software guidance. These costs are depreciated over the useful life of the information system. The Company also incurs implementation costs associated with cloud computing arrangements. If these implementation costs do not meet internal use software capitalization guidance, the implementation costs are recorded as prepaid assets and expensed through operating expense over the life of the arrangement.</w:t>
      </w:r>
    </w:p>
    <w:p>
      <w:pPr>
        <w:spacing w:after="0" w:line="146" w:lineRule="exact"/>
        <w:rPr>
          <w:sz w:val="20"/>
          <w:szCs w:val="20"/>
          <w:color w:val="auto"/>
        </w:rPr>
      </w:pPr>
    </w:p>
    <w:p>
      <w:pPr>
        <w:ind w:left="20" w:right="159" w:firstLine="432"/>
        <w:spacing w:after="0" w:line="257" w:lineRule="auto"/>
        <w:rPr>
          <w:sz w:val="20"/>
          <w:szCs w:val="20"/>
          <w:color w:val="auto"/>
        </w:rPr>
      </w:pPr>
      <w:r>
        <w:rPr>
          <w:rFonts w:ascii="Times New Roman" w:cs="Times New Roman" w:eastAsia="Times New Roman" w:hAnsi="Times New Roman"/>
          <w:sz w:val="12"/>
          <w:szCs w:val="12"/>
          <w:color w:val="auto"/>
        </w:rPr>
        <w:t>The fair value of a liability for an asset retirement obligation is recorded in the period in which it is incurred if a reasonable estimate of fair value can be made. In periods subsequent to initial measurement, period-to-period changes in the liability for an asset retirement obligation resulting from the passage of time and revisions to either the timing or the amount of the original estimate of undiscounted cash flows are recognized. The increase in the carrying value of the associated long-lived asset is depreciated over the corresponding estimated economic life. Other liabilities within the consolidated balance sheets include accruals of $10.3 million and $4.2 million as of December 31, 2021 and 2020, respectively, for estimated costs associated with asset retirement obligations.</w:t>
      </w:r>
    </w:p>
    <w:p>
      <w:pPr>
        <w:spacing w:after="0" w:line="152"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color w:val="auto"/>
        </w:rPr>
        <w:t>In accordance with the authoritative guidance for accounting for the impairment or disposal of long-lived assets, the Company evaluates the carrying value of long-lived assets, including property and equipment, in relation to the operating performance and future undiscounted cash flows of the underlying business whenever events or changes in circumstances indicate that the carrying amount of an asset may not be recoverable. An impairment loss exists when estimated undiscounted cash flows attributable to an asset are less than its carrying amount. If an asset is deemed to be impaired, the amount of the impairment loss recognized represents the asset’s carrying value in excess of its estimated fair value, based on management’s assumptions and projections.</w:t>
      </w:r>
    </w:p>
    <w:p>
      <w:pPr>
        <w:spacing w:after="0" w:line="143"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Management’s estimate of the future cash flows attributable to its long-lived assets and the fair value of its businesses involve significant uncertainty. Those estimates are based on management’s assumptions of future results, growth trends and industry conditions. If those estimates are not met, the Company could have additional impairment charges in the future, and the amounts may be material.</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did not record any fixed asset impairments for the years ended December 31, 2022, 2021 or 2020.</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Indefinite-Lived Intangible Assets</w:t>
      </w:r>
    </w:p>
    <w:p>
      <w:pPr>
        <w:spacing w:after="0" w:line="172" w:lineRule="exact"/>
        <w:rPr>
          <w:sz w:val="20"/>
          <w:szCs w:val="20"/>
          <w:color w:val="auto"/>
        </w:rPr>
      </w:pPr>
    </w:p>
    <w:p>
      <w:pPr>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Goodwill is recognized in business combinations equal to the amount by which the cost of acquired net assets exceeded the fair value of those net assets on the date of acquisition. The Company allocates goodwill to reporting units at the time of acquisition and bases that allocation on which reporting units will benefit from the acquired assets and liabilities. Reporting units are defined as operating segments or one level below an operating segment, referred to as a component. The Company has determined that its reporting units are components of its multiple operating segments. The Company assesses goodwill for impairment on an annual basis in the fourth quarter or more frequently when events and circumstances occur indicating that the recorded goodwill may be impaired. The assessment begins with a qualitative analysis to determine whether it is more likely than not that the fair value of the reporting unit is less than its carrying amount. If the reporting unit passes this analysis, the impairment assessment is complete and no impairment is recorded. If the reporting unit does not pass the analysis, or if a quantitative analysis is elected to be applied, the Company performs additional quantitative analysis by calculating the fair value of the reporting unit. If the fair value exceeds the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79"/>
        <w:spacing w:after="0" w:line="279" w:lineRule="auto"/>
        <w:rPr>
          <w:sz w:val="20"/>
          <w:szCs w:val="20"/>
          <w:color w:val="auto"/>
        </w:rPr>
      </w:pPr>
      <w:r>
        <w:rPr>
          <w:rFonts w:ascii="Times New Roman" w:cs="Times New Roman" w:eastAsia="Times New Roman" w:hAnsi="Times New Roman"/>
          <w:sz w:val="12"/>
          <w:szCs w:val="12"/>
          <w:color w:val="auto"/>
        </w:rPr>
        <w:t>carrying value, the test is complete and no impairment is recorded. If the carrying value of the reporting unit, including goodwill, exceeds the fair value of the reporting unit an impairment charge is recorded equal to the excess, but not more than the total amount of goodwill allocated to the reporting unit.</w:t>
      </w:r>
    </w:p>
    <w:p>
      <w:pPr>
        <w:spacing w:after="0" w:line="138"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color w:val="auto"/>
        </w:rPr>
        <w:t>A significant majority of the Company’s telecommunications licenses are not amortized and are carried at their historical costs. The Company believes that telecommunications licenses generally have an indefinite life based on the historical ability to renew such licenses, that such renewals may be obtained indefinitely and at little cost, and that the related technology used is not expected to be replaced in the foreseeable future. The Company has elected to perform its annual testing of its telecommunications licenses in the fourth quarter of each fiscal year, or more often if events or circumstances indicate that there may be impairment. The assessment begins with a qualitative analysis to determine whether it is more likely than not that the license fair value exceeds its carrying value. If the reporting unit passes this analysis, the impairment assessment is complete and no impairment is recorded. If the reporting unit does not pass the analysis, the Company performs additional quantitative analysis to calculate the fair value of the license. If the carrying value of the license exceeds the license fair value an impairment charge is recorded. As a part of the impairment test the Company assesses the appropriateness of the application of the indefinite-lived assertion. If the value of these assets were impaired by some factor, such as an adverse change in the subsidiary’s operating market, the Company may be required to record an impairment charge.</w:t>
      </w:r>
    </w:p>
    <w:p>
      <w:pPr>
        <w:spacing w:after="0" w:line="146" w:lineRule="exact"/>
        <w:rPr>
          <w:sz w:val="20"/>
          <w:szCs w:val="20"/>
          <w:color w:val="auto"/>
        </w:rPr>
      </w:pPr>
    </w:p>
    <w:p>
      <w:pPr>
        <w:jc w:val="both"/>
        <w:ind w:left="20" w:right="59" w:firstLine="432"/>
        <w:spacing w:after="0" w:line="327" w:lineRule="auto"/>
        <w:rPr>
          <w:sz w:val="20"/>
          <w:szCs w:val="20"/>
          <w:color w:val="auto"/>
        </w:rPr>
      </w:pPr>
      <w:r>
        <w:rPr>
          <w:rFonts w:ascii="Times New Roman" w:cs="Times New Roman" w:eastAsia="Times New Roman" w:hAnsi="Times New Roman"/>
          <w:sz w:val="11"/>
          <w:szCs w:val="11"/>
          <w:color w:val="auto"/>
        </w:rPr>
        <w:t>The Company performed its annual impairment assessment of its goodwill and indefinite-lived intangible assets (telecommunications licenses) for the years ended December 31, 2022 and 2021. See Note 7 for a discussion of the Company’s impairment of a portion of its goodwill within its International Telecom segment during the year ended December 31, 2021.</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Intangible Assets</w:t>
      </w:r>
    </w:p>
    <w:p>
      <w:pPr>
        <w:spacing w:after="0" w:line="181" w:lineRule="exact"/>
        <w:rPr>
          <w:sz w:val="20"/>
          <w:szCs w:val="20"/>
          <w:color w:val="auto"/>
        </w:rPr>
      </w:pPr>
    </w:p>
    <w:p>
      <w:pPr>
        <w:jc w:val="both"/>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Intangible assets resulting from the acquisitions of entities accounted for using the purchase method of accounting are estimated by management based on the fair value of the assets acquired. These include acquired customer relationships and tradename. The process for estimating the fair values of identifiable intangible assets requires the use of significant estimates and assumptions by management, including revenue growth rates, customer attrition rates, royalty rates, discount rates and projected future cash flows.</w:t>
      </w:r>
    </w:p>
    <w:p>
      <w:pPr>
        <w:spacing w:after="0" w:line="137"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Customer relationships and tradenames are amortized over their estimated lives ranging from 5-13 years and 6-15 years, respectively, based on the pattern in which economic benefit of the customer relationship is estimated to be realized.</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w:t>
      </w:r>
    </w:p>
    <w:p>
      <w:pPr>
        <w:spacing w:after="0" w:line="181"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Debt is measured at amortized cost. Debt issuance costs are recorded as a reduction to the carrying value of the debt and are amortized as interest expense in the consolidated income statements over the period of the debt. Except for interest costs incurred for the construction of a qualifying asset which are capitalized during the period the assets are prepared for their intended use, interest costs are expensed.</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242424"/>
        </w:rPr>
        <w:t>Redeemable Noncontrolling Interests</w:t>
      </w:r>
    </w:p>
    <w:p>
      <w:pPr>
        <w:spacing w:after="0" w:line="181" w:lineRule="exact"/>
        <w:rPr>
          <w:sz w:val="20"/>
          <w:szCs w:val="20"/>
          <w:color w:val="auto"/>
        </w:rPr>
      </w:pPr>
    </w:p>
    <w:p>
      <w:pPr>
        <w:ind w:left="20" w:right="99" w:firstLine="432"/>
        <w:spacing w:after="0" w:line="256" w:lineRule="auto"/>
        <w:rPr>
          <w:sz w:val="20"/>
          <w:szCs w:val="20"/>
          <w:color w:val="auto"/>
        </w:rPr>
      </w:pPr>
      <w:r>
        <w:rPr>
          <w:rFonts w:ascii="Times New Roman" w:cs="Times New Roman" w:eastAsia="Times New Roman" w:hAnsi="Times New Roman"/>
          <w:sz w:val="12"/>
          <w:szCs w:val="12"/>
          <w:color w:val="242424"/>
        </w:rPr>
        <w:t>The redeemable noncontrolling interests in the accompanying consolidated balance sheets reflect common and preferred units issued in conjunction with the Company’s acquisition of Alaska Communication and common units issued in conjunction with the Company’s acquisition of Sacred Wind. (Refer to Note 5). Generally, the holders of these instruments have the ability to sell the instrument to a subsidiary of the Company in a future period. The common redeemable noncontrolling interests are recorded at the greater of historical cost or fair value. Historical cost is calculated as the original investment adjusted for subsequent capital contributions and distributions as well as the applicable share of earnings or losses. The fair value is calculated using a market approach and level 3 inputs. If the historical cost is more than the fair value at the end of the reporting period no adjustment is recorded, if the fair value is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242424"/>
        </w:rPr>
        <w:t>greater than the historical cost the value of the instrument is increased to the fair value with the offsetting amount recorded to retained earnings. The preferred redeemable noncontrolling interests are recorded at cost plus accrued dividends.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Interests</w:t>
      </w:r>
    </w:p>
    <w:p>
      <w:pPr>
        <w:spacing w:after="0" w:line="172"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The noncontrolling interests in the accompanying consolidated balance sheets reflect the original investments made by minority stockholders in certain subsidiaries of the Company. Noncontrolling interests acquired in a business combination are initially recorded at fair value. Subsequently, noncontrolling interests are adjusted for additional capital contributions, the minority stockholder’s proportional share of the earnings or losses, distributions to the minority stockholders and repurchases, by the Company, of such interests.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Accumulated Other Comprehensive Income (Loss)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Changes in accumulated other comprehensive income (loss), by component, were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7"/>
              </w:rPr>
              <w:t>Projected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6"/>
              </w:rPr>
              <w:t>Pension and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4"/>
              </w:rPr>
              <w:t>Postretirement Benefit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6"/>
              </w:rPr>
              <w:t>Obligations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8"/>
              </w:rPr>
              <w:t>Adjustment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2019</w:t>
            </w: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(5,076)</w:t>
            </w: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Unrecognized actuarial loss, net of tax of $0.1 million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Interest rate swap</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foreign currency losses on assets held for sale</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actuarial gain, net of tax of $(0.1) million</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swap</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December 31, 2021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actuarial gain, net of tax of $(0.2) million</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Pension settlement, net of tax of $(0.8) million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foreign currency losses on investments sold, net of tax of $0.2 million</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swap</w:t>
            </w:r>
          </w:p>
        </w:tc>
        <w:tc>
          <w:tcPr>
            <w:tcW w:w="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2022</w:t>
            </w:r>
          </w:p>
        </w:tc>
        <w:tc>
          <w:tcPr>
            <w:tcW w:w="420" w:type="dxa"/>
            <w:vAlign w:val="bottom"/>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7,787</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(1,577)</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Amounts reclassified from accumulated other comprehensive income to net income for pension and other postretirement benefits plans were $0.9 million, $(34) thousand, and $(100) thousand for the year ended December 31, 2022, December 31, 2021, and December 31, 2020, respectively. Additionally, $(0.5) million and $6.0 million was reclassified from accumulated other comprehensive income to net income as a result of the foreign currency translation adjustments losses on assets sold during the years ended December 31, 2022 and 2020.</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earns revenue from its telecommunication and renewable energy operations. The Company recognizes revenue through the following steps:</w:t>
      </w:r>
    </w:p>
    <w:p>
      <w:pPr>
        <w:spacing w:after="0" w:line="168" w:lineRule="exact"/>
        <w:rPr>
          <w:sz w:val="20"/>
          <w:szCs w:val="20"/>
          <w:color w:val="auto"/>
        </w:rPr>
      </w:pPr>
    </w:p>
    <w:p>
      <w:pPr>
        <w:ind w:left="460" w:hanging="211"/>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the contract with a customer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hanging="211"/>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the performance obligations in the contract</w:t>
      </w:r>
    </w:p>
    <w:p>
      <w:pPr>
        <w:spacing w:after="0" w:line="1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 of the transaction price</w:t>
      </w:r>
    </w:p>
    <w:p>
      <w:pPr>
        <w:spacing w:after="0" w:line="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Allocation of the transaction price to the performance obligations in the contract</w:t>
      </w:r>
    </w:p>
    <w:p>
      <w:pPr>
        <w:spacing w:after="0" w:line="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 revenue when, or as, the Company satisfies performance obligations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 Communications Services</w:t>
      </w:r>
    </w:p>
    <w:p>
      <w:pPr>
        <w:spacing w:after="0" w:line="170" w:lineRule="exact"/>
        <w:rPr>
          <w:sz w:val="20"/>
          <w:szCs w:val="20"/>
          <w:color w:val="auto"/>
        </w:rPr>
      </w:pPr>
    </w:p>
    <w:p>
      <w:pPr>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Communication services consists of Mobility, Fixed, and Carrier Services revenue. Mobility revenue consists of revenue generated from providing mobile communication services to consumer and business subscribers over the Company’s wireless networks and the sale of related equipment to its subscribers. The service revenue generated is recognized over time as the service is rendered and revenues from equipment are recognized when the equipment is delivered to the customer.</w:t>
      </w:r>
    </w:p>
    <w:p>
      <w:pPr>
        <w:spacing w:after="0" w:line="146"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Management considers transactions where customers purchase subsidized or discounted equipment and mobile voice or data services to be a single contract. For these contracts, the transaction price is allocated to the equipment and mobile service based on their standalone selling prices. The standalone selling price is based on the amount the Company charges for the equipment and service to similar customers. Equipment revenue is recognized when the equipment is delivered to customers and service revenue is recognized as service is rendered.</w:t>
      </w:r>
    </w:p>
    <w:p>
      <w:pPr>
        <w:spacing w:after="0" w:line="149"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Fixed Communications revenue is primarily generated by fixed data and voice telecommunications services to both business and consumer subscribers. The service includes consumer broadband and high speed data solutions for businesses, as well as video services. Revenue from these contracts is recognized over time as the service is rendered to the customer. Fixed revenue also includes revenue from government grants and is recognized in accordance with the grant terms and conditions.</w:t>
      </w:r>
    </w:p>
    <w:p>
      <w:pPr>
        <w:spacing w:after="0" w:line="137" w:lineRule="exact"/>
        <w:rPr>
          <w:sz w:val="20"/>
          <w:szCs w:val="20"/>
          <w:color w:val="auto"/>
        </w:rPr>
      </w:pPr>
    </w:p>
    <w:p>
      <w:pPr>
        <w:ind w:left="20" w:right="239" w:firstLine="432"/>
        <w:spacing w:after="0" w:line="327" w:lineRule="auto"/>
        <w:rPr>
          <w:sz w:val="20"/>
          <w:szCs w:val="20"/>
          <w:color w:val="auto"/>
        </w:rPr>
      </w:pPr>
      <w:r>
        <w:rPr>
          <w:rFonts w:ascii="Times New Roman" w:cs="Times New Roman" w:eastAsia="Times New Roman" w:hAnsi="Times New Roman"/>
          <w:sz w:val="11"/>
          <w:szCs w:val="11"/>
          <w:color w:val="auto"/>
        </w:rPr>
        <w:t>Carrier Services revenue is generated from providing services to other telecommunications providers such as wholesale roaming, the leasing of critical network infrastructure such as tower and transport facilities, site maintenance, and international long-distance services. Revenue is recognized over time as the service is rendered to the customer.</w:t>
      </w:r>
    </w:p>
    <w:p>
      <w:pPr>
        <w:spacing w:after="0" w:line="114"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also has certain wholesale roaming agreements that contain stand 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149"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July 2019 the Company entered into a Network Build and Maintenance Agreement (the “FirstNet Agreement”) with AT&amp;T Mobility, LLC (“AT&amp;T”) to build a portion of AT&amp;T’s network for the First Responder Network Authority (“FirstNet”) as well as a commercial wireless network in or near the Company’s current operating area in the Southwestern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construction revenue is recognized when the assets are delivered and the service revenue is recognized over time as the service is rendered to the customer.</w:t>
      </w:r>
    </w:p>
    <w:p>
      <w:pPr>
        <w:spacing w:after="0" w:line="143" w:lineRule="exact"/>
        <w:rPr>
          <w:sz w:val="20"/>
          <w:szCs w:val="20"/>
          <w:color w:val="auto"/>
        </w:rPr>
      </w:pPr>
    </w:p>
    <w:p>
      <w:pPr>
        <w:ind w:left="20" w:right="19" w:firstLine="432"/>
        <w:spacing w:after="0" w:line="286" w:lineRule="auto"/>
        <w:rPr>
          <w:sz w:val="20"/>
          <w:szCs w:val="20"/>
          <w:color w:val="auto"/>
        </w:rPr>
      </w:pPr>
      <w:r>
        <w:rPr>
          <w:rFonts w:ascii="Times New Roman" w:cs="Times New Roman" w:eastAsia="Times New Roman" w:hAnsi="Times New Roman"/>
          <w:sz w:val="11"/>
          <w:szCs w:val="11"/>
          <w:color w:val="auto"/>
        </w:rPr>
        <w:t>The Company’s Mobility, Carrier Services, and Fixed communications contracts occasionally include promotional discounts such as free service periods or discounted products. If a contract contains a substantive termination penalty, the transaction price is allocated to the performance obligations based on a standalone selling price resulting in accelerated revenue recognition and the establishment of a contract asset that will be recognized over the life of the contract. If a contract includes a promotional discount but no substantive termination penalty, the discount is recorded in the promotional period and no contract asset is established. The Company’s customers also have the option to purchase additional telecommunication services. Generally, these options are not performance obligations and are excluded from the transaction price because they do not provide the customers with a material right.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Company may charge upfront fees for activation and installation of some of its products and services. These fees are reviewed to determine if they represent a separate performance obligation. If they do not represent a separate performance obligation, the transaction price associated with them is recognized over the life of the customer. If the fees represent a performance obligation they are recognized when delivered to the customer based on the standalone selling price.</w:t>
      </w:r>
    </w:p>
    <w:p>
      <w:pPr>
        <w:spacing w:after="0" w:line="146"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has certain wholesale roaming agreements that contain stand 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140"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Company also enters into build and maintenance agreements with its customers. The agreements include construction and service performance obligations. The Company allocates the transaction price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Sales and use and state excise taxes collected from customers that are remitted to the governmental authorities are reported on a net basis and excluded from the revenues and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sales.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 Construction</w:t>
      </w:r>
    </w:p>
    <w:p>
      <w:pPr>
        <w:spacing w:after="0" w:line="170" w:lineRule="exact"/>
        <w:rPr>
          <w:sz w:val="20"/>
          <w:szCs w:val="20"/>
          <w:color w:val="auto"/>
        </w:rPr>
      </w:pPr>
    </w:p>
    <w:p>
      <w:pPr>
        <w:jc w:val="both"/>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Construction revenue is generated from construction services provided to telecommunications customers. The Company recognizes revenue at a point in time when the product is delivered to the customer.</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Recognition-Other Revenue</w:t>
      </w:r>
    </w:p>
    <w:p>
      <w:pPr>
        <w:spacing w:after="0" w:line="179" w:lineRule="exact"/>
        <w:rPr>
          <w:sz w:val="20"/>
          <w:szCs w:val="20"/>
          <w:color w:val="auto"/>
        </w:rPr>
      </w:pPr>
    </w:p>
    <w:p>
      <w:pPr>
        <w:ind w:left="20" w:right="339" w:firstLine="432"/>
        <w:spacing w:after="0" w:line="260" w:lineRule="auto"/>
        <w:rPr>
          <w:sz w:val="20"/>
          <w:szCs w:val="20"/>
          <w:color w:val="auto"/>
        </w:rPr>
      </w:pPr>
      <w:r>
        <w:rPr>
          <w:rFonts w:ascii="Times New Roman" w:cs="Times New Roman" w:eastAsia="Times New Roman" w:hAnsi="Times New Roman"/>
          <w:sz w:val="12"/>
          <w:szCs w:val="12"/>
          <w:color w:val="auto"/>
        </w:rPr>
        <w:t>Other revenue consists of renewable energy revenue and Managed Services revenue. Renewable energy revenue includes the generation of power through Power Purchase Agreements (“PPAs”) from the Company’s solar plants in India. The Company recognizes revenue at contractual PPA rates over time as electricity is generated and simultaneously consumed by the customer. Managed services revenue is generated from information technology services such as network, application, infrastructure, and hosting services to both business and consumer customers. The revenue is recognized as the service is delivered to customers.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7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w:t>
      </w:r>
    </w:p>
    <w:p>
      <w:pPr>
        <w:spacing w:after="0" w:line="137"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Contract liabilities consist of advance payments and billings in excess of revenue recognized. Retail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mobile voice and data services, sold to customers is recorded as deferred revenue prior to the commencement of services. The Company also records deferred revenue associated with prepaid service agreements to provide data capacity to customers. For these service agreements, a contract liability is established and recognized as revenue on a straight-line basis over the life of the agreement. The current portion of contract liabilities is recorded in advanced payments and deposits and the noncurrent portion is included in other liabilities on the Company’s balance sheets.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Contract Acquisition Costs</w:t>
      </w:r>
    </w:p>
    <w:p>
      <w:pPr>
        <w:spacing w:after="0" w:line="181"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The Company pays sales commissions to its employees and agents for obtaining customer contracts. These costs are incremental because they would not have been incurred if the contract was not obtained. The Company recognizes an asset for these costs and subsequently amortizes the asset on a systematic basis consistent with the pattern of the transfer of the services to the customer. The amortization period, which is between 2 and 6 years, considers both the original contract period as well as anticipated contract renewals as appropriate. The amortization period also includes renewal commissions when those commissions are not commensurate with new commissions. The Company estimates contract renewals based on its actual renewals in recent periods. When the expected amortization period is one year or less the Company utilizes the practical expedient and expenses the costs as incurred.</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81"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determines if an agreement is a lease at inception. Operating leases are included in right-of-use (“ROU”) assets, current portion of operating lease liabilities, and operating lease liabilities in the Company’s consolidated balance sheets. Finance leases are included in property and equipment in the Company’s consolidated balance sheets.</w:t>
      </w:r>
    </w:p>
    <w:p>
      <w:pPr>
        <w:spacing w:after="0" w:line="138" w:lineRule="exact"/>
        <w:rPr>
          <w:sz w:val="20"/>
          <w:szCs w:val="20"/>
          <w:color w:val="auto"/>
        </w:rPr>
      </w:pPr>
    </w:p>
    <w:p>
      <w:pPr>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The present value is calculated using the Company’s incremental borrowing rate based on the information available at the commencement date, as the Company’s leases do not contain an implicit rate. The Company utilizes assumptions based on its existing borrowing facilities and other market specific data to determine its incremental borrowing rate. The operating lease ROU asset also includes any lease payments made and excludes lease incentives. The Company’s lease terms may include renewal options to extend the lease. The Company includes renewal options that are reasonably certain to be exercised in the initial lease term. When determining whether a renewal option is reasonably certain to be exercised, the Company considers several factors, including the present and anticipated future needs of its customers being serviced by the asset. Lease expense is recognized on a straight-line basis over the lease term. The Company does not separate non-lease components from lease components.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77"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i w:val="1"/>
          <w:iCs w:val="1"/>
          <w:color w:val="auto"/>
        </w:rPr>
        <w:t>Cost of communication services and other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Cost of communication services and other are charges that the Company incurs for voice and data transport circuits (in particular,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circuits between its Mobility sites) and its switches, internet capacity, video programming costs, access fees it pays to terminate its calls, telecommunication spectrum fees and direct costs associated within its Managed Services business. Cost of communication services also include expenses associated with developing, operating, upgrading and supporting the Company’s telecommunications networks, including the salaries and benefits paid to employees directly involved in the development and operation of those businesses, as well as credit loss allowances and the cost of handsets and customer resale equipment incurred by its retail businesses.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i w:val="1"/>
          <w:iCs w:val="1"/>
          <w:color w:val="auto"/>
        </w:rPr>
        <w:t xml:space="preserve">Cost of construction revenue. </w:t>
      </w:r>
      <w:r>
        <w:rPr>
          <w:rFonts w:ascii="Times New Roman" w:cs="Times New Roman" w:eastAsia="Times New Roman" w:hAnsi="Times New Roman"/>
          <w:sz w:val="12"/>
          <w:szCs w:val="12"/>
          <w:color w:val="auto"/>
        </w:rPr>
        <w:t>Cost of constructions revenue include the expenses associated with constructing and making the FirstNet sites available for delivery to ATT.</w:t>
      </w:r>
    </w:p>
    <w:p>
      <w:pPr>
        <w:spacing w:after="0" w:line="177"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Selling, general and administrative.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 and the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47" w:lineRule="exact"/>
        <w:rPr>
          <w:sz w:val="20"/>
          <w:szCs w:val="20"/>
          <w:color w:val="auto"/>
        </w:rPr>
      </w:pPr>
    </w:p>
    <w:p>
      <w:pPr>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Transaction-related charges. </w:t>
      </w:r>
      <w:r>
        <w:rPr>
          <w:rFonts w:ascii="Times New Roman" w:cs="Times New Roman" w:eastAsia="Times New Roman" w:hAnsi="Times New Roman"/>
          <w:sz w:val="12"/>
          <w:szCs w:val="12"/>
          <w:color w:val="auto"/>
        </w:rPr>
        <w:t>Transaction-related charges include the costs, such as legal, tax, accounting and consulting fees directly associated with acquisition and disposition-related activities, which are expensed as incurred. Transaction-related charges also include certain internal personnel costs incurred as a result of the completion of the acquisition or disposition.</w:t>
      </w:r>
    </w:p>
    <w:p>
      <w:pPr>
        <w:spacing w:after="0" w:line="135"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the Company records on its property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equipment and on certain intangible assets.</w:t>
      </w:r>
    </w:p>
    <w:p>
      <w:pPr>
        <w:spacing w:after="0" w:line="134" w:lineRule="exact"/>
        <w:rPr>
          <w:sz w:val="20"/>
          <w:szCs w:val="20"/>
          <w:color w:val="auto"/>
        </w:rPr>
      </w:pPr>
    </w:p>
    <w:p>
      <w:pPr>
        <w:ind w:left="20" w:right="2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completed acquisitions.</w:t>
      </w:r>
    </w:p>
    <w:p>
      <w:pPr>
        <w:spacing w:after="0" w:line="134"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Goodwill impairment. </w:t>
      </w:r>
      <w:r>
        <w:rPr>
          <w:rFonts w:ascii="Times New Roman" w:cs="Times New Roman" w:eastAsia="Times New Roman" w:hAnsi="Times New Roman"/>
          <w:sz w:val="12"/>
          <w:szCs w:val="12"/>
          <w:color w:val="auto"/>
        </w:rPr>
        <w:t>The Company assesses goodwill for impairment on an annual basis, or more frequently when events and circumstances occur indicating that the recorded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goodwill may be impaired. If the carrying value of the reporting unit, including goodwill, exceeds the fair value of the reporting unit an impairment charge is recorded equal to the excess, but not more than the total amount of goodwill allocated to the reporting unit.</w:t>
      </w:r>
    </w:p>
    <w:p>
      <w:pPr>
        <w:spacing w:after="0" w:line="135" w:lineRule="exact"/>
        <w:rPr>
          <w:sz w:val="20"/>
          <w:szCs w:val="20"/>
          <w:color w:val="auto"/>
        </w:rPr>
      </w:pPr>
    </w:p>
    <w:p>
      <w:pPr>
        <w:ind w:left="20" w:right="1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Loss on disposition of long-lived assets. </w:t>
      </w:r>
      <w:r>
        <w:rPr>
          <w:rFonts w:ascii="Times New Roman" w:cs="Times New Roman" w:eastAsia="Times New Roman" w:hAnsi="Times New Roman"/>
          <w:sz w:val="12"/>
          <w:szCs w:val="12"/>
          <w:color w:val="auto"/>
        </w:rPr>
        <w:t>The Company sells or disposes assets from time to time. A gain or loss is recorded by comparing the carrying amount of the assets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proceeds received. The Company also records losses on assets held for sale if the expected sale price exceeds the carrying value of the assets.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Accounting for Grants</w:t>
      </w:r>
    </w:p>
    <w:p>
      <w:pPr>
        <w:spacing w:after="0" w:line="18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In 2021, the Company adopted Government Assistance (Topic 832): Disclosures by Business Entities about Government Assistance, which required entities to make specific annual disclosures about transactions with a government. The Company receives funding from the US Government and its agencies under stimulus, the Universal Service Fund (“USF”), the Secure and Trusted Communications Networks Reimbursement Program, and other programs. These funding programs are generally designed to fund telecommunications operations and infrastructure expansion into rural or underserved areas. The funding programs are evaluated to determine if they represent funding related to revenue, capital expenditures or operating activities. Funding for revenue and operating activities are recorded as revenue or contra expense in the Company’s consolidated income statement as the services are provided. Funding for capital expenditures is recorded as a reduction to property, plant and equipment on the Company’s consolidated balance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19"/>
        <w:spacing w:after="0" w:line="279" w:lineRule="auto"/>
        <w:rPr>
          <w:sz w:val="20"/>
          <w:szCs w:val="20"/>
          <w:color w:val="auto"/>
        </w:rPr>
      </w:pPr>
      <w:r>
        <w:rPr>
          <w:rFonts w:ascii="Times New Roman" w:cs="Times New Roman" w:eastAsia="Times New Roman" w:hAnsi="Times New Roman"/>
          <w:sz w:val="12"/>
          <w:szCs w:val="12"/>
          <w:color w:val="auto"/>
        </w:rPr>
        <w:t>sheets and a future reduction in depreciation expense in the consolidated income statements. Government funding related to revenue and operations are recorded as operating cash inflows and grants for capital expenditures are recorded as investing cash inflows.</w:t>
      </w:r>
    </w:p>
    <w:p>
      <w:pPr>
        <w:spacing w:after="0" w:line="138"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 xml:space="preserve">The Company monitors government funding for grant requirements to ensure that conditions related to grants have been met and there is reasonable assurance that the Company will be able to retain the grant proceeds and to ensure that any contingencies that may arise from not meeting the conditions are appropriately recognized. See Note 9, </w:t>
      </w:r>
      <w:r>
        <w:rPr>
          <w:rFonts w:ascii="Times New Roman" w:cs="Times New Roman" w:eastAsia="Times New Roman" w:hAnsi="Times New Roman"/>
          <w:sz w:val="12"/>
          <w:szCs w:val="12"/>
          <w:i w:val="1"/>
          <w:iCs w:val="1"/>
          <w:color w:val="auto"/>
        </w:rPr>
        <w:t>Government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Support and Spectrum Programs</w:t>
      </w:r>
      <w:r>
        <w:rPr>
          <w:rFonts w:ascii="Times New Roman" w:cs="Times New Roman" w:eastAsia="Times New Roman" w:hAnsi="Times New Roman"/>
          <w:sz w:val="12"/>
          <w:szCs w:val="12"/>
          <w:color w:val="auto"/>
        </w:rPr>
        <w: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81"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9" w:lineRule="exact"/>
        <w:rPr>
          <w:sz w:val="20"/>
          <w:szCs w:val="20"/>
          <w:color w:val="auto"/>
        </w:rPr>
      </w:pPr>
    </w:p>
    <w:p>
      <w:pPr>
        <w:ind w:left="20" w:right="239" w:firstLine="432"/>
        <w:spacing w:after="0" w:line="260" w:lineRule="auto"/>
        <w:rPr>
          <w:sz w:val="20"/>
          <w:szCs w:val="20"/>
          <w:color w:val="auto"/>
        </w:rPr>
      </w:pPr>
      <w:r>
        <w:rPr>
          <w:rFonts w:ascii="Times New Roman" w:cs="Times New Roman" w:eastAsia="Times New Roman" w:hAnsi="Times New Roman"/>
          <w:sz w:val="12"/>
          <w:szCs w:val="12"/>
          <w:color w:val="auto"/>
        </w:rPr>
        <w:t>The Company recognizes deferred tax assets to the extent that the Company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40"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authority. It is possible that the ultimate resolution of these uncertain matters may be greater or less than the amount that the Company estimated. If payment of these amounts proves to be unnecessary, the reversal of the liabilities would result in tax benefits being recognized in the period in which it is determined that the liabilities are no longer necessary. If the estimate of tax liabilities proves to be more than the ultimate assessment, a further charge to expense would result.</w:t>
      </w:r>
    </w:p>
    <w:p>
      <w:pPr>
        <w:spacing w:after="0" w:line="152" w:lineRule="exact"/>
        <w:rPr>
          <w:sz w:val="20"/>
          <w:szCs w:val="20"/>
          <w:color w:val="auto"/>
        </w:rPr>
      </w:pPr>
    </w:p>
    <w:p>
      <w:pPr>
        <w:ind w:left="20" w:right="539" w:firstLine="432"/>
        <w:spacing w:after="0" w:line="279" w:lineRule="auto"/>
        <w:rPr>
          <w:sz w:val="20"/>
          <w:szCs w:val="20"/>
          <w:color w:val="auto"/>
        </w:rPr>
      </w:pPr>
      <w:r>
        <w:rPr>
          <w:rFonts w:ascii="Times New Roman" w:cs="Times New Roman" w:eastAsia="Times New Roman" w:hAnsi="Times New Roman"/>
          <w:sz w:val="12"/>
          <w:szCs w:val="12"/>
          <w:color w:val="auto"/>
        </w:rPr>
        <w:t>The Company recognizes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38" w:lineRule="exact"/>
        <w:rPr>
          <w:sz w:val="20"/>
          <w:szCs w:val="20"/>
          <w:color w:val="auto"/>
        </w:rPr>
      </w:pPr>
    </w:p>
    <w:p>
      <w:pPr>
        <w:jc w:val="both"/>
        <w:ind w:left="20" w:right="39" w:firstLine="432"/>
        <w:spacing w:after="0" w:line="327" w:lineRule="auto"/>
        <w:rPr>
          <w:sz w:val="20"/>
          <w:szCs w:val="20"/>
          <w:color w:val="auto"/>
        </w:rPr>
      </w:pPr>
      <w:r>
        <w:rPr>
          <w:rFonts w:ascii="Times New Roman" w:cs="Times New Roman" w:eastAsia="Times New Roman" w:hAnsi="Times New Roman"/>
          <w:sz w:val="11"/>
          <w:szCs w:val="11"/>
          <w:color w:val="auto"/>
        </w:rPr>
        <w:t xml:space="preserve">The Company does not provide for United States income taxes on earnings of foreign subsidiaries as such earnings are considered to be indefinitely reinvested. The Tax Cuts and Jobs Act of 2017 (the “Tax Act” </w:t>
      </w:r>
      <w:r>
        <w:rPr>
          <w:rFonts w:ascii="Times New Roman" w:cs="Times New Roman" w:eastAsia="Times New Roman" w:hAnsi="Times New Roman"/>
          <w:sz w:val="11"/>
          <w:szCs w:val="11"/>
          <w:color w:val="212529"/>
        </w:rPr>
        <w:t>also commonly referred to as US tax reform),</w:t>
      </w:r>
      <w:r>
        <w:rPr>
          <w:rFonts w:ascii="Times New Roman" w:cs="Times New Roman" w:eastAsia="Times New Roman" w:hAnsi="Times New Roman"/>
          <w:sz w:val="11"/>
          <w:szCs w:val="11"/>
          <w:color w:val="auto"/>
        </w:rPr>
        <w:t xml:space="preserve"> resulted in a one-time transition tax on the deemed repatriation of foreign earnings for federal tax purposes.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Credit Concentrations and Significant Customers</w:t>
      </w:r>
    </w:p>
    <w:p>
      <w:pPr>
        <w:spacing w:after="0" w:line="181"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Historically, the Company has been dependent on a limited number of customers for its wholesale roaming business. For the years ended December 31, 2022 and 2021, no individual customer accounted for more than 10% of consolidated revenue in that year. For the year ended December 31, 2020, one customer accounted for 10% of the Company’s consolidated revenue.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2022, two customer accounted for more than 10% of the Company’s consolidated accounts receivable. As of December 31, 2021, no customers accounted for more than 10% of the Company’s consolidated accounts receivable.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Gains and Losses</w:t>
      </w:r>
    </w:p>
    <w:p>
      <w:pPr>
        <w:spacing w:after="0" w:line="172" w:lineRule="exact"/>
        <w:rPr>
          <w:sz w:val="20"/>
          <w:szCs w:val="20"/>
          <w:color w:val="auto"/>
        </w:rPr>
      </w:pPr>
    </w:p>
    <w:p>
      <w:pPr>
        <w:ind w:left="20" w:right="119" w:firstLine="432"/>
        <w:spacing w:after="0" w:line="300" w:lineRule="auto"/>
        <w:rPr>
          <w:sz w:val="20"/>
          <w:szCs w:val="20"/>
          <w:color w:val="auto"/>
        </w:rPr>
      </w:pPr>
      <w:r>
        <w:rPr>
          <w:rFonts w:ascii="Times New Roman" w:cs="Times New Roman" w:eastAsia="Times New Roman" w:hAnsi="Times New Roman"/>
          <w:sz w:val="11"/>
          <w:szCs w:val="11"/>
          <w:color w:val="auto"/>
        </w:rPr>
        <w:t>The Company translate the assets and liabilities of its foreign subsidiaries from their respective functional currencies, primarily the Guyana Dollar, to US dollars at the appropriate spot rates as of the balance sheet date. Changes in the carrying values of these assets and liabilities attributable to fluctuations in spot rates are recognized in foreign currency translation adjustment, a component of accumulated other comprehensive income. Income statement accounts are translated using the monthly average exchange rates during the year.</w:t>
      </w:r>
    </w:p>
    <w:p>
      <w:pPr>
        <w:spacing w:after="0" w:line="129"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the income statement.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 Plans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Pension and Postretirement Benefit Plans</w:t>
      </w:r>
    </w:p>
    <w:p>
      <w:pPr>
        <w:spacing w:after="0" w:line="179" w:lineRule="exact"/>
        <w:rPr>
          <w:sz w:val="20"/>
          <w:szCs w:val="20"/>
          <w:color w:val="auto"/>
        </w:rPr>
      </w:pPr>
    </w:p>
    <w:p>
      <w:pPr>
        <w:ind w:left="20" w:right="19" w:firstLine="432"/>
        <w:spacing w:after="0" w:line="257" w:lineRule="auto"/>
        <w:rPr>
          <w:sz w:val="20"/>
          <w:szCs w:val="20"/>
          <w:color w:val="auto"/>
        </w:rPr>
      </w:pPr>
      <w:r>
        <w:rPr>
          <w:rFonts w:ascii="Times New Roman" w:cs="Times New Roman" w:eastAsia="Times New Roman" w:hAnsi="Times New Roman"/>
          <w:sz w:val="12"/>
          <w:szCs w:val="12"/>
          <w:color w:val="auto"/>
        </w:rPr>
        <w:t>The Company sponsors pension and other postretirement benefit plans for employees of certain subsidiaries. Net periodic pension expense is recognized in the Company’s income statement. The service cost component of net periodic pension expense is presented with other employee compensation within income from operations. Other components of net periodic pension expense, such as interest cost, expected return on plan assets, and amortization of actuarial gains and losses are presented in other income. The Company recognizes a pension or other postretirement benefit plan’s funded status as either an asset or liability in its consolidated balance sheet. Actuarial gains and losses are deferred, reported as a component of other comprehensive income, and amortized through net periodic pension expense in subsequent periods.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70"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Certain of the Company’s employees participate in a multi-employer defined pension plan. The Company pays and expenses a contractual hourly amount based on employee classification or base compensation. The accumulated benefits and plan assets are not determined for, or allocated separately to, individual employers.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20" w:lineRule="exact"/>
        <w:rPr>
          <w:sz w:val="20"/>
          <w:szCs w:val="20"/>
          <w:color w:val="auto"/>
        </w:rPr>
      </w:pPr>
    </w:p>
    <w:p>
      <w:pPr>
        <w:ind w:left="1700" w:right="1019" w:hanging="737"/>
        <w:spacing w:after="0" w:line="260" w:lineRule="auto"/>
        <w:tabs>
          <w:tab w:leader="none" w:pos="1680" w:val="left"/>
        </w:tabs>
        <w:rPr>
          <w:sz w:val="20"/>
          <w:szCs w:val="20"/>
          <w:color w:val="auto"/>
        </w:rPr>
      </w:pPr>
      <w:r>
        <w:rPr>
          <w:rFonts w:ascii="Times New Roman" w:cs="Times New Roman" w:eastAsia="Times New Roman" w:hAnsi="Times New Roman"/>
          <w:sz w:val="12"/>
          <w:szCs w:val="12"/>
          <w:color w:val="auto"/>
        </w:rPr>
        <w:t>Level 1</w:t>
      </w:r>
      <w:r>
        <w:rPr>
          <w:sz w:val="20"/>
          <w:szCs w:val="20"/>
          <w:color w:val="auto"/>
        </w:rPr>
        <w:tab/>
      </w:r>
      <w:r>
        <w:rPr>
          <w:rFonts w:ascii="Times New Roman" w:cs="Times New Roman" w:eastAsia="Times New Roman" w:hAnsi="Times New Roman"/>
          <w:sz w:val="12"/>
          <w:szCs w:val="12"/>
          <w:color w:val="auto"/>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93" w:lineRule="exact"/>
        <w:rPr>
          <w:sz w:val="20"/>
          <w:szCs w:val="20"/>
          <w:color w:val="auto"/>
        </w:rPr>
      </w:pPr>
    </w:p>
    <w:p>
      <w:pPr>
        <w:ind w:left="1700" w:right="1019" w:hanging="737"/>
        <w:spacing w:after="0" w:line="256" w:lineRule="auto"/>
        <w:tabs>
          <w:tab w:leader="none" w:pos="1680" w:val="left"/>
        </w:tabs>
        <w:rPr>
          <w:sz w:val="20"/>
          <w:szCs w:val="20"/>
          <w:color w:val="auto"/>
        </w:rPr>
      </w:pPr>
      <w:r>
        <w:rPr>
          <w:rFonts w:ascii="Times New Roman" w:cs="Times New Roman" w:eastAsia="Times New Roman" w:hAnsi="Times New Roman"/>
          <w:sz w:val="12"/>
          <w:szCs w:val="12"/>
          <w:color w:val="auto"/>
        </w:rPr>
        <w:t>Level 2</w:t>
      </w:r>
      <w:r>
        <w:rPr>
          <w:sz w:val="20"/>
          <w:szCs w:val="20"/>
          <w:color w:val="auto"/>
        </w:rPr>
        <w:tab/>
      </w:r>
      <w:r>
        <w:rPr>
          <w:rFonts w:ascii="Times New Roman" w:cs="Times New Roman" w:eastAsia="Times New Roman" w:hAnsi="Times New Roman"/>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96" w:lineRule="exact"/>
        <w:rPr>
          <w:sz w:val="20"/>
          <w:szCs w:val="20"/>
          <w:color w:val="auto"/>
        </w:rPr>
      </w:pPr>
    </w:p>
    <w:p>
      <w:pPr>
        <w:ind w:left="1700" w:right="1079" w:hanging="737"/>
        <w:spacing w:after="0" w:line="260" w:lineRule="auto"/>
        <w:tabs>
          <w:tab w:leader="none" w:pos="1680" w:val="left"/>
        </w:tabs>
        <w:rPr>
          <w:sz w:val="20"/>
          <w:szCs w:val="20"/>
          <w:color w:val="auto"/>
        </w:rPr>
      </w:pPr>
      <w:r>
        <w:rPr>
          <w:rFonts w:ascii="Times New Roman" w:cs="Times New Roman" w:eastAsia="Times New Roman" w:hAnsi="Times New Roman"/>
          <w:sz w:val="12"/>
          <w:szCs w:val="12"/>
          <w:color w:val="auto"/>
        </w:rPr>
        <w:t>Level 3</w:t>
      </w:r>
      <w:r>
        <w:rPr>
          <w:sz w:val="20"/>
          <w:szCs w:val="20"/>
          <w:color w:val="auto"/>
        </w:rPr>
        <w:tab/>
      </w:r>
      <w:r>
        <w:rPr>
          <w:rFonts w:ascii="Times New Roman" w:cs="Times New Roman" w:eastAsia="Times New Roman" w:hAnsi="Times New Roman"/>
          <w:sz w:val="12"/>
          <w:szCs w:val="12"/>
          <w:color w:val="auto"/>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Assets and liabilities of the Company measured at fair value on a recurring basis as of December 31, 2022 and 2021 are summarized as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center"/>
              <w:ind w:left="7"/>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center"/>
              <w:ind w:left="164"/>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5"/>
          </w:tcPr>
          <w:p>
            <w:pPr>
              <w:jc w:val="center"/>
              <w:ind w:left="7"/>
              <w:spacing w:after="0"/>
              <w:rPr>
                <w:sz w:val="20"/>
                <w:szCs w:val="20"/>
                <w:color w:val="auto"/>
              </w:rPr>
            </w:pPr>
            <w:r>
              <w:rPr>
                <w:rFonts w:ascii="Times New Roman" w:cs="Times New Roman" w:eastAsia="Times New Roman" w:hAnsi="Times New Roman"/>
                <w:sz w:val="10"/>
                <w:szCs w:val="10"/>
                <w:b w:val="1"/>
                <w:bCs w:val="1"/>
                <w:color w:val="auto"/>
                <w:w w:val="94"/>
              </w:rPr>
              <w:t>Significant Other</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5"/>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tcPr>
          <w:p>
            <w:pPr>
              <w:jc w:val="center"/>
              <w:ind w:left="164"/>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tcPr>
          <w:p>
            <w:pPr>
              <w:jc w:val="center"/>
              <w:ind w:left="347"/>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gridSpan w:val="3"/>
          </w:tcPr>
          <w:p>
            <w:pPr>
              <w:jc w:val="center"/>
              <w:ind w:left="164"/>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3"/>
          </w:tcPr>
          <w:p>
            <w:pPr>
              <w:jc w:val="center"/>
              <w:ind w:left="347"/>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80" w:type="dxa"/>
            <w:vAlign w:val="bottom"/>
            <w:gridSpan w:val="2"/>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Short term investments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right="42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300</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(22,557)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(22,557)</w:t>
            </w:r>
          </w:p>
        </w:tc>
        <w:tc>
          <w:tcPr>
            <w:tcW w:w="0" w:type="dxa"/>
            <w:vAlign w:val="bottom"/>
          </w:tcPr>
          <w:p>
            <w:pPr>
              <w:spacing w:after="0"/>
              <w:rPr>
                <w:sz w:val="1"/>
                <w:szCs w:val="1"/>
                <w:color w:val="auto"/>
              </w:rPr>
            </w:pPr>
          </w:p>
        </w:tc>
      </w:tr>
      <w:tr>
        <w:trPr>
          <w:trHeight w:val="14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Alloy redeemable common units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(14,760)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0" w:type="dxa"/>
            <w:vAlign w:val="bottom"/>
          </w:tcPr>
          <w:p>
            <w:pPr>
              <w:spacing w:after="0"/>
              <w:rPr>
                <w:sz w:val="1"/>
                <w:szCs w:val="1"/>
                <w:color w:val="auto"/>
              </w:rPr>
            </w:pPr>
          </w:p>
        </w:tc>
      </w:tr>
      <w:tr>
        <w:trPr>
          <w:trHeight w:val="144"/>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140"/>
        </w:trPr>
        <w:tc>
          <w:tcPr>
            <w:tcW w:w="4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ind w:right="42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300</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(36,355)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(36,055)</w:t>
            </w: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3"/>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106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Unobservable</w:t>
            </w: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gridSpan w:val="4"/>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3"/>
              </w:rPr>
              <w:t>Observable</w:t>
            </w:r>
          </w:p>
        </w:tc>
        <w:tc>
          <w:tcPr>
            <w:tcW w:w="22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20" w:type="dxa"/>
            <w:vAlign w:val="bottom"/>
          </w:tcPr>
          <w:p>
            <w:pPr>
              <w:spacing w:after="0"/>
              <w:rPr>
                <w:sz w:val="8"/>
                <w:szCs w:val="8"/>
                <w:color w:val="auto"/>
              </w:rPr>
            </w:pPr>
          </w:p>
        </w:tc>
        <w:tc>
          <w:tcPr>
            <w:tcW w:w="1020" w:type="dxa"/>
            <w:vAlign w:val="bottom"/>
            <w:gridSpan w:val="4"/>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280" w:type="dxa"/>
            <w:vAlign w:val="bottom"/>
          </w:tcPr>
          <w:p>
            <w:pPr>
              <w:spacing w:after="0"/>
              <w:rPr>
                <w:sz w:val="8"/>
                <w:szCs w:val="8"/>
                <w:color w:val="auto"/>
              </w:rPr>
            </w:pPr>
          </w:p>
        </w:tc>
        <w:tc>
          <w:tcPr>
            <w:tcW w:w="980" w:type="dxa"/>
            <w:vAlign w:val="bottom"/>
            <w:gridSpan w:val="4"/>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220" w:type="dxa"/>
            <w:vAlign w:val="bottom"/>
          </w:tcPr>
          <w:p>
            <w:pPr>
              <w:spacing w:after="0"/>
              <w:rPr>
                <w:sz w:val="8"/>
                <w:szCs w:val="8"/>
                <w:color w:val="auto"/>
              </w:rPr>
            </w:pPr>
          </w:p>
        </w:tc>
        <w:tc>
          <w:tcPr>
            <w:tcW w:w="520" w:type="dxa"/>
            <w:vAlign w:val="bottom"/>
            <w:gridSpan w:val="2"/>
          </w:tcPr>
          <w:p>
            <w:pPr>
              <w:jc w:val="center"/>
              <w:ind w:left="164"/>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4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280" w:type="dxa"/>
            <w:vAlign w:val="bottom"/>
          </w:tcPr>
          <w:p>
            <w:pPr>
              <w:spacing w:after="0"/>
              <w:rPr>
                <w:sz w:val="10"/>
                <w:szCs w:val="10"/>
                <w:color w:val="auto"/>
              </w:rPr>
            </w:pPr>
          </w:p>
        </w:tc>
        <w:tc>
          <w:tcPr>
            <w:tcW w:w="98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20" w:type="dxa"/>
            <w:vAlign w:val="bottom"/>
          </w:tcPr>
          <w:p>
            <w:pPr>
              <w:spacing w:after="0"/>
              <w:rPr>
                <w:sz w:val="10"/>
                <w:szCs w:val="10"/>
                <w:color w:val="auto"/>
              </w:rPr>
            </w:pPr>
          </w:p>
        </w:tc>
        <w:tc>
          <w:tcPr>
            <w:tcW w:w="1060" w:type="dxa"/>
            <w:vAlign w:val="bottom"/>
            <w:gridSpan w:val="5"/>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2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36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Money market funds</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3,301</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Short term investments</w:t>
            </w:r>
          </w:p>
        </w:tc>
        <w:tc>
          <w:tcPr>
            <w:tcW w:w="12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(22,640)</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(559)</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(894)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8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3,601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(21,274)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Money Market Funds</w:t>
      </w:r>
    </w:p>
    <w:p>
      <w:pPr>
        <w:spacing w:after="0" w:line="172"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2021,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Investments</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In the first quarter of 2021, the Company began to account for its former India solar operations under the equity method of accounting.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127" w:lineRule="exact"/>
        <w:rPr>
          <w:sz w:val="20"/>
          <w:szCs w:val="20"/>
          <w:color w:val="auto"/>
        </w:rPr>
      </w:pPr>
    </w:p>
    <w:tbl>
      <w:tblPr>
        <w:tblLayout w:type="fixed"/>
        <w:tblInd w:w="38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Investments Without a</w:t>
            </w: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200" w:type="dxa"/>
            <w:vAlign w:val="bottom"/>
            <w:gridSpan w:val="3"/>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Readily Determinable</w:t>
            </w:r>
          </w:p>
        </w:tc>
        <w:tc>
          <w:tcPr>
            <w:tcW w:w="12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5"/>
              </w:rPr>
              <w:t>Fair Value Investments</w:t>
            </w:r>
          </w:p>
        </w:tc>
        <w:tc>
          <w:tcPr>
            <w:tcW w:w="100" w:type="dxa"/>
            <w:vAlign w:val="bottom"/>
          </w:tcPr>
          <w:p>
            <w:pPr>
              <w:spacing w:after="0"/>
              <w:rPr>
                <w:sz w:val="8"/>
                <w:szCs w:val="8"/>
                <w:color w:val="auto"/>
              </w:rPr>
            </w:pPr>
          </w:p>
        </w:tc>
        <w:tc>
          <w:tcPr>
            <w:tcW w:w="1100" w:type="dxa"/>
            <w:vAlign w:val="bottom"/>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w w:val="98"/>
              </w:rPr>
              <w:t>Equity Investments</w:t>
            </w:r>
          </w:p>
        </w:tc>
        <w:tc>
          <w:tcPr>
            <w:tcW w:w="380" w:type="dxa"/>
            <w:vAlign w:val="bottom"/>
          </w:tcPr>
          <w:p>
            <w:pPr>
              <w:spacing w:after="0"/>
              <w:rPr>
                <w:sz w:val="8"/>
                <w:szCs w:val="8"/>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17,820</w:t>
            </w: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1,925</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2"/>
                <w:szCs w:val="12"/>
                <w:color w:val="auto"/>
              </w:rPr>
              <w:t>28,699</w:t>
            </w:r>
          </w:p>
        </w:tc>
        <w:tc>
          <w:tcPr>
            <w:tcW w:w="38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Sale of Investments(1)</w:t>
            </w:r>
          </w:p>
        </w:tc>
        <w:tc>
          <w:tcPr>
            <w:tcW w:w="18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(13,212)</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(Loss) recognized</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(2,234)</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Contributions / (distributions)</w:t>
            </w:r>
          </w:p>
        </w:tc>
        <w:tc>
          <w:tcPr>
            <w:tcW w:w="18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(744)</w:t>
            </w:r>
          </w:p>
        </w:tc>
        <w:tc>
          <w:tcPr>
            <w:tcW w:w="100" w:type="dxa"/>
            <w:vAlign w:val="bottom"/>
          </w:tcPr>
          <w:p>
            <w:pPr>
              <w:spacing w:after="0"/>
              <w:rPr>
                <w:sz w:val="12"/>
                <w:szCs w:val="12"/>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2,750</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loss</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(2,040)</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Gain recognized</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22,590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2"/>
                <w:szCs w:val="12"/>
                <w:color w:val="auto"/>
              </w:rPr>
              <w:t>13,963</w:t>
            </w:r>
          </w:p>
        </w:tc>
        <w:tc>
          <w:tcPr>
            <w:tcW w:w="38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 w:right="199" w:firstLine="427"/>
        <w:spacing w:after="0" w:line="279" w:lineRule="auto"/>
        <w:tabs>
          <w:tab w:leader="none" w:pos="652"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2022, the Company sold an investment previously accounted for using the equity method for $15.7 million of cash. The investment had a book value of $13.2 and the Company recognized a gain of $2.5 million on the transaction.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These investments are included with other assets on the consolidated balance sheets.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Common Units and Warrants</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Company issued redeemable common units, and warrants to purchase additional common units, in a subsidiary of the Company in conjunction with its acquisition of Alaska Communications. The Company also issued redeemable common units in a subsidiary in conjunction with its acquisition of Sacred Wind. (Refer to Note 5). The instruments are redeemable at the option of the holder. Both the common units and warrants to purchase common units are recorded at fair value in the Company’s financial statements. The put option begins in November 2026. The Company calculates the fair value of the instruments using a market approach with level 3 inputs.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Fair Value Disclosures</w:t>
      </w:r>
    </w:p>
    <w:p>
      <w:pPr>
        <w:spacing w:after="0" w:line="17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accounts receivable, and accounts payable and accrued expenses approximate their fair values because of the relatively short-term maturities of these financial instruments. The fair value of the interest rate swap is measured using Level 2 inputs.</w:t>
      </w:r>
    </w:p>
    <w:p>
      <w:pPr>
        <w:spacing w:after="0" w:line="138"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fair value of long-term debt is estimated using Level 2 inputs. At December 31, 2022, the fair value of long-term debt, including the current portion, was $473.7 million and its book value was $467.2 million. At December 31, 2021, the fair value of long-term debt, including the current portion, was $373.7 million and its book value was $366.5 million.</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reconciles the numerator and denominator in the computations of basic and diluted earnings per share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133"/>
        </w:trPr>
        <w:tc>
          <w:tcPr>
            <w:tcW w:w="52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(7,583)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(20,809)</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w:t>
            </w: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(13,414)</w:t>
            </w: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 attributable to ATN International, Inc. stockholders- Basic</w:t>
            </w:r>
          </w:p>
        </w:tc>
        <w:tc>
          <w:tcPr>
            <w:tcW w:w="6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(5,645)</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(22,108)</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(14,122)</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Less: Preferred dividends</w:t>
            </w:r>
          </w:p>
        </w:tc>
        <w:tc>
          <w:tcPr>
            <w:tcW w:w="6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(4,856)</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(1,962)</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2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 attributable to ATN International, Inc. common stockholders- Diluted</w:t>
            </w:r>
          </w:p>
        </w:tc>
        <w:tc>
          <w:tcPr>
            <w:tcW w:w="640" w:type="dxa"/>
            <w:vAlign w:val="bottom"/>
            <w:tcBorders>
              <w:top w:val="single" w:sz="8" w:color="auto"/>
              <w:bottom w:val="single" w:sz="8" w:color="auto"/>
            </w:tcBorders>
            <w:shd w:val="clear" w:color="auto" w:fill="CCEEFF"/>
          </w:tcPr>
          <w:p>
            <w:pPr>
              <w:jc w:val="right"/>
              <w:ind w:right="50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(10,501)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(24,070)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(14,122)</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shares outstanding- Basic</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15,923</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of dilutive securities:</w:t>
            </w: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Stock options, restricted stock units and performance stock units</w:t>
            </w:r>
          </w:p>
        </w:tc>
        <w:tc>
          <w:tcPr>
            <w:tcW w:w="6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2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Weighted-average shares outstanding- Diluted</w:t>
            </w: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15,751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15,867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15,923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Noncontrolling Interests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Sacred Wind Enterprises</w:t>
      </w:r>
    </w:p>
    <w:p>
      <w:pPr>
        <w:spacing w:after="0" w:line="179"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Transaction (see Note 5), the Company has accounted for equity consideration issued as redeemable noncontrolling interests in its consolidated financial statements. The redeemable noncontrolling interests consists of $14.8 million of redeemable common units. The common units contain a put option allowing the holder to sell the common units to a subsidiary of the Company at the then fair market value. The fair value of the common units is $14.8 million as of December 31, 2022.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Alaska Communications</w:t>
      </w:r>
    </w:p>
    <w:p>
      <w:pPr>
        <w:spacing w:after="0" w:line="170" w:lineRule="exact"/>
        <w:rPr>
          <w:sz w:val="20"/>
          <w:szCs w:val="20"/>
          <w:color w:val="auto"/>
        </w:rPr>
      </w:pPr>
    </w:p>
    <w:p>
      <w:pPr>
        <w:ind w:left="20" w:right="119" w:firstLine="432"/>
        <w:spacing w:after="0" w:line="254" w:lineRule="auto"/>
        <w:rPr>
          <w:sz w:val="20"/>
          <w:szCs w:val="20"/>
          <w:color w:val="auto"/>
        </w:rPr>
      </w:pPr>
      <w:r>
        <w:rPr>
          <w:rFonts w:ascii="Times New Roman" w:cs="Times New Roman" w:eastAsia="Times New Roman" w:hAnsi="Times New Roman"/>
          <w:sz w:val="12"/>
          <w:szCs w:val="12"/>
          <w:color w:val="auto"/>
        </w:rPr>
        <w:t>In connection with the Alaska Transaction (see Note 5), the Company has accounted for the Freedom 3 Investment as redeemable noncontrolling interests in its consolidated financial statements. The redeemable noncontrolling interests consists of redeemable common units and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fair value of the common units was $22.5 million and $22.6 million as of December 31, 2022 and 2021, respectively. The redeemable preferred equity carries a 9% preferred dividend which compounds quarterly. The preferred units contain a put option allowing the holder to sell the preferred units to a subsidiary of the Company at the unpaid issue price plus unpaid dividends. The put option begins at the earlier of a future initial public offering of the Alaska Communications operations or July 2028. The preferred units had a book value of $55.2 million and $50.3 million as of December 31, 2022 and 2021, respectively. The preferred units book value includes an unpaid preferred dividend of $6.8 million and $2.0 million as of December 31, 2022 and 2021, respectively. Lastly, the Company issued warrants in the Alaska Communications operations allowing the holders to purchase an additional 3% of the common units at a fixed price. The value of the warrants was $0.7 million and $0.6 million as of December 31, 2022 and 2021, respectively.</w:t>
      </w:r>
    </w:p>
    <w:p>
      <w:pPr>
        <w:spacing w:after="0" w:line="153"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2022 and 2021, the Company allocated losses of $4.3 million and $6.2 million, respectively, to the redeemable common units representing their proportionate share of operating losses. The Company then compared the book value of the common units to the fair value and the fair value exceeded the book</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value. As a result, the book value was increased by $4.2 million and $6.2 million during the years ended December 31, 2022 and 2021, respectively.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provides a roll forward of the activity related to the Company’s redeemable noncontrolling interests for year ended December 31, 2022 and 2021:</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Total Redeemable</w:t>
            </w:r>
          </w:p>
        </w:tc>
        <w:tc>
          <w:tcPr>
            <w:tcW w:w="0" w:type="dxa"/>
            <w:vAlign w:val="bottom"/>
          </w:tcPr>
          <w:p>
            <w:pPr>
              <w:spacing w:after="0"/>
              <w:rPr>
                <w:sz w:val="1"/>
                <w:szCs w:val="1"/>
                <w:color w:val="auto"/>
              </w:rPr>
            </w:pPr>
          </w:p>
        </w:tc>
      </w:tr>
      <w:tr>
        <w:trPr>
          <w:trHeight w:val="72"/>
        </w:trPr>
        <w:tc>
          <w:tcPr>
            <w:tcW w:w="5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5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Preferred Units</w:t>
            </w:r>
          </w:p>
        </w:tc>
        <w:tc>
          <w:tcPr>
            <w:tcW w:w="100" w:type="dxa"/>
            <w:vAlign w:val="bottom"/>
          </w:tcPr>
          <w:p>
            <w:pPr>
              <w:spacing w:after="0"/>
              <w:rPr>
                <w:sz w:val="6"/>
                <w:szCs w:val="6"/>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0" w:type="dxa"/>
            <w:vAlign w:val="bottom"/>
          </w:tcPr>
          <w:p>
            <w:pPr>
              <w:spacing w:after="0"/>
              <w:rPr>
                <w:sz w:val="1"/>
                <w:szCs w:val="1"/>
                <w:color w:val="auto"/>
              </w:rPr>
            </w:pPr>
          </w:p>
        </w:tc>
      </w:tr>
      <w:tr>
        <w:trPr>
          <w:trHeight w:val="72"/>
        </w:trPr>
        <w:tc>
          <w:tcPr>
            <w:tcW w:w="52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50,296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22,640</w:t>
            </w:r>
          </w:p>
        </w:tc>
        <w:tc>
          <w:tcPr>
            <w:tcW w:w="2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72,936</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591 common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4,856</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(4,317)</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4,234</w:t>
            </w:r>
          </w:p>
        </w:tc>
        <w:tc>
          <w:tcPr>
            <w:tcW w:w="0" w:type="dxa"/>
            <w:vAlign w:val="bottom"/>
          </w:tcPr>
          <w:p>
            <w:pPr>
              <w:spacing w:after="0"/>
              <w:rPr>
                <w:sz w:val="1"/>
                <w:szCs w:val="1"/>
                <w:color w:val="auto"/>
              </w:rPr>
            </w:pPr>
          </w:p>
        </w:tc>
      </w:tr>
      <w:tr>
        <w:trPr>
          <w:trHeight w:val="140"/>
        </w:trPr>
        <w:tc>
          <w:tcPr>
            <w:tcW w:w="5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55,152</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37,317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92,469</w:t>
            </w:r>
          </w:p>
        </w:tc>
        <w:tc>
          <w:tcPr>
            <w:tcW w:w="0" w:type="dxa"/>
            <w:vAlign w:val="bottom"/>
          </w:tcPr>
          <w:p>
            <w:pPr>
              <w:spacing w:after="0"/>
              <w:rPr>
                <w:sz w:val="1"/>
                <w:szCs w:val="1"/>
                <w:color w:val="auto"/>
              </w:rPr>
            </w:pPr>
          </w:p>
        </w:tc>
      </w:tr>
      <w:tr>
        <w:trPr>
          <w:trHeight w:val="453"/>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5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5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100" w:type="dxa"/>
            <w:vAlign w:val="bottom"/>
          </w:tcPr>
          <w:p>
            <w:pPr>
              <w:spacing w:after="0"/>
              <w:rPr>
                <w:sz w:val="6"/>
                <w:szCs w:val="6"/>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0" w:type="dxa"/>
            <w:vAlign w:val="bottom"/>
          </w:tcPr>
          <w:p>
            <w:pPr>
              <w:spacing w:after="0"/>
              <w:rPr>
                <w:sz w:val="1"/>
                <w:szCs w:val="1"/>
                <w:color w:val="auto"/>
              </w:rPr>
            </w:pPr>
          </w:p>
        </w:tc>
      </w:tr>
      <w:tr>
        <w:trPr>
          <w:trHeight w:val="72"/>
        </w:trPr>
        <w:tc>
          <w:tcPr>
            <w:tcW w:w="5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48,334 preferred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48,334</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23,199 common units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22,640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22,640</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1,962</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(6,164)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(6,164)</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6,164</w:t>
            </w:r>
          </w:p>
        </w:tc>
        <w:tc>
          <w:tcPr>
            <w:tcW w:w="0" w:type="dxa"/>
            <w:vAlign w:val="bottom"/>
          </w:tcPr>
          <w:p>
            <w:pPr>
              <w:spacing w:after="0"/>
              <w:rPr>
                <w:sz w:val="1"/>
                <w:szCs w:val="1"/>
                <w:color w:val="auto"/>
              </w:rPr>
            </w:pPr>
          </w:p>
        </w:tc>
      </w:tr>
      <w:tr>
        <w:trPr>
          <w:trHeight w:val="140"/>
        </w:trPr>
        <w:tc>
          <w:tcPr>
            <w:tcW w:w="52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50,296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22,640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72,936</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70" w:lineRule="exact"/>
        <w:rPr>
          <w:sz w:val="20"/>
          <w:szCs w:val="20"/>
          <w:color w:val="auto"/>
        </w:rPr>
      </w:pPr>
    </w:p>
    <w:p>
      <w:pPr>
        <w:ind w:left="20" w:right="59" w:firstLine="432"/>
        <w:spacing w:after="0" w:line="283" w:lineRule="auto"/>
        <w:rPr>
          <w:sz w:val="20"/>
          <w:szCs w:val="20"/>
          <w:color w:val="auto"/>
        </w:rPr>
      </w:pPr>
      <w:r>
        <w:rPr>
          <w:rFonts w:ascii="Times New Roman" w:cs="Times New Roman" w:eastAsia="Times New Roman" w:hAnsi="Times New Roman"/>
          <w:sz w:val="12"/>
          <w:szCs w:val="12"/>
          <w:color w:val="auto"/>
        </w:rPr>
        <w:t>The Company applies the fair value recognition provision of ASU 2018-07, “</w:t>
      </w:r>
      <w:r>
        <w:rPr>
          <w:rFonts w:ascii="Times New Roman" w:cs="Times New Roman" w:eastAsia="Times New Roman" w:hAnsi="Times New Roman"/>
          <w:sz w:val="12"/>
          <w:szCs w:val="12"/>
          <w:i w:val="1"/>
          <w:iCs w:val="1"/>
          <w:color w:val="auto"/>
        </w:rPr>
        <w:t>Compensation—Stock Compensation (Topic 718)</w:t>
      </w:r>
      <w:r>
        <w:rPr>
          <w:rFonts w:ascii="Times New Roman" w:cs="Times New Roman" w:eastAsia="Times New Roman" w:hAnsi="Times New Roman"/>
          <w:sz w:val="12"/>
          <w:szCs w:val="12"/>
          <w:color w:val="auto"/>
        </w:rPr>
        <w:t>” and is expensing the fair value of all stock-based compensation over the vesting periods of such awards within selling, general and administrative expenses in its Income Statement.</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181" w:lineRule="exact"/>
        <w:rPr>
          <w:sz w:val="20"/>
          <w:szCs w:val="20"/>
          <w:color w:val="auto"/>
        </w:rPr>
      </w:pPr>
    </w:p>
    <w:p>
      <w:pPr>
        <w:ind w:left="20" w:right="219" w:firstLine="432"/>
        <w:spacing w:after="0" w:line="260" w:lineRule="auto"/>
        <w:rPr>
          <w:sz w:val="20"/>
          <w:szCs w:val="20"/>
          <w:color w:val="auto"/>
        </w:rPr>
      </w:pPr>
      <w:r>
        <w:rPr>
          <w:rFonts w:ascii="Times New Roman" w:cs="Times New Roman" w:eastAsia="Times New Roman" w:hAnsi="Times New Roman"/>
          <w:sz w:val="12"/>
          <w:szCs w:val="12"/>
          <w:color w:val="auto"/>
        </w:rPr>
        <w:t>The Company accounts for business combinations using the acquisition method of accounting, under which the purchase price of the acquisition is allocated to the assets acquired and liabilities assumed using the fair values determined by management as of the acquisition date. Contingent consideration obligations that are elements of the consideration transferred are recognized as of the acquisition date as part of the fair value transferred in exchange for the acquired business. Acquisition-related costs incurred in connection with a business combination are expensed as incurred.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81"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In June 2016, the FASB issued ASU 2016-13, “Financial Instruments-Credit Losses (Topic 326): Measurement of Credit Losses on Financial Instruments,” (“ASU 2016-13”). ASU 2016-13 requires entities to use a new forward-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looking, expected loss model to estimate credit losses. It also requires additional disclosure relating to the credit quality of trade and other receivables, including information relating to management’s estimate of credit allowances. The Company adopted ASU 2016-13 using the modified retrospective approach on its January 1, 2020 effective date.</w:t>
      </w:r>
    </w:p>
    <w:p>
      <w:pPr>
        <w:spacing w:after="0" w:line="138"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The Company adopted ASU 2019-12 effective January 1, 2021. The adoption of ASU 2019-12 did not have a material impact on the Company’s consolidated financial statements and related disclosures.</w:t>
      </w:r>
    </w:p>
    <w:p>
      <w:pPr>
        <w:spacing w:after="0" w:line="140"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1"/>
          <w:szCs w:val="11"/>
          <w:color w:val="auto"/>
        </w:rPr>
        <w:t>In October 2021, the FASB issued ASC 2021-08, “Business Combinations (Topic 805): Accounting for Contract Assets and Contract Liabilities from Contracts with Customers,” (ASU 2021-08). ASU 2021-08 provides guidance for recognizing and measuring contract assets and contract liabilities acquired in a business combination. Under the standard revenue contracts are accounted for consistent with how they were recognized and measured in the acquiree’s financial statements. This is a change from current standards which require contract asset and liabilities to be recognized at fair value. The Company prospectively adopted this standard in the fourth quarter of 2021 and will apply it to all acquisitions during the year ended December 31, 2021 and thereafter. The adoption will generally result in the Company recognizing larger contract liabilities in business combinations. Refer to Note 5.</w:t>
      </w:r>
    </w:p>
    <w:p>
      <w:pPr>
        <w:spacing w:after="0" w:line="137"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November 2021, the FASB issued ASU 2021-10, Government Assistance (Topic 832): Disclosures by Business Entities about Government Assistance, which required entities to make specific annual disclosures about transactions with a government. The new standard is effective for fiscal years beginning after December 15, 2021. The Company adopted the standard in the fourth quarter of 2021 and it did not have a material impact on the Company’s disclosures. Going forward the Company will evaluate the disclosure requirements based on its participation in government programs.</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REVENUE AND RECEIVABLES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Accounted for in Accordance with Other Guidance</w:t>
      </w:r>
    </w:p>
    <w:p>
      <w:pPr>
        <w:spacing w:after="0" w:line="179"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Timing of Revenue Recognition</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Revenue accounted for in accordance with ASC 606 consisted of the following for the periods presented below</w:t>
      </w:r>
      <w:r>
        <w:rPr>
          <w:rFonts w:ascii="Times New Roman" w:cs="Times New Roman" w:eastAsia="Times New Roman" w:hAnsi="Times New Roman"/>
          <w:sz w:val="12"/>
          <w:szCs w:val="12"/>
          <w:i w:val="1"/>
          <w:iCs w:val="1"/>
          <w:color w:val="auto"/>
        </w:rPr>
        <w: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r>
        <w:trPr>
          <w:trHeight w:val="88"/>
        </w:trPr>
        <w:tc>
          <w:tcPr>
            <w:tcW w:w="50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r>
      <w:tr>
        <w:trPr>
          <w:trHeight w:val="133"/>
        </w:trPr>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Services transferred over time</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44"/>
        </w:trPr>
        <w:tc>
          <w:tcPr>
            <w:tcW w:w="5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US Telecom</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301,309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188,405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96,935</w:t>
            </w:r>
          </w:p>
        </w:tc>
      </w:tr>
      <w:tr>
        <w:trPr>
          <w:trHeight w:val="14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 Telecom</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332,507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319,357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305,844</w:t>
            </w:r>
          </w:p>
        </w:tc>
      </w:tr>
      <w:tr>
        <w:trPr>
          <w:trHeight w:val="144"/>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Solar</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4,556</w:t>
            </w:r>
          </w:p>
        </w:tc>
      </w:tr>
      <w:tr>
        <w:trPr>
          <w:trHeight w:val="133"/>
        </w:trPr>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services transferred over time</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633,816</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508,180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407,335</w:t>
            </w:r>
          </w:p>
        </w:tc>
      </w:tr>
      <w:tr>
        <w:trPr>
          <w:trHeight w:val="144"/>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Goods and services transferred at a point in time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US Telecom</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46,433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12,154</w:t>
            </w:r>
          </w:p>
        </w:tc>
      </w:tr>
      <w:tr>
        <w:trPr>
          <w:trHeight w:val="144"/>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International Telecom</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14,934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9,196</w:t>
            </w:r>
          </w:p>
        </w:tc>
      </w:tr>
      <w:tr>
        <w:trPr>
          <w:trHeight w:val="133"/>
        </w:trPr>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goods and services transferred at a point in time</w:t>
            </w:r>
          </w:p>
        </w:tc>
        <w:tc>
          <w:tcPr>
            <w:tcW w:w="12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44,137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57,361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21,350</w:t>
            </w:r>
          </w:p>
        </w:tc>
      </w:tr>
      <w:tr>
        <w:trPr>
          <w:trHeight w:val="140"/>
        </w:trPr>
        <w:tc>
          <w:tcPr>
            <w:tcW w:w="5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revenue accounted for under ASC 606</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677,953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565,541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428,685</w:t>
            </w:r>
          </w:p>
        </w:tc>
      </w:tr>
    </w:tbl>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Contract assets and liabilities consisted of the following (amounts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0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40" w:type="dxa"/>
            <w:vAlign w:val="bottom"/>
          </w:tcPr>
          <w:p>
            <w:pPr>
              <w:spacing w:after="0"/>
              <w:rPr>
                <w:sz w:val="10"/>
                <w:szCs w:val="1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20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33"/>
        </w:trPr>
        <w:tc>
          <w:tcPr>
            <w:tcW w:w="4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Contract asset – current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2,932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4,805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(1,873)</w:t>
            </w:r>
          </w:p>
        </w:tc>
        <w:tc>
          <w:tcPr>
            <w:tcW w:w="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ind w:right="662"/>
              <w:spacing w:after="0" w:line="133" w:lineRule="exact"/>
              <w:rPr>
                <w:sz w:val="20"/>
                <w:szCs w:val="20"/>
                <w:color w:val="auto"/>
              </w:rPr>
            </w:pPr>
            <w:r>
              <w:rPr>
                <w:rFonts w:ascii="Times New Roman" w:cs="Times New Roman" w:eastAsia="Times New Roman" w:hAnsi="Times New Roman"/>
                <w:sz w:val="12"/>
                <w:szCs w:val="12"/>
                <w:color w:val="auto"/>
              </w:rPr>
              <w:t>(39)</w:t>
            </w:r>
            <w:r>
              <w:rPr>
                <w:rFonts w:ascii="Arial" w:cs="Arial" w:eastAsia="Arial" w:hAnsi="Arial"/>
                <w:sz w:val="12"/>
                <w:szCs w:val="12"/>
                <w:color w:val="auto"/>
              </w:rPr>
              <w:t>%</w:t>
            </w:r>
          </w:p>
        </w:tc>
      </w:tr>
      <w:tr>
        <w:trPr>
          <w:trHeight w:val="144"/>
        </w:trPr>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Contract asset – noncurrent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2,875</w:t>
            </w:r>
          </w:p>
        </w:tc>
        <w:tc>
          <w:tcPr>
            <w:tcW w:w="140" w:type="dxa"/>
            <w:vAlign w:val="bottom"/>
          </w:tcPr>
          <w:p>
            <w:pPr>
              <w:spacing w:after="0"/>
              <w:rPr>
                <w:sz w:val="12"/>
                <w:szCs w:val="12"/>
                <w:color w:val="auto"/>
              </w:rPr>
            </w:pPr>
          </w:p>
        </w:tc>
        <w:tc>
          <w:tcPr>
            <w:tcW w:w="1200" w:type="dxa"/>
            <w:vAlign w:val="bottom"/>
          </w:tcPr>
          <w:p>
            <w:pPr>
              <w:jc w:val="right"/>
              <w:ind w:right="662"/>
              <w:spacing w:after="0"/>
              <w:rPr>
                <w:sz w:val="20"/>
                <w:szCs w:val="20"/>
                <w:color w:val="auto"/>
              </w:rPr>
            </w:pPr>
            <w:r>
              <w:rPr>
                <w:rFonts w:ascii="Times New Roman" w:cs="Times New Roman" w:eastAsia="Times New Roman" w:hAnsi="Times New Roman"/>
                <w:sz w:val="12"/>
                <w:szCs w:val="12"/>
                <w:color w:val="auto"/>
              </w:rPr>
              <w:t xml:space="preserve">319 </w:t>
            </w:r>
            <w:r>
              <w:rPr>
                <w:rFonts w:ascii="Arial" w:cs="Arial" w:eastAsia="Arial" w:hAnsi="Arial"/>
                <w:sz w:val="12"/>
                <w:szCs w:val="12"/>
                <w:color w:val="auto"/>
              </w:rPr>
              <w:t>%</w:t>
            </w:r>
          </w:p>
        </w:tc>
      </w:tr>
      <w:tr>
        <w:trPr>
          <w:trHeight w:val="14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liability – current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(27,284)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(25,332)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(1,952)</w:t>
            </w:r>
          </w:p>
        </w:tc>
        <w:tc>
          <w:tcPr>
            <w:tcW w:w="120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2"/>
                <w:szCs w:val="12"/>
                <w:color w:val="auto"/>
              </w:rPr>
              <w:t>(8)</w:t>
            </w:r>
            <w:r>
              <w:rPr>
                <w:rFonts w:ascii="Arial" w:cs="Arial" w:eastAsia="Arial" w:hAnsi="Arial"/>
                <w:sz w:val="12"/>
                <w:szCs w:val="12"/>
                <w:color w:val="auto"/>
              </w:rPr>
              <w:t>%</w:t>
            </w:r>
          </w:p>
        </w:tc>
      </w:tr>
      <w:tr>
        <w:trPr>
          <w:trHeight w:val="144"/>
        </w:trPr>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liability – noncurrent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(72,543)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(81,391)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8,848</w:t>
            </w:r>
          </w:p>
        </w:tc>
        <w:tc>
          <w:tcPr>
            <w:tcW w:w="140" w:type="dxa"/>
            <w:vAlign w:val="bottom"/>
          </w:tcPr>
          <w:p>
            <w:pPr>
              <w:spacing w:after="0"/>
              <w:rPr>
                <w:sz w:val="12"/>
                <w:szCs w:val="12"/>
                <w:color w:val="auto"/>
              </w:rPr>
            </w:pPr>
          </w:p>
        </w:tc>
        <w:tc>
          <w:tcPr>
            <w:tcW w:w="1200" w:type="dxa"/>
            <w:vAlign w:val="bottom"/>
          </w:tcPr>
          <w:p>
            <w:pPr>
              <w:jc w:val="right"/>
              <w:ind w:right="662"/>
              <w:spacing w:after="0"/>
              <w:rPr>
                <w:sz w:val="20"/>
                <w:szCs w:val="20"/>
                <w:color w:val="auto"/>
              </w:rPr>
            </w:pPr>
            <w:r>
              <w:rPr>
                <w:rFonts w:ascii="Times New Roman" w:cs="Times New Roman" w:eastAsia="Times New Roman" w:hAnsi="Times New Roman"/>
                <w:sz w:val="12"/>
                <w:szCs w:val="12"/>
                <w:color w:val="auto"/>
              </w:rPr>
              <w:t xml:space="preserve">11 </w:t>
            </w:r>
            <w:r>
              <w:rPr>
                <w:rFonts w:ascii="Arial" w:cs="Arial" w:eastAsia="Arial" w:hAnsi="Arial"/>
                <w:sz w:val="12"/>
                <w:szCs w:val="12"/>
                <w:color w:val="auto"/>
              </w:rPr>
              <w:t>%</w:t>
            </w:r>
          </w:p>
        </w:tc>
      </w:tr>
      <w:tr>
        <w:trPr>
          <w:trHeight w:val="140"/>
        </w:trPr>
        <w:tc>
          <w:tcPr>
            <w:tcW w:w="4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contract liability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(93,120)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(101,018)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jc w:val="right"/>
              <w:ind w:right="662"/>
              <w:spacing w:after="0" w:line="133" w:lineRule="exact"/>
              <w:rPr>
                <w:sz w:val="20"/>
                <w:szCs w:val="20"/>
                <w:color w:val="auto"/>
              </w:rPr>
            </w:pPr>
            <w:r>
              <w:rPr>
                <w:rFonts w:ascii="Times New Roman" w:cs="Times New Roman" w:eastAsia="Times New Roman" w:hAnsi="Times New Roman"/>
                <w:sz w:val="12"/>
                <w:szCs w:val="12"/>
                <w:color w:val="auto"/>
              </w:rPr>
              <w:t xml:space="preserve">8 </w:t>
            </w:r>
            <w:r>
              <w:rPr>
                <w:rFonts w:ascii="Arial" w:cs="Arial" w:eastAsia="Arial" w:hAnsi="Arial"/>
                <w:sz w:val="12"/>
                <w:szCs w:val="12"/>
                <w:color w:val="auto"/>
              </w:rPr>
              <w:t>%</w:t>
            </w:r>
          </w:p>
        </w:tc>
      </w:tr>
    </w:tbl>
    <w:p>
      <w:pPr>
        <w:spacing w:after="0" w:line="151"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The contract asset-current is included in prepayments and other current assets, the contract asset-noncurrent is included in other assets, the contract liability-current is included in advance payments and deposits, and the contract liability-noncurrent is included in other liabilities on the Company’s balance sheet. The decrease in the Company’s net contract liability was due to the recognition of contract liabilities as revenue during the year ended December 31, 2022. During the year ended December 31, 2022, the Company recognized revenue of $25.1 million related to its December 31, 2021 contract liability and amortized $3.6 million of the December 31, 2021 contract asset into revenue. During the year ended December 31, 2021, the Company recognized revenue of $18.0 million related to its December 31, 2020 contract liability and amortized $2.4 million of the December 31, 2020 contract asset into revenue. The Company did not recognize any revenue in the years ended December 31, 2022 and 2021 related to performance obligations that were satisfied or partially satisfied in previous periods.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Acquisition Costs</w:t>
      </w:r>
    </w:p>
    <w:p>
      <w:pPr>
        <w:spacing w:after="0" w:line="179"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The December 31, 2022 balance sheet includes contract acquisition costs of $8.3 million in other assets. The December 31, 2021 balance sheet includes contract acquisition costs of $4.5 million. During the years ended December 31, 2022 and 2021 the Company amortized $3.5 million and $2.8 million, respectively, of contract acquisition cost.</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Remaining Performance Obligations</w:t>
      </w:r>
    </w:p>
    <w:p>
      <w:pPr>
        <w:spacing w:after="0" w:line="179"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Remaining performance obligations represent the transaction price allocated to unsatisfied performance obligations of certain multiyear mobility contracts, which include a promotional discount, and the Company’s construction and service contracts. The transaction price allocated to unsatisfied performance obligations was $312 million and $369 million at December 31, 2022 and December 31, 2021, respectively. The Company expects to satisfy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approximately 50% of the remaining performance obligations and recognize the transaction price within 24 months and the remainder thereafter.</w:t>
      </w:r>
    </w:p>
    <w:p>
      <w:pPr>
        <w:spacing w:after="0" w:line="177"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Company has certain mobility and carrier services contracts where transaction price is allocated to remaining performance obligations. However, the Company omits these contracts from the disclosure by applying the right to invoice, one year or less, any wholly unsatisfied performance obligation practical expedients.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Disaggregation</w:t>
      </w:r>
    </w:p>
    <w:p>
      <w:pPr>
        <w:spacing w:after="0" w:line="179" w:lineRule="exact"/>
        <w:rPr>
          <w:sz w:val="20"/>
          <w:szCs w:val="20"/>
          <w:color w:val="auto"/>
        </w:rPr>
      </w:pPr>
    </w:p>
    <w:p>
      <w:pPr>
        <w:ind w:left="20" w:right="119" w:firstLine="432"/>
        <w:spacing w:after="0" w:line="256" w:lineRule="auto"/>
        <w:rPr>
          <w:sz w:val="20"/>
          <w:szCs w:val="20"/>
          <w:color w:val="auto"/>
        </w:rPr>
      </w:pPr>
      <w:r>
        <w:rPr>
          <w:rFonts w:ascii="Times New Roman" w:cs="Times New Roman" w:eastAsia="Times New Roman" w:hAnsi="Times New Roman"/>
          <w:sz w:val="12"/>
          <w:szCs w:val="12"/>
          <w:color w:val="auto"/>
        </w:rPr>
        <w:t>The Company's revenue is presented on a disaggregated basis in Note 14 based on an evaluation of disclosures outside the financial statements, information regularly reviewed by the chief operating decision maker for evaluating the financial performance of operating segments and other information that is used for performance evaluation and resource allocations. This includes revenue from Communication Services revenue, Construction revenue and Other revenue. Communication Services is further disaggregated into Mobility, Fixed, Carrier Services, and Other revenue. Construction revenue represents revenue generated within our US Telecom segment for the construction of network cell sites related to the FirstNet Agreement. Other revenue is further disaggregated into Renewable Energy and Managed Services. Each of the revenue streams is presented for the Company’s International Telecom and US Telecom segments. This disaggregation of revenue depicts how the nature, amount, timing and uncertainty of revenue and cash flows are affected by economic factors.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Receivables</w:t>
      </w:r>
    </w:p>
    <w:p>
      <w:pPr>
        <w:spacing w:after="0" w:line="170" w:lineRule="exact"/>
        <w:rPr>
          <w:sz w:val="20"/>
          <w:szCs w:val="20"/>
          <w:color w:val="auto"/>
        </w:rPr>
      </w:pPr>
    </w:p>
    <w:p>
      <w:pPr>
        <w:ind w:left="20" w:right="179" w:firstLine="432"/>
        <w:spacing w:after="0" w:line="257" w:lineRule="auto"/>
        <w:rPr>
          <w:sz w:val="20"/>
          <w:szCs w:val="20"/>
          <w:color w:val="auto"/>
        </w:rPr>
      </w:pPr>
      <w:r>
        <w:rPr>
          <w:rFonts w:ascii="Times New Roman" w:cs="Times New Roman" w:eastAsia="Times New Roman" w:hAnsi="Times New Roman"/>
          <w:sz w:val="12"/>
          <w:szCs w:val="12"/>
          <w:color w:val="auto"/>
        </w:rPr>
        <w:t>At December 31, 2022, the Company had gross accounts receivable of $154.5 million and an allowance for credit losses of $15.2 million. The receivable under the FirstNet Agreement totaled $52.5 million, of which $5.8 million was current and $46.7 million was long-term. The December 31, 2022 accounts receivable also includes $5.7 million related to participation in certain government funded programs. (Refer to Note 9). At December 31, 2021, the Company had gross accounts receivable of $131.4 million and an allowance for credit losses of $13.9 million. The receivable under the FirstNet Agreement totaled $43.8 million of which $4.1 million was current and $39.7 million was long-term. The Company monitors receivables through the use of historical operating data adjusted for expectation of future performance as appropriate. Activity in the allowance for credit losses is below:</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December 31, 2022</w:t>
            </w:r>
          </w:p>
        </w:tc>
        <w:tc>
          <w:tcPr>
            <w:tcW w:w="16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December 31, 2021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13,885</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 for expected losses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Write-offs charged against the allowance</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Recoveries collected</w:t>
            </w: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15,171</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13,885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72"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has operating and financing leases for towers, land, corporate offices, retail facilities, and data transport capacity. The terms of the leases vary and some include additional renewal options.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Supplemental lease information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lease expense were as follows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8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3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cost: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lease cost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20,386</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Short-term lease cost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2,712</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Variable lease cost</w:t>
            </w: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4,059</w:t>
            </w: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lease cost</w:t>
            </w: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30,292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26,662</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23,180</w:t>
            </w:r>
          </w:p>
        </w:tc>
        <w:tc>
          <w:tcPr>
            <w:tcW w:w="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cost: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Amortization of right-of-use asset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2,561</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Variable costs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Interest costs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finance lease cost</w:t>
            </w: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3,353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3,033</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2022 and December 31, 2021, the Company paid $22.6 million and $19.4 million, respectively, related to operating lease liabilities. Also during the years ended December 31, 2022 and December 31, 2021, the Company recorded $7.1 million and $11.8 million, respectively, of lease liabilities arising from ROU assets. In addition, during the year ended December 31, 2022, the Company acquired $1.0 million of operating lease assets and $1.0 million of lease liabilities in acquisitions. During the year ended December 31 2021 the Company acquired $60.4 million of operating lease right of use assets and $46.7 million of lease liabilities in acquisitions. Refer to Note 5.</w:t>
      </w:r>
    </w:p>
    <w:p>
      <w:pPr>
        <w:spacing w:after="0" w:line="149" w:lineRule="exact"/>
        <w:rPr>
          <w:sz w:val="20"/>
          <w:szCs w:val="20"/>
          <w:color w:val="auto"/>
        </w:rPr>
      </w:pPr>
    </w:p>
    <w:p>
      <w:pPr>
        <w:ind w:left="20" w:right="19" w:firstLine="432"/>
        <w:spacing w:after="0" w:line="256" w:lineRule="auto"/>
        <w:rPr>
          <w:sz w:val="20"/>
          <w:szCs w:val="20"/>
          <w:color w:val="auto"/>
        </w:rPr>
      </w:pPr>
      <w:r>
        <w:rPr>
          <w:rFonts w:ascii="Times New Roman" w:cs="Times New Roman" w:eastAsia="Times New Roman" w:hAnsi="Times New Roman"/>
          <w:sz w:val="12"/>
          <w:szCs w:val="12"/>
          <w:color w:val="auto"/>
        </w:rPr>
        <w:t>At December 31, 2022, finance leases with a cost of $26.6 million and accumulated amortization of $13.5 million were included in property, plant and equipment. Additionally, during the year ended December 31, 2022, the Company disposed of finance leases with a net book value of $2.3 million recording a loss for $1.0 million. At December 31, 2022, finance leases had a lease liability of $5.5 million, of which $1.1 million was current. During the year ended December 31, 2022, the Company paid $1.1 million for finance lease liabilities and recorded $0.4 million of additional finance lease liabilities. At December 31, 2021, finance leases with a cost of $30.8 million and accumulated amortization of $12.1 million were included in property, plant and equipment. During the year ended December 31, 2021, the Company paid $2.2 million for finance lease liabilities and recorded $2.9 million of additional finance lease liabilities. At December 31, 2021, finance leases had a lease liability of $6.1 million, of which $0.9 million was current.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The weighted average remaining lease terms and discount rates as of December 31, 2022 and December 31, 2021 are noted in the table below:</w:t>
      </w:r>
    </w:p>
    <w:p>
      <w:pPr>
        <w:sectPr>
          <w:pgSz w:w="11900" w:h="16838" w:orient="portrait"/>
          <w:cols w:equalWidth="0" w:num="1">
            <w:col w:w="9019"/>
          </w:cols>
          <w:pgMar w:left="1440" w:top="390" w:right="1440" w:bottom="1440" w:gutter="0" w:footer="0" w:header="0"/>
        </w:sectPr>
      </w:pPr>
    </w:p>
    <w:p>
      <w:pPr>
        <w:spacing w:after="0" w:line="3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8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4554855" cy="10858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Maturities of lease liabilities as of December 31, 2022 were as follows (in thousands):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3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00" w:type="dxa"/>
            <w:vAlign w:val="bottom"/>
          </w:tcPr>
          <w:p>
            <w:pPr>
              <w:spacing w:after="0"/>
              <w:rPr>
                <w:sz w:val="11"/>
                <w:szCs w:val="11"/>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321"/>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12.4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 years</w:t>
            </w:r>
          </w:p>
        </w:tc>
      </w:tr>
      <w:tr>
        <w:trPr>
          <w:trHeight w:val="162"/>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9.3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 years</w:t>
            </w:r>
          </w:p>
        </w:tc>
      </w:tr>
      <w:tr>
        <w:trPr>
          <w:trHeight w:val="486"/>
        </w:trPr>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62"/>
        </w:trPr>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bl>
    <w:p>
      <w:pPr>
        <w:spacing w:after="0" w:line="487" w:lineRule="exact"/>
        <w:rPr>
          <w:sz w:val="20"/>
          <w:szCs w:val="20"/>
          <w:color w:val="auto"/>
        </w:rPr>
      </w:pPr>
    </w:p>
    <w:p>
      <w:pPr>
        <w:sectPr>
          <w:pgSz w:w="11900" w:h="16838" w:orient="portrait"/>
          <w:cols w:equalWidth="0" w:num="2">
            <w:col w:w="4580" w:space="700"/>
            <w:col w:w="3739"/>
          </w:cols>
          <w:pgMar w:left="1440" w:top="390" w:right="1440" w:bottom="1440" w:gutter="0" w:footer="0" w:header="0"/>
          <w:type w:val="continuous"/>
        </w:sectPr>
      </w:pPr>
    </w:p>
    <w:tbl>
      <w:tblPr>
        <w:tblLayout w:type="fixed"/>
        <w:tblInd w:w="440" w:type="dxa"/>
        <w:tblCellMar>
          <w:top w:w="0" w:type="dxa"/>
          <w:left w:w="0" w:type="dxa"/>
          <w:bottom w:w="0" w:type="dxa"/>
          <w:right w:w="0" w:type="dxa"/>
        </w:tblCellMar>
      </w:tblPr>
      <w:tr>
        <w:trPr>
          <w:trHeight w:val="131"/>
        </w:trPr>
        <w:tc>
          <w:tcPr>
            <w:tcW w:w="48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w:t>
            </w:r>
          </w:p>
        </w:tc>
      </w:tr>
      <w:tr>
        <w:trPr>
          <w:trHeight w:val="144"/>
        </w:trPr>
        <w:tc>
          <w:tcPr>
            <w:tcW w:w="4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1,342</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978</w:t>
            </w:r>
          </w:p>
        </w:tc>
      </w:tr>
      <w:tr>
        <w:trPr>
          <w:trHeight w:val="144"/>
        </w:trPr>
        <w:tc>
          <w:tcPr>
            <w:tcW w:w="4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w:t>
            </w:r>
          </w:p>
        </w:tc>
      </w:tr>
      <w:tr>
        <w:trPr>
          <w:trHeight w:val="144"/>
        </w:trPr>
        <w:tc>
          <w:tcPr>
            <w:tcW w:w="480" w:type="dxa"/>
            <w:vAlign w:val="bottom"/>
          </w:tcPr>
          <w:p>
            <w:pPr>
              <w:spacing w:after="0"/>
              <w:rPr>
                <w:sz w:val="12"/>
                <w:szCs w:val="12"/>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76,452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2,651</w:t>
            </w:r>
          </w:p>
        </w:tc>
      </w:tr>
      <w:tr>
        <w:trPr>
          <w:trHeight w:val="133"/>
        </w:trPr>
        <w:tc>
          <w:tcPr>
            <w:tcW w:w="48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147,111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7,373</w:t>
            </w:r>
          </w:p>
        </w:tc>
      </w:tr>
      <w:tr>
        <w:trPr>
          <w:trHeight w:val="144"/>
        </w:trPr>
        <w:tc>
          <w:tcPr>
            <w:tcW w:w="480" w:type="dxa"/>
            <w:vAlign w:val="bottom"/>
          </w:tcPr>
          <w:p>
            <w:pPr>
              <w:spacing w:after="0"/>
              <w:rPr>
                <w:sz w:val="12"/>
                <w:szCs w:val="12"/>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(53,794)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(1,914)</w:t>
            </w:r>
          </w:p>
        </w:tc>
      </w:tr>
      <w:tr>
        <w:trPr>
          <w:trHeight w:val="153"/>
        </w:trPr>
        <w:tc>
          <w:tcPr>
            <w:tcW w:w="480" w:type="dxa"/>
            <w:vAlign w:val="bottom"/>
          </w:tcPr>
          <w:p>
            <w:pPr>
              <w:spacing w:after="0"/>
              <w:rPr>
                <w:sz w:val="13"/>
                <w:szCs w:val="13"/>
                <w:color w:val="auto"/>
              </w:rPr>
            </w:pPr>
          </w:p>
        </w:tc>
        <w:tc>
          <w:tcPr>
            <w:tcW w:w="40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93,317</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5,459</w:t>
            </w:r>
          </w:p>
        </w:tc>
      </w:tr>
      <w:tr>
        <w:trPr>
          <w:trHeight w:val="302"/>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Maturities of lease liabilities as of December 31, 2021 were as follows (in thousands):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48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w:t>
            </w:r>
          </w:p>
        </w:tc>
      </w:tr>
      <w:tr>
        <w:trPr>
          <w:trHeight w:val="144"/>
        </w:trPr>
        <w:tc>
          <w:tcPr>
            <w:tcW w:w="4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17,941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r>
      <w:tr>
        <w:trPr>
          <w:trHeight w:val="144"/>
        </w:trPr>
        <w:tc>
          <w:tcPr>
            <w:tcW w:w="4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r>
      <w:tr>
        <w:trPr>
          <w:trHeight w:val="144"/>
        </w:trPr>
        <w:tc>
          <w:tcPr>
            <w:tcW w:w="48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44"/>
        </w:trPr>
        <w:tc>
          <w:tcPr>
            <w:tcW w:w="480" w:type="dxa"/>
            <w:vAlign w:val="bottom"/>
          </w:tcPr>
          <w:p>
            <w:pPr>
              <w:spacing w:after="0"/>
              <w:rPr>
                <w:sz w:val="12"/>
                <w:szCs w:val="12"/>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65,902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3,145</w:t>
            </w:r>
          </w:p>
        </w:tc>
      </w:tr>
      <w:tr>
        <w:trPr>
          <w:trHeight w:val="133"/>
        </w:trPr>
        <w:tc>
          <w:tcPr>
            <w:tcW w:w="48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144,201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w:t>
            </w:r>
          </w:p>
        </w:tc>
      </w:tr>
      <w:tr>
        <w:trPr>
          <w:trHeight w:val="162"/>
        </w:trPr>
        <w:tc>
          <w:tcPr>
            <w:tcW w:w="480" w:type="dxa"/>
            <w:vAlign w:val="bottom"/>
          </w:tcPr>
          <w:p>
            <w:pPr>
              <w:spacing w:after="0"/>
              <w:rPr>
                <w:sz w:val="14"/>
                <w:szCs w:val="14"/>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(42,333)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(2,268)</w:t>
            </w:r>
          </w:p>
        </w:tc>
      </w:tr>
      <w:tr>
        <w:trPr>
          <w:trHeight w:val="140"/>
        </w:trPr>
        <w:tc>
          <w:tcPr>
            <w:tcW w:w="48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101,868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6,052</w:t>
            </w:r>
          </w:p>
        </w:tc>
      </w:tr>
    </w:tbl>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2022, the Company did not have any material operating or finance leases that have not yet commenced.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Lessor Disclosure</w:t>
      </w:r>
    </w:p>
    <w:p>
      <w:pPr>
        <w:spacing w:after="0" w:line="179"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Company is the lessor in agreements to lease the use of its network assets including its cell sites and buildings. For the years ended December 31, 2022, 2021, and 2020 the Company recorded $6.3 million, $4.5 million, and $1.6 million, respectively, of lease income from agreements in which the Company is the lessor. Lease income is classified as Carrier Services revenue in the statement of operations.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108" w:name="page109"/>
    <w:bookmarkEnd w:id="108"/>
    <w:tbl>
      <w:tblPr>
        <w:tblLayout w:type="fixed"/>
        <w:tblInd w:w="20" w:type="dxa"/>
        <w:tblCellMar>
          <w:top w:w="0" w:type="dxa"/>
          <w:left w:w="0" w:type="dxa"/>
          <w:bottom w:w="0" w:type="dxa"/>
          <w:right w:w="0" w:type="dxa"/>
        </w:tblCellMar>
      </w:tblPr>
      <w:tr>
        <w:trPr>
          <w:trHeight w:val="138"/>
        </w:trPr>
        <w:tc>
          <w:tcPr>
            <w:tcW w:w="57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70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The following table presents the maturities of future undiscounted lease payments for the periods indicated: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60" w:type="dxa"/>
            <w:vAlign w:val="bottom"/>
            <w:vMerge w:val="continue"/>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48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50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6,222</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5,817</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4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5,604</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4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4,199</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9,309</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514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future lease payments</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36,398</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ACQUISITIONS AND DISPOSITIONS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 Telecom</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Acquisition of Sacred Wind Enterprises</w:t>
      </w:r>
    </w:p>
    <w:p>
      <w:pPr>
        <w:spacing w:after="0" w:line="170" w:lineRule="exact"/>
        <w:rPr>
          <w:sz w:val="20"/>
          <w:szCs w:val="20"/>
          <w:color w:val="auto"/>
        </w:rPr>
      </w:pPr>
    </w:p>
    <w:p>
      <w:pPr>
        <w:ind w:left="20" w:right="79" w:firstLine="432"/>
        <w:spacing w:after="0" w:line="254" w:lineRule="auto"/>
        <w:rPr>
          <w:sz w:val="20"/>
          <w:szCs w:val="20"/>
          <w:color w:val="auto"/>
        </w:rPr>
      </w:pPr>
      <w:r>
        <w:rPr>
          <w:rFonts w:ascii="Times New Roman" w:cs="Times New Roman" w:eastAsia="Times New Roman" w:hAnsi="Times New Roman"/>
          <w:sz w:val="12"/>
          <w:szCs w:val="12"/>
          <w:color w:val="auto"/>
        </w:rPr>
        <w:t>On November 7, 2022, the Company’s newly formed wholly owned subsidiary Alloy acquired all of the issued and outstanding stock of Sacred Wind Enterprises, Inc. (“Sacred Wind”), Inc., a rural telecommunications provider in New Mexico for $44.4 of consideration (“Sacred Wind Transaction”). As part of the Sacred Wind Transaction, the Company transferred consideration of $18.0 million of cash, net of $9.4 million of cash acquired, $14.8 million of redeemable noncontrolling interests, and $3.7 million of contingent consideration less $1.5 million of receivables related to working capital adjustments. Subsequent to the Transaction, the former Sacred Wind shareholders will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The Company funded the acquisition with borrowings under its CoBank Credit Facility and assumed $31.6 million of Sacred Wind debt, to the United States of America administered through the Rural Utilities Service.</w:t>
      </w:r>
    </w:p>
    <w:p>
      <w:pPr>
        <w:spacing w:after="0" w:line="153" w:lineRule="exact"/>
        <w:rPr>
          <w:sz w:val="20"/>
          <w:szCs w:val="20"/>
          <w:color w:val="auto"/>
        </w:rPr>
      </w:pPr>
    </w:p>
    <w:p>
      <w:pPr>
        <w:ind w:left="20" w:right="159" w:firstLine="432"/>
        <w:spacing w:after="0" w:line="277" w:lineRule="auto"/>
        <w:rPr>
          <w:sz w:val="20"/>
          <w:szCs w:val="20"/>
          <w:color w:val="auto"/>
        </w:rPr>
      </w:pPr>
      <w:r>
        <w:rPr>
          <w:rFonts w:ascii="Times New Roman" w:cs="Times New Roman" w:eastAsia="Times New Roman" w:hAnsi="Times New Roman"/>
          <w:sz w:val="12"/>
          <w:szCs w:val="12"/>
          <w:color w:val="auto"/>
        </w:rPr>
        <w:t>The table below represents the preliminary purchase price allocation of the total consideration transferred to the acquired assets and assumed liabilities based on management’s estimate of their acquisition date fair values (amounts in thousands):</w:t>
      </w:r>
    </w:p>
    <w:tbl>
      <w:tblPr>
        <w:tblLayout w:type="fixed"/>
        <w:tblInd w:w="20" w:type="dxa"/>
        <w:tblCellMar>
          <w:top w:w="0" w:type="dxa"/>
          <w:left w:w="0" w:type="dxa"/>
          <w:bottom w:w="0" w:type="dxa"/>
          <w:right w:w="0" w:type="dxa"/>
        </w:tblCellMar>
      </w:tblPr>
      <w:tr>
        <w:trPr>
          <w:trHeight w:val="133"/>
        </w:trPr>
        <w:tc>
          <w:tcPr>
            <w:tcW w:w="840" w:type="dxa"/>
            <w:vAlign w:val="bottom"/>
          </w:tcPr>
          <w:p>
            <w:pPr>
              <w:spacing w:after="0"/>
              <w:rPr>
                <w:sz w:val="11"/>
                <w:szCs w:val="11"/>
                <w:color w:val="auto"/>
              </w:rPr>
            </w:pPr>
          </w:p>
        </w:tc>
        <w:tc>
          <w:tcPr>
            <w:tcW w:w="2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Consideration Transferred</w:t>
            </w:r>
          </w:p>
        </w:tc>
        <w:tc>
          <w:tcPr>
            <w:tcW w:w="2020" w:type="dxa"/>
            <w:vAlign w:val="bottom"/>
            <w:gridSpan w:val="2"/>
            <w:shd w:val="clear" w:color="auto" w:fill="CCEEFF"/>
          </w:tcPr>
          <w:p>
            <w:pPr>
              <w:jc w:val="right"/>
              <w:ind w:right="5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44,350</w:t>
            </w:r>
          </w:p>
        </w:tc>
        <w:tc>
          <w:tcPr>
            <w:tcW w:w="2360" w:type="dxa"/>
            <w:vAlign w:val="bottom"/>
          </w:tcPr>
          <w:p>
            <w:pPr>
              <w:spacing w:after="0"/>
              <w:rPr>
                <w:sz w:val="11"/>
                <w:szCs w:val="11"/>
                <w:color w:val="auto"/>
              </w:rPr>
            </w:pPr>
          </w:p>
        </w:tc>
      </w:tr>
      <w:tr>
        <w:trPr>
          <w:trHeight w:val="162"/>
        </w:trPr>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Preliminary purchase price allocation:</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2,619</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6,747</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assets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4,471</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right of use assets</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Fixed assets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85,359</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Intangible assets</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liabilities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(10,073)</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Lease liabilities</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taxes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(14,388)</w:t>
            </w:r>
          </w:p>
        </w:tc>
        <w:tc>
          <w:tcPr>
            <w:tcW w:w="23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2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Debt</w:t>
            </w: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(31,639)</w:t>
            </w:r>
          </w:p>
        </w:tc>
        <w:tc>
          <w:tcPr>
            <w:tcW w:w="2360" w:type="dxa"/>
            <w:vAlign w:val="bottom"/>
          </w:tcPr>
          <w:p>
            <w:pPr>
              <w:spacing w:after="0"/>
              <w:rPr>
                <w:sz w:val="14"/>
                <w:szCs w:val="14"/>
                <w:color w:val="auto"/>
              </w:rPr>
            </w:pPr>
          </w:p>
        </w:tc>
      </w:tr>
      <w:tr>
        <w:trPr>
          <w:trHeight w:val="140"/>
        </w:trPr>
        <w:tc>
          <w:tcPr>
            <w:tcW w:w="840" w:type="dxa"/>
            <w:vAlign w:val="bottom"/>
          </w:tcPr>
          <w:p>
            <w:pPr>
              <w:spacing w:after="0"/>
              <w:rPr>
                <w:sz w:val="12"/>
                <w:szCs w:val="12"/>
                <w:color w:val="auto"/>
              </w:rPr>
            </w:pPr>
          </w:p>
        </w:tc>
        <w:tc>
          <w:tcPr>
            <w:tcW w:w="27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assets acquired</w:t>
            </w:r>
          </w:p>
        </w:tc>
        <w:tc>
          <w:tcPr>
            <w:tcW w:w="13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44,350</w:t>
            </w:r>
          </w:p>
        </w:tc>
        <w:tc>
          <w:tcPr>
            <w:tcW w:w="2360" w:type="dxa"/>
            <w:vAlign w:val="bottom"/>
          </w:tcPr>
          <w:p>
            <w:pPr>
              <w:spacing w:after="0"/>
              <w:rPr>
                <w:sz w:val="12"/>
                <w:szCs w:val="12"/>
                <w:color w:val="auto"/>
              </w:rPr>
            </w:pPr>
          </w:p>
        </w:tc>
      </w:tr>
      <w:tr>
        <w:trPr>
          <w:trHeight w:val="432"/>
        </w:trPr>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gridSpan w:val="2"/>
          </w:tcPr>
          <w:p>
            <w:pPr>
              <w:jc w:val="right"/>
              <w:ind w:right="966"/>
              <w:spacing w:after="0"/>
              <w:rPr>
                <w:sz w:val="20"/>
                <w:szCs w:val="20"/>
                <w:color w:val="auto"/>
              </w:rPr>
            </w:pPr>
            <w:r>
              <w:rPr>
                <w:rFonts w:ascii="Times New Roman" w:cs="Times New Roman" w:eastAsia="Times New Roman" w:hAnsi="Times New Roman"/>
                <w:sz w:val="12"/>
                <w:szCs w:val="12"/>
                <w:color w:val="auto"/>
              </w:rPr>
              <w:t>F-32</w:t>
            </w:r>
          </w:p>
        </w:tc>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67"/>
        </w:trPr>
        <w:tc>
          <w:tcPr>
            <w:tcW w:w="8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1"/>
          <w:szCs w:val="11"/>
          <w:color w:val="auto"/>
        </w:rPr>
        <w:t>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expects to collect the full amount of the receivables. Other liabilities includes $6.5 million of deposits received under government grant programs and will be used to construct fixed assets in future periods.</w:t>
      </w:r>
    </w:p>
    <w:p>
      <w:pPr>
        <w:spacing w:after="0" w:line="137"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Company’s statement of operations for the year ended December 31, 2022 includes $3.3 million of revenue and $0.2 million of losses before taxes attributable to the Sacred Wind Transaction. The Company incurred $0.8 million of transaction related charges pertaining to legal, accounting, consulting services, and employee related costs associated with the transaction during the year ended December 31, 2022.</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Acquisition of Alaska Communications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On July 22, 2021 (“Closing Date”), the Company completed the acquisition of Alaska Communications pursuant to the terms of the Merger Agreement whereby Alaska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Communications became a consolidated subsidiary of the Company. At completion of the Merger, each Alaska Communications common share was converted into the right to receive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$3.40 per share in cash representing a total value of $353.3 million of cash and consideration payable, (“Merger Consideration”). The consideration transferred consists of $339.5 million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cash, net of $11.9 million of cash and restricted cash acquired and $1.9 million of accrued consideration representing amounts payable related to stock compensation payable within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one year of the close date. The cash consideration was used to purchase $186.8 million of Alaska Communications equity and repay $164.6 million of existing Alaska Communications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debt.</w:t>
      </w:r>
    </w:p>
    <w:p>
      <w:pPr>
        <w:spacing w:after="0" w:line="166" w:lineRule="exact"/>
        <w:rPr>
          <w:sz w:val="20"/>
          <w:szCs w:val="20"/>
          <w:color w:val="auto"/>
        </w:rPr>
      </w:pPr>
    </w:p>
    <w:p>
      <w:pPr>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The Company funded the acquisition with cash on hand, debt, and a contribution from the Freedom 3 Investors. The Company borrowed, through multiple financing transactions a net of $283 million. On the Closing Date, the lenders advanced to Merger Sub (a) the full $210 million aggregate amount of the Alaska Term Loan (as defined below) in a single borrowing and (b) $10 million of the Alaska Revolving Facility (as defined below). The Company incurred $6.6 million of debt issuance and debt discount costs. Also, to fund the Merger Consideration in part, the Company drew a net $63.0 million under its revolving credit facility under the 2019 CoBank Credit Facility (as defined below). Lastly, the Freedom 3 Investors contributed $71.5 million in conjunction with the Merger. The Company has accounted for the Freedom 3 Investment as redeemable noncontrolling interests in its consolidated financial statements. The redeemable noncontrolling interests consists of $22.6 million of redeemable common units and $48.3 million of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redeemable preferred units carry a 9% preferred dividend which compounds quarterly. The preferred units contain a put option allowing the holder to sell the preferred units to a subsidiary of the Company at the unpaid issue price plus unpaid dividends. The put option begins at the earlier of a future initial public offering of the Alaska Communications operations or July 2028. Lastly, the Company issued warrants in the Alaska Communications operations allowing the holders to purchase an additional 3% of the common units at a fixed price.</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a result of the Alaska Transaction, the Company owns 52% of the common equity of Alaska Communications and controls its operations and management.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0" w:name="page111"/>
    <w:bookmarkEnd w:id="1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table below represents the allocation of the total consideration transferred to the acquired assets and assumed liabilities based on management’s estimate of their acquisition date fair values (amounts in thousands):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4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Transferred</w:t>
            </w:r>
          </w:p>
        </w:tc>
        <w:tc>
          <w:tcPr>
            <w:tcW w:w="236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353,280</w:t>
            </w:r>
          </w:p>
        </w:tc>
      </w:tr>
      <w:tr>
        <w:trPr>
          <w:trHeight w:val="144"/>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5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w:t>
            </w:r>
          </w:p>
        </w:tc>
      </w:tr>
      <w:tr>
        <w:trPr>
          <w:trHeight w:val="153"/>
        </w:trPr>
        <w:tc>
          <w:tcPr>
            <w:tcW w:w="3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value to allocate</w:t>
            </w:r>
          </w:p>
        </w:tc>
        <w:tc>
          <w:tcPr>
            <w:tcW w:w="15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r>
      <w:tr>
        <w:trPr>
          <w:trHeight w:val="131"/>
        </w:trPr>
        <w:tc>
          <w:tcPr>
            <w:tcW w:w="360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Purchase price allocation:</w:t>
            </w:r>
          </w:p>
        </w:tc>
        <w:tc>
          <w:tcPr>
            <w:tcW w:w="1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10,553</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cash</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Short-term investments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receivable</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30,453</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Inventory, materials and supplies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Prepayments and other current assets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Fixed assets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408,694</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Telecommunication licenses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Intangible assets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44,333</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60,402</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assets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(39,188)</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Accrued taxes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(3,766)</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 payments and deposits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(15,842)</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Current portion of lease liabilities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(2,425)</w:t>
            </w:r>
          </w:p>
        </w:tc>
      </w:tr>
      <w:tr>
        <w:trPr>
          <w:trHeight w:val="144"/>
        </w:trPr>
        <w:tc>
          <w:tcPr>
            <w:tcW w:w="3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Deferred income taxes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(17,040)</w:t>
            </w:r>
          </w:p>
        </w:tc>
      </w:tr>
      <w:tr>
        <w:trPr>
          <w:trHeight w:val="14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Lease liabilities, excluding current portion</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(44,234)</w:t>
            </w:r>
          </w:p>
        </w:tc>
      </w:tr>
      <w:tr>
        <w:trPr>
          <w:trHeight w:val="144"/>
        </w:trPr>
        <w:tc>
          <w:tcPr>
            <w:tcW w:w="3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Other liabilities</w:t>
            </w:r>
          </w:p>
        </w:tc>
        <w:tc>
          <w:tcPr>
            <w:tcW w:w="15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(92,432)</w:t>
            </w:r>
          </w:p>
        </w:tc>
      </w:tr>
      <w:tr>
        <w:trPr>
          <w:trHeight w:val="140"/>
        </w:trPr>
        <w:tc>
          <w:tcPr>
            <w:tcW w:w="360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assets acquired</w:t>
            </w:r>
          </w:p>
        </w:tc>
        <w:tc>
          <w:tcPr>
            <w:tcW w:w="15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r>
    </w:tbl>
    <w:p>
      <w:pPr>
        <w:spacing w:after="0" w:line="160" w:lineRule="exact"/>
        <w:rPr>
          <w:sz w:val="20"/>
          <w:szCs w:val="20"/>
          <w:color w:val="auto"/>
        </w:rPr>
      </w:pPr>
    </w:p>
    <w:p>
      <w:pPr>
        <w:ind w:left="20" w:right="59" w:firstLine="432"/>
        <w:spacing w:after="0" w:line="254" w:lineRule="auto"/>
        <w:rPr>
          <w:sz w:val="20"/>
          <w:szCs w:val="20"/>
          <w:color w:val="auto"/>
        </w:rPr>
      </w:pPr>
      <w:r>
        <w:rPr>
          <w:rFonts w:ascii="Times New Roman" w:cs="Times New Roman" w:eastAsia="Times New Roman" w:hAnsi="Times New Roman"/>
          <w:sz w:val="12"/>
          <w:szCs w:val="12"/>
          <w:color w:val="auto"/>
        </w:rPr>
        <w:t>The acquired fixed assets are comprised of telecommunication equipment located in the Alaska and the Western United States. The fixed assets were valued using the income and cost approaches. Cash flows were discounted between 4% and 14% based on the risk associated with the cash flows to determine fair value under the income approach. The fixed assets have useful lives ranging from 2 to 30 years. The intangible assets consist of $34.9 million of customer relationships and $9.5 million of trade name. The intangibles were valued using an income approach based on data specific to Alaska Communications as well as market participant assumptions where appropriate. The estimated fair value of the customer relationships was determined using the multi-period excess earnings method. The estimated fair value of the trade name was determined using the relief from royalty method. The useful lives of the customer relationships and trade name are 5 and 15 years, respectively. The acquired receivables consist of trade receivables incurred in the ordinary course of business. The Company expects to collect the full amount of the receivables. Other liabilities includes $81.5 million of deferred revenue from long term customer contracts. The Company adopted ASU 2021-08 in 2021, which requires contract liabilities to be accounted for consistently with how they were recognized and measured in the acquiree’s financial statements. As a result, the acquired deferred revenue was recorded at Alaska Communications’ book value as of the Closing Date.</w:t>
      </w:r>
    </w:p>
    <w:p>
      <w:pPr>
        <w:spacing w:after="0" w:line="144" w:lineRule="exact"/>
        <w:rPr>
          <w:sz w:val="20"/>
          <w:szCs w:val="20"/>
          <w:color w:val="auto"/>
        </w:rPr>
      </w:pPr>
    </w:p>
    <w:p>
      <w:pPr>
        <w:jc w:val="both"/>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The Company’s statement of operations for the year ended December 31, 2021 includes $110.5 million of revenue and $4.7 million of losses before taxes attributable to the Alaska Transaction, excluding transaction fees. The Company incurred $10.5 million of transaction related charges pertaining to legal, accounting, consulting services, and employee related costs associated with the transaction, of which $9.6 million and $0.9 million were incurred during the year ended December 31, 2021 and 2020, respectively.</w:t>
      </w:r>
    </w:p>
    <w:p>
      <w:pPr>
        <w:spacing w:after="0" w:line="146"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The following table reflects unaudited pro forma operating results of the Company for the year ended December 31, 2021 assuming that the Alaska Transaction occurred on January 1, 2020. The unaudited pro forma amounts adjust Alaska Communications’ results to reflect the depreciation and amortization that would have been recorded assuming the fair value adjustments to fixed assets and intangible assets had been applied from January 1, 2020. Additionally, all transaction costs associated with the Alaska Transaction were recorded on January 1, 2020 in the unaudited pro forma</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results. Lastly, the unaudited pro forma results were adjusted to reflect changes to the acquired entities’ financial structure related to the transaction. Specifically, the pre-Close debt of $164.6 million, and associated interest, was removed and $283.0 million of transaction debt, and associated interest, was included in the unaudited pro forma results. In addition, the pro forma results included the allocation of income and accrual of preferred dividends to the redeemable noncontrolling interest.</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(unaudited)</w:t>
            </w:r>
          </w:p>
        </w:tc>
        <w:tc>
          <w:tcPr>
            <w:tcW w:w="420" w:type="dxa"/>
            <w:vAlign w:val="bottom"/>
          </w:tcPr>
          <w:p>
            <w:pPr>
              <w:spacing w:after="0"/>
              <w:rPr>
                <w:sz w:val="10"/>
                <w:szCs w:val="10"/>
                <w:color w:val="auto"/>
              </w:rPr>
            </w:pPr>
          </w:p>
        </w:tc>
        <w:tc>
          <w:tcPr>
            <w:tcW w:w="20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89"/>
              </w:rPr>
              <w:t>As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Pro-</w:t>
            </w:r>
          </w:p>
        </w:tc>
        <w:tc>
          <w:tcPr>
            <w:tcW w:w="0" w:type="dxa"/>
            <w:vAlign w:val="bottom"/>
          </w:tcPr>
          <w:p>
            <w:pPr>
              <w:spacing w:after="0"/>
              <w:rPr>
                <w:sz w:val="1"/>
                <w:szCs w:val="1"/>
                <w:color w:val="auto"/>
              </w:rPr>
            </w:pPr>
          </w:p>
        </w:tc>
      </w:tr>
      <w:tr>
        <w:trPr>
          <w:trHeight w:val="134"/>
        </w:trPr>
        <w:tc>
          <w:tcPr>
            <w:tcW w:w="326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4"/>
              </w:rPr>
              <w:t>Reported</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Forma</w:t>
            </w:r>
          </w:p>
        </w:tc>
        <w:tc>
          <w:tcPr>
            <w:tcW w:w="0" w:type="dxa"/>
            <w:vAlign w:val="bottom"/>
          </w:tcPr>
          <w:p>
            <w:pPr>
              <w:spacing w:after="0"/>
              <w:rPr>
                <w:sz w:val="1"/>
                <w:szCs w:val="1"/>
                <w:color w:val="auto"/>
              </w:rPr>
            </w:pPr>
          </w:p>
        </w:tc>
      </w:tr>
      <w:tr>
        <w:trPr>
          <w:trHeight w:val="133"/>
        </w:trPr>
        <w:tc>
          <w:tcPr>
            <w:tcW w:w="3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738,472</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ATN International, Inc. Stockholders</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(22,108)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(20,022)</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w:t>
            </w: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unaudited pro forma adjustments increased net income attributable to ATN International, Inc. Stockholders by $2.1 million for the year ended December 31, 2021. The increase was due to an increase from the net income of the Alaska Communications operations excluding transaction costs less increased acquisition related depreciation and amortization expenses.</w:t>
      </w:r>
    </w:p>
    <w:p>
      <w:pPr>
        <w:spacing w:after="0" w:line="146"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unaudited pro forma data is presented for illustrative purposes only and is not necessarily indicative of the operating results that would have occurred if the acquisitions had been consummated on these dates or of future operating results of the combined company following this transaction.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Renewable Energy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Disposition of International Solar Business</w:t>
      </w:r>
    </w:p>
    <w:p>
      <w:pPr>
        <w:spacing w:after="0" w:line="170" w:lineRule="exact"/>
        <w:rPr>
          <w:sz w:val="20"/>
          <w:szCs w:val="20"/>
          <w:color w:val="auto"/>
        </w:rPr>
      </w:pPr>
    </w:p>
    <w:p>
      <w:pPr>
        <w:ind w:left="20" w:right="159" w:firstLine="410"/>
        <w:spacing w:after="0" w:line="257" w:lineRule="auto"/>
        <w:rPr>
          <w:sz w:val="20"/>
          <w:szCs w:val="20"/>
          <w:color w:val="auto"/>
        </w:rPr>
      </w:pPr>
      <w:r>
        <w:rPr>
          <w:rFonts w:ascii="Times New Roman" w:cs="Times New Roman" w:eastAsia="Times New Roman" w:hAnsi="Times New Roman"/>
          <w:sz w:val="12"/>
          <w:szCs w:val="12"/>
          <w:color w:val="auto"/>
        </w:rPr>
        <w:t>In January 2021, the Company completed the sale of 67% of the outstanding equity in its business that owns and operates distributed generation solar power projects operated under the Vibrant name in India (the “Vibrant Transaction”). The post-sale results of the Company’s ownership interest in Vibrant are recorded through the equity method of accounting within the Corporate and Other operating segment. As such, the Company’s consolidated financial statements do not include revenue and operating expenses from Vibrant, but instead, “other income (expense)” within the Corporate and Other operating segment includes the Company’s share of Vibrant’s profits or losses. The Company will continue to present the historical results of its Renewable Energy segment for comparative purposes.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Received</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 and liabilities disposed</w:t>
            </w: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10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assets disposed</w:t>
            </w:r>
          </w:p>
        </w:tc>
        <w:tc>
          <w:tcPr>
            <w:tcW w:w="1020" w:type="dxa"/>
            <w:vAlign w:val="bottom"/>
            <w:tcBorders>
              <w:bottom w:val="single" w:sz="8" w:color="auto"/>
            </w:tcBorders>
            <w:shd w:val="clear" w:color="auto" w:fill="CCEEFF"/>
          </w:tcPr>
          <w:p>
            <w:pPr>
              <w:jc w:val="right"/>
              <w:ind w:right="8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50,470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less net assets disposed</w:t>
            </w:r>
          </w:p>
        </w:tc>
        <w:tc>
          <w:tcPr>
            <w:tcW w:w="10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losses reclassified from accumulated other comprehensive income</w:t>
            </w: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w:t>
            </w:r>
          </w:p>
        </w:tc>
        <w:tc>
          <w:tcPr>
            <w:tcW w:w="10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5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Transaction costs</w:t>
            </w:r>
          </w:p>
        </w:tc>
        <w:tc>
          <w:tcPr>
            <w:tcW w:w="1020" w:type="dxa"/>
            <w:vAlign w:val="bottom"/>
          </w:tcPr>
          <w:p>
            <w:pPr>
              <w:spacing w:after="0"/>
              <w:rPr>
                <w:sz w:val="13"/>
                <w:szCs w:val="13"/>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(1,283)</w:t>
            </w:r>
          </w:p>
        </w:tc>
        <w:tc>
          <w:tcPr>
            <w:tcW w:w="0" w:type="dxa"/>
            <w:vAlign w:val="bottom"/>
          </w:tcPr>
          <w:p>
            <w:pPr>
              <w:spacing w:after="0"/>
              <w:rPr>
                <w:sz w:val="1"/>
                <w:szCs w:val="1"/>
                <w:color w:val="auto"/>
              </w:rPr>
            </w:pPr>
          </w:p>
        </w:tc>
      </w:tr>
      <w:tr>
        <w:trPr>
          <w:trHeight w:val="140"/>
        </w:trPr>
        <w:tc>
          <w:tcPr>
            <w:tcW w:w="65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on sale including transaction costs</w:t>
            </w:r>
          </w:p>
        </w:tc>
        <w:tc>
          <w:tcPr>
            <w:tcW w:w="1020" w:type="dxa"/>
            <w:vAlign w:val="bottom"/>
            <w:tcBorders>
              <w:top w:val="single" w:sz="8" w:color="auto"/>
              <w:bottom w:val="single" w:sz="8" w:color="auto"/>
            </w:tcBorders>
            <w:shd w:val="clear" w:color="auto" w:fill="CCEEFF"/>
          </w:tcPr>
          <w:p>
            <w:pPr>
              <w:jc w:val="right"/>
              <w:ind w:right="8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20" w:right="59" w:firstLine="410"/>
        <w:spacing w:after="0" w:line="280" w:lineRule="auto"/>
        <w:rPr>
          <w:sz w:val="20"/>
          <w:szCs w:val="20"/>
          <w:color w:val="auto"/>
        </w:rPr>
      </w:pPr>
      <w:r>
        <w:rPr>
          <w:rFonts w:ascii="Times New Roman" w:cs="Times New Roman" w:eastAsia="Times New Roman" w:hAnsi="Times New Roman"/>
          <w:sz w:val="11"/>
          <w:szCs w:val="11"/>
          <w:color w:val="auto"/>
        </w:rPr>
        <w:t>The Company reported a loss on sale of $21.5 million during the year ended December 31, 2020 due to the Vibrant Transaction and the assets and liabilities subject to the Vibrant Transaction were reported as held for sale at December 31, 2020. The Company recorded transaction costs of $1.3 million on the Vibrant Transaction, of which $0.7 million was recorded during the year ended December 31, 2020 and $0.6 million was recorded during the year ended December 31, 2021. The consideration received includes $19.5 million of cash and</w:t>
      </w:r>
    </w:p>
    <w:p>
      <w:pPr>
        <w:ind w:left="20" w:right="119"/>
        <w:spacing w:after="0" w:line="253" w:lineRule="auto"/>
        <w:rPr>
          <w:sz w:val="20"/>
          <w:szCs w:val="20"/>
          <w:color w:val="auto"/>
        </w:rPr>
      </w:pPr>
      <w:r>
        <w:rPr>
          <w:rFonts w:ascii="Times New Roman" w:cs="Times New Roman" w:eastAsia="Times New Roman" w:hAnsi="Times New Roman"/>
          <w:sz w:val="12"/>
          <w:szCs w:val="12"/>
          <w:color w:val="auto"/>
        </w:rPr>
        <w:t>$3.9 million of receivables related to the amounts held in escrow and earn out consideration. The Company has recorded $11.8 million pursuant to an equity method investment with respect to its remaining 33% ownership interest in Vibrant. The Company completed its assessment of earn out and escrow amounts in 2022. During the year ended December 31, 2021, the Company recorded additional losses of $1.6 million related to the ongoing working capital, escrow, and contingent consideration assessment. During 2022, the Company recorded an additional loss of $0.7 million related to working capital adjustments and received $1.8 million of amounts previously held in escrow.</w:t>
      </w:r>
    </w:p>
    <w:p>
      <w:pPr>
        <w:spacing w:after="0" w:line="145" w:lineRule="exact"/>
        <w:rPr>
          <w:sz w:val="20"/>
          <w:szCs w:val="20"/>
          <w:color w:val="auto"/>
        </w:rPr>
      </w:pPr>
    </w:p>
    <w:p>
      <w:pPr>
        <w:ind w:left="20" w:right="59" w:firstLine="410"/>
        <w:spacing w:after="0" w:line="279" w:lineRule="auto"/>
        <w:rPr>
          <w:sz w:val="20"/>
          <w:szCs w:val="20"/>
          <w:color w:val="auto"/>
        </w:rPr>
      </w:pPr>
      <w:r>
        <w:rPr>
          <w:rFonts w:ascii="Times New Roman" w:cs="Times New Roman" w:eastAsia="Times New Roman" w:hAnsi="Times New Roman"/>
          <w:sz w:val="12"/>
          <w:szCs w:val="12"/>
          <w:color w:val="auto"/>
        </w:rPr>
        <w:t>The Vibrant Transaction does not qualify as discontinued operations because the disposition was not a strategic shift which will have a major effect on the Company’s operations, and as a result, the historical results and financial position of the operations are presented within continuing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FIXED ASSETS: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2022 and 2021, property, plant and equipment consisted of the following (in thousands):</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3760" w:type="dxa"/>
            <w:vAlign w:val="bottom"/>
          </w:tcPr>
          <w:p>
            <w:pPr>
              <w:spacing w:after="0"/>
              <w:rPr>
                <w:sz w:val="10"/>
                <w:szCs w:val="10"/>
                <w:color w:val="auto"/>
              </w:rPr>
            </w:pPr>
          </w:p>
        </w:tc>
        <w:tc>
          <w:tcPr>
            <w:tcW w:w="134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Useful Life</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4"/>
        </w:trPr>
        <w:tc>
          <w:tcPr>
            <w:tcW w:w="376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1"/>
                <w:szCs w:val="11"/>
                <w:color w:val="auto"/>
              </w:rPr>
            </w:pPr>
          </w:p>
        </w:tc>
      </w:tr>
      <w:tr>
        <w:trPr>
          <w:trHeight w:val="133"/>
        </w:trPr>
        <w:tc>
          <w:tcPr>
            <w:tcW w:w="3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Telecommunications equipment and towers</w:t>
            </w:r>
          </w:p>
        </w:tc>
        <w:tc>
          <w:tcPr>
            <w:tcW w:w="1340" w:type="dxa"/>
            <w:vAlign w:val="bottom"/>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5 -15</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1,479,633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1,309,608</w:t>
            </w:r>
          </w:p>
        </w:tc>
        <w:tc>
          <w:tcPr>
            <w:tcW w:w="40" w:type="dxa"/>
            <w:vAlign w:val="bottom"/>
            <w:shd w:val="clear" w:color="auto" w:fill="CCEEFF"/>
          </w:tcPr>
          <w:p>
            <w:pPr>
              <w:spacing w:after="0"/>
              <w:rPr>
                <w:sz w:val="11"/>
                <w:szCs w:val="11"/>
                <w:color w:val="auto"/>
              </w:rPr>
            </w:pP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Office and computer equipment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3 -10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151,804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153,371</w:t>
            </w:r>
          </w:p>
        </w:tc>
        <w:tc>
          <w:tcPr>
            <w:tcW w:w="40" w:type="dxa"/>
            <w:vAlign w:val="bottom"/>
          </w:tcPr>
          <w:p>
            <w:pPr>
              <w:spacing w:after="0"/>
              <w:rPr>
                <w:sz w:val="12"/>
                <w:szCs w:val="12"/>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Buildings</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136,145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125,688</w:t>
            </w:r>
          </w:p>
        </w:tc>
        <w:tc>
          <w:tcPr>
            <w:tcW w:w="40" w:type="dxa"/>
            <w:vAlign w:val="bottom"/>
            <w:shd w:val="clear" w:color="auto" w:fill="CCEEFF"/>
          </w:tcPr>
          <w:p>
            <w:pPr>
              <w:spacing w:after="0"/>
              <w:rPr>
                <w:sz w:val="12"/>
                <w:szCs w:val="12"/>
                <w:color w:val="auto"/>
              </w:rPr>
            </w:pP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Transportation vehicles</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3 -10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27,879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25,420</w:t>
            </w:r>
          </w:p>
        </w:tc>
        <w:tc>
          <w:tcPr>
            <w:tcW w:w="40" w:type="dxa"/>
            <w:vAlign w:val="bottom"/>
          </w:tcPr>
          <w:p>
            <w:pPr>
              <w:spacing w:after="0"/>
              <w:rPr>
                <w:sz w:val="12"/>
                <w:szCs w:val="12"/>
                <w:color w:val="auto"/>
              </w:rPr>
            </w:pPr>
          </w:p>
        </w:tc>
      </w:tr>
      <w:tr>
        <w:trPr>
          <w:trHeight w:val="142"/>
        </w:trPr>
        <w:tc>
          <w:tcPr>
            <w:tcW w:w="37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Shorter of useful</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life or lease term</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22,934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23,783</w:t>
            </w:r>
          </w:p>
        </w:tc>
        <w:tc>
          <w:tcPr>
            <w:tcW w:w="40" w:type="dxa"/>
            <w:vAlign w:val="bottom"/>
            <w:shd w:val="clear" w:color="auto" w:fill="CCEEFF"/>
          </w:tcPr>
          <w:p>
            <w:pPr>
              <w:spacing w:after="0"/>
              <w:rPr>
                <w:sz w:val="13"/>
                <w:szCs w:val="13"/>
                <w:color w:val="auto"/>
              </w:rPr>
            </w:pP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Land</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11,308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10,610</w:t>
            </w:r>
          </w:p>
        </w:tc>
        <w:tc>
          <w:tcPr>
            <w:tcW w:w="40" w:type="dxa"/>
            <w:vAlign w:val="bottom"/>
          </w:tcPr>
          <w:p>
            <w:pPr>
              <w:spacing w:after="0"/>
              <w:rPr>
                <w:sz w:val="12"/>
                <w:szCs w:val="12"/>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5 -10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11,592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12,484</w:t>
            </w:r>
          </w:p>
        </w:tc>
        <w:tc>
          <w:tcPr>
            <w:tcW w:w="40" w:type="dxa"/>
            <w:vAlign w:val="bottom"/>
            <w:shd w:val="clear" w:color="auto" w:fill="CCEEFF"/>
          </w:tcPr>
          <w:p>
            <w:pPr>
              <w:spacing w:after="0"/>
              <w:rPr>
                <w:sz w:val="12"/>
                <w:szCs w:val="12"/>
                <w:color w:val="auto"/>
              </w:rPr>
            </w:pPr>
          </w:p>
        </w:tc>
      </w:tr>
      <w:tr>
        <w:trPr>
          <w:trHeight w:val="133"/>
        </w:trPr>
        <w:tc>
          <w:tcPr>
            <w:tcW w:w="37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property, plant and equipment</w:t>
            </w: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1,841,295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1,660,964</w:t>
            </w:r>
          </w:p>
        </w:tc>
        <w:tc>
          <w:tcPr>
            <w:tcW w:w="40" w:type="dxa"/>
            <w:vAlign w:val="bottom"/>
          </w:tcPr>
          <w:p>
            <w:pPr>
              <w:spacing w:after="0"/>
              <w:rPr>
                <w:sz w:val="11"/>
                <w:szCs w:val="11"/>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136,683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87,128</w:t>
            </w:r>
          </w:p>
        </w:tc>
        <w:tc>
          <w:tcPr>
            <w:tcW w:w="40" w:type="dxa"/>
            <w:vAlign w:val="bottom"/>
            <w:shd w:val="clear" w:color="auto" w:fill="CCEEFF"/>
          </w:tcPr>
          <w:p>
            <w:pPr>
              <w:spacing w:after="0"/>
              <w:rPr>
                <w:sz w:val="12"/>
                <w:szCs w:val="12"/>
                <w:color w:val="auto"/>
              </w:rPr>
            </w:pPr>
          </w:p>
        </w:tc>
      </w:tr>
      <w:tr>
        <w:trPr>
          <w:trHeight w:val="133"/>
        </w:trPr>
        <w:tc>
          <w:tcPr>
            <w:tcW w:w="37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property, plant and equipment</w:t>
            </w: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1,977,978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1,748,092</w:t>
            </w:r>
          </w:p>
        </w:tc>
        <w:tc>
          <w:tcPr>
            <w:tcW w:w="40" w:type="dxa"/>
            <w:vAlign w:val="bottom"/>
          </w:tcPr>
          <w:p>
            <w:pPr>
              <w:spacing w:after="0"/>
              <w:rPr>
                <w:sz w:val="11"/>
                <w:szCs w:val="11"/>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(804,883)</w:t>
            </w:r>
          </w:p>
        </w:tc>
        <w:tc>
          <w:tcPr>
            <w:tcW w:w="40" w:type="dxa"/>
            <w:vAlign w:val="bottom"/>
            <w:shd w:val="clear" w:color="auto" w:fill="CCEEFF"/>
          </w:tcPr>
          <w:p>
            <w:pPr>
              <w:spacing w:after="0"/>
              <w:rPr>
                <w:sz w:val="12"/>
                <w:szCs w:val="12"/>
                <w:color w:val="auto"/>
              </w:rPr>
            </w:pPr>
          </w:p>
        </w:tc>
      </w:tr>
      <w:tr>
        <w:trPr>
          <w:trHeight w:val="140"/>
        </w:trPr>
        <w:tc>
          <w:tcPr>
            <w:tcW w:w="3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fixed assets</w:t>
            </w: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1,055,954</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943,209</w:t>
            </w:r>
          </w:p>
        </w:tc>
        <w:tc>
          <w:tcPr>
            <w:tcW w:w="40" w:type="dxa"/>
            <w:vAlign w:val="bottom"/>
          </w:tcPr>
          <w:p>
            <w:pPr>
              <w:spacing w:after="0"/>
              <w:rPr>
                <w:sz w:val="12"/>
                <w:szCs w:val="12"/>
                <w:color w:val="auto"/>
              </w:rPr>
            </w:pPr>
          </w:p>
        </w:tc>
      </w:tr>
    </w:tbl>
    <w:p>
      <w:pPr>
        <w:spacing w:after="0" w:line="151"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Depreciation and amortization of fixed assets, using the straight-line method over the assets’ estimated useful life, for the years ended December 31, 2022, 2021 and 2020 was $135.1 million, $102.7 million and $86.5 million, respectively. Included within telecommunication equipment and towers are certain right to use assets under capital lease with a cost of $26.6 million and $30.8 million and net book value of and $13.7 million and $18.7 million, as of December 31, 2022 and 2021, respectively.</w:t>
      </w:r>
    </w:p>
    <w:p>
      <w:pPr>
        <w:spacing w:after="0" w:line="146"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2022 and 2021, the Company received capital expenditure grants of $2.9 million and $7.5 million, respectively, which are reflected in the balance sheet as a reduction to property, plant and equipment.</w:t>
      </w:r>
    </w:p>
    <w:p>
      <w:pPr>
        <w:spacing w:after="0" w:line="138"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Company had $5.6 million and $8.0 million of capitalized implementation costs at December 31, 2022 and 2021, respectively. The Company amortized $1.9 million and $1.2 million of implementation costs during the year ended December 31, 2022 and 2021, respectively.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GOODWILL AND INTANGIBLE ASSETS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Goodwill</w:t>
      </w:r>
    </w:p>
    <w:p>
      <w:pPr>
        <w:spacing w:after="0" w:line="172"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Company tests goodwill for impairment at each of its reporting units on an annual basis, which has been determined to be as of October 1st. The Company’s reporting units are one level below its operating segments. The Company also tests goodwill between annual tests if an event occurs or circumstances change that indicate that the fair value of a reporting unit may be below its carrying value.</w:t>
      </w:r>
    </w:p>
    <w:p>
      <w:pPr>
        <w:spacing w:after="0" w:line="146"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Company’s qualitative goodwill impairment test includes, but is not limited to, assessing macroeconomic conditions, industry and market considerations, technological changes and trends, and overall financial performance of the reporting unit. The Company’s quantitative test for goodwill impairment involves a comparison of the estimated fair value of a reporting unit to its carrying amount, including goodwill. The Company determines the fair value of a reporting unit using either a market or income approach. The market approach uses prices generated by market transactions involving comparable businesses. The income approach is based on a discounted cash flow (“DCF”) model. The DCF model requires the exercise of significant judgment, including judgments and assumptions about appropriate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discount rates and revenue growth. Discount rates are based on a weighted-average cost of capital (“WACC”), which represents the average rate a business must pay its providers of debt and equity. The revenue growth and cash flows employed in the DCF model were derived from internal earnings and forecasts and external market forecasts.</w:t>
      </w:r>
    </w:p>
    <w:p>
      <w:pPr>
        <w:spacing w:after="0" w:line="138" w:lineRule="exact"/>
        <w:rPr>
          <w:sz w:val="20"/>
          <w:szCs w:val="20"/>
          <w:color w:val="auto"/>
        </w:rPr>
      </w:pPr>
    </w:p>
    <w:p>
      <w:pPr>
        <w:ind w:left="20" w:right="99" w:firstLine="432"/>
        <w:spacing w:after="0" w:line="255" w:lineRule="auto"/>
        <w:rPr>
          <w:sz w:val="20"/>
          <w:szCs w:val="20"/>
          <w:color w:val="auto"/>
        </w:rPr>
      </w:pPr>
      <w:r>
        <w:rPr>
          <w:rFonts w:ascii="Times New Roman" w:cs="Times New Roman" w:eastAsia="Times New Roman" w:hAnsi="Times New Roman"/>
          <w:sz w:val="12"/>
          <w:szCs w:val="12"/>
          <w:color w:val="auto"/>
        </w:rPr>
        <w:t>For its annual impairment analysis, as of October 1, 2022, the Company performed a quantitative analysis for the goodwill held in its US Telecom segment and a qualitative analysis for the goodwill held in its International Telecom segment. The US Telecom segment holds $35.3 million of goodwill and the quantitative analysis, using an income approach, indicated that the fair value of the reporting unit, including goodwill, exceeded its carrying value. The Company’s analysis noted that the certain wholesale roaming and retail operations in its US Telecom segment are shifting towards carrier managed services and fixed broadband services. Additionally, the reporting unit is executing several significant network upgrade projects concurrently. The success of these initiatives will have a significant impact on the Company’s operations. For the International Telecom segment the qualitative analysis was completed after the previous quantitative analysis using a DCF model determined that the fair value of each reporting unit significantly exceeded its carrying value, including goodwill. The impairment analysis concluded that no impairment was necessary in 2022.</w:t>
      </w:r>
    </w:p>
    <w:p>
      <w:pPr>
        <w:spacing w:after="0" w:line="144"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For its 2021 annual impairment analysis the company performed a quantitative analysis for Viya reporting unit and a qualitative analysis for its remaining reporting units in its segments. The Viya impairment analysis determined that the carrying value of the reporting unit, including goodwill, exceeded its fair value. The value of the reporting unit decreased in 2021 mainly due to decreases in government funding and changes in the operating environment of the reporting unit that resulted in the reporting unit being unable to achieve its growth projections. As a result, for the year ended December 31, 2021, the Company recorded an impairment of $20.6 million representing all of the goodwill in this reporting unit. The Company’s impairment analysis for its remaining reporting units determined that no impairment was necessary in 2021.</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table below discloses goodwill recorded in each of the Company’s segments and accumulated impairment changes (in thousands):</w:t>
      </w: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US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1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9"/>
              </w:rPr>
              <w:t>Consolidated</w:t>
            </w:r>
          </w:p>
        </w:tc>
      </w:tr>
      <w:tr>
        <w:trPr>
          <w:trHeight w:val="133"/>
        </w:trPr>
        <w:tc>
          <w:tcPr>
            <w:tcW w:w="120" w:type="dxa"/>
            <w:vAlign w:val="bottom"/>
          </w:tcPr>
          <w:p>
            <w:pPr>
              <w:spacing w:after="0"/>
              <w:rPr>
                <w:sz w:val="11"/>
                <w:szCs w:val="11"/>
                <w:color w:val="auto"/>
              </w:rPr>
            </w:pPr>
          </w:p>
        </w:tc>
        <w:tc>
          <w:tcPr>
            <w:tcW w:w="58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25,423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60,691</w:t>
            </w:r>
          </w:p>
        </w:tc>
      </w:tr>
      <w:tr>
        <w:trPr>
          <w:trHeight w:val="144"/>
        </w:trPr>
        <w:tc>
          <w:tcPr>
            <w:tcW w:w="120" w:type="dxa"/>
            <w:vAlign w:val="bottom"/>
          </w:tcPr>
          <w:p>
            <w:pPr>
              <w:spacing w:after="0"/>
              <w:rPr>
                <w:sz w:val="12"/>
                <w:szCs w:val="12"/>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(20,587)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(20,587)</w:t>
            </w:r>
          </w:p>
        </w:tc>
      </w:tr>
      <w:tr>
        <w:trPr>
          <w:trHeight w:val="140"/>
        </w:trPr>
        <w:tc>
          <w:tcPr>
            <w:tcW w:w="120" w:type="dxa"/>
            <w:vAlign w:val="bottom"/>
          </w:tcPr>
          <w:p>
            <w:pPr>
              <w:spacing w:after="0"/>
              <w:rPr>
                <w:sz w:val="12"/>
                <w:szCs w:val="12"/>
                <w:color w:val="auto"/>
              </w:rPr>
            </w:pPr>
          </w:p>
        </w:tc>
        <w:tc>
          <w:tcPr>
            <w:tcW w:w="58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2021 and 2022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4,836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40,104</w:t>
            </w:r>
          </w:p>
        </w:tc>
      </w:tr>
      <w:tr>
        <w:trPr>
          <w:trHeight w:val="478"/>
        </w:trPr>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US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4"/>
        </w:trPr>
        <w:tc>
          <w:tcPr>
            <w:tcW w:w="1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9"/>
              </w:rPr>
              <w:t>Consolidated</w:t>
            </w:r>
          </w:p>
        </w:tc>
      </w:tr>
      <w:tr>
        <w:trPr>
          <w:trHeight w:val="133"/>
        </w:trPr>
        <w:tc>
          <w:tcPr>
            <w:tcW w:w="5940" w:type="dxa"/>
            <w:vAlign w:val="bottom"/>
            <w:tcBorders>
              <w:top w:val="single" w:sz="8" w:color="CCEEFF"/>
            </w:tcBorders>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Balance at December 31, 2021</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120" w:type="dxa"/>
            <w:vAlign w:val="bottom"/>
          </w:tcPr>
          <w:p>
            <w:pPr>
              <w:spacing w:after="0"/>
              <w:rPr>
                <w:sz w:val="12"/>
                <w:szCs w:val="12"/>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Gross</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c>
          <w:tcPr>
            <w:tcW w:w="120" w:type="dxa"/>
            <w:vAlign w:val="bottom"/>
          </w:tcPr>
          <w:p>
            <w:pPr>
              <w:spacing w:after="0"/>
              <w:rPr>
                <w:sz w:val="12"/>
                <w:szCs w:val="12"/>
                <w:color w:val="auto"/>
              </w:rPr>
            </w:pPr>
          </w:p>
        </w:tc>
      </w:tr>
      <w:tr>
        <w:trPr>
          <w:trHeight w:val="144"/>
        </w:trPr>
        <w:tc>
          <w:tcPr>
            <w:tcW w:w="120" w:type="dxa"/>
            <w:vAlign w:val="bottom"/>
            <w:shd w:val="clear" w:color="auto" w:fill="CCEEFF"/>
          </w:tcPr>
          <w:p>
            <w:pPr>
              <w:spacing w:after="0"/>
              <w:rPr>
                <w:sz w:val="12"/>
                <w:szCs w:val="12"/>
                <w:color w:val="auto"/>
              </w:rPr>
            </w:pPr>
          </w:p>
        </w:tc>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Accumulated Impairment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(20,587)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c>
          <w:tcPr>
            <w:tcW w:w="120" w:type="dxa"/>
            <w:vAlign w:val="bottom"/>
          </w:tcPr>
          <w:p>
            <w:pPr>
              <w:spacing w:after="0"/>
              <w:rPr>
                <w:sz w:val="12"/>
                <w:szCs w:val="12"/>
                <w:color w:val="auto"/>
              </w:rPr>
            </w:pPr>
          </w:p>
        </w:tc>
      </w:tr>
      <w:tr>
        <w:trPr>
          <w:trHeight w:val="133"/>
        </w:trPr>
        <w:tc>
          <w:tcPr>
            <w:tcW w:w="120" w:type="dxa"/>
            <w:vAlign w:val="bottom"/>
            <w:tcBorders>
              <w:bottom w:val="single" w:sz="8" w:color="CCEEFF"/>
            </w:tcBorders>
          </w:tcPr>
          <w:p>
            <w:pPr>
              <w:spacing w:after="0"/>
              <w:rPr>
                <w:sz w:val="11"/>
                <w:szCs w:val="11"/>
                <w:color w:val="auto"/>
              </w:rPr>
            </w:pPr>
          </w:p>
        </w:tc>
        <w:tc>
          <w:tcPr>
            <w:tcW w:w="5820" w:type="dxa"/>
            <w:vAlign w:val="bottom"/>
            <w:tcBorders>
              <w:bottom w:val="single" w:sz="8" w:color="CCEEFF"/>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Net</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4,836</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40,104</w:t>
            </w:r>
          </w:p>
        </w:tc>
        <w:tc>
          <w:tcPr>
            <w:tcW w:w="120" w:type="dxa"/>
            <w:vAlign w:val="bottom"/>
          </w:tcPr>
          <w:p>
            <w:pPr>
              <w:spacing w:after="0"/>
              <w:rPr>
                <w:sz w:val="11"/>
                <w:szCs w:val="11"/>
                <w:color w:val="auto"/>
              </w:rPr>
            </w:pPr>
          </w:p>
        </w:tc>
      </w:tr>
      <w:tr>
        <w:trPr>
          <w:trHeight w:val="133"/>
        </w:trPr>
        <w:tc>
          <w:tcPr>
            <w:tcW w:w="594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Balance at December 31, 2022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120" w:type="dxa"/>
            <w:vAlign w:val="bottom"/>
          </w:tcPr>
          <w:p>
            <w:pPr>
              <w:spacing w:after="0"/>
              <w:rPr>
                <w:sz w:val="12"/>
                <w:szCs w:val="12"/>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Gross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c>
          <w:tcPr>
            <w:tcW w:w="120" w:type="dxa"/>
            <w:vAlign w:val="bottom"/>
          </w:tcPr>
          <w:p>
            <w:pPr>
              <w:spacing w:after="0"/>
              <w:rPr>
                <w:sz w:val="12"/>
                <w:szCs w:val="12"/>
                <w:color w:val="auto"/>
              </w:rPr>
            </w:pPr>
          </w:p>
        </w:tc>
      </w:tr>
      <w:tr>
        <w:trPr>
          <w:trHeight w:val="162"/>
        </w:trPr>
        <w:tc>
          <w:tcPr>
            <w:tcW w:w="120" w:type="dxa"/>
            <w:vAlign w:val="bottom"/>
            <w:shd w:val="clear" w:color="auto" w:fill="CCEEFF"/>
          </w:tcPr>
          <w:p>
            <w:pPr>
              <w:spacing w:after="0"/>
              <w:rPr>
                <w:sz w:val="14"/>
                <w:szCs w:val="14"/>
                <w:color w:val="auto"/>
              </w:rPr>
            </w:pPr>
          </w:p>
        </w:tc>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Accumulated Impairment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(20,587)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c>
          <w:tcPr>
            <w:tcW w:w="120" w:type="dxa"/>
            <w:vAlign w:val="bottom"/>
          </w:tcPr>
          <w:p>
            <w:pPr>
              <w:spacing w:after="0"/>
              <w:rPr>
                <w:sz w:val="14"/>
                <w:szCs w:val="14"/>
                <w:color w:val="auto"/>
              </w:rPr>
            </w:pPr>
          </w:p>
        </w:tc>
      </w:tr>
      <w:tr>
        <w:trPr>
          <w:trHeight w:val="140"/>
        </w:trPr>
        <w:tc>
          <w:tcPr>
            <w:tcW w:w="120" w:type="dxa"/>
            <w:vAlign w:val="bottom"/>
          </w:tcPr>
          <w:p>
            <w:pPr>
              <w:spacing w:after="0"/>
              <w:rPr>
                <w:sz w:val="12"/>
                <w:szCs w:val="12"/>
                <w:color w:val="auto"/>
              </w:rPr>
            </w:pPr>
          </w:p>
        </w:tc>
        <w:tc>
          <w:tcPr>
            <w:tcW w:w="582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Net</w:t>
            </w:r>
          </w:p>
        </w:tc>
        <w:tc>
          <w:tcPr>
            <w:tcW w:w="12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40,104</w:t>
            </w:r>
          </w:p>
        </w:tc>
        <w:tc>
          <w:tcPr>
            <w:tcW w:w="120" w:type="dxa"/>
            <w:vAlign w:val="bottom"/>
          </w:tcPr>
          <w:p>
            <w:pPr>
              <w:spacing w:after="0"/>
              <w:rPr>
                <w:sz w:val="12"/>
                <w:szCs w:val="12"/>
                <w:color w:val="auto"/>
              </w:rPr>
            </w:pP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Telecommunications Licenses</w:t>
      </w:r>
    </w:p>
    <w:p>
      <w:pPr>
        <w:spacing w:after="0" w:line="181"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Company tests those telecommunications licenses that are indefinite-lived for impairment on an annual basis, which has been determined to be as of October 1st. The Company also tests telecommunication licenses that are indefinite-lived between annual tests if an event occurs or circumstances change that indicate that the fair value of a reporting unit may be below its carrying value.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Company’s qualitative impairment test includes, but is not limited to, assessing macroeconomic conditions, industry and market considerations, technological changes and trends, overall financial performance, and legal and regulatory changes. The Company’s quantitative test for impairment involves a comparison of the estimated fair value of an asset to its carrying amount. The Company determines the fair value using either a market or income approach. The market approach uses prices generated by market transactions involving comparable assets. The income approach uses a DCF model. The DCF requires the exercise of significant judgement including Level 3 valuation inputs.</w:t>
      </w:r>
    </w:p>
    <w:p>
      <w:pPr>
        <w:spacing w:after="0" w:line="149"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performed a qualitative assessment for its annual impairment assessment of its indefinite lived telecommunication licenses in 2022 and determined that there were no indications of potential impairment. The Company performed quantitative assessments for its annual impairment assessment of its indefinite lived telecommunications licenses for 2021 using a market approach and determined that there were no indications of potential impairments.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changes in the carrying amount of the Company’s telecommunications licenses, by operating segment, were as follows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US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4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2020</w:t>
            </w: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79,285</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114,083</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Acquired licenses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40" w:type="dxa"/>
            <w:vAlign w:val="bottom"/>
          </w:tcPr>
          <w:p>
            <w:pPr>
              <w:spacing w:after="0"/>
              <w:rPr>
                <w:sz w:val="12"/>
                <w:szCs w:val="12"/>
                <w:color w:val="auto"/>
              </w:rPr>
            </w:pPr>
          </w:p>
        </w:tc>
      </w:tr>
      <w:tr>
        <w:trPr>
          <w:trHeight w:val="14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Dispositions</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40" w:type="dxa"/>
            <w:vAlign w:val="bottom"/>
            <w:shd w:val="clear" w:color="auto" w:fill="CCEEFF"/>
          </w:tcPr>
          <w:p>
            <w:pPr>
              <w:spacing w:after="0"/>
              <w:rPr>
                <w:sz w:val="12"/>
                <w:szCs w:val="12"/>
                <w:color w:val="auto"/>
              </w:rPr>
            </w:pPr>
          </w:p>
        </w:tc>
      </w:tr>
      <w:tr>
        <w:trPr>
          <w:trHeight w:val="133"/>
        </w:trPr>
        <w:tc>
          <w:tcPr>
            <w:tcW w:w="4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2021</w:t>
            </w: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78,968</w:t>
            </w:r>
          </w:p>
        </w:tc>
        <w:tc>
          <w:tcPr>
            <w:tcW w:w="160" w:type="dxa"/>
            <w:vAlign w:val="bottom"/>
          </w:tcPr>
          <w:p>
            <w:pPr>
              <w:spacing w:after="0"/>
              <w:rPr>
                <w:sz w:val="11"/>
                <w:szCs w:val="11"/>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113,766</w:t>
            </w:r>
          </w:p>
        </w:tc>
        <w:tc>
          <w:tcPr>
            <w:tcW w:w="40" w:type="dxa"/>
            <w:vAlign w:val="bottom"/>
          </w:tcPr>
          <w:p>
            <w:pPr>
              <w:spacing w:after="0"/>
              <w:rPr>
                <w:sz w:val="11"/>
                <w:szCs w:val="11"/>
                <w:color w:val="auto"/>
              </w:rPr>
            </w:pPr>
          </w:p>
        </w:tc>
      </w:tr>
      <w:tr>
        <w:trPr>
          <w:trHeight w:val="14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Acquired licenses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40" w:type="dxa"/>
            <w:vAlign w:val="bottom"/>
            <w:shd w:val="clear" w:color="auto" w:fill="CCEEFF"/>
          </w:tcPr>
          <w:p>
            <w:pPr>
              <w:spacing w:after="0"/>
              <w:rPr>
                <w:sz w:val="12"/>
                <w:szCs w:val="12"/>
                <w:color w:val="auto"/>
              </w:rPr>
            </w:pPr>
          </w:p>
        </w:tc>
      </w:tr>
      <w:tr>
        <w:trPr>
          <w:trHeight w:val="144"/>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Dispositions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40" w:type="dxa"/>
            <w:vAlign w:val="bottom"/>
            <w:tcBorders>
              <w:bottom w:val="single" w:sz="8" w:color="CCEEFF"/>
            </w:tcBorders>
          </w:tcPr>
          <w:p>
            <w:pPr>
              <w:spacing w:after="0"/>
              <w:rPr>
                <w:sz w:val="12"/>
                <w:szCs w:val="12"/>
                <w:color w:val="auto"/>
              </w:rPr>
            </w:pPr>
          </w:p>
        </w:tc>
      </w:tr>
      <w:tr>
        <w:trPr>
          <w:trHeight w:val="140"/>
        </w:trPr>
        <w:tc>
          <w:tcPr>
            <w:tcW w:w="45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2022</w:t>
            </w: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78,900</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113,698</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licenses acquired during 2022 and 2021 are expected to be available for use into perpetuity.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Customer Relationships</w:t>
      </w:r>
    </w:p>
    <w:p>
      <w:pPr>
        <w:spacing w:after="0" w:line="17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customer relationships are being amortized on an accelerated basis, over the expected period during which their economic benefits are to be realized. The Company recorded $11.6 million, $7.0 million, and $1.5 million of amortization related to customer relationships during the years ended December 31, 2022, 2021, and 2020, respectively.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Future amortization of customer relationships is as follows (in thousands):</w:t>
      </w:r>
    </w:p>
    <w:p>
      <w:pPr>
        <w:spacing w:after="0" w:line="290"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3"/>
              </w:rPr>
              <w:t>US Telecom</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5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vMerge w:val="continue"/>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2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5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3,469</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18,775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Intangible Assets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Other intangible assets includes $9.7 million and $10.5 million of tradenames on the Company’s balance sheet as of December 31, 2022 and 2021, respectively.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tradenames have definite lives and future amortization of the tradenames are as follows:</w:t>
      </w:r>
    </w:p>
    <w:p>
      <w:pPr>
        <w:spacing w:after="0" w:line="164" w:lineRule="exact"/>
        <w:rPr>
          <w:sz w:val="20"/>
          <w:szCs w:val="20"/>
          <w:color w:val="auto"/>
        </w:rPr>
      </w:pPr>
    </w:p>
    <w:tbl>
      <w:tblPr>
        <w:tblLayout w:type="fixed"/>
        <w:tblInd w:w="15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0" w:type="dxa"/>
            <w:vAlign w:val="bottom"/>
          </w:tcPr>
          <w:p>
            <w:pPr>
              <w:spacing w:after="0"/>
              <w:rPr>
                <w:sz w:val="1"/>
                <w:szCs w:val="1"/>
                <w:color w:val="auto"/>
              </w:rPr>
            </w:pPr>
          </w:p>
        </w:tc>
      </w:tr>
      <w:tr>
        <w:trPr>
          <w:trHeight w:val="115"/>
        </w:trPr>
        <w:tc>
          <w:tcPr>
            <w:tcW w:w="44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6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2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307</w:t>
            </w:r>
          </w:p>
        </w:tc>
        <w:tc>
          <w:tcPr>
            <w:tcW w:w="200" w:type="dxa"/>
            <w:vAlign w:val="bottom"/>
            <w:shd w:val="clear" w:color="auto" w:fill="CCEEFF"/>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1,028</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0" w:type="dxa"/>
            <w:vAlign w:val="bottom"/>
          </w:tcPr>
          <w:p>
            <w:pPr>
              <w:spacing w:after="0"/>
              <w:rPr>
                <w:sz w:val="1"/>
                <w:szCs w:val="1"/>
                <w:color w:val="auto"/>
              </w:rPr>
            </w:pPr>
          </w:p>
        </w:tc>
      </w:tr>
      <w:tr>
        <w:trPr>
          <w:trHeight w:val="144"/>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4,223</w:t>
            </w:r>
          </w:p>
        </w:tc>
        <w:tc>
          <w:tcPr>
            <w:tcW w:w="0" w:type="dxa"/>
            <w:vAlign w:val="bottom"/>
          </w:tcPr>
          <w:p>
            <w:pPr>
              <w:spacing w:after="0"/>
              <w:rPr>
                <w:sz w:val="1"/>
                <w:szCs w:val="1"/>
                <w:color w:val="auto"/>
              </w:rPr>
            </w:pPr>
          </w:p>
        </w:tc>
      </w:tr>
      <w:tr>
        <w:trPr>
          <w:trHeight w:val="140"/>
        </w:trPr>
        <w:tc>
          <w:tcPr>
            <w:tcW w:w="4400" w:type="dxa"/>
            <w:vAlign w:val="bottom"/>
            <w:tcBorders>
              <w:bottom w:val="single" w:sz="8" w:color="CCEEFF"/>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1,167</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8,581</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LONG-TERM DEBT</w:t>
      </w:r>
    </w:p>
    <w:p>
      <w:pPr>
        <w:spacing w:after="0" w:line="181"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On April 10, 2019, the Company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December 31, 2022. The 2019 CoBank Credit Facility matures on April 10, 2024.</w:t>
      </w:r>
    </w:p>
    <w:p>
      <w:pPr>
        <w:spacing w:after="0" w:line="149"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2019 CoBank Credit Facility bear interest at a rate equal to, at the Company’s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the Company must also pay a commitment fee ranging from 0.150% to 0.375% of the average daily unused portion of the 2019 CoBank Credit Facility over each calendar quarter.</w:t>
      </w:r>
    </w:p>
    <w:p>
      <w:pPr>
        <w:spacing w:after="0" w:line="144"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On November 7, 2022, the Company amended the 2019 CoBank Credit Facility to allow for the incurrence of certain indebtedness related to payment guarantees in connection with its Replace and Remove project.</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December 28, 2022, the Company amended the 2019 CoBank Credit Facility, effective November 7, 2022, to allow for certain transactions contemplated with the Company’s recently completed acquisition of Sacred Wind Enterprises, Inc.</w:t>
      </w:r>
    </w:p>
    <w:p>
      <w:pPr>
        <w:spacing w:after="0" w:line="138" w:lineRule="exact"/>
        <w:rPr>
          <w:sz w:val="20"/>
          <w:szCs w:val="20"/>
          <w:color w:val="auto"/>
        </w:rPr>
      </w:pPr>
    </w:p>
    <w:p>
      <w:pPr>
        <w:ind w:left="20" w:right="59" w:firstLine="460"/>
        <w:spacing w:after="0" w:line="257" w:lineRule="auto"/>
        <w:rPr>
          <w:sz w:val="20"/>
          <w:szCs w:val="20"/>
          <w:color w:val="auto"/>
        </w:rPr>
      </w:pPr>
      <w:r>
        <w:rPr>
          <w:rFonts w:ascii="Times New Roman" w:cs="Times New Roman" w:eastAsia="Times New Roman" w:hAnsi="Times New Roman"/>
          <w:sz w:val="12"/>
          <w:szCs w:val="12"/>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The Company’s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43"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2022, the Company was in compliance with all of the financial covenants of the 2019 CoBank Credit Facility, had $99.0 million outstanding in borrowings and, net of the $26.0 million of outstanding performance letters of credit, had 75.0 million of availability under the 2019 CoBank Credit Facility. As of December 31, 2022, there are no outstanding interest rate hedge agreements associated with the 2019 CoBank Credit Facility.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72"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the Company entered into General Agreement of Indemnity to issue performance Standby Letters of Credit. As of December 31, 2022, no Standby Letters of Credit had been issued under this agreement.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On December 23, 2022, Alaska Communications entered into a First Amendment Agreement (the “ACS Amendment’). The ACS Amendment amends the Credit Agreement entered into on July 22, 2021 (see below) to increase its Revolving Credit Commitment from $35.0 million to $75.0 million and Term Loan Commitment from $210 million to $230 million. As a part of the transaction, the Term Loan commitment was fully funded as the outstanding Revolving Credit Commitment balance was transferred. As a result, $75.0 million is available under the Revolving Credit Commitment as of December 31, 2022. Principal payments on the Term Loan commence in the fourth quarter of 2023.</w:t>
      </w:r>
    </w:p>
    <w:p>
      <w:pPr>
        <w:spacing w:after="0" w:line="140"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In addition to the above changes, the amendment replaced the calculation of interest from an applicable margin applied to LIBOR with the same applicable margin applied to the Secured Overnight Financing Rate (“SOFR”) plus a 10-basis point adjustment.</w:t>
      </w:r>
    </w:p>
    <w:p>
      <w:pPr>
        <w:spacing w:after="0" w:line="13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138"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2022, $230.0 million was outstanding under the Alaska Term Loan and there were no outstanding borrowings under the Alaska Revolving Facility. Both facilities mature on July 22, 2026.</w:t>
      </w:r>
    </w:p>
    <w:p>
      <w:pPr>
        <w:spacing w:after="0" w:line="129"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capitalized $7.3 million of fees associated with the Alaska Credit Facility which are being amortized over the life of the debt and $5.4 million were unamortized as of December 31, 2022.</w:t>
      </w:r>
    </w:p>
    <w:p>
      <w:pPr>
        <w:spacing w:after="0" w:line="138" w:lineRule="exact"/>
        <w:rPr>
          <w:sz w:val="20"/>
          <w:szCs w:val="20"/>
          <w:color w:val="auto"/>
        </w:rPr>
      </w:pPr>
    </w:p>
    <w:p>
      <w:pPr>
        <w:ind w:left="20" w:right="73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68" w:lineRule="exact"/>
        <w:rPr>
          <w:sz w:val="20"/>
          <w:szCs w:val="20"/>
          <w:color w:val="auto"/>
        </w:rPr>
      </w:pPr>
    </w:p>
    <w:p>
      <w:pPr>
        <w:ind w:left="900" w:right="219" w:hanging="219"/>
        <w:spacing w:after="0" w:line="265" w:lineRule="auto"/>
        <w:tabs>
          <w:tab w:leader="none" w:pos="9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18" w:lineRule="exact"/>
        <w:rPr>
          <w:rFonts w:ascii="Times New Roman" w:cs="Times New Roman" w:eastAsia="Times New Roman" w:hAnsi="Times New Roman"/>
          <w:sz w:val="12"/>
          <w:szCs w:val="12"/>
          <w:color w:val="auto"/>
        </w:rPr>
      </w:pPr>
    </w:p>
    <w:p>
      <w:pPr>
        <w:jc w:val="both"/>
        <w:ind w:left="900" w:right="279" w:hanging="219"/>
        <w:spacing w:after="0" w:line="265" w:lineRule="auto"/>
        <w:tabs>
          <w:tab w:leader="none" w:pos="9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900" w:right="239" w:hanging="219"/>
        <w:spacing w:after="0" w:line="265" w:lineRule="auto"/>
        <w:tabs>
          <w:tab w:leader="none" w:pos="9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18" w:lineRule="exact"/>
        <w:rPr>
          <w:rFonts w:ascii="Times New Roman" w:cs="Times New Roman" w:eastAsia="Times New Roman" w:hAnsi="Times New Roman"/>
          <w:sz w:val="12"/>
          <w:szCs w:val="12"/>
          <w:color w:val="auto"/>
        </w:rPr>
      </w:pPr>
    </w:p>
    <w:p>
      <w:pPr>
        <w:ind w:left="900" w:right="339" w:hanging="219"/>
        <w:spacing w:after="0" w:line="279" w:lineRule="auto"/>
        <w:tabs>
          <w:tab w:leader="none" w:pos="9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the Company and is secured by substantially all of the personal property and certain material real property owned by Alaska Communications.</w:t>
      </w:r>
    </w:p>
    <w:p>
      <w:pPr>
        <w:spacing w:after="0" w:line="138"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Communication’s interest rate swap, which had been designated as a cash flow hedge with an interest rate of 1.6735%, expired on June 30, 2022. As of December 31, 2022, there are no outstanding interest rate hedge agreements associated with the Alaska Credit Facility.</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81" w:lineRule="exact"/>
        <w:rPr>
          <w:sz w:val="20"/>
          <w:szCs w:val="20"/>
          <w:color w:val="auto"/>
        </w:rPr>
      </w:pPr>
    </w:p>
    <w:p>
      <w:pPr>
        <w:ind w:left="20" w:right="499" w:firstLine="432"/>
        <w:spacing w:after="0" w:line="279" w:lineRule="auto"/>
        <w:rPr>
          <w:sz w:val="20"/>
          <w:szCs w:val="20"/>
          <w:color w:val="auto"/>
        </w:rPr>
      </w:pPr>
      <w:r>
        <w:rPr>
          <w:rFonts w:ascii="Times New Roman" w:cs="Times New Roman" w:eastAsia="Times New Roman" w:hAnsi="Times New Roman"/>
          <w:sz w:val="12"/>
          <w:szCs w:val="12"/>
          <w:color w:val="auto"/>
        </w:rPr>
        <w:t>On June 15, 2022, Alaska Communications Systems Holdings, the parent company of Alaska Communications, entered a secured lending arrangement with Bristol Bay Industrial, LLC. (the “Alaska Term Facility”).</w:t>
      </w:r>
    </w:p>
    <w:p>
      <w:pPr>
        <w:spacing w:after="0" w:line="138" w:lineRule="exact"/>
        <w:rPr>
          <w:sz w:val="20"/>
          <w:szCs w:val="20"/>
          <w:color w:val="auto"/>
        </w:rPr>
      </w:pPr>
    </w:p>
    <w:p>
      <w:pPr>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December 31, 2022. Scheduled quarterly payments of principal commence on March 31, 2023. The Alaska Term Facility matures on June 30, 2024.</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Alaska Term Facility contains events of default customary for facilities of this type.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2022, the Company had $7.5 million outstanding and no available borrowings under the Alaska Term Facility.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72"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On December 23, 2022, CoBank amended the Receivables Credit Facility and extended the delayed draw period to December 31, 2023.</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Interest on the loans accrues at a fixed annual interest rate to be quoted by CoBank.</w:t>
      </w:r>
    </w:p>
    <w:p>
      <w:pPr>
        <w:spacing w:after="0" w:line="17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2022, the Company had $46.2 million outstanding, of which $6.2 million was current, and $22.3 million of availability under the Receivables Credit Facility. The Company capitalized $0.8 million of fees associated with the Receivables Credit Facility which are being amortized over the life of the debt and $0.6 million were unamortized as of December 31, 2022.</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72" w:lineRule="exact"/>
        <w:rPr>
          <w:sz w:val="20"/>
          <w:szCs w:val="20"/>
          <w:color w:val="auto"/>
        </w:rPr>
      </w:pPr>
    </w:p>
    <w:p>
      <w:pPr>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Rural Electrification Act of 1936 to furnish or improve telecommunications and/or broadband services in rural areas.</w:t>
      </w:r>
    </w:p>
    <w:p>
      <w:pPr>
        <w:spacing w:after="0" w:line="146"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and an underlying mortgage to the United States of America. These mortgage notes are to be repaid in equal monthly installments covering principal and interest beginning after date of issue and expiring by 2035.</w:t>
      </w:r>
    </w:p>
    <w:p>
      <w:pPr>
        <w:spacing w:after="0" w:line="138"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Enterprises was not in compliance with as of December 31, 2021. The Company submitted a corrective action plan to comply with the financial covenant as of December 31, 2025. On May 5, 2022, the company’s corrective action plan was accepted by the RUS. As of December 31, 2022, the Company was in compliance with the plan.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2022, $31.4 million was outstanding under the Sacred Wind Term Debt. Of that amount, $3.2 million was current and $28.2 million was long term.</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81"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143"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2022, $60.0 million of the Viya Debt remained outstanding and $0.3 million of the rate lock fee was unamortized.</w:t>
      </w:r>
    </w:p>
    <w:p>
      <w:pPr>
        <w:spacing w:after="0" w:line="177"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The Company was in compliance with the Net Leverage Ratio as of December 31, 2022.</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GOVERNMENT SUPPORT AND SPECTRUM PROGRAMS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40" w:lineRule="exact"/>
        <w:rPr>
          <w:sz w:val="20"/>
          <w:szCs w:val="20"/>
          <w:color w:val="auto"/>
        </w:rPr>
      </w:pPr>
    </w:p>
    <w:p>
      <w:pPr>
        <w:jc w:val="both"/>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The Company also recognizes revenue from the Connect America Fund Phase II program (“CAF II”) which offers subsidies to carriers to expand broadband coverage in designated areas. Under CAF II, the Company’s US Telecom segment will receive an aggregate of $27.4 million annually through December 2025 and an aggregate of $7.7 million annually from January 2026 through July 2028.</w:t>
      </w:r>
    </w:p>
    <w:p>
      <w:pPr>
        <w:spacing w:after="0" w:line="146" w:lineRule="exact"/>
        <w:rPr>
          <w:sz w:val="20"/>
          <w:szCs w:val="20"/>
          <w:color w:val="auto"/>
        </w:rPr>
      </w:pPr>
    </w:p>
    <w:p>
      <w:pPr>
        <w:jc w:val="both"/>
        <w:ind w:left="20" w:right="19" w:firstLine="432"/>
        <w:spacing w:after="0" w:line="279" w:lineRule="auto"/>
        <w:rPr>
          <w:sz w:val="20"/>
          <w:szCs w:val="20"/>
          <w:color w:val="auto"/>
        </w:rPr>
      </w:pPr>
      <w:r>
        <w:rPr>
          <w:rFonts w:ascii="Times New Roman" w:cs="Times New Roman" w:eastAsia="Times New Roman" w:hAnsi="Times New Roman"/>
          <w:sz w:val="12"/>
          <w:szCs w:val="12"/>
          <w:color w:val="auto"/>
        </w:rPr>
        <w:t>Both the USF and CAF II programs are subject to certain operational and reporting compliance requirements. The Company believes it is in compliance with these requirements as of December 31,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1" w:name="page122"/>
    <w:bookmarkEnd w:id="1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recorded the amounts below as communication services revenue for the reported periods: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5"/>
        </w:trPr>
        <w:tc>
          <w:tcPr>
            <w:tcW w:w="47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50"/>
        </w:trPr>
        <w:tc>
          <w:tcPr>
            <w:tcW w:w="47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International Telecom</w:t>
            </w:r>
          </w:p>
        </w:tc>
        <w:tc>
          <w:tcPr>
            <w:tcW w:w="280" w:type="dxa"/>
            <w:vAlign w:val="bottom"/>
          </w:tcPr>
          <w:p>
            <w:pPr>
              <w:spacing w:after="0"/>
              <w:rPr>
                <w:sz w:val="21"/>
                <w:szCs w:val="21"/>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9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7,862</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12,321</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27,264</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RDOF</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w:t>
            </w:r>
          </w:p>
        </w:tc>
      </w:tr>
      <w:tr>
        <w:trPr>
          <w:trHeight w:val="144"/>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Programs</w:t>
            </w:r>
          </w:p>
        </w:tc>
        <w:tc>
          <w:tcPr>
            <w:tcW w:w="9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26,656</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26,708</w:t>
            </w:r>
          </w:p>
        </w:tc>
      </w:tr>
      <w:tr>
        <w:trPr>
          <w:trHeight w:val="140"/>
        </w:trPr>
        <w:tc>
          <w:tcPr>
            <w:tcW w:w="47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60,333</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7,914</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68,247</w:t>
            </w:r>
          </w:p>
        </w:tc>
      </w:tr>
      <w:tr>
        <w:trPr>
          <w:trHeight w:val="236"/>
        </w:trPr>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15"/>
        </w:trPr>
        <w:tc>
          <w:tcPr>
            <w:tcW w:w="47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7"/>
        </w:trPr>
        <w:tc>
          <w:tcPr>
            <w:tcW w:w="4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International Telecom</w:t>
            </w:r>
          </w:p>
        </w:tc>
        <w:tc>
          <w:tcPr>
            <w:tcW w:w="2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9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16,356</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16,330</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13,963</w:t>
            </w:r>
          </w:p>
        </w:tc>
      </w:tr>
      <w:tr>
        <w:trPr>
          <w:trHeight w:val="140"/>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32,742</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13,907</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46,649</w:t>
            </w:r>
          </w:p>
        </w:tc>
      </w:tr>
      <w:tr>
        <w:trPr>
          <w:trHeight w:val="236"/>
        </w:trPr>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15"/>
        </w:trPr>
        <w:tc>
          <w:tcPr>
            <w:tcW w:w="47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6"/>
              </w:rPr>
              <w:t>December 31, 2020</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7"/>
        </w:trPr>
        <w:tc>
          <w:tcPr>
            <w:tcW w:w="4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International Telecom</w:t>
            </w:r>
          </w:p>
        </w:tc>
        <w:tc>
          <w:tcPr>
            <w:tcW w:w="2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7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9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17,605</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7,594</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9,984</w:t>
            </w:r>
          </w:p>
        </w:tc>
      </w:tr>
      <w:tr>
        <w:trPr>
          <w:trHeight w:val="140"/>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18,822</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16,361</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35,183</w:t>
            </w:r>
          </w:p>
        </w:tc>
      </w:tr>
    </w:tbl>
    <w:p>
      <w:pPr>
        <w:spacing w:after="0" w:line="15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again to $5.5 million for the annual period through June 2023. As the program currently stands, Viya will not receive High Cost Program support subsequent to June 2023.</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expects to receive approximately $20.1 million over 10 years to provide broadband and voice coverage to over 10,000 households in the United States (not including Alaska) under the 2020 Rural Digital Opportunity Fund Phase I Auction (“RDOF”).</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Construction Grants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begin in June 2023 and once these projects are constructed, the Company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is obligated to provide service to the participants. The Company expects to meet all requirements associated with these grants. A roll forward of the Company’s grant awards is below (in thousands).</w:t>
      </w:r>
    </w:p>
    <w:p>
      <w:pPr>
        <w:spacing w:after="0" w:line="34" w:lineRule="exact"/>
        <w:rPr>
          <w:sz w:val="20"/>
          <w:szCs w:val="20"/>
          <w:color w:val="auto"/>
        </w:rPr>
      </w:pPr>
    </w:p>
    <w:tbl>
      <w:tblPr>
        <w:tblLayout w:type="fixed"/>
        <w:tblInd w:w="780" w:type="dxa"/>
        <w:tblCellMar>
          <w:top w:w="0" w:type="dxa"/>
          <w:left w:w="0" w:type="dxa"/>
          <w:bottom w:w="0" w:type="dxa"/>
          <w:right w:w="0" w:type="dxa"/>
        </w:tblCellMar>
      </w:tblPr>
      <w:tr>
        <w:trPr>
          <w:trHeight w:val="115"/>
        </w:trPr>
        <w:tc>
          <w:tcPr>
            <w:tcW w:w="47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3"/>
        </w:trPr>
        <w:tc>
          <w:tcPr>
            <w:tcW w:w="4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2021</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11,067</w:t>
            </w: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New grants</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73,384</w:t>
            </w: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Cancelled grants</w:t>
            </w: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(4,254)</w:t>
            </w:r>
          </w:p>
        </w:tc>
      </w:tr>
      <w:tr>
        <w:trPr>
          <w:trHeight w:val="140"/>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2022</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80,197</w:t>
            </w:r>
          </w:p>
        </w:tc>
      </w:tr>
    </w:tbl>
    <w:p>
      <w:pPr>
        <w:spacing w:after="0" w:line="160" w:lineRule="exact"/>
        <w:rPr>
          <w:sz w:val="20"/>
          <w:szCs w:val="20"/>
          <w:color w:val="auto"/>
        </w:rPr>
      </w:pPr>
    </w:p>
    <w:p>
      <w:pPr>
        <w:jc w:val="both"/>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In addition, the Company partners with tribal governments to obtain grants under the Tribal Broadband Connectivity Program ("TBCP"). The TBCP is a program administered by the National Telecommunications and Information Administration to deploy broadband connectivity on tribal lands. The Company was identified as a sub recipient of TBCP grants totaling $145.5 million as of December 31, 2022.</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CARES Act</w:t>
      </w:r>
    </w:p>
    <w:p>
      <w:pPr>
        <w:spacing w:after="0" w:line="181"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As of December 31, 2020, the Company had received $16.3 million of funding under the Coronavirus Aid, Relief, and Economic Security Act (“CARES Act”) to construct network infrastructure within the Company’s US Telecom segment. During the year ended December 31, 2021, the Company received an additional $2.4 million of funding for the same purpose. The construction was completed as of December 31, 2021 and $18.4 million of the funding was recorded as a reduction to property, plant and equipment with a subsequent reduction to depreciation expense. The remaining $0.3 million was recorded as a reduction to operating expense in the year ended December 31, 2021.</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CBRS Auction</w:t>
      </w:r>
    </w:p>
    <w:p>
      <w:pPr>
        <w:spacing w:after="0" w:line="172"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During the third quarter of 2020, the Company participated in the FCC’s Citizens Broadband Radio Service (CBRS) auction for Priority Access Licenses (PALs) in the 3.5 GHz spectrum band. These PALs are licensed on a county-by-county basis and are awarded for a 10-year renewable term. The Company was a winning bidder for PALs located strategically throughout the United States at a total net cost of $19.3 million. In connection with the awarded licenses, the Company will have to achieve certain CBRS spectrum build out obligations. The Company currently expects to comply with all applicable requirements related to these licenses.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EQUITY</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has paid quarterly dividends on its Common Stock since January 1999.</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Treasury Stock</w:t>
      </w:r>
    </w:p>
    <w:p>
      <w:pPr>
        <w:spacing w:after="0" w:line="172" w:lineRule="exact"/>
        <w:rPr>
          <w:sz w:val="20"/>
          <w:szCs w:val="20"/>
          <w:color w:val="auto"/>
        </w:rPr>
      </w:pPr>
    </w:p>
    <w:p>
      <w:pPr>
        <w:jc w:val="both"/>
        <w:ind w:left="20" w:right="139" w:firstLine="480"/>
        <w:spacing w:after="0" w:line="327" w:lineRule="auto"/>
        <w:rPr>
          <w:sz w:val="20"/>
          <w:szCs w:val="20"/>
          <w:color w:val="auto"/>
        </w:rPr>
      </w:pPr>
      <w:r>
        <w:rPr>
          <w:rFonts w:ascii="Times New Roman" w:cs="Times New Roman" w:eastAsia="Times New Roman" w:hAnsi="Times New Roman"/>
          <w:sz w:val="11"/>
          <w:szCs w:val="11"/>
          <w:color w:val="auto"/>
        </w:rPr>
        <w:t>On September 19, 2016, the Company’s Board of Directors authorized the repurchase of up to $50.0 million of its Common Stock, from time to time, on the open market or in privately negotiated transactions (the “2016 Repurchase Plan”). As of December 31, 2022, the Company has $19.5 million available to be repurchased under the 2016 Repurchase Plan.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During the years ended December 31, 2022, 2021 and 2020, the Company repurchased the following shares under the 2016 Repurchase Plan:</w:t>
      </w:r>
    </w:p>
    <w:p>
      <w:pPr>
        <w:spacing w:after="0" w:line="200" w:lineRule="exact"/>
        <w:rPr>
          <w:sz w:val="20"/>
          <w:szCs w:val="20"/>
          <w:color w:val="auto"/>
        </w:rPr>
      </w:pP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Aggregate Cost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52"/>
        </w:trPr>
        <w:tc>
          <w:tcPr>
            <w:tcW w:w="3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Repurchased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Repurchase Price</w:t>
            </w:r>
          </w:p>
        </w:tc>
      </w:tr>
      <w:tr>
        <w:trPr>
          <w:trHeight w:val="142"/>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941,523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39.70</w:t>
            </w: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43.08</w:t>
            </w:r>
          </w:p>
        </w:tc>
        <w:tc>
          <w:tcPr>
            <w:tcW w:w="60" w:type="dxa"/>
            <w:vAlign w:val="bottom"/>
          </w:tcPr>
          <w:p>
            <w:pPr>
              <w:spacing w:after="0"/>
              <w:rPr>
                <w:sz w:val="14"/>
                <w:szCs w:val="14"/>
                <w:color w:val="auto"/>
              </w:rPr>
            </w:pPr>
          </w:p>
        </w:tc>
      </w:tr>
      <w:tr>
        <w:trPr>
          <w:trHeight w:val="16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6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2022, 2021 and 2020, the Company repurchased the following shares from employees to satisfy tax withholding and stock options exercise obligations incurred in connection with the vesting of restricted stock awards and the exercise of stock options:</w:t>
      </w:r>
    </w:p>
    <w:p>
      <w:pPr>
        <w:spacing w:after="0" w:line="367"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Aggregate 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Average</w:t>
            </w:r>
          </w:p>
        </w:tc>
      </w:tr>
      <w:tr>
        <w:trPr>
          <w:trHeight w:val="152"/>
        </w:trPr>
        <w:tc>
          <w:tcPr>
            <w:tcW w:w="3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Repurchased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Repurchase Price</w:t>
            </w:r>
          </w:p>
        </w:tc>
      </w:tr>
      <w:tr>
        <w:trPr>
          <w:trHeight w:val="142"/>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33,401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35.01</w:t>
            </w:r>
          </w:p>
        </w:tc>
      </w:tr>
      <w:tr>
        <w:trPr>
          <w:trHeight w:val="162"/>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51.49</w:t>
            </w:r>
          </w:p>
        </w:tc>
      </w:tr>
      <w:tr>
        <w:trPr>
          <w:trHeight w:val="16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53.78</w:t>
            </w: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72"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reserved 2,000,000 shares for the grant of stock options, restricted stock awards, restricted stock units, stock equivalents and awards of shares of Common Stock that are not subject to restrictions or forfeiture. As of December 31, 2022, the Company has approximately 272,000 shares available for grants.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4" w:name="page125"/>
    <w:bookmarkEnd w:id="1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Stock options have a term of 10 years and vest annually and ratably over a period of four years.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summarizes stock option activity for the years ended December 31, 2022 and 2021:</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4"/>
        </w:trPr>
        <w:tc>
          <w:tcPr>
            <w:tcW w:w="4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3"/>
              </w:rPr>
              <w:t>Weighted Average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Remaining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Weighted Avg.</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6"/>
              </w:rPr>
              <w:t>Contractual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Aggregate</w:t>
            </w:r>
          </w:p>
        </w:tc>
      </w:tr>
      <w:tr>
        <w:trPr>
          <w:trHeight w:val="125"/>
        </w:trPr>
        <w:tc>
          <w:tcPr>
            <w:tcW w:w="47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2"/>
              </w:rPr>
              <w:t>Term (Years)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Intrinsic Value</w:t>
            </w: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January 1, 2022</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w:t>
            </w: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71.43</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Expired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(5,000)</w:t>
            </w:r>
          </w:p>
        </w:tc>
        <w:tc>
          <w:tcPr>
            <w:tcW w:w="4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0"/>
        </w:trPr>
        <w:tc>
          <w:tcPr>
            <w:tcW w:w="47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at December 31, 2022</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ind w:left="6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CCEEFF"/>
            </w:tcBorders>
          </w:tcPr>
          <w:p>
            <w:pPr>
              <w:spacing w:after="0"/>
              <w:rPr>
                <w:sz w:val="12"/>
                <w:szCs w:val="12"/>
                <w:color w:val="auto"/>
              </w:rPr>
            </w:pPr>
          </w:p>
        </w:tc>
      </w:tr>
      <w:tr>
        <w:trPr>
          <w:trHeight w:val="1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at December 31, 2022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CCEEFF"/>
            </w:tcBorders>
            <w:shd w:val="clear" w:color="auto" w:fill="CCEEFF"/>
          </w:tcPr>
          <w:p>
            <w:pPr>
              <w:spacing w:after="0"/>
              <w:rPr>
                <w:sz w:val="14"/>
                <w:szCs w:val="14"/>
                <w:color w:val="auto"/>
              </w:rPr>
            </w:pPr>
          </w:p>
        </w:tc>
      </w:tr>
      <w:tr>
        <w:trPr>
          <w:trHeight w:val="138"/>
        </w:trPr>
        <w:tc>
          <w:tcPr>
            <w:tcW w:w="47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Exercisable at December 31, 2022</w:t>
            </w: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ind w:left="68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r>
      <w:tr>
        <w:trPr>
          <w:trHeight w:val="432"/>
        </w:trPr>
        <w:tc>
          <w:tcPr>
            <w:tcW w:w="4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 December 31, 2021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4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3"/>
              </w:rPr>
              <w:t>Weighted Average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Remaining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Weighted Avg.</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6"/>
              </w:rPr>
              <w:t>Contractual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Aggregate</w:t>
            </w:r>
          </w:p>
        </w:tc>
      </w:tr>
      <w:tr>
        <w:trPr>
          <w:trHeight w:val="125"/>
        </w:trPr>
        <w:tc>
          <w:tcPr>
            <w:tcW w:w="47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2"/>
              </w:rPr>
              <w:t>Term (Years)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Intrinsic Value</w:t>
            </w: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January 1, 2021</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15,000</w:t>
            </w: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49.34</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Expired</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(10,000)</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0"/>
        </w:trPr>
        <w:tc>
          <w:tcPr>
            <w:tcW w:w="47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Outstanding at December 31, 2021</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w:t>
            </w:r>
          </w:p>
        </w:tc>
        <w:tc>
          <w:tcPr>
            <w:tcW w:w="1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71.43</w:t>
            </w:r>
          </w:p>
        </w:tc>
        <w:tc>
          <w:tcPr>
            <w:tcW w:w="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3.7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ind w:left="6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CCEEFF"/>
            </w:tcBorders>
          </w:tcPr>
          <w:p>
            <w:pPr>
              <w:spacing w:after="0"/>
              <w:rPr>
                <w:sz w:val="12"/>
                <w:szCs w:val="12"/>
                <w:color w:val="auto"/>
              </w:rPr>
            </w:pPr>
          </w:p>
        </w:tc>
      </w:tr>
      <w:tr>
        <w:trPr>
          <w:trHeight w:val="151"/>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at December 31, 2021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71.43</w:t>
            </w: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3.7</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CCEEFF"/>
            </w:tcBorders>
            <w:shd w:val="clear" w:color="auto" w:fill="CCEEFF"/>
          </w:tcPr>
          <w:p>
            <w:pPr>
              <w:spacing w:after="0"/>
              <w:rPr>
                <w:sz w:val="13"/>
                <w:szCs w:val="13"/>
                <w:color w:val="auto"/>
              </w:rPr>
            </w:pPr>
          </w:p>
        </w:tc>
      </w:tr>
    </w:tbl>
    <w:p>
      <w:pPr>
        <w:spacing w:after="0" w:line="160" w:lineRule="exact"/>
        <w:rPr>
          <w:sz w:val="20"/>
          <w:szCs w:val="20"/>
          <w:color w:val="auto"/>
        </w:rPr>
      </w:pPr>
    </w:p>
    <w:p>
      <w:pPr>
        <w:jc w:val="both"/>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summarizes information relating to options granted and exercised during the years ended December 31, 2022, 2021 and 2020 (in thousands, except fair value of options granted data):</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50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r>
      <w:tr>
        <w:trPr>
          <w:trHeight w:val="133"/>
        </w:trPr>
        <w:tc>
          <w:tcPr>
            <w:tcW w:w="5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Aggregate intrinsic value of options exercised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ind w:left="3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r>
      <w:tr>
        <w:trPr>
          <w:trHeight w:val="155"/>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Cash proceeds received upon exercise of options</w:t>
            </w:r>
          </w:p>
        </w:tc>
        <w:tc>
          <w:tcPr>
            <w:tcW w:w="100" w:type="dxa"/>
            <w:vAlign w:val="bottom"/>
          </w:tcPr>
          <w:p>
            <w:pPr>
              <w:spacing w:after="0"/>
              <w:rPr>
                <w:sz w:val="13"/>
                <w:szCs w:val="13"/>
                <w:color w:val="auto"/>
              </w:rPr>
            </w:pP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r>
    </w:tbl>
    <w:p>
      <w:pPr>
        <w:spacing w:after="0" w:line="149"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aggregate intrinsic value represents the total pre-tax intrinsic value (the difference between the Company’s closing Common Stock price on December 31st and the exercise price, multiplied by the number of the in-the-money stock options) that would have been received by the stock option holders had all stock options holders exercised their stock options on December 31st. The amount of aggregate intrinsic value will change based on the fair market value of the Company’s Common Stock.</w:t>
      </w:r>
    </w:p>
    <w:p>
      <w:pPr>
        <w:spacing w:after="0" w:line="13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Company has not granted any options since 2017. The Company did not recognize any compensation expense during the three years ended December 31, 2022 related to granted options.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Restricted stock issued under the 2008 Equity Investment Plan vests over four years.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summarizes restricted stock activity during the year ended December 31, 2022 and 2021:</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Weighted Avg.</w:t>
            </w:r>
          </w:p>
        </w:tc>
      </w:tr>
      <w:tr>
        <w:trPr>
          <w:trHeight w:val="125"/>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r>
      <w:tr>
        <w:trPr>
          <w:trHeight w:val="133"/>
        </w:trPr>
        <w:tc>
          <w:tcPr>
            <w:tcW w:w="5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2022</w:t>
            </w:r>
          </w:p>
        </w:tc>
        <w:tc>
          <w:tcPr>
            <w:tcW w:w="7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228,068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51.05</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152,430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38.59</w:t>
            </w:r>
          </w:p>
        </w:tc>
        <w:tc>
          <w:tcPr>
            <w:tcW w:w="40" w:type="dxa"/>
            <w:vAlign w:val="bottom"/>
          </w:tcPr>
          <w:p>
            <w:pPr>
              <w:spacing w:after="0"/>
              <w:rPr>
                <w:sz w:val="12"/>
                <w:szCs w:val="12"/>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46.52</w:t>
            </w:r>
          </w:p>
        </w:tc>
        <w:tc>
          <w:tcPr>
            <w:tcW w:w="40" w:type="dxa"/>
            <w:vAlign w:val="bottom"/>
            <w:shd w:val="clear" w:color="auto" w:fill="CCEEFF"/>
          </w:tcPr>
          <w:p>
            <w:pPr>
              <w:spacing w:after="0"/>
              <w:rPr>
                <w:sz w:val="12"/>
                <w:szCs w:val="12"/>
                <w:color w:val="auto"/>
              </w:rPr>
            </w:pPr>
          </w:p>
        </w:tc>
      </w:tr>
      <w:tr>
        <w:trPr>
          <w:trHeight w:val="144"/>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(107,515)</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40" w:type="dxa"/>
            <w:vAlign w:val="bottom"/>
            <w:tcBorders>
              <w:bottom w:val="single" w:sz="8" w:color="CCEEFF"/>
            </w:tcBorders>
          </w:tcPr>
          <w:p>
            <w:pPr>
              <w:spacing w:after="0"/>
              <w:rPr>
                <w:sz w:val="12"/>
                <w:szCs w:val="12"/>
                <w:color w:val="auto"/>
              </w:rPr>
            </w:pPr>
          </w:p>
        </w:tc>
      </w:tr>
      <w:tr>
        <w:trPr>
          <w:trHeight w:val="140"/>
        </w:trPr>
        <w:tc>
          <w:tcPr>
            <w:tcW w:w="53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2022</w:t>
            </w:r>
          </w:p>
        </w:tc>
        <w:tc>
          <w:tcPr>
            <w:tcW w:w="7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260,497</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43.86</w:t>
            </w:r>
          </w:p>
        </w:tc>
        <w:tc>
          <w:tcPr>
            <w:tcW w:w="40" w:type="dxa"/>
            <w:vAlign w:val="bottom"/>
            <w:tcBorders>
              <w:bottom w:val="single" w:sz="8" w:color="CCEEFF"/>
            </w:tcBorders>
            <w:shd w:val="clear" w:color="auto" w:fill="CCEEFF"/>
          </w:tcPr>
          <w:p>
            <w:pPr>
              <w:spacing w:after="0"/>
              <w:rPr>
                <w:sz w:val="12"/>
                <w:szCs w:val="12"/>
                <w:color w:val="auto"/>
              </w:rPr>
            </w:pPr>
          </w:p>
        </w:tc>
      </w:tr>
      <w:tr>
        <w:trPr>
          <w:trHeight w:val="442"/>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Weighted Avg.</w:t>
            </w:r>
          </w:p>
        </w:tc>
      </w:tr>
      <w:tr>
        <w:trPr>
          <w:trHeight w:val="125"/>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r>
      <w:tr>
        <w:trPr>
          <w:trHeight w:val="133"/>
        </w:trPr>
        <w:tc>
          <w:tcPr>
            <w:tcW w:w="5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2021</w:t>
            </w: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223,623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54.42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117,794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48.76</w:t>
            </w:r>
          </w:p>
        </w:tc>
        <w:tc>
          <w:tcPr>
            <w:tcW w:w="40" w:type="dxa"/>
            <w:vAlign w:val="bottom"/>
          </w:tcPr>
          <w:p>
            <w:pPr>
              <w:spacing w:after="0"/>
              <w:rPr>
                <w:sz w:val="12"/>
                <w:szCs w:val="12"/>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40" w:type="dxa"/>
            <w:vAlign w:val="bottom"/>
            <w:shd w:val="clear" w:color="auto" w:fill="CCEEFF"/>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(99,136)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55.95</w:t>
            </w:r>
          </w:p>
        </w:tc>
        <w:tc>
          <w:tcPr>
            <w:tcW w:w="40" w:type="dxa"/>
            <w:vAlign w:val="bottom"/>
          </w:tcPr>
          <w:p>
            <w:pPr>
              <w:spacing w:after="0"/>
              <w:rPr>
                <w:sz w:val="12"/>
                <w:szCs w:val="12"/>
                <w:color w:val="auto"/>
              </w:rPr>
            </w:pPr>
          </w:p>
        </w:tc>
      </w:tr>
      <w:tr>
        <w:trPr>
          <w:trHeight w:val="140"/>
        </w:trPr>
        <w:tc>
          <w:tcPr>
            <w:tcW w:w="5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228,068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51.05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grant of restricted shares, the Company recognized $6.8 million, $5.4 million and $5.6 million of compensation expense within its income statements for the years ended December 31, 2022, 2021, and 2020, respectively. The Company recognized $0.6 million, $0.4 million and $0.3 million of compensation expense within its income statement for the years ended December 31, 2022, 2021, and 2020, respectively, for shares of the Company’s subsidiaries granted to the management team of those subsidiaries.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unvested shares as of December 31, 2022 represent $7.9 million in unamortized stock based compensation which will be recognized over a weighted average period of 2.5</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years.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Performance Based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Performance stock, issued under the 2008 Equity Investment Plan, vests on the third anniversary of the grant date.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summarizes performance stock activity during the year ended December 31, 2022 and 2021:</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25"/>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4"/>
              </w:rPr>
              <w:t>Weighted Avg.</w:t>
            </w:r>
          </w:p>
        </w:tc>
        <w:tc>
          <w:tcPr>
            <w:tcW w:w="20" w:type="dxa"/>
            <w:vAlign w:val="bottom"/>
          </w:tcPr>
          <w:p>
            <w:pPr>
              <w:spacing w:after="0"/>
              <w:rPr>
                <w:sz w:val="10"/>
                <w:szCs w:val="10"/>
                <w:color w:val="auto"/>
              </w:rPr>
            </w:pPr>
          </w:p>
        </w:tc>
      </w:tr>
      <w:tr>
        <w:trPr>
          <w:trHeight w:val="125"/>
        </w:trPr>
        <w:tc>
          <w:tcPr>
            <w:tcW w:w="52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20" w:type="dxa"/>
            <w:vAlign w:val="bottom"/>
          </w:tcPr>
          <w:p>
            <w:pPr>
              <w:spacing w:after="0"/>
              <w:rPr>
                <w:sz w:val="10"/>
                <w:szCs w:val="10"/>
                <w:color w:val="auto"/>
              </w:rPr>
            </w:pPr>
          </w:p>
        </w:tc>
      </w:tr>
      <w:tr>
        <w:trPr>
          <w:trHeight w:val="133"/>
        </w:trPr>
        <w:tc>
          <w:tcPr>
            <w:tcW w:w="5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2022</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59.77</w:t>
            </w:r>
          </w:p>
        </w:tc>
        <w:tc>
          <w:tcPr>
            <w:tcW w:w="20" w:type="dxa"/>
            <w:vAlign w:val="bottom"/>
          </w:tcPr>
          <w:p>
            <w:pPr>
              <w:spacing w:after="0"/>
              <w:rPr>
                <w:sz w:val="11"/>
                <w:szCs w:val="11"/>
                <w:color w:val="auto"/>
              </w:rPr>
            </w:pPr>
          </w:p>
        </w:tc>
      </w:tr>
      <w:tr>
        <w:trPr>
          <w:trHeight w:val="144"/>
        </w:trPr>
        <w:tc>
          <w:tcPr>
            <w:tcW w:w="5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47.03</w:t>
            </w:r>
          </w:p>
        </w:tc>
        <w:tc>
          <w:tcPr>
            <w:tcW w:w="20" w:type="dxa"/>
            <w:vAlign w:val="bottom"/>
          </w:tcPr>
          <w:p>
            <w:pPr>
              <w:spacing w:after="0"/>
              <w:rPr>
                <w:sz w:val="12"/>
                <w:szCs w:val="12"/>
                <w:color w:val="auto"/>
              </w:rPr>
            </w:pPr>
          </w:p>
        </w:tc>
      </w:tr>
      <w:tr>
        <w:trPr>
          <w:trHeight w:val="144"/>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530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2022</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99,450</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52.54</w:t>
            </w:r>
          </w:p>
        </w:tc>
        <w:tc>
          <w:tcPr>
            <w:tcW w:w="20" w:type="dxa"/>
            <w:vAlign w:val="bottom"/>
          </w:tcPr>
          <w:p>
            <w:pPr>
              <w:spacing w:after="0"/>
              <w:rPr>
                <w:sz w:val="12"/>
                <w:szCs w:val="12"/>
                <w:color w:val="auto"/>
              </w:rPr>
            </w:pPr>
          </w:p>
        </w:tc>
      </w:tr>
      <w:tr>
        <w:trPr>
          <w:trHeight w:val="442"/>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1"/>
              </w:rPr>
              <w:t>Weighted Avg.</w:t>
            </w:r>
          </w:p>
        </w:tc>
        <w:tc>
          <w:tcPr>
            <w:tcW w:w="20" w:type="dxa"/>
            <w:vAlign w:val="bottom"/>
          </w:tcPr>
          <w:p>
            <w:pPr>
              <w:spacing w:after="0"/>
              <w:rPr>
                <w:sz w:val="24"/>
                <w:szCs w:val="24"/>
                <w:color w:val="auto"/>
              </w:rPr>
            </w:pPr>
          </w:p>
        </w:tc>
      </w:tr>
      <w:tr>
        <w:trPr>
          <w:trHeight w:val="125"/>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20" w:type="dxa"/>
            <w:vAlign w:val="bottom"/>
          </w:tcPr>
          <w:p>
            <w:pPr>
              <w:spacing w:after="0"/>
              <w:rPr>
                <w:sz w:val="10"/>
                <w:szCs w:val="10"/>
                <w:color w:val="auto"/>
              </w:rPr>
            </w:pPr>
          </w:p>
        </w:tc>
      </w:tr>
      <w:tr>
        <w:trPr>
          <w:trHeight w:val="133"/>
        </w:trPr>
        <w:tc>
          <w:tcPr>
            <w:tcW w:w="5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2021</w:t>
            </w:r>
          </w:p>
        </w:tc>
        <w:tc>
          <w:tcPr>
            <w:tcW w:w="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shd w:val="clear" w:color="auto" w:fill="CCEEFF"/>
          </w:tcPr>
          <w:p>
            <w:pPr>
              <w:spacing w:after="0"/>
              <w:rPr>
                <w:sz w:val="11"/>
                <w:szCs w:val="11"/>
                <w:color w:val="auto"/>
              </w:rPr>
            </w:pPr>
          </w:p>
        </w:tc>
      </w:tr>
      <w:tr>
        <w:trPr>
          <w:trHeight w:val="144"/>
        </w:trPr>
        <w:tc>
          <w:tcPr>
            <w:tcW w:w="5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59.77</w:t>
            </w:r>
          </w:p>
        </w:tc>
        <w:tc>
          <w:tcPr>
            <w:tcW w:w="20" w:type="dxa"/>
            <w:vAlign w:val="bottom"/>
          </w:tcPr>
          <w:p>
            <w:pPr>
              <w:spacing w:after="0"/>
              <w:rPr>
                <w:sz w:val="12"/>
                <w:szCs w:val="12"/>
                <w:color w:val="auto"/>
              </w:rPr>
            </w:pPr>
          </w:p>
        </w:tc>
      </w:tr>
      <w:tr>
        <w:trPr>
          <w:trHeight w:val="144"/>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r>
      <w:tr>
        <w:trPr>
          <w:trHeight w:val="144"/>
        </w:trPr>
        <w:tc>
          <w:tcPr>
            <w:tcW w:w="5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52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43,000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59.77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bl>
    <w:p>
      <w:pPr>
        <w:spacing w:after="0" w:line="160" w:lineRule="exact"/>
        <w:rPr>
          <w:sz w:val="20"/>
          <w:szCs w:val="20"/>
          <w:color w:val="auto"/>
        </w:rPr>
      </w:pPr>
    </w:p>
    <w:p>
      <w:pPr>
        <w:jc w:val="both"/>
        <w:ind w:left="20" w:right="99" w:firstLine="432"/>
        <w:spacing w:after="0" w:line="327" w:lineRule="auto"/>
        <w:rPr>
          <w:sz w:val="20"/>
          <w:szCs w:val="20"/>
          <w:color w:val="auto"/>
        </w:rPr>
      </w:pPr>
      <w:r>
        <w:rPr>
          <w:rFonts w:ascii="Times New Roman" w:cs="Times New Roman" w:eastAsia="Times New Roman" w:hAnsi="Times New Roman"/>
          <w:sz w:val="11"/>
          <w:szCs w:val="11"/>
          <w:color w:val="auto"/>
        </w:rPr>
        <w:t>During the year ended December 31, 2022, 2021 and 2020, the Company recognized $1.5 million, $0.7 million and zero compensation expense, respectively. All 99,450 shares remained unvested as of December 31, 2022 and represent $3.0 million in unamortized stock based compensation as of that date which will be recognized ratably over the next 1.9 years.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income before income taxes for the years ended December 31, 2022, 2021 and 2020 are as follows (in thousands):</w:t>
      </w:r>
    </w:p>
    <w:p>
      <w:pPr>
        <w:spacing w:after="0" w:line="45"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44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CCEEFF"/>
            </w:tcBorders>
          </w:tcPr>
          <w:p>
            <w:pPr>
              <w:spacing w:after="0"/>
              <w:rPr>
                <w:sz w:val="10"/>
                <w:szCs w:val="10"/>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Domestic</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(37,777)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(38,407)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(17,689)</w:t>
            </w:r>
          </w:p>
        </w:tc>
        <w:tc>
          <w:tcPr>
            <w:tcW w:w="20" w:type="dxa"/>
            <w:vAlign w:val="bottom"/>
            <w:shd w:val="clear" w:color="auto" w:fill="CCEEFF"/>
          </w:tcPr>
          <w:p>
            <w:pPr>
              <w:spacing w:after="0"/>
              <w:rPr>
                <w:sz w:val="11"/>
                <w:szCs w:val="11"/>
                <w:color w:val="auto"/>
              </w:rPr>
            </w:pPr>
          </w:p>
        </w:tc>
      </w:tr>
      <w:tr>
        <w:trPr>
          <w:trHeight w:val="144"/>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Foreign</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29,721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17,782</w:t>
            </w:r>
          </w:p>
        </w:tc>
        <w:tc>
          <w:tcPr>
            <w:tcW w:w="20" w:type="dxa"/>
            <w:vAlign w:val="bottom"/>
            <w:tcBorders>
              <w:bottom w:val="single" w:sz="8" w:color="CCEEFF"/>
            </w:tcBorders>
          </w:tcPr>
          <w:p>
            <w:pPr>
              <w:spacing w:after="0"/>
              <w:rPr>
                <w:sz w:val="12"/>
                <w:szCs w:val="12"/>
                <w:color w:val="auto"/>
              </w:rPr>
            </w:pPr>
          </w:p>
        </w:tc>
      </w:tr>
      <w:tr>
        <w:trPr>
          <w:trHeight w:val="140"/>
        </w:trPr>
        <w:tc>
          <w:tcPr>
            <w:tcW w:w="440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(8,056)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(22,687)</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2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The following is a reconciliation from the tax computed at statutory income tax rates to the Company’s income tax expense for the years ended December 31, 2022, 2021 and 2020 (in thousands):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3060" w:type="dxa"/>
            <w:vAlign w:val="bottom"/>
            <w:tcBorders>
              <w:bottom w:val="single" w:sz="8" w:color="CCEEFF"/>
            </w:tcBorders>
          </w:tcPr>
          <w:p>
            <w:pPr>
              <w:spacing w:after="0"/>
              <w:rPr>
                <w:sz w:val="10"/>
                <w:szCs w:val="10"/>
                <w:color w:val="auto"/>
              </w:rPr>
            </w:pPr>
          </w:p>
        </w:tc>
        <w:tc>
          <w:tcPr>
            <w:tcW w:w="18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860" w:type="dxa"/>
            <w:vAlign w:val="bottom"/>
          </w:tcPr>
          <w:p>
            <w:pPr>
              <w:spacing w:after="0"/>
              <w:rPr>
                <w:sz w:val="10"/>
                <w:szCs w:val="10"/>
                <w:color w:val="auto"/>
              </w:rPr>
            </w:pPr>
          </w:p>
        </w:tc>
      </w:tr>
      <w:tr>
        <w:trPr>
          <w:trHeight w:val="133"/>
        </w:trPr>
        <w:tc>
          <w:tcPr>
            <w:tcW w:w="860" w:type="dxa"/>
            <w:vAlign w:val="bottom"/>
          </w:tcPr>
          <w:p>
            <w:pPr>
              <w:spacing w:after="0"/>
              <w:rPr>
                <w:sz w:val="11"/>
                <w:szCs w:val="11"/>
                <w:color w:val="auto"/>
              </w:rPr>
            </w:pPr>
          </w:p>
        </w:tc>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Tax computed at statutory US federal income tax rates</w:t>
            </w: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(1,681)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(4,760)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CEEFF"/>
            </w:tcBorders>
            <w:shd w:val="clear" w:color="auto" w:fill="CCEEFF"/>
          </w:tcPr>
          <w:p>
            <w:pPr>
              <w:jc w:val="right"/>
              <w:ind w:right="21"/>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860" w:type="dxa"/>
            <w:vAlign w:val="bottom"/>
          </w:tcPr>
          <w:p>
            <w:pPr>
              <w:spacing w:after="0"/>
              <w:rPr>
                <w:sz w:val="11"/>
                <w:szCs w:val="11"/>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tax rate differential</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(6,525)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1,866</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Over (under) provided in prior periods</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Nondeductible expenses</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2,111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1,098</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Benefit Attributable CARES Act</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(3,064)</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transactions costs</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Change in tax reserves</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4,052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2,148</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(1,126)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2,117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33</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Tax Credit</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84</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406</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revaluation</w:t>
            </w:r>
          </w:p>
        </w:tc>
        <w:tc>
          <w:tcPr>
            <w:tcW w:w="18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(742)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60" w:type="dxa"/>
            <w:vAlign w:val="bottom"/>
          </w:tcPr>
          <w:p>
            <w:pPr>
              <w:spacing w:after="0"/>
              <w:rPr>
                <w:sz w:val="12"/>
                <w:szCs w:val="12"/>
                <w:color w:val="auto"/>
              </w:rPr>
            </w:pPr>
          </w:p>
        </w:tc>
      </w:tr>
      <w:tr>
        <w:trPr>
          <w:trHeight w:val="140"/>
        </w:trPr>
        <w:tc>
          <w:tcPr>
            <w:tcW w:w="3920" w:type="dxa"/>
            <w:vAlign w:val="bottom"/>
            <w:gridSpan w:val="2"/>
          </w:tcPr>
          <w:p>
            <w:pPr>
              <w:ind w:left="860"/>
              <w:spacing w:after="0" w:line="133" w:lineRule="exact"/>
              <w:rPr>
                <w:sz w:val="20"/>
                <w:szCs w:val="20"/>
                <w:color w:val="auto"/>
              </w:rPr>
            </w:pPr>
            <w:r>
              <w:rPr>
                <w:rFonts w:ascii="Times New Roman" w:cs="Times New Roman" w:eastAsia="Times New Roman" w:hAnsi="Times New Roman"/>
                <w:sz w:val="12"/>
                <w:szCs w:val="12"/>
                <w:color w:val="auto"/>
              </w:rPr>
              <w:t>Total Income Tax Expense</w:t>
            </w:r>
          </w:p>
        </w:tc>
        <w:tc>
          <w:tcPr>
            <w:tcW w:w="186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(473)</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(1,878)</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21"/>
              <w:spacing w:after="0" w:line="133" w:lineRule="exact"/>
              <w:rPr>
                <w:sz w:val="20"/>
                <w:szCs w:val="20"/>
                <w:color w:val="auto"/>
              </w:rPr>
            </w:pPr>
            <w:r>
              <w:rPr>
                <w:rFonts w:ascii="Times New Roman" w:cs="Times New Roman" w:eastAsia="Times New Roman" w:hAnsi="Times New Roman"/>
                <w:sz w:val="12"/>
                <w:szCs w:val="12"/>
                <w:color w:val="auto"/>
              </w:rPr>
              <w:t>801</w:t>
            </w:r>
          </w:p>
        </w:tc>
        <w:tc>
          <w:tcPr>
            <w:tcW w:w="860" w:type="dxa"/>
            <w:vAlign w:val="bottom"/>
          </w:tcPr>
          <w:p>
            <w:pPr>
              <w:spacing w:after="0"/>
              <w:rPr>
                <w:sz w:val="12"/>
                <w:szCs w:val="12"/>
                <w:color w:val="auto"/>
              </w:rPr>
            </w:pPr>
          </w:p>
        </w:tc>
      </w:tr>
      <w:tr>
        <w:trPr>
          <w:trHeight w:val="576"/>
        </w:trPr>
        <w:tc>
          <w:tcPr>
            <w:tcW w:w="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80" w:type="dxa"/>
            <w:vAlign w:val="bottom"/>
            <w:gridSpan w:val="2"/>
          </w:tcPr>
          <w:p>
            <w:pPr>
              <w:jc w:val="right"/>
              <w:ind w:right="1246"/>
              <w:spacing w:after="0"/>
              <w:rPr>
                <w:sz w:val="20"/>
                <w:szCs w:val="20"/>
                <w:color w:val="auto"/>
              </w:rPr>
            </w:pPr>
            <w:r>
              <w:rPr>
                <w:rFonts w:ascii="Times New Roman" w:cs="Times New Roman" w:eastAsia="Times New Roman" w:hAnsi="Times New Roman"/>
                <w:sz w:val="12"/>
                <w:szCs w:val="12"/>
                <w:color w:val="auto"/>
              </w:rPr>
              <w:t>F-51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income tax expense (benefit) for the years ended December 31, 2022, 2021 and 2020 are as follows (in thousands):</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4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CCEEFF"/>
            </w:tcBorders>
          </w:tcPr>
          <w:p>
            <w:pPr>
              <w:spacing w:after="0"/>
              <w:rPr>
                <w:sz w:val="10"/>
                <w:szCs w:val="10"/>
                <w:color w:val="auto"/>
              </w:rPr>
            </w:pP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58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4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1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20" w:type="dxa"/>
            <w:vAlign w:val="bottom"/>
          </w:tcPr>
          <w:p>
            <w:pPr>
              <w:spacing w:after="0"/>
              <w:rPr>
                <w:sz w:val="12"/>
                <w:szCs w:val="12"/>
                <w:color w:val="auto"/>
              </w:rPr>
            </w:pP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2"/>
                <w:szCs w:val="12"/>
                <w:color w:val="auto"/>
              </w:rPr>
            </w:pPr>
          </w:p>
        </w:tc>
      </w:tr>
      <w:tr>
        <w:trPr>
          <w:trHeight w:val="144"/>
        </w:trPr>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7,611</w:t>
            </w:r>
          </w:p>
        </w:tc>
        <w:tc>
          <w:tcPr>
            <w:tcW w:w="20" w:type="dxa"/>
            <w:vAlign w:val="bottom"/>
            <w:tcBorders>
              <w:bottom w:val="single" w:sz="8" w:color="CCEEFF"/>
            </w:tcBorders>
          </w:tcPr>
          <w:p>
            <w:pPr>
              <w:spacing w:after="0"/>
              <w:rPr>
                <w:sz w:val="12"/>
                <w:szCs w:val="12"/>
                <w:color w:val="auto"/>
              </w:rPr>
            </w:pPr>
          </w:p>
        </w:tc>
      </w:tr>
      <w:tr>
        <w:trPr>
          <w:trHeight w:val="133"/>
        </w:trPr>
        <w:tc>
          <w:tcPr>
            <w:tcW w:w="4480" w:type="dxa"/>
            <w:vAlign w:val="bottom"/>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 current income tax expense</w:t>
            </w:r>
          </w:p>
        </w:tc>
        <w:tc>
          <w:tcPr>
            <w:tcW w:w="580" w:type="dxa"/>
            <w:vAlign w:val="bottom"/>
            <w:tcBorders>
              <w:bottom w:val="single" w:sz="8" w:color="auto"/>
            </w:tcBorders>
            <w:shd w:val="clear" w:color="auto" w:fill="CCEEFF"/>
          </w:tcPr>
          <w:p>
            <w:pPr>
              <w:jc w:val="right"/>
              <w:ind w:right="442"/>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6,979</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4,734</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8,118</w:t>
            </w:r>
          </w:p>
        </w:tc>
        <w:tc>
          <w:tcPr>
            <w:tcW w:w="20" w:type="dxa"/>
            <w:vAlign w:val="bottom"/>
            <w:shd w:val="clear" w:color="auto" w:fill="CCEEFF"/>
          </w:tcPr>
          <w:p>
            <w:pPr>
              <w:spacing w:after="0"/>
              <w:rPr>
                <w:sz w:val="11"/>
                <w:szCs w:val="11"/>
                <w:color w:val="auto"/>
              </w:rPr>
            </w:pPr>
          </w:p>
        </w:tc>
      </w:tr>
      <w:tr>
        <w:trPr>
          <w:trHeight w:val="133"/>
        </w:trPr>
        <w:tc>
          <w:tcPr>
            <w:tcW w:w="4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58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(4,527)</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(5,800)</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(6,527)</w:t>
            </w: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5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7"/>
              </w:rPr>
              <w:t>(1,895)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(1,402)</w:t>
            </w:r>
          </w:p>
        </w:tc>
        <w:tc>
          <w:tcPr>
            <w:tcW w:w="20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(413)</w:t>
            </w: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(1,030)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(377)</w:t>
            </w:r>
          </w:p>
        </w:tc>
      </w:tr>
      <w:tr>
        <w:trPr>
          <w:trHeight w:val="133"/>
        </w:trPr>
        <w:tc>
          <w:tcPr>
            <w:tcW w:w="4480" w:type="dxa"/>
            <w:vAlign w:val="bottom"/>
            <w:tcBorders>
              <w:bottom w:val="single" w:sz="8" w:color="CCEEFF"/>
            </w:tcBorders>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 deferred income tax expense (benefit)</w:t>
            </w:r>
          </w:p>
        </w:tc>
        <w:tc>
          <w:tcPr>
            <w:tcW w:w="580" w:type="dxa"/>
            <w:vAlign w:val="bottom"/>
            <w:tcBorders>
              <w:top w:val="single" w:sz="8" w:color="auto"/>
              <w:bottom w:val="single" w:sz="8" w:color="auto"/>
            </w:tcBorders>
          </w:tcPr>
          <w:p>
            <w:pPr>
              <w:jc w:val="right"/>
              <w:ind w:right="40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(7,452)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(6,612)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(7,317)</w:t>
            </w:r>
          </w:p>
        </w:tc>
        <w:tc>
          <w:tcPr>
            <w:tcW w:w="20" w:type="dxa"/>
            <w:vAlign w:val="bottom"/>
            <w:tcBorders>
              <w:bottom w:val="single" w:sz="8" w:color="CCEEFF"/>
            </w:tcBorders>
          </w:tcPr>
          <w:p>
            <w:pPr>
              <w:spacing w:after="0"/>
              <w:rPr>
                <w:sz w:val="11"/>
                <w:szCs w:val="11"/>
                <w:color w:val="auto"/>
              </w:rPr>
            </w:pP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Consolidated:</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58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7"/>
              </w:rPr>
              <w:t>(4,225)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(5,340)</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(6,023)</w:t>
            </w: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(1,875)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(1,400)</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(410)</w:t>
            </w:r>
          </w:p>
        </w:tc>
      </w:tr>
      <w:tr>
        <w:trPr>
          <w:trHeight w:val="144"/>
        </w:trPr>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5,627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7,234</w:t>
            </w:r>
          </w:p>
        </w:tc>
        <w:tc>
          <w:tcPr>
            <w:tcW w:w="20" w:type="dxa"/>
            <w:vAlign w:val="bottom"/>
            <w:tcBorders>
              <w:bottom w:val="single" w:sz="8" w:color="CCEEFF"/>
            </w:tcBorders>
          </w:tcPr>
          <w:p>
            <w:pPr>
              <w:spacing w:after="0"/>
              <w:rPr>
                <w:sz w:val="12"/>
                <w:szCs w:val="12"/>
                <w:color w:val="auto"/>
              </w:rPr>
            </w:pPr>
          </w:p>
        </w:tc>
      </w:tr>
      <w:tr>
        <w:trPr>
          <w:trHeight w:val="140"/>
        </w:trPr>
        <w:tc>
          <w:tcPr>
            <w:tcW w:w="4480" w:type="dxa"/>
            <w:vAlign w:val="bottom"/>
            <w:tcBorders>
              <w:bottom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income tax expense (benefit)</w:t>
            </w:r>
          </w:p>
        </w:tc>
        <w:tc>
          <w:tcPr>
            <w:tcW w:w="580" w:type="dxa"/>
            <w:vAlign w:val="bottom"/>
            <w:tcBorders>
              <w:bottom w:val="single" w:sz="8" w:color="auto"/>
            </w:tcBorders>
            <w:shd w:val="clear" w:color="auto" w:fill="CCEEFF"/>
          </w:tcPr>
          <w:p>
            <w:pPr>
              <w:jc w:val="right"/>
              <w:ind w:right="442"/>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(1,878)</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801</w:t>
            </w:r>
          </w:p>
        </w:tc>
        <w:tc>
          <w:tcPr>
            <w:tcW w:w="2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significant components of deferred tax assets and liabilities are as follows as of December 31, 2022 and 2021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tcBorders>
              <w:bottom w:val="single" w:sz="8" w:color="CCEEFF"/>
            </w:tcBorders>
          </w:tcPr>
          <w:p>
            <w:pPr>
              <w:spacing w:after="0"/>
              <w:rPr>
                <w:sz w:val="10"/>
                <w:szCs w:val="10"/>
                <w:color w:val="auto"/>
              </w:rPr>
            </w:pPr>
          </w:p>
        </w:tc>
        <w:tc>
          <w:tcPr>
            <w:tcW w:w="14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and inventory allowances</w:t>
            </w:r>
          </w:p>
        </w:tc>
        <w:tc>
          <w:tcPr>
            <w:tcW w:w="158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Basis in investments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Employee benefits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operating losses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1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24,451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31,207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deferred tax asset</w:t>
            </w:r>
          </w:p>
        </w:tc>
        <w:tc>
          <w:tcPr>
            <w:tcW w:w="14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146,284</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129,508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Acquired intangible assets, property and equipment</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106,529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Right-of-use asset</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27,796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w:t>
            </w:r>
          </w:p>
        </w:tc>
        <w:tc>
          <w:tcPr>
            <w:tcW w:w="1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4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134,522</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113,579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Valuation allowance</w:t>
            </w:r>
          </w:p>
        </w:tc>
        <w:tc>
          <w:tcPr>
            <w:tcW w:w="14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(35,759)</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(33,642)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deferred tax liabilities</w:t>
            </w:r>
          </w:p>
        </w:tc>
        <w:tc>
          <w:tcPr>
            <w:tcW w:w="1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(23,997)</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(17,713)</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Deferred tax assets and liabilities are reflected in the accompanying consolidated balance sheets as follows (in thousands):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42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33"/>
        </w:trPr>
        <w:tc>
          <w:tcPr>
            <w:tcW w:w="3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1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4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 term</w:t>
            </w:r>
          </w:p>
        </w:tc>
        <w:tc>
          <w:tcPr>
            <w:tcW w:w="2100" w:type="dxa"/>
            <w:vAlign w:val="bottom"/>
            <w:gridSpan w:val="2"/>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4,653</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3,747</w:t>
            </w:r>
          </w:p>
        </w:tc>
        <w:tc>
          <w:tcPr>
            <w:tcW w:w="4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deferred tax asset</w:t>
            </w:r>
          </w:p>
        </w:tc>
        <w:tc>
          <w:tcPr>
            <w:tcW w:w="19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3,747</w:t>
            </w:r>
          </w:p>
        </w:tc>
        <w:tc>
          <w:tcPr>
            <w:tcW w:w="40" w:type="dxa"/>
            <w:vAlign w:val="bottom"/>
            <w:tcBorders>
              <w:top w:val="single" w:sz="8" w:color="CCEEFF"/>
            </w:tcBorders>
            <w:shd w:val="clear" w:color="auto" w:fill="CCEEFF"/>
          </w:tcPr>
          <w:p>
            <w:pPr>
              <w:spacing w:after="0"/>
              <w:rPr>
                <w:sz w:val="11"/>
                <w:szCs w:val="11"/>
                <w:color w:val="auto"/>
              </w:rPr>
            </w:pPr>
          </w:p>
        </w:tc>
      </w:tr>
      <w:tr>
        <w:trPr>
          <w:trHeight w:val="205"/>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4"/>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Long term</w:t>
            </w:r>
          </w:p>
        </w:tc>
        <w:tc>
          <w:tcPr>
            <w:tcW w:w="21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(28,650)</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(21,460)</w:t>
            </w:r>
          </w:p>
        </w:tc>
        <w:tc>
          <w:tcPr>
            <w:tcW w:w="40" w:type="dxa"/>
            <w:vAlign w:val="bottom"/>
            <w:shd w:val="clear" w:color="auto" w:fill="CCEEFF"/>
          </w:tcPr>
          <w:p>
            <w:pPr>
              <w:spacing w:after="0"/>
              <w:rPr>
                <w:sz w:val="12"/>
                <w:szCs w:val="12"/>
                <w:color w:val="auto"/>
              </w:rPr>
            </w:pPr>
          </w:p>
        </w:tc>
      </w:tr>
      <w:tr>
        <w:trPr>
          <w:trHeight w:val="133"/>
        </w:trPr>
        <w:tc>
          <w:tcPr>
            <w:tcW w:w="34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deferred tax liabilities</w:t>
            </w:r>
          </w:p>
        </w:tc>
        <w:tc>
          <w:tcPr>
            <w:tcW w:w="19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(28,650)</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(21,460)</w:t>
            </w:r>
          </w:p>
        </w:tc>
        <w:tc>
          <w:tcPr>
            <w:tcW w:w="40" w:type="dxa"/>
            <w:vAlign w:val="bottom"/>
            <w:tcBorders>
              <w:bottom w:val="single" w:sz="8" w:color="CCEEFF"/>
            </w:tcBorders>
          </w:tcPr>
          <w:p>
            <w:pPr>
              <w:spacing w:after="0"/>
              <w:rPr>
                <w:sz w:val="11"/>
                <w:szCs w:val="11"/>
                <w:color w:val="auto"/>
              </w:rPr>
            </w:pPr>
          </w:p>
        </w:tc>
      </w:tr>
      <w:tr>
        <w:trPr>
          <w:trHeight w:val="140"/>
        </w:trPr>
        <w:tc>
          <w:tcPr>
            <w:tcW w:w="34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deferred tax liabilities</w:t>
            </w:r>
          </w:p>
        </w:tc>
        <w:tc>
          <w:tcPr>
            <w:tcW w:w="1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(23,997)</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(17,713)</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Company’s effective tax rate for the years ended December 31, 2022 and 2021 was 5.9% and 8.3%, respectively.</w:t>
      </w:r>
    </w:p>
    <w:p>
      <w:pPr>
        <w:spacing w:after="0" w:line="168"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effective tax rate for the year ended December 31, 2022 was primarily impacted by the following items: (i) a $4.1 million net increase of unrecognized tax positions, (ii) a $2.1 million net increase for permanently non-deductible expenses, (iii) a $2.1 million net increase related to valuation allowances placed on certain deferred tax assets and (iv) the mix of income generated among the jurisdictions in which the Company operates along with the exclusion of losses in jurisdictions where valuation allowances have been established for deferred tax assets as required by ASC 740-270-30-36(a).</w:t>
      </w:r>
    </w:p>
    <w:p>
      <w:pPr>
        <w:spacing w:after="0" w:line="149"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The effective tax rate for the year ended December 31, 2021 was primarily impacted by the following items: (i) a $0.9 million provision related to certain transactional charges incurred in connection with acquisitions for which there is no tax benefit, (ii) a $2.5 million net increase of unrecognized tax positions, (iii) a $1.7 million net increase for permanently non-deductible expenses, and (iv) the mix of income generated among the jurisdictions in which the Company operates along with the exclusion of losses in jurisdictions where valuation allowances have been established for deferred tax assets as required by ASC 740-270-30-36(a), primarily in the US Virgin Islands.</w:t>
      </w:r>
    </w:p>
    <w:p>
      <w:pPr>
        <w:spacing w:after="0" w:line="149"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2022, the Company estimated that it generated gross federal, state and foreign net operating loss (“NOL”) carryforwards of $134.6 million, $121.5 million and $126.8 million respectively. Of these, $122.4 million will expire between 2029 and 2042 and $260.5 million may be carried forward indefinitely.</w:t>
      </w:r>
    </w:p>
    <w:p>
      <w:pPr>
        <w:spacing w:after="0" w:line="129"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 assesses available positive and negative evidence to estimate if sufficient future taxable income will be generated to realize the existing deferred tax assets. A significant piece of negative evidence evaluated is cumulative losses incurred in certain reporting jurisdictions over the three-year period ended December 31, 2022. Other negative evidence examined includes, but is not limited to, losses expected in early future years, a history of tax benefits expiring unused, uncertainties whose unfavorable resolution would adversely affect future results, and brief carryback, carry forward periods. On the basis of this evaluation, the Company believed it was more likely than not that the benefit from some of these federal, state, and foreign deferred taxes would not be realized.</w:t>
      </w:r>
    </w:p>
    <w:p>
      <w:pPr>
        <w:spacing w:after="0" w:line="152"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In recognition of this risk at December 31, 2022 the Company has provided a valuation allowance against certain domestic and foreign deferred tax assets of $35.8 million. The valuation allowance primarily relates to foreign net operating losses, with the remaining amount applicable to other net deferred tax assets which the Company does not expect to be able to realize.</w:t>
      </w:r>
    </w:p>
    <w:p>
      <w:pPr>
        <w:spacing w:after="0" w:line="146"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As of December 31, 2022 the Company had an estimated $172.3 million of undistributed earnings attributable to foreign subsidiaries for which no provision for state income taxes or foreign withholding taxes have been made because it is expected that such earnings will be reinvested outside the U.S. indefinitely unless repatriation can be done substantially tax-free. The Company will generally be free of additional U.S. federal tax consequences on distributed foreign subsidiary earnings due to a dividends received deduction implemented as part of the Tax Act for earnings distributed after January 1, 2018. Additionally, due to the one-time transition tax on the deemed repatriation of post-1986 undistributed foreign subsidiary earnings, the majority of previously unremitted earnings have already been subjected to U.S. federal income tax. The Company continues to assert indefinite reinvestment on outside basis differences in our non-U.S. subsidiaries, additionally any determination of the amount of the unrecognized deferred tax</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liability on outside basis differences is not practicable because of the complexity of laws and regulations, the varying tax treatment of alternative repatriation scenarios and the variation due to multiple potential assumptions relating to the timing of any future repatriation.</w:t>
      </w:r>
    </w:p>
    <w:p>
      <w:pPr>
        <w:spacing w:after="0" w:line="138"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had unrecognized tax benefits (including interest and penalty) of $48.6 million as of December 31, 2022, $51.3 million as of December 31, 2021 and $40.8 million as of December 31, 2020. The net increase of the reserve during the year ended December 31, 2022 was attributable to an increase in tax positions for prior periods of $2.3 million, a net increase in tax positions for the current period of $5.1 million, a net decrease in tax positions acquired as part of a business combination of $6.8 million and partially offset by a lapse in statute of a prior year position of $3.3 million.</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5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w w:val="99"/>
              </w:rPr>
              <w:t>The following shows the activity related to unrecognized tax benefits (not including interest and penalty) during the three years ended December 31, 2022 (in thousands):</w:t>
            </w:r>
          </w:p>
        </w:tc>
        <w:tc>
          <w:tcPr>
            <w:tcW w:w="400" w:type="dxa"/>
            <w:vAlign w:val="bottom"/>
          </w:tcPr>
          <w:p>
            <w:pPr>
              <w:spacing w:after="0"/>
              <w:rPr>
                <w:sz w:val="13"/>
                <w:szCs w:val="13"/>
                <w:color w:val="auto"/>
              </w:rPr>
            </w:pP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unrecognized uncertain tax benefits at December 31, 2019</w:t>
            </w:r>
          </w:p>
        </w:tc>
        <w:tc>
          <w:tcPr>
            <w:tcW w:w="4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32,682</w:t>
            </w:r>
          </w:p>
        </w:tc>
      </w:tr>
      <w:tr>
        <w:trPr>
          <w:trHeight w:val="144"/>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2,964</w:t>
            </w:r>
          </w:p>
        </w:tc>
      </w:tr>
      <w:tr>
        <w:trPr>
          <w:trHeight w:val="144"/>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(1,768)</w:t>
            </w:r>
          </w:p>
        </w:tc>
      </w:tr>
      <w:tr>
        <w:trPr>
          <w:trHeight w:val="16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1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2020</w:t>
            </w:r>
          </w:p>
        </w:tc>
        <w:tc>
          <w:tcPr>
            <w:tcW w:w="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33,878</w:t>
            </w:r>
          </w:p>
        </w:tc>
      </w:tr>
      <w:tr>
        <w:trPr>
          <w:trHeight w:val="133"/>
        </w:trPr>
        <w:tc>
          <w:tcPr>
            <w:tcW w:w="8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w:t>
            </w:r>
          </w:p>
        </w:tc>
      </w:tr>
      <w:tr>
        <w:trPr>
          <w:trHeight w:val="144"/>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3,880</w:t>
            </w:r>
          </w:p>
        </w:tc>
      </w:tr>
      <w:tr>
        <w:trPr>
          <w:trHeight w:val="144"/>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acquired as part of a business combination</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8,275</w:t>
            </w:r>
          </w:p>
        </w:tc>
      </w:tr>
      <w:tr>
        <w:trPr>
          <w:trHeight w:val="144"/>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(2,103)</w:t>
            </w:r>
          </w:p>
        </w:tc>
      </w:tr>
      <w:tr>
        <w:trPr>
          <w:trHeight w:val="144"/>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1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2021</w:t>
            </w:r>
          </w:p>
        </w:tc>
        <w:tc>
          <w:tcPr>
            <w:tcW w:w="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43,714</w:t>
            </w:r>
          </w:p>
        </w:tc>
      </w:tr>
      <w:tr>
        <w:trPr>
          <w:trHeight w:val="151"/>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5,080</w:t>
            </w:r>
          </w:p>
        </w:tc>
      </w:tr>
      <w:tr>
        <w:trPr>
          <w:trHeight w:val="16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acquired as part of a business combination</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(6,825)</w:t>
            </w:r>
          </w:p>
        </w:tc>
      </w:tr>
      <w:tr>
        <w:trPr>
          <w:trHeight w:val="162"/>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w:t>
            </w:r>
          </w:p>
        </w:tc>
      </w:tr>
      <w:tr>
        <w:trPr>
          <w:trHeight w:val="16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8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2022</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39,919</w:t>
            </w:r>
          </w:p>
        </w:tc>
      </w:tr>
    </w:tbl>
    <w:p>
      <w:pPr>
        <w:spacing w:after="0" w:line="160"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Company’s accounting policy is to classify interest and penalties related to income tax matters as part of income tax expense. The accrued amounts for interest and penalties are $8.7 million as of December 31, 2022, $7.6 million as of December 31, 2021, and $6.9 million as of December 31, 2020.</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Of the $48.6 million of gross unrecognized uncertain tax benefits (including interest and penalty), $47.1 million, if recognized, would impact the effective tax rate.</w:t>
      </w:r>
    </w:p>
    <w:p>
      <w:pPr>
        <w:spacing w:after="0" w:line="168"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file income tax returns in the US and in various, state and local and foreign jurisdictions. The statute of limitations related to the consolidated US federal income tax return is closed for all tax years up to and including 2017. The expiration of the statute of limitations related to the various state and foreign income tax returns that the Company and subsidiaries file varies by jurisdiction.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1" w:name="page132"/>
    <w:bookmarkEnd w:id="1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RETIREMENT PLANS</w:t>
      </w:r>
    </w:p>
    <w:p>
      <w:pPr>
        <w:spacing w:after="0" w:line="181"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has noncontributory defined benefit pension plans as well as noncontributory postretirement benefit plans offering defined medical, dental, vision, and life benefits for certain of its employees. The Company’s pension and other postretirement benefit plans are closed to new participants and only grandfathered participants continue to accrue additional benefits. Also, in 2020 the Company began the process of winding up one of its benefit plans. The Company reviews the funded status of its pension plans and makes contributions based on that analysis. The benefits are based on the participants’ compensation during their employment and the credited service years earned by participants. The Company funds the other postretirement benefit plans as benefits are paid.</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weighted-average rates assumed in the actuarial calculations for the pension and other postretirement benefit plans are as follows as of December 31, 2022, 2021 and 2020:</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Borders>
              <w:bottom w:val="single" w:sz="8" w:color="CCEEFF"/>
            </w:tcBorders>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6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 – Pension Benefit Obligation</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2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 – Pension Benefit Cost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2.9 %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3.5 %</w:t>
            </w:r>
          </w:p>
        </w:tc>
      </w:tr>
      <w:tr>
        <w:trPr>
          <w:trHeight w:val="144"/>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 – Postretirement Benefit Obligation</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5.4 %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2.5 %</w:t>
            </w:r>
          </w:p>
        </w:tc>
      </w:tr>
      <w:tr>
        <w:trPr>
          <w:trHeight w:val="144"/>
        </w:trPr>
        <w:tc>
          <w:tcPr>
            <w:tcW w:w="2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 – Postretirement Benefit Cost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2.8 %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3.5 %</w:t>
            </w:r>
          </w:p>
        </w:tc>
      </w:tr>
      <w:tr>
        <w:trPr>
          <w:trHeight w:val="144"/>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long-term return on plan assets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5.1 %</w:t>
            </w:r>
          </w:p>
        </w:tc>
      </w:tr>
    </w:tbl>
    <w:p>
      <w:pPr>
        <w:spacing w:after="0" w:line="160"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expected long-term rate of return on plan assets was determined based on several factors including input from pension investment consultants, projected long-term returns of equity and bond indices, and historical returns over the life of the related obligations of the fund. The Company, in conjunction with its pension investment consultants, reviews its asset allocation periodically and rebalances its investments when appropriate in an effort to earn the expected long-term returns. The Company will continue to evaluate its long-term rate of return assumptions at least annually and will adjust them as necessary.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annual salary increase assumption is no longer applicable as the plan participants no longer accrue additional service.</w:t>
      </w:r>
    </w:p>
    <w:p>
      <w:pPr>
        <w:spacing w:after="0" w:line="177"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The discount rate was determined based on a review of market data including yields on high quality corporate bonds with maturities approximating the remaining life of the project benefit obligations.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2" w:name="page133"/>
    <w:bookmarkEnd w:id="1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other postretirement benefit plans healthcare cost trend assumptions is based on health care trend rates. The 2022 assumed medical health care cost trend rate is 8% trending to an ultimate rate of 4% in 2074. The 2022 assumed dental care cost trend rate is 18% trending to an ultimate rate of 4% in 2074.</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Changes during the year in the projected benefit obligations and in the fair value of plan assets are as follows for 2022 and 2021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3"/>
              </w:rPr>
              <w:t>Pension Benefits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Postretirement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6"/>
              </w:rPr>
              <w:t>Pension Benefits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w w:val="97"/>
              </w:rPr>
              <w:t>Postretirement</w:t>
            </w:r>
          </w:p>
        </w:tc>
        <w:tc>
          <w:tcPr>
            <w:tcW w:w="0" w:type="dxa"/>
            <w:vAlign w:val="bottom"/>
          </w:tcPr>
          <w:p>
            <w:pPr>
              <w:spacing w:after="0"/>
              <w:rPr>
                <w:sz w:val="1"/>
                <w:szCs w:val="1"/>
                <w:color w:val="auto"/>
              </w:rPr>
            </w:pPr>
          </w:p>
        </w:tc>
      </w:tr>
      <w:tr>
        <w:trPr>
          <w:trHeight w:val="115"/>
        </w:trPr>
        <w:tc>
          <w:tcPr>
            <w:tcW w:w="33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Projected benefit obligations: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100,624</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88,772</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5,510</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Alaska acquisition</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15,399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Service cost</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cost</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Benefits and settlements paid</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Actuarial (gain) loss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0" w:type="dxa"/>
            <w:vAlign w:val="bottom"/>
          </w:tcPr>
          <w:p>
            <w:pPr>
              <w:spacing w:after="0"/>
              <w:rPr>
                <w:sz w:val="1"/>
                <w:szCs w:val="1"/>
                <w:color w:val="auto"/>
              </w:rPr>
            </w:pPr>
          </w:p>
        </w:tc>
      </w:tr>
      <w:tr>
        <w:trPr>
          <w:trHeight w:val="144"/>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Settlement</w:t>
            </w: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Balance at end of year</w:t>
            </w:r>
          </w:p>
        </w:tc>
        <w:tc>
          <w:tcPr>
            <w:tcW w:w="1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66,175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3,624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100,624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5,343</w:t>
            </w:r>
          </w:p>
        </w:tc>
        <w:tc>
          <w:tcPr>
            <w:tcW w:w="0" w:type="dxa"/>
            <w:vAlign w:val="bottom"/>
          </w:tcPr>
          <w:p>
            <w:pPr>
              <w:spacing w:after="0"/>
              <w:rPr>
                <w:sz w:val="1"/>
                <w:szCs w:val="1"/>
                <w:color w:val="auto"/>
              </w:rPr>
            </w:pPr>
          </w:p>
        </w:tc>
      </w:tr>
      <w:tr>
        <w:trPr>
          <w:trHeight w:val="131"/>
        </w:trPr>
        <w:tc>
          <w:tcPr>
            <w:tcW w:w="33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Plan net assets: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103,718</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89,352</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Alaska acquisition</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7,246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Company contributions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Benefits and settlements paid</w:t>
            </w:r>
          </w:p>
        </w:tc>
        <w:tc>
          <w:tcPr>
            <w:tcW w:w="16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Balance at end of year</w:t>
            </w: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71,552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103,718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(Under) funded status of plan</w:t>
            </w:r>
          </w:p>
        </w:tc>
        <w:tc>
          <w:tcPr>
            <w:tcW w:w="1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5,377</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3,094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The Company reports an asset or liability on its balance sheet equal to the funded status of its pension and other postretirement benefit plans. Plans in an overfunded status are aggregated and recorded as a net pension benefit asset in other assets. Plans in an underfunded status are aggregated and recorded as a net postretirement benefit liability in other liabilities. The funded status of the Company’s pension and other retirement benefit plans is below (in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98"/>
        </w:trPr>
        <w:tc>
          <w:tcPr>
            <w:tcW w:w="3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4"/>
              </w:rPr>
              <w:t>GTT Pension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Viya Pension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Alaska Pension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Viya Postretirement</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Alaska Postretirement</w:t>
            </w:r>
          </w:p>
        </w:tc>
      </w:tr>
      <w:tr>
        <w:trPr>
          <w:trHeight w:val="115"/>
        </w:trPr>
        <w:tc>
          <w:tcPr>
            <w:tcW w:w="3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Benefit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Benefit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Benefit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2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Benefits</w:t>
            </w:r>
          </w:p>
        </w:tc>
      </w:tr>
      <w:tr>
        <w:trPr>
          <w:trHeight w:val="142"/>
        </w:trPr>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2,038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52,832</w:t>
            </w:r>
          </w:p>
        </w:tc>
        <w:tc>
          <w:tcPr>
            <w:tcW w:w="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20" w:type="dxa"/>
            <w:vAlign w:val="bottom"/>
          </w:tcPr>
          <w:p>
            <w:pPr>
              <w:spacing w:after="0"/>
              <w:rPr>
                <w:sz w:val="12"/>
                <w:szCs w:val="12"/>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Plan Net Assets</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2,038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3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Over/ (Under) funded status of plan</w:t>
            </w: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7,300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(3,337)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w:t>
            </w:r>
          </w:p>
        </w:tc>
        <w:tc>
          <w:tcPr>
            <w:tcW w:w="20" w:type="dxa"/>
            <w:vAlign w:val="bottom"/>
          </w:tcPr>
          <w:p>
            <w:pPr>
              <w:spacing w:after="0"/>
              <w:rPr>
                <w:sz w:val="12"/>
                <w:szCs w:val="12"/>
                <w:color w:val="auto"/>
              </w:rPr>
            </w:pPr>
          </w:p>
        </w:tc>
      </w:tr>
      <w:tr>
        <w:trPr>
          <w:trHeight w:val="315"/>
        </w:trPr>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GTT Pension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Viya Pension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Alaska Pension</w:t>
            </w:r>
          </w:p>
        </w:tc>
        <w:tc>
          <w:tcPr>
            <w:tcW w:w="20" w:type="dxa"/>
            <w:vAlign w:val="bottom"/>
          </w:tcPr>
          <w:p>
            <w:pPr>
              <w:spacing w:after="0"/>
              <w:rPr>
                <w:sz w:val="20"/>
                <w:szCs w:val="20"/>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Viya Postretirement</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Alaska Postretirement</w:t>
            </w:r>
          </w:p>
        </w:tc>
      </w:tr>
      <w:tr>
        <w:trPr>
          <w:trHeight w:val="115"/>
        </w:trPr>
        <w:tc>
          <w:tcPr>
            <w:tcW w:w="3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Benefit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Benefit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1"/>
              </w:rPr>
              <w:t>Benefit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2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Benefits</w:t>
            </w:r>
          </w:p>
        </w:tc>
      </w:tr>
      <w:tr>
        <w:trPr>
          <w:trHeight w:val="151"/>
        </w:trPr>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162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15,663</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70,173</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20" w:type="dxa"/>
            <w:vAlign w:val="bottom"/>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Plan Net Assets</w:t>
            </w: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Over/ (Under) funded status of plan</w:t>
            </w: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9"/>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5,779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(4,961)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(382)</w:t>
            </w:r>
          </w:p>
        </w:tc>
        <w:tc>
          <w:tcPr>
            <w:tcW w:w="20" w:type="dxa"/>
            <w:vAlign w:val="bottom"/>
          </w:tcPr>
          <w:p>
            <w:pPr>
              <w:spacing w:after="0"/>
              <w:rPr>
                <w:sz w:val="12"/>
                <w:szCs w:val="12"/>
                <w:color w:val="auto"/>
              </w:rPr>
            </w:pPr>
          </w:p>
        </w:tc>
      </w:tr>
      <w:tr>
        <w:trPr>
          <w:trHeight w:val="432"/>
        </w:trPr>
        <w:tc>
          <w:tcPr>
            <w:tcW w:w="3040" w:type="dxa"/>
            <w:vAlign w:val="bottom"/>
          </w:tcPr>
          <w:p>
            <w:pPr>
              <w:spacing w:after="0"/>
              <w:rPr>
                <w:sz w:val="24"/>
                <w:szCs w:val="24"/>
                <w:color w:val="auto"/>
              </w:rPr>
            </w:pPr>
          </w:p>
        </w:tc>
        <w:tc>
          <w:tcPr>
            <w:tcW w:w="1620" w:type="dxa"/>
            <w:vAlign w:val="bottom"/>
            <w:gridSpan w:val="3"/>
          </w:tcPr>
          <w:p>
            <w:pPr>
              <w:jc w:val="right"/>
              <w:ind w:right="9"/>
              <w:spacing w:after="0"/>
              <w:rPr>
                <w:sz w:val="20"/>
                <w:szCs w:val="20"/>
                <w:color w:val="auto"/>
              </w:rPr>
            </w:pPr>
            <w:r>
              <w:rPr>
                <w:rFonts w:ascii="Times New Roman" w:cs="Times New Roman" w:eastAsia="Times New Roman" w:hAnsi="Times New Roman"/>
                <w:sz w:val="12"/>
                <w:szCs w:val="12"/>
                <w:color w:val="auto"/>
              </w:rPr>
              <w:t>F-56</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0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3" w:name="page134"/>
    <w:bookmarkEnd w:id="1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Company’s investment policy for its pension assets is to have a reasonably balanced investment approach, with a long-term bias toward debt investments. The Company’s strategy allocates plan assets among equity, debt and other assets to achieve long-term returns without significant risk to principal. The pension fund has limitations from investing in the equity, debt or other securities of the employer, its subsidiaries or associates of the employer or any company of which the employer is a subsidiary or an associate.</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fair values for the pension plan’s net assets, by asset category, at December 31, 2022 are as follows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Level 2</w:t>
            </w:r>
          </w:p>
        </w:tc>
      </w:tr>
      <w:tr>
        <w:trPr>
          <w:trHeight w:val="133"/>
        </w:trPr>
        <w:tc>
          <w:tcPr>
            <w:tcW w:w="6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7,572</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18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71,552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48,639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22,913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86"/>
        </w:trPr>
        <w:tc>
          <w:tcPr>
            <w:tcW w:w="6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fair values for the pension plan’s net assets, by asset category, at December 31, 2021 are as follows (in thousands):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Level 2</w:t>
            </w:r>
          </w:p>
        </w:tc>
      </w:tr>
      <w:tr>
        <w:trPr>
          <w:trHeight w:val="133"/>
        </w:trPr>
        <w:tc>
          <w:tcPr>
            <w:tcW w:w="6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17,908</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17,908</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28,041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28,041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9,599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9,299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32,332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32,332</w:t>
            </w:r>
          </w:p>
        </w:tc>
        <w:tc>
          <w:tcPr>
            <w:tcW w:w="20" w:type="dxa"/>
            <w:vAlign w:val="bottom"/>
          </w:tcPr>
          <w:p>
            <w:pPr>
              <w:spacing w:after="0"/>
              <w:rPr>
                <w:sz w:val="12"/>
                <w:szCs w:val="12"/>
                <w:color w:val="auto"/>
              </w:rPr>
            </w:pPr>
          </w:p>
        </w:tc>
      </w:tr>
      <w:tr>
        <w:trPr>
          <w:trHeight w:val="144"/>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6,539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6,539</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53"/>
        </w:trPr>
        <w:tc>
          <w:tcPr>
            <w:tcW w:w="618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103,718</w:t>
            </w:r>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71,386</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32,332</w:t>
            </w:r>
          </w:p>
        </w:tc>
        <w:tc>
          <w:tcPr>
            <w:tcW w:w="20" w:type="dxa"/>
            <w:vAlign w:val="bottom"/>
          </w:tcPr>
          <w:p>
            <w:pPr>
              <w:spacing w:after="0"/>
              <w:rPr>
                <w:sz w:val="13"/>
                <w:szCs w:val="13"/>
                <w:color w:val="auto"/>
              </w:rPr>
            </w:pPr>
          </w:p>
        </w:tc>
      </w:tr>
      <w:tr>
        <w:trPr>
          <w:trHeight w:val="302"/>
        </w:trPr>
        <w:tc>
          <w:tcPr>
            <w:tcW w:w="61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plan’s weighted-average asset allocations at December 31, 2022 and 2021, by asset category are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6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133"/>
        </w:trPr>
        <w:tc>
          <w:tcPr>
            <w:tcW w:w="6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153"/>
        </w:trPr>
        <w:tc>
          <w:tcPr>
            <w:tcW w:w="61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1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563"/>
        </w:trPr>
        <w:tc>
          <w:tcPr>
            <w:tcW w:w="6180" w:type="dxa"/>
            <w:vAlign w:val="bottom"/>
          </w:tcPr>
          <w:p>
            <w:pPr>
              <w:ind w:left="4380"/>
              <w:spacing w:after="0"/>
              <w:rPr>
                <w:sz w:val="20"/>
                <w:szCs w:val="20"/>
                <w:color w:val="auto"/>
              </w:rPr>
            </w:pPr>
            <w:r>
              <w:rPr>
                <w:rFonts w:ascii="Times New Roman" w:cs="Times New Roman" w:eastAsia="Times New Roman" w:hAnsi="Times New Roman"/>
                <w:sz w:val="12"/>
                <w:szCs w:val="12"/>
                <w:color w:val="auto"/>
              </w:rPr>
              <w:t>F-57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6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4" w:name="page135"/>
    <w:bookmarkEnd w:id="1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Amounts recognized on the Company’s consolidated balance sheets consist of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120" w:type="dxa"/>
            <w:vAlign w:val="bottom"/>
          </w:tcPr>
          <w:p>
            <w:pPr>
              <w:spacing w:after="0"/>
              <w:rPr>
                <w:sz w:val="12"/>
                <w:szCs w:val="12"/>
                <w:color w:val="auto"/>
              </w:rPr>
            </w:pPr>
          </w:p>
        </w:tc>
        <w:tc>
          <w:tcPr>
            <w:tcW w:w="1300" w:type="dxa"/>
            <w:vAlign w:val="bottom"/>
            <w:gridSpan w:val="3"/>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and current liabilities</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3,068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net of tax</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6,191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5"/>
        </w:trPr>
        <w:tc>
          <w:tcPr>
            <w:tcW w:w="5120" w:type="dxa"/>
            <w:vAlign w:val="bottom"/>
            <w:gridSpan w:val="8"/>
          </w:tcPr>
          <w:p>
            <w:pPr>
              <w:jc w:val="right"/>
              <w:ind w:right="232"/>
              <w:spacing w:after="0"/>
              <w:rPr>
                <w:sz w:val="20"/>
                <w:szCs w:val="20"/>
                <w:color w:val="auto"/>
              </w:rPr>
            </w:pPr>
            <w:r>
              <w:rPr>
                <w:rFonts w:ascii="Times New Roman" w:cs="Times New Roman" w:eastAsia="Times New Roman" w:hAnsi="Times New Roman"/>
                <w:sz w:val="12"/>
                <w:szCs w:val="12"/>
                <w:color w:val="auto"/>
              </w:rPr>
              <w:t>Amounts recognized in accumulated other comprehensive income consist of (in thousands):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48"/>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ind w:right="9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280" w:type="dxa"/>
            <w:vAlign w:val="bottom"/>
          </w:tcPr>
          <w:p>
            <w:pPr>
              <w:spacing w:after="0"/>
              <w:rPr>
                <w:sz w:val="12"/>
                <w:szCs w:val="12"/>
                <w:color w:val="auto"/>
              </w:rPr>
            </w:pP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6"/>
              </w:rPr>
              <w:t>Postretirement benefits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5"/>
              </w:rPr>
              <w:t>Pension benefits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r>
      <w:tr>
        <w:trPr>
          <w:trHeight w:val="142"/>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net actuarial gain</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6,268</w:t>
            </w:r>
          </w:p>
        </w:tc>
        <w:tc>
          <w:tcPr>
            <w:tcW w:w="96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3,547</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other comprehensive income, pre-tax</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6,268</w:t>
            </w:r>
          </w:p>
        </w:tc>
        <w:tc>
          <w:tcPr>
            <w:tcW w:w="2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1,614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3,547</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 net of tax</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6,191</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1,589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4,419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720"/>
        </w:trPr>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ind w:left="700"/>
              <w:spacing w:after="0"/>
              <w:rPr>
                <w:sz w:val="20"/>
                <w:szCs w:val="20"/>
                <w:color w:val="auto"/>
              </w:rPr>
            </w:pPr>
            <w:r>
              <w:rPr>
                <w:rFonts w:ascii="Times New Roman" w:cs="Times New Roman" w:eastAsia="Times New Roman" w:hAnsi="Times New Roman"/>
                <w:sz w:val="12"/>
                <w:szCs w:val="12"/>
                <w:color w:val="auto"/>
              </w:rPr>
              <w:t>F-58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3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5" w:name="page136"/>
    <w:bookmarkEnd w:id="135"/>
    <w:p>
      <w:pPr>
        <w:ind w:left="8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Components of the plan’s net periodic pension cost are as follows for the years ended December 31, 2022, 2021 and 2020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8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jc w:val="right"/>
              <w:ind w:right="124"/>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40" w:type="dxa"/>
            <w:vAlign w:val="bottom"/>
          </w:tcPr>
          <w:p>
            <w:pPr>
              <w:spacing w:after="0"/>
              <w:rPr>
                <w:sz w:val="6"/>
                <w:szCs w:val="6"/>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jc w:val="right"/>
              <w:ind w:right="124"/>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60" w:type="dxa"/>
            <w:vAlign w:val="bottom"/>
          </w:tcPr>
          <w:p>
            <w:pPr>
              <w:spacing w:after="0"/>
              <w:rPr>
                <w:sz w:val="6"/>
                <w:szCs w:val="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160" w:type="dxa"/>
            <w:vAlign w:val="bottom"/>
          </w:tcPr>
          <w:p>
            <w:pPr>
              <w:spacing w:after="0"/>
              <w:rPr>
                <w:sz w:val="6"/>
                <w:szCs w:val="6"/>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Postretirement benefits</w:t>
            </w:r>
          </w:p>
        </w:tc>
        <w:tc>
          <w:tcPr>
            <w:tcW w:w="0" w:type="dxa"/>
            <w:vAlign w:val="bottom"/>
          </w:tcPr>
          <w:p>
            <w:pPr>
              <w:spacing w:after="0"/>
              <w:rPr>
                <w:sz w:val="1"/>
                <w:szCs w:val="1"/>
                <w:color w:val="auto"/>
              </w:rPr>
            </w:pPr>
          </w:p>
        </w:tc>
      </w:tr>
      <w:tr>
        <w:trPr>
          <w:trHeight w:val="115"/>
        </w:trPr>
        <w:tc>
          <w:tcPr>
            <w:tcW w:w="25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Operating expense</w:t>
            </w:r>
          </w:p>
        </w:tc>
        <w:tc>
          <w:tcPr>
            <w:tcW w:w="6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5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Service cost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32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30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4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620" w:type="dxa"/>
            <w:vAlign w:val="bottom"/>
            <w:gridSpan w:val="2"/>
            <w:shd w:val="clear" w:color="auto" w:fill="CCEEFF"/>
          </w:tcPr>
          <w:p>
            <w:pPr>
              <w:jc w:val="center"/>
              <w:ind w:right="186"/>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cost</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actuarial (gain) loss</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5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periodic pension cost</w:t>
            </w: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center"/>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center"/>
              <w:ind w:right="34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is currently evaluating whether it will make any contributions to its pension and postretirement benefit plans during the year ending December 31, 2022.</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following estimated benefits, which reflect expected future service, as appropriate, are expected to be paid over the next 10 years as indicated below (in thousands):</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125"/>
        </w:trPr>
        <w:tc>
          <w:tcPr>
            <w:tcW w:w="7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Pension</w:t>
            </w:r>
          </w:p>
        </w:tc>
        <w:tc>
          <w:tcPr>
            <w:tcW w:w="100" w:type="dxa"/>
            <w:vAlign w:val="bottom"/>
          </w:tcPr>
          <w:p>
            <w:pPr>
              <w:spacing w:after="0"/>
              <w:rPr>
                <w:sz w:val="10"/>
                <w:szCs w:val="10"/>
                <w:color w:val="auto"/>
              </w:rPr>
            </w:pPr>
          </w:p>
        </w:tc>
        <w:tc>
          <w:tcPr>
            <w:tcW w:w="2840" w:type="dxa"/>
            <w:vAlign w:val="bottom"/>
            <w:gridSpan w:val="2"/>
          </w:tcPr>
          <w:p>
            <w:pPr>
              <w:jc w:val="center"/>
              <w:ind w:right="2160"/>
              <w:spacing w:after="0"/>
              <w:rPr>
                <w:sz w:val="20"/>
                <w:szCs w:val="20"/>
                <w:color w:val="auto"/>
              </w:rPr>
            </w:pPr>
            <w:r>
              <w:rPr>
                <w:rFonts w:ascii="Times New Roman" w:cs="Times New Roman" w:eastAsia="Times New Roman" w:hAnsi="Times New Roman"/>
                <w:sz w:val="10"/>
                <w:szCs w:val="10"/>
                <w:b w:val="1"/>
                <w:bCs w:val="1"/>
                <w:color w:val="auto"/>
                <w:w w:val="93"/>
              </w:rPr>
              <w:t>Postretirement</w:t>
            </w:r>
          </w:p>
        </w:tc>
      </w:tr>
      <w:tr>
        <w:trPr>
          <w:trHeight w:val="152"/>
        </w:trPr>
        <w:tc>
          <w:tcPr>
            <w:tcW w:w="720" w:type="dxa"/>
            <w:vAlign w:val="bottom"/>
          </w:tcPr>
          <w:p>
            <w:pPr>
              <w:spacing w:after="0"/>
              <w:rPr>
                <w:sz w:val="13"/>
                <w:szCs w:val="13"/>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00" w:type="dxa"/>
            <w:vAlign w:val="bottom"/>
          </w:tcPr>
          <w:p>
            <w:pPr>
              <w:spacing w:after="0"/>
              <w:rPr>
                <w:sz w:val="13"/>
                <w:szCs w:val="13"/>
                <w:color w:val="auto"/>
              </w:rPr>
            </w:pPr>
          </w:p>
        </w:tc>
        <w:tc>
          <w:tcPr>
            <w:tcW w:w="2840" w:type="dxa"/>
            <w:vAlign w:val="bottom"/>
            <w:gridSpan w:val="2"/>
          </w:tcPr>
          <w:p>
            <w:pPr>
              <w:jc w:val="center"/>
              <w:ind w:right="2160"/>
              <w:spacing w:after="0"/>
              <w:rPr>
                <w:sz w:val="20"/>
                <w:szCs w:val="20"/>
                <w:color w:val="auto"/>
              </w:rPr>
            </w:pPr>
            <w:r>
              <w:rPr>
                <w:rFonts w:ascii="Times New Roman" w:cs="Times New Roman" w:eastAsia="Times New Roman" w:hAnsi="Times New Roman"/>
                <w:sz w:val="10"/>
                <w:szCs w:val="10"/>
                <w:b w:val="1"/>
                <w:bCs w:val="1"/>
                <w:color w:val="auto"/>
                <w:w w:val="92"/>
              </w:rPr>
              <w:t>Benefits</w:t>
            </w:r>
          </w:p>
        </w:tc>
      </w:tr>
      <w:tr>
        <w:trPr>
          <w:trHeight w:val="142"/>
        </w:trPr>
        <w:tc>
          <w:tcPr>
            <w:tcW w:w="720" w:type="dxa"/>
            <w:vAlign w:val="bottom"/>
          </w:tcPr>
          <w:p>
            <w:pPr>
              <w:spacing w:after="0"/>
              <w:rPr>
                <w:sz w:val="12"/>
                <w:szCs w:val="12"/>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080" w:type="dxa"/>
            <w:vAlign w:val="bottom"/>
          </w:tcPr>
          <w:p>
            <w:pPr>
              <w:spacing w:after="0"/>
              <w:rPr>
                <w:sz w:val="12"/>
                <w:szCs w:val="12"/>
                <w:color w:val="auto"/>
              </w:rPr>
            </w:pPr>
          </w:p>
        </w:tc>
      </w:tr>
      <w:tr>
        <w:trPr>
          <w:trHeight w:val="162"/>
        </w:trPr>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2024</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208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2080" w:type="dxa"/>
            <w:vAlign w:val="bottom"/>
          </w:tcPr>
          <w:p>
            <w:pPr>
              <w:spacing w:after="0"/>
              <w:rPr>
                <w:sz w:val="14"/>
                <w:szCs w:val="14"/>
                <w:color w:val="auto"/>
              </w:rPr>
            </w:pPr>
          </w:p>
        </w:tc>
      </w:tr>
      <w:tr>
        <w:trPr>
          <w:trHeight w:val="162"/>
        </w:trPr>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2026</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208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2080" w:type="dxa"/>
            <w:vAlign w:val="bottom"/>
          </w:tcPr>
          <w:p>
            <w:pPr>
              <w:spacing w:after="0"/>
              <w:rPr>
                <w:sz w:val="14"/>
                <w:szCs w:val="14"/>
                <w:color w:val="auto"/>
              </w:rPr>
            </w:pPr>
          </w:p>
        </w:tc>
      </w:tr>
      <w:tr>
        <w:trPr>
          <w:trHeight w:val="162"/>
        </w:trPr>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2027-2031</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2080" w:type="dxa"/>
            <w:vAlign w:val="bottom"/>
          </w:tcPr>
          <w:p>
            <w:pPr>
              <w:spacing w:after="0"/>
              <w:rPr>
                <w:sz w:val="14"/>
                <w:szCs w:val="14"/>
                <w:color w:val="auto"/>
              </w:rPr>
            </w:pPr>
          </w:p>
        </w:tc>
      </w:tr>
      <w:tr>
        <w:trPr>
          <w:trHeight w:val="140"/>
        </w:trPr>
        <w:tc>
          <w:tcPr>
            <w:tcW w:w="720" w:type="dxa"/>
            <w:vAlign w:val="bottom"/>
          </w:tcPr>
          <w:p>
            <w:pPr>
              <w:spacing w:after="0"/>
              <w:rPr>
                <w:sz w:val="12"/>
                <w:szCs w:val="12"/>
                <w:color w:val="auto"/>
              </w:rPr>
            </w:pPr>
          </w:p>
        </w:tc>
        <w:tc>
          <w:tcPr>
            <w:tcW w:w="208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4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50,919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2,962</w:t>
            </w:r>
          </w:p>
        </w:tc>
        <w:tc>
          <w:tcPr>
            <w:tcW w:w="2080" w:type="dxa"/>
            <w:vAlign w:val="bottom"/>
          </w:tcPr>
          <w:p>
            <w:pPr>
              <w:spacing w:after="0"/>
              <w:rPr>
                <w:sz w:val="12"/>
                <w:szCs w:val="12"/>
                <w:color w:val="auto"/>
              </w:rPr>
            </w:pPr>
          </w:p>
        </w:tc>
      </w:tr>
      <w:tr>
        <w:trPr>
          <w:trHeight w:val="576"/>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80" w:type="dxa"/>
            <w:vAlign w:val="bottom"/>
            <w:gridSpan w:val="3"/>
          </w:tcPr>
          <w:p>
            <w:pPr>
              <w:jc w:val="right"/>
              <w:ind w:right="826"/>
              <w:spacing w:after="0"/>
              <w:rPr>
                <w:sz w:val="20"/>
                <w:szCs w:val="20"/>
                <w:color w:val="auto"/>
              </w:rPr>
            </w:pPr>
            <w:r>
              <w:rPr>
                <w:rFonts w:ascii="Times New Roman" w:cs="Times New Roman" w:eastAsia="Times New Roman" w:hAnsi="Times New Roman"/>
                <w:sz w:val="12"/>
                <w:szCs w:val="12"/>
                <w:color w:val="auto"/>
              </w:rPr>
              <w:t>F-59</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67"/>
        </w:trPr>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390" w:right="1399" w:bottom="1440" w:gutter="0" w:footer="0" w:header="0"/>
        </w:sectPr>
      </w:pPr>
    </w:p>
    <w:bookmarkStart w:id="136" w:name="page137"/>
    <w:bookmarkEnd w:id="1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79"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Certain employees of the Company’s US Telecom participate in the Alaska Electrical Pension Plan (“AEPF”). The Company pays the AEPF a contractual hourly amount based on employee classification or base compensation. As a multi-employer defined benefit plan, the accumulated benefits and plan assets are not determined for, or allocated separately to, the individual employer.</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provides additional information about the AEPF multi-employer pension plan.</w:t>
      </w:r>
    </w:p>
    <w:p>
      <w:pPr>
        <w:spacing w:after="0" w:line="177" w:lineRule="exact"/>
        <w:rPr>
          <w:sz w:val="20"/>
          <w:szCs w:val="20"/>
          <w:color w:val="auto"/>
        </w:rPr>
      </w:pPr>
    </w:p>
    <w:tbl>
      <w:tblPr>
        <w:tblLayout w:type="fixed"/>
        <w:tblInd w:w="950" w:type="dxa"/>
        <w:tblCellMar>
          <w:top w:w="0" w:type="dxa"/>
          <w:left w:w="0" w:type="dxa"/>
          <w:bottom w:w="0" w:type="dxa"/>
          <w:right w:w="0" w:type="dxa"/>
        </w:tblCellMar>
      </w:tblPr>
      <w:tr>
        <w:trPr>
          <w:trHeight w:val="153"/>
        </w:trPr>
        <w:tc>
          <w:tcPr>
            <w:tcW w:w="380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name</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Alaska Electrical Pension Plan</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Number of employees covered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505</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Pension Protection Act zone status at the plan's year-end:</w:t>
            </w:r>
          </w:p>
        </w:tc>
        <w:tc>
          <w:tcPr>
            <w:tcW w:w="2060" w:type="dxa"/>
            <w:vAlign w:val="bottom"/>
            <w:tcBorders>
              <w:bottom w:val="single" w:sz="8" w:color="auto"/>
              <w:right w:val="single" w:sz="8" w:color="auto"/>
            </w:tcBorders>
          </w:tcPr>
          <w:p>
            <w:pPr>
              <w:spacing w:after="0"/>
              <w:rPr>
                <w:sz w:val="12"/>
                <w:szCs w:val="12"/>
                <w:color w:val="auto"/>
              </w:rPr>
            </w:pPr>
          </w:p>
        </w:tc>
      </w:tr>
      <w:tr>
        <w:trPr>
          <w:trHeight w:val="142"/>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Green</w:t>
            </w:r>
          </w:p>
        </w:tc>
      </w:tr>
      <w:tr>
        <w:trPr>
          <w:trHeight w:val="142"/>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Green</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subject to funding improvement plan</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No</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subject to rehabilitation plan</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No</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Employer subject to contribution surcharge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No</w:t>
            </w:r>
          </w:p>
        </w:tc>
      </w:tr>
      <w:tr>
        <w:trPr>
          <w:trHeight w:val="142"/>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Company contributions to the plan for the year ended:</w:t>
            </w:r>
          </w:p>
        </w:tc>
        <w:tc>
          <w:tcPr>
            <w:tcW w:w="2060" w:type="dxa"/>
            <w:vAlign w:val="bottom"/>
            <w:tcBorders>
              <w:bottom w:val="single" w:sz="8" w:color="auto"/>
              <w:right w:val="single" w:sz="8" w:color="auto"/>
            </w:tcBorders>
          </w:tcPr>
          <w:p>
            <w:pPr>
              <w:spacing w:after="0"/>
              <w:rPr>
                <w:sz w:val="12"/>
                <w:szCs w:val="12"/>
                <w:color w:val="auto"/>
              </w:rPr>
            </w:pPr>
          </w:p>
        </w:tc>
      </w:tr>
      <w:tr>
        <w:trPr>
          <w:trHeight w:val="142"/>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$ 6.6 million</w:t>
            </w:r>
          </w:p>
        </w:tc>
      </w:tr>
      <w:tr>
        <w:trPr>
          <w:trHeight w:val="142"/>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$ 3.1 million</w:t>
            </w:r>
          </w:p>
        </w:tc>
      </w:tr>
      <w:tr>
        <w:trPr>
          <w:trHeight w:val="131"/>
        </w:trPr>
        <w:tc>
          <w:tcPr>
            <w:tcW w:w="3800" w:type="dxa"/>
            <w:vAlign w:val="bottom"/>
            <w:tcBorders>
              <w:left w:val="single" w:sz="8" w:color="auto"/>
              <w:right w:val="single" w:sz="8" w:color="auto"/>
            </w:tcBorders>
          </w:tcPr>
          <w:p>
            <w:pPr>
              <w:spacing w:after="0" w:line="132" w:lineRule="exact"/>
              <w:rPr>
                <w:sz w:val="20"/>
                <w:szCs w:val="20"/>
                <w:color w:val="auto"/>
              </w:rPr>
            </w:pPr>
            <w:r>
              <w:rPr>
                <w:rFonts w:ascii="Times New Roman" w:cs="Times New Roman" w:eastAsia="Times New Roman" w:hAnsi="Times New Roman"/>
                <w:sz w:val="12"/>
                <w:szCs w:val="12"/>
                <w:color w:val="auto"/>
              </w:rPr>
              <w:t>Name and expiration date of collective bargaining agreements requiring</w:t>
            </w:r>
          </w:p>
        </w:tc>
        <w:tc>
          <w:tcPr>
            <w:tcW w:w="2060" w:type="dxa"/>
            <w:vAlign w:val="bottom"/>
            <w:tcBorders>
              <w:right w:val="single" w:sz="8" w:color="auto"/>
            </w:tcBorders>
          </w:tcPr>
          <w:p>
            <w:pPr>
              <w:spacing w:after="0"/>
              <w:rPr>
                <w:sz w:val="11"/>
                <w:szCs w:val="11"/>
                <w:color w:val="auto"/>
              </w:rPr>
            </w:pPr>
          </w:p>
        </w:tc>
      </w:tr>
      <w:tr>
        <w:trPr>
          <w:trHeight w:val="155"/>
        </w:trPr>
        <w:tc>
          <w:tcPr>
            <w:tcW w:w="38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contributions to the plan:</w:t>
            </w:r>
          </w:p>
        </w:tc>
        <w:tc>
          <w:tcPr>
            <w:tcW w:w="2060" w:type="dxa"/>
            <w:vAlign w:val="bottom"/>
            <w:tcBorders>
              <w:bottom w:val="single" w:sz="8" w:color="auto"/>
              <w:right w:val="single" w:sz="8" w:color="auto"/>
            </w:tcBorders>
          </w:tcPr>
          <w:p>
            <w:pPr>
              <w:spacing w:after="0"/>
              <w:rPr>
                <w:sz w:val="13"/>
                <w:szCs w:val="13"/>
                <w:color w:val="auto"/>
              </w:rPr>
            </w:pPr>
          </w:p>
        </w:tc>
      </w:tr>
      <w:tr>
        <w:trPr>
          <w:trHeight w:val="131"/>
        </w:trPr>
        <w:tc>
          <w:tcPr>
            <w:tcW w:w="380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Collective Bargaining Agreement Between Alaska</w:t>
            </w:r>
          </w:p>
        </w:tc>
        <w:tc>
          <w:tcPr>
            <w:tcW w:w="2060" w:type="dxa"/>
            <w:vAlign w:val="bottom"/>
            <w:tcBorders>
              <w:right w:val="single" w:sz="8" w:color="auto"/>
            </w:tcBorders>
          </w:tcPr>
          <w:p>
            <w:pPr>
              <w:spacing w:after="0"/>
              <w:rPr>
                <w:sz w:val="11"/>
                <w:szCs w:val="11"/>
                <w:color w:val="auto"/>
              </w:rPr>
            </w:pPr>
          </w:p>
        </w:tc>
      </w:tr>
      <w:tr>
        <w:trPr>
          <w:trHeight w:val="155"/>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Communications Systems and Local Union 1547 IBEW</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2023</w:t>
            </w:r>
          </w:p>
        </w:tc>
      </w:tr>
      <w:tr>
        <w:trPr>
          <w:trHeight w:val="131"/>
        </w:trPr>
        <w:tc>
          <w:tcPr>
            <w:tcW w:w="380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Outside Agreement Alaska Electrical Construction between</w:t>
            </w:r>
          </w:p>
        </w:tc>
        <w:tc>
          <w:tcPr>
            <w:tcW w:w="2060" w:type="dxa"/>
            <w:vAlign w:val="bottom"/>
            <w:tcBorders>
              <w:right w:val="single" w:sz="8" w:color="auto"/>
            </w:tcBorders>
          </w:tcPr>
          <w:p>
            <w:pPr>
              <w:spacing w:after="0"/>
              <w:rPr>
                <w:sz w:val="11"/>
                <w:szCs w:val="11"/>
                <w:color w:val="auto"/>
              </w:rPr>
            </w:pPr>
          </w:p>
        </w:tc>
      </w:tr>
      <w:tr>
        <w:trPr>
          <w:trHeight w:val="153"/>
        </w:trPr>
        <w:tc>
          <w:tcPr>
            <w:tcW w:w="38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Local Union 1547 IBEW and Alaska Chapter National</w:t>
            </w:r>
          </w:p>
        </w:tc>
        <w:tc>
          <w:tcPr>
            <w:tcW w:w="2060" w:type="dxa"/>
            <w:vAlign w:val="bottom"/>
            <w:tcBorders>
              <w:right w:val="single" w:sz="8" w:color="auto"/>
            </w:tcBorders>
          </w:tcPr>
          <w:p>
            <w:pPr>
              <w:spacing w:after="0"/>
              <w:rPr>
                <w:sz w:val="13"/>
                <w:szCs w:val="13"/>
                <w:color w:val="auto"/>
              </w:rPr>
            </w:pPr>
          </w:p>
        </w:tc>
      </w:tr>
      <w:tr>
        <w:trPr>
          <w:trHeight w:val="155"/>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Electrical Contractors Association Inc.</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June 30, 2022</w:t>
            </w:r>
          </w:p>
        </w:tc>
      </w:tr>
      <w:tr>
        <w:trPr>
          <w:trHeight w:val="131"/>
        </w:trPr>
        <w:tc>
          <w:tcPr>
            <w:tcW w:w="380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Inside Agreement Alaska Electrical Construction between</w:t>
            </w:r>
          </w:p>
        </w:tc>
        <w:tc>
          <w:tcPr>
            <w:tcW w:w="2060" w:type="dxa"/>
            <w:vAlign w:val="bottom"/>
            <w:tcBorders>
              <w:right w:val="single" w:sz="8" w:color="auto"/>
            </w:tcBorders>
          </w:tcPr>
          <w:p>
            <w:pPr>
              <w:spacing w:after="0"/>
              <w:rPr>
                <w:sz w:val="11"/>
                <w:szCs w:val="11"/>
                <w:color w:val="auto"/>
              </w:rPr>
            </w:pPr>
          </w:p>
        </w:tc>
      </w:tr>
      <w:tr>
        <w:trPr>
          <w:trHeight w:val="153"/>
        </w:trPr>
        <w:tc>
          <w:tcPr>
            <w:tcW w:w="38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Local Union 1547 IBEW and Alaska Chapter National</w:t>
            </w:r>
          </w:p>
        </w:tc>
        <w:tc>
          <w:tcPr>
            <w:tcW w:w="2060" w:type="dxa"/>
            <w:vAlign w:val="bottom"/>
            <w:tcBorders>
              <w:right w:val="single" w:sz="8" w:color="auto"/>
            </w:tcBorders>
          </w:tcPr>
          <w:p>
            <w:pPr>
              <w:spacing w:after="0"/>
              <w:rPr>
                <w:sz w:val="13"/>
                <w:szCs w:val="13"/>
                <w:color w:val="auto"/>
              </w:rPr>
            </w:pPr>
          </w:p>
        </w:tc>
      </w:tr>
      <w:tr>
        <w:trPr>
          <w:trHeight w:val="155"/>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Electrical Contractors Association Inc.</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October 31, 2022</w:t>
            </w:r>
          </w:p>
        </w:tc>
      </w:tr>
    </w:tbl>
    <w:p>
      <w:pPr>
        <w:spacing w:after="0" w:line="200" w:lineRule="exact"/>
        <w:rPr>
          <w:sz w:val="20"/>
          <w:szCs w:val="20"/>
          <w:color w:val="auto"/>
        </w:rPr>
      </w:pPr>
    </w:p>
    <w:p>
      <w:pPr>
        <w:spacing w:after="0" w:line="266"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Company’s contributions to the plan in 2022 and 2021 represent greater than 5% of the total contributions to the plan. The Company cannot accurately project any change in the plan status in future years given the uncertainty of economic conditions or the effect of actuarial valuations versus actual performance in the market. Minimum required future contributions to the AEPF are subject to the number of employees in each classification and base compensation of employees in future years.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7" w:name="page138"/>
    <w:bookmarkEnd w:id="1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COMMITMENTS AND CONTINGENCIES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and Litigation Matters</w:t>
      </w:r>
    </w:p>
    <w:p>
      <w:pPr>
        <w:spacing w:after="0" w:line="172"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14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Beginning in 2006, the National Frequency Management Unit (now the Telecommunications Agency ,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149"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137"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however, the Company cannot accurately predict at this time when the consolidated suit will reach a court of final determination.</w:t>
      </w:r>
    </w:p>
    <w:p>
      <w:pPr>
        <w:spacing w:after="0" w:line="149"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made in its favor including most recently in December 2021, when an assessment relating to 2010-2016 was quashed and declared to have no legal effect. GTT has maintained that it has no unpaid corporation tax due to the GRA and that any liability GTT might be found to have with respect to the disputed tax assessments, as alleged by the GRA in the aggregate amount of $32 million net of interest, would be offset in part by the amounts necessary to ensure that GTT’s return on investment was no less than 15% per annum for the relevant periods. Several High Court rulings in the favor of GTT have been appealed by the GRA and the Company believes that some adverse outcome in these or pending unheard matters could occur.</w:t>
      </w:r>
    </w:p>
    <w:p>
      <w:pPr>
        <w:spacing w:after="0" w:line="152"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On May 20, 2021, the Company was served with a notice of application for enforcement of a foreign judgment with respect to a matter brought by the Trinidad &amp; Tobago Electric Commission (“TTEC”) in the High Court of Justice in the Republic of Trinidad and Tobago in August 2013 against GTT and other defendants, alleging breach of contract due to GTT’s failure to pay TTEC in connection with amounts alleged to be owed as reimbursement for cable repair costs. In December 2022, GTT settled this matter with TTEC.</w:t>
      </w:r>
    </w:p>
    <w:p>
      <w:pPr>
        <w:spacing w:after="0" w:line="137" w:lineRule="exact"/>
        <w:rPr>
          <w:sz w:val="20"/>
          <w:szCs w:val="20"/>
          <w:color w:val="auto"/>
        </w:rPr>
      </w:pPr>
    </w:p>
    <w:p>
      <w:pPr>
        <w:jc w:val="both"/>
        <w:ind w:left="20" w:right="19" w:firstLine="432"/>
        <w:spacing w:after="0" w:line="256" w:lineRule="auto"/>
        <w:rPr>
          <w:sz w:val="20"/>
          <w:szCs w:val="20"/>
          <w:color w:val="auto"/>
        </w:rPr>
      </w:pPr>
      <w:r>
        <w:rPr>
          <w:rFonts w:ascii="Times New Roman" w:cs="Times New Roman" w:eastAsia="Times New Roman" w:hAnsi="Times New Roman"/>
          <w:sz w:val="12"/>
          <w:szCs w:val="12"/>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8" w:name="page139"/>
    <w:bookmarkEnd w:id="1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9"/>
        <w:spacing w:after="0" w:line="260" w:lineRule="auto"/>
        <w:rPr>
          <w:sz w:val="20"/>
          <w:szCs w:val="20"/>
          <w:color w:val="auto"/>
        </w:rPr>
      </w:pPr>
      <w:r>
        <w:rPr>
          <w:rFonts w:ascii="Times New Roman" w:cs="Times New Roman" w:eastAsia="Times New Roman" w:hAnsi="Times New Roman"/>
          <w:sz w:val="12"/>
          <w:szCs w:val="12"/>
          <w:color w:val="auto"/>
        </w:rPr>
        <w:t>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w:t>
      </w:r>
    </w:p>
    <w:p>
      <w:pPr>
        <w:spacing w:after="0" w:line="149" w:lineRule="exact"/>
        <w:rPr>
          <w:sz w:val="20"/>
          <w:szCs w:val="20"/>
          <w:color w:val="auto"/>
        </w:rPr>
      </w:pPr>
    </w:p>
    <w:p>
      <w:pPr>
        <w:jc w:val="both"/>
        <w:ind w:left="20" w:right="1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Any adverse outcome with respect to the FCC Enforcement Bureau’s inquiry may have an adverse impact the Company’s business, financial condition, results of operations, or liquidity.</w:t>
      </w:r>
    </w:p>
    <w:p>
      <w:pPr>
        <w:spacing w:after="0" w:line="140"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With respect to all of the foregoing matters, the Company believes that some adverse outcome is probable and has accordingly accrued $14.7 million as of December 31, 2022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Obligations</w:t>
      </w:r>
    </w:p>
    <w:p>
      <w:pPr>
        <w:spacing w:after="0" w:line="181" w:lineRule="exact"/>
        <w:rPr>
          <w:sz w:val="20"/>
          <w:szCs w:val="20"/>
          <w:color w:val="auto"/>
        </w:rPr>
      </w:pPr>
    </w:p>
    <w:p>
      <w:pPr>
        <w:ind w:left="20" w:right="199" w:firstLine="432"/>
        <w:spacing w:after="0" w:line="277" w:lineRule="auto"/>
        <w:rPr>
          <w:sz w:val="20"/>
          <w:szCs w:val="20"/>
          <w:color w:val="auto"/>
        </w:rPr>
      </w:pPr>
      <w:r>
        <w:rPr>
          <w:rFonts w:ascii="Times New Roman" w:cs="Times New Roman" w:eastAsia="Times New Roman" w:hAnsi="Times New Roman"/>
          <w:sz w:val="12"/>
          <w:szCs w:val="12"/>
          <w:color w:val="auto"/>
        </w:rPr>
        <w:t>The Company has obligations under non-cancellable contracts for network facilities and transport services, agreements for software licensing, as well as certain agreements to purchase goods or services. Future minimum payments required under these commitments are as follows at December 31, 2022 (in thousands):</w:t>
      </w:r>
    </w:p>
    <w:tbl>
      <w:tblPr>
        <w:tblLayout w:type="fixed"/>
        <w:tblInd w:w="920" w:type="dxa"/>
        <w:tblCellMar>
          <w:top w:w="0" w:type="dxa"/>
          <w:left w:w="0" w:type="dxa"/>
          <w:bottom w:w="0" w:type="dxa"/>
          <w:right w:w="0" w:type="dxa"/>
        </w:tblCellMar>
      </w:tblPr>
      <w:tr>
        <w:trPr>
          <w:trHeight w:val="15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28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92,712</w:t>
            </w:r>
          </w:p>
        </w:tc>
        <w:tc>
          <w:tcPr>
            <w:tcW w:w="80" w:type="dxa"/>
            <w:vAlign w:val="bottom"/>
            <w:shd w:val="clear" w:color="auto" w:fill="CCEEFF"/>
          </w:tcPr>
          <w:p>
            <w:pPr>
              <w:spacing w:after="0"/>
              <w:rPr>
                <w:sz w:val="13"/>
                <w:szCs w:val="13"/>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61,809</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61,979</w:t>
            </w:r>
          </w:p>
        </w:tc>
        <w:tc>
          <w:tcPr>
            <w:tcW w:w="80" w:type="dxa"/>
            <w:vAlign w:val="bottom"/>
            <w:shd w:val="clear" w:color="auto" w:fill="CCEEFF"/>
          </w:tcPr>
          <w:p>
            <w:pPr>
              <w:spacing w:after="0"/>
              <w:rPr>
                <w:sz w:val="14"/>
                <w:szCs w:val="14"/>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26,811</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24,314</w:t>
            </w:r>
          </w:p>
        </w:tc>
        <w:tc>
          <w:tcPr>
            <w:tcW w:w="80" w:type="dxa"/>
            <w:vAlign w:val="bottom"/>
            <w:shd w:val="clear" w:color="auto" w:fill="CCEEFF"/>
          </w:tcPr>
          <w:p>
            <w:pPr>
              <w:spacing w:after="0"/>
              <w:rPr>
                <w:sz w:val="14"/>
                <w:szCs w:val="14"/>
                <w:color w:val="auto"/>
              </w:rPr>
            </w:pPr>
          </w:p>
        </w:tc>
      </w:tr>
      <w:tr>
        <w:trPr>
          <w:trHeight w:val="16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106,535</w:t>
            </w:r>
          </w:p>
        </w:tc>
        <w:tc>
          <w:tcPr>
            <w:tcW w:w="80" w:type="dxa"/>
            <w:vAlign w:val="bottom"/>
            <w:tcBorders>
              <w:bottom w:val="single" w:sz="8" w:color="CCEEFF"/>
            </w:tcBorders>
          </w:tcPr>
          <w:p>
            <w:pPr>
              <w:spacing w:after="0"/>
              <w:rPr>
                <w:sz w:val="14"/>
                <w:szCs w:val="14"/>
                <w:color w:val="auto"/>
              </w:rPr>
            </w:pPr>
          </w:p>
        </w:tc>
      </w:tr>
      <w:tr>
        <w:trPr>
          <w:trHeight w:val="140"/>
        </w:trPr>
        <w:tc>
          <w:tcPr>
            <w:tcW w:w="362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obligations</w:t>
            </w:r>
          </w:p>
        </w:tc>
        <w:tc>
          <w:tcPr>
            <w:tcW w:w="2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374,160</w:t>
            </w:r>
          </w:p>
        </w:tc>
        <w:tc>
          <w:tcPr>
            <w:tcW w:w="80" w:type="dxa"/>
            <w:vAlign w:val="bottom"/>
            <w:tcBorders>
              <w:bottom w:val="single" w:sz="8" w:color="CCEEFF"/>
            </w:tcBorders>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14. SEGMENT REPORTING</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Through December 31, 2022, the Company has the following three reportable and operating segments: i) US Telecom, ii) International Telecom, and iii) Renewable Energy.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9" w:name="page140"/>
    <w:bookmarkEnd w:id="1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tables provide information for each operating segment (in thousands):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569785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Renewable</w:t>
            </w:r>
          </w:p>
        </w:tc>
        <w:tc>
          <w:tcPr>
            <w:tcW w:w="120" w:type="dxa"/>
            <w:vAlign w:val="bottom"/>
          </w:tcPr>
          <w:p>
            <w:pPr>
              <w:spacing w:after="0"/>
              <w:rPr>
                <w:sz w:val="10"/>
                <w:szCs w:val="1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1"/>
                <w:szCs w:val="1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Energy (1)</w:t>
            </w:r>
          </w:p>
        </w:tc>
        <w:tc>
          <w:tcPr>
            <w:tcW w:w="120" w:type="dxa"/>
            <w:vAlign w:val="bottom"/>
          </w:tcPr>
          <w:p>
            <w:pPr>
              <w:spacing w:after="0"/>
              <w:rPr>
                <w:sz w:val="11"/>
                <w:szCs w:val="1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Other (2)</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3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16,058</w:t>
            </w:r>
          </w:p>
        </w:tc>
        <w:tc>
          <w:tcPr>
            <w:tcW w:w="20" w:type="dxa"/>
            <w:vAlign w:val="bottom"/>
          </w:tcPr>
          <w:p>
            <w:pPr>
              <w:spacing w:after="0"/>
              <w:rPr>
                <w:sz w:val="12"/>
                <w:szCs w:val="12"/>
                <w:color w:val="auto"/>
              </w:rPr>
            </w:pPr>
          </w:p>
        </w:tc>
      </w:tr>
      <w:tr>
        <w:trPr>
          <w:trHeight w:val="144"/>
        </w:trPr>
        <w:tc>
          <w:tcPr>
            <w:tcW w:w="3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93,960</w:t>
            </w:r>
          </w:p>
        </w:tc>
        <w:tc>
          <w:tcPr>
            <w:tcW w:w="20" w:type="dxa"/>
            <w:vAlign w:val="bottom"/>
          </w:tcPr>
          <w:p>
            <w:pPr>
              <w:spacing w:after="0"/>
              <w:rPr>
                <w:sz w:val="12"/>
                <w:szCs w:val="12"/>
                <w:color w:val="auto"/>
              </w:rPr>
            </w:pPr>
          </w:p>
        </w:tc>
      </w:tr>
      <w:tr>
        <w:trPr>
          <w:trHeight w:val="133"/>
        </w:trPr>
        <w:tc>
          <w:tcPr>
            <w:tcW w:w="308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102,431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7,587</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110,018</w:t>
            </w:r>
          </w:p>
        </w:tc>
        <w:tc>
          <w:tcPr>
            <w:tcW w:w="20" w:type="dxa"/>
            <w:vAlign w:val="bottom"/>
          </w:tcPr>
          <w:p>
            <w:pPr>
              <w:spacing w:after="0"/>
              <w:rPr>
                <w:sz w:val="11"/>
                <w:szCs w:val="11"/>
                <w:color w:val="auto"/>
              </w:rPr>
            </w:pPr>
          </w:p>
        </w:tc>
      </w:tr>
      <w:tr>
        <w:trPr>
          <w:trHeight w:val="133"/>
        </w:trPr>
        <w:tc>
          <w:tcPr>
            <w:tcW w:w="30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69,903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126,735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196,638</w:t>
            </w:r>
          </w:p>
        </w:tc>
        <w:tc>
          <w:tcPr>
            <w:tcW w:w="20" w:type="dxa"/>
            <w:vAlign w:val="bottom"/>
          </w:tcPr>
          <w:p>
            <w:pPr>
              <w:spacing w:after="0"/>
              <w:rPr>
                <w:sz w:val="11"/>
                <w:szCs w:val="11"/>
                <w:color w:val="auto"/>
              </w:rPr>
            </w:pPr>
          </w:p>
        </w:tc>
      </w:tr>
      <w:tr>
        <w:trPr>
          <w:trHeight w:val="14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163,408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78,338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241,746</w:t>
            </w:r>
          </w:p>
        </w:tc>
        <w:tc>
          <w:tcPr>
            <w:tcW w:w="20" w:type="dxa"/>
            <w:vAlign w:val="bottom"/>
          </w:tcPr>
          <w:p>
            <w:pPr>
              <w:spacing w:after="0"/>
              <w:rPr>
                <w:sz w:val="12"/>
                <w:szCs w:val="12"/>
                <w:color w:val="auto"/>
              </w:rPr>
            </w:pPr>
          </w:p>
        </w:tc>
      </w:tr>
      <w:tr>
        <w:trPr>
          <w:trHeight w:val="133"/>
        </w:trPr>
        <w:tc>
          <w:tcPr>
            <w:tcW w:w="308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233,311</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205,073</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438,384</w:t>
            </w:r>
          </w:p>
        </w:tc>
        <w:tc>
          <w:tcPr>
            <w:tcW w:w="20" w:type="dxa"/>
            <w:vAlign w:val="bottom"/>
          </w:tcPr>
          <w:p>
            <w:pPr>
              <w:spacing w:after="0"/>
              <w:rPr>
                <w:sz w:val="11"/>
                <w:szCs w:val="11"/>
                <w:color w:val="auto"/>
              </w:rPr>
            </w:pPr>
          </w:p>
        </w:tc>
      </w:tr>
      <w:tr>
        <w:trPr>
          <w:trHeight w:val="133"/>
        </w:trPr>
        <w:tc>
          <w:tcPr>
            <w:tcW w:w="30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13,459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128,864</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142,323</w:t>
            </w:r>
          </w:p>
        </w:tc>
        <w:tc>
          <w:tcPr>
            <w:tcW w:w="20" w:type="dxa"/>
            <w:vAlign w:val="bottom"/>
          </w:tcPr>
          <w:p>
            <w:pPr>
              <w:spacing w:after="0"/>
              <w:rPr>
                <w:sz w:val="11"/>
                <w:szCs w:val="11"/>
                <w:color w:val="auto"/>
              </w:rPr>
            </w:pPr>
          </w:p>
        </w:tc>
      </w:tr>
      <w:tr>
        <w:trPr>
          <w:trHeight w:val="144"/>
        </w:trPr>
        <w:tc>
          <w:tcPr>
            <w:tcW w:w="3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20" w:type="dxa"/>
            <w:vAlign w:val="bottom"/>
          </w:tcPr>
          <w:p>
            <w:pPr>
              <w:spacing w:after="0"/>
              <w:rPr>
                <w:sz w:val="12"/>
                <w:szCs w:val="12"/>
                <w:color w:val="auto"/>
              </w:rPr>
            </w:pPr>
          </w:p>
        </w:tc>
      </w:tr>
      <w:tr>
        <w:trPr>
          <w:trHeight w:val="133"/>
        </w:trPr>
        <w:tc>
          <w:tcPr>
            <w:tcW w:w="308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350,651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341,570</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692,221</w:t>
            </w:r>
          </w:p>
        </w:tc>
        <w:tc>
          <w:tcPr>
            <w:tcW w:w="20" w:type="dxa"/>
            <w:vAlign w:val="bottom"/>
          </w:tcPr>
          <w:p>
            <w:pPr>
              <w:spacing w:after="0"/>
              <w:rPr>
                <w:sz w:val="11"/>
                <w:szCs w:val="11"/>
                <w:color w:val="auto"/>
              </w:rPr>
            </w:pPr>
          </w:p>
        </w:tc>
      </w:tr>
      <w:tr>
        <w:trPr>
          <w:trHeight w:val="133"/>
        </w:trPr>
        <w:tc>
          <w:tcPr>
            <w:tcW w:w="30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20" w:type="dxa"/>
            <w:vAlign w:val="bottom"/>
          </w:tcPr>
          <w:p>
            <w:pPr>
              <w:spacing w:after="0"/>
              <w:rPr>
                <w:sz w:val="11"/>
                <w:szCs w:val="11"/>
                <w:color w:val="auto"/>
              </w:rPr>
            </w:pPr>
          </w:p>
        </w:tc>
      </w:tr>
      <w:tr>
        <w:trPr>
          <w:trHeight w:val="133"/>
        </w:trPr>
        <w:tc>
          <w:tcPr>
            <w:tcW w:w="3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Energy</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20" w:type="dxa"/>
            <w:vAlign w:val="bottom"/>
          </w:tcPr>
          <w:p>
            <w:pPr>
              <w:spacing w:after="0"/>
              <w:rPr>
                <w:sz w:val="12"/>
                <w:szCs w:val="12"/>
                <w:color w:val="auto"/>
              </w:rPr>
            </w:pPr>
          </w:p>
        </w:tc>
      </w:tr>
      <w:tr>
        <w:trPr>
          <w:trHeight w:val="133"/>
        </w:trPr>
        <w:tc>
          <w:tcPr>
            <w:tcW w:w="308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12,832</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17,762</w:t>
            </w:r>
          </w:p>
        </w:tc>
        <w:tc>
          <w:tcPr>
            <w:tcW w:w="20" w:type="dxa"/>
            <w:vAlign w:val="bottom"/>
          </w:tcPr>
          <w:p>
            <w:pPr>
              <w:spacing w:after="0"/>
              <w:rPr>
                <w:sz w:val="11"/>
                <w:szCs w:val="11"/>
                <w:color w:val="auto"/>
              </w:rPr>
            </w:pPr>
          </w:p>
        </w:tc>
      </w:tr>
      <w:tr>
        <w:trPr>
          <w:trHeight w:val="153"/>
        </w:trPr>
        <w:tc>
          <w:tcPr>
            <w:tcW w:w="30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355,581</w:t>
            </w: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370,164</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20" w:type="dxa"/>
            <w:vAlign w:val="bottom"/>
          </w:tcPr>
          <w:p>
            <w:pPr>
              <w:spacing w:after="0"/>
              <w:rPr>
                <w:sz w:val="13"/>
                <w:szCs w:val="13"/>
                <w:color w:val="auto"/>
              </w:rPr>
            </w:pPr>
          </w:p>
        </w:tc>
      </w:tr>
      <w:tr>
        <w:trPr>
          <w:trHeight w:val="131"/>
        </w:trPr>
        <w:tc>
          <w:tcPr>
            <w:tcW w:w="30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Depreciation</w:t>
            </w:r>
          </w:p>
        </w:tc>
        <w:tc>
          <w:tcPr>
            <w:tcW w:w="2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56,568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75,020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3,549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135,137</w:t>
            </w:r>
          </w:p>
        </w:tc>
        <w:tc>
          <w:tcPr>
            <w:tcW w:w="20" w:type="dxa"/>
            <w:vAlign w:val="bottom"/>
          </w:tcPr>
          <w:p>
            <w:pPr>
              <w:spacing w:after="0"/>
              <w:rPr>
                <w:sz w:val="11"/>
                <w:szCs w:val="11"/>
                <w:color w:val="auto"/>
              </w:rPr>
            </w:pPr>
          </w:p>
        </w:tc>
      </w:tr>
      <w:tr>
        <w:trPr>
          <w:trHeight w:val="1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13,016</w:t>
            </w:r>
          </w:p>
        </w:tc>
        <w:tc>
          <w:tcPr>
            <w:tcW w:w="20" w:type="dxa"/>
            <w:vAlign w:val="bottom"/>
          </w:tcPr>
          <w:p>
            <w:pPr>
              <w:spacing w:after="0"/>
              <w:rPr>
                <w:sz w:val="12"/>
                <w:szCs w:val="12"/>
                <w:color w:val="auto"/>
              </w:rPr>
            </w:pPr>
          </w:p>
        </w:tc>
      </w:tr>
      <w:tr>
        <w:trPr>
          <w:trHeight w:val="144"/>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7,406</w:t>
            </w: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52,011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(5,655)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(801)</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(37,613)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20" w:type="dxa"/>
            <w:vAlign w:val="bottom"/>
          </w:tcPr>
          <w:p>
            <w:pPr>
              <w:spacing w:after="0"/>
              <w:rPr>
                <w:sz w:val="12"/>
                <w:szCs w:val="12"/>
                <w:color w:val="auto"/>
              </w:rPr>
            </w:pPr>
          </w:p>
        </w:tc>
      </w:tr>
      <w:tr>
        <w:trPr>
          <w:trHeight w:val="576"/>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F-63</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40" w:name="page141"/>
    <w:bookmarkEnd w:id="1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69785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Renewable</w:t>
            </w:r>
          </w:p>
        </w:tc>
        <w:tc>
          <w:tcPr>
            <w:tcW w:w="120" w:type="dxa"/>
            <w:vAlign w:val="bottom"/>
          </w:tcPr>
          <w:p>
            <w:pPr>
              <w:spacing w:after="0"/>
              <w:rPr>
                <w:sz w:val="10"/>
                <w:szCs w:val="1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1"/>
                <w:szCs w:val="1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Energy (1)</w:t>
            </w:r>
          </w:p>
        </w:tc>
        <w:tc>
          <w:tcPr>
            <w:tcW w:w="120" w:type="dxa"/>
            <w:vAlign w:val="bottom"/>
          </w:tcPr>
          <w:p>
            <w:pPr>
              <w:spacing w:after="0"/>
              <w:rPr>
                <w:sz w:val="11"/>
                <w:szCs w:val="1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Other (2)</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3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8,385</w:t>
            </w:r>
          </w:p>
        </w:tc>
        <w:tc>
          <w:tcPr>
            <w:tcW w:w="20" w:type="dxa"/>
            <w:vAlign w:val="bottom"/>
          </w:tcPr>
          <w:p>
            <w:pPr>
              <w:spacing w:after="0"/>
              <w:rPr>
                <w:sz w:val="12"/>
                <w:szCs w:val="12"/>
                <w:color w:val="auto"/>
              </w:rPr>
            </w:pPr>
          </w:p>
        </w:tc>
      </w:tr>
      <w:tr>
        <w:trPr>
          <w:trHeight w:val="144"/>
        </w:trPr>
        <w:tc>
          <w:tcPr>
            <w:tcW w:w="3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86,384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93,916</w:t>
            </w:r>
          </w:p>
        </w:tc>
        <w:tc>
          <w:tcPr>
            <w:tcW w:w="20" w:type="dxa"/>
            <w:vAlign w:val="bottom"/>
          </w:tcPr>
          <w:p>
            <w:pPr>
              <w:spacing w:after="0"/>
              <w:rPr>
                <w:sz w:val="12"/>
                <w:szCs w:val="12"/>
                <w:color w:val="auto"/>
              </w:rPr>
            </w:pPr>
          </w:p>
        </w:tc>
      </w:tr>
      <w:tr>
        <w:trPr>
          <w:trHeight w:val="133"/>
        </w:trPr>
        <w:tc>
          <w:tcPr>
            <w:tcW w:w="308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93,367</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8,934</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102,301</w:t>
            </w:r>
          </w:p>
        </w:tc>
        <w:tc>
          <w:tcPr>
            <w:tcW w:w="20" w:type="dxa"/>
            <w:vAlign w:val="bottom"/>
          </w:tcPr>
          <w:p>
            <w:pPr>
              <w:spacing w:after="0"/>
              <w:rPr>
                <w:sz w:val="11"/>
                <w:szCs w:val="11"/>
                <w:color w:val="auto"/>
              </w:rPr>
            </w:pPr>
          </w:p>
        </w:tc>
      </w:tr>
      <w:tr>
        <w:trPr>
          <w:trHeight w:val="133"/>
        </w:trPr>
        <w:tc>
          <w:tcPr>
            <w:tcW w:w="30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67,458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53,283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120,741</w:t>
            </w:r>
          </w:p>
        </w:tc>
        <w:tc>
          <w:tcPr>
            <w:tcW w:w="20" w:type="dxa"/>
            <w:vAlign w:val="bottom"/>
          </w:tcPr>
          <w:p>
            <w:pPr>
              <w:spacing w:after="0"/>
              <w:rPr>
                <w:sz w:val="11"/>
                <w:szCs w:val="11"/>
                <w:color w:val="auto"/>
              </w:rPr>
            </w:pPr>
          </w:p>
        </w:tc>
      </w:tr>
      <w:tr>
        <w:trPr>
          <w:trHeight w:val="14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166,005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207,902</w:t>
            </w:r>
          </w:p>
        </w:tc>
        <w:tc>
          <w:tcPr>
            <w:tcW w:w="20" w:type="dxa"/>
            <w:vAlign w:val="bottom"/>
          </w:tcPr>
          <w:p>
            <w:pPr>
              <w:spacing w:after="0"/>
              <w:rPr>
                <w:sz w:val="12"/>
                <w:szCs w:val="12"/>
                <w:color w:val="auto"/>
              </w:rPr>
            </w:pPr>
          </w:p>
        </w:tc>
      </w:tr>
      <w:tr>
        <w:trPr>
          <w:trHeight w:val="133"/>
        </w:trPr>
        <w:tc>
          <w:tcPr>
            <w:tcW w:w="308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233,463</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95,180</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328,643</w:t>
            </w:r>
          </w:p>
        </w:tc>
        <w:tc>
          <w:tcPr>
            <w:tcW w:w="20" w:type="dxa"/>
            <w:vAlign w:val="bottom"/>
          </w:tcPr>
          <w:p>
            <w:pPr>
              <w:spacing w:after="0"/>
              <w:rPr>
                <w:sz w:val="11"/>
                <w:szCs w:val="11"/>
                <w:color w:val="auto"/>
              </w:rPr>
            </w:pPr>
          </w:p>
        </w:tc>
      </w:tr>
      <w:tr>
        <w:trPr>
          <w:trHeight w:val="133"/>
        </w:trPr>
        <w:tc>
          <w:tcPr>
            <w:tcW w:w="30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9,937</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107,793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117,730</w:t>
            </w:r>
          </w:p>
        </w:tc>
        <w:tc>
          <w:tcPr>
            <w:tcW w:w="20" w:type="dxa"/>
            <w:vAlign w:val="bottom"/>
          </w:tcPr>
          <w:p>
            <w:pPr>
              <w:spacing w:after="0"/>
              <w:rPr>
                <w:sz w:val="11"/>
                <w:szCs w:val="11"/>
                <w:color w:val="auto"/>
              </w:rPr>
            </w:pPr>
          </w:p>
        </w:tc>
      </w:tr>
      <w:tr>
        <w:trPr>
          <w:trHeight w:val="144"/>
        </w:trPr>
        <w:tc>
          <w:tcPr>
            <w:tcW w:w="3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0" w:type="dxa"/>
            <w:vAlign w:val="bottom"/>
          </w:tcPr>
          <w:p>
            <w:pPr>
              <w:spacing w:after="0"/>
              <w:rPr>
                <w:sz w:val="12"/>
                <w:szCs w:val="12"/>
                <w:color w:val="auto"/>
              </w:rPr>
            </w:pPr>
          </w:p>
        </w:tc>
      </w:tr>
      <w:tr>
        <w:trPr>
          <w:trHeight w:val="133"/>
        </w:trPr>
        <w:tc>
          <w:tcPr>
            <w:tcW w:w="308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337,713</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211,907</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549,620</w:t>
            </w:r>
          </w:p>
        </w:tc>
        <w:tc>
          <w:tcPr>
            <w:tcW w:w="20" w:type="dxa"/>
            <w:vAlign w:val="bottom"/>
          </w:tcPr>
          <w:p>
            <w:pPr>
              <w:spacing w:after="0"/>
              <w:rPr>
                <w:sz w:val="11"/>
                <w:szCs w:val="11"/>
                <w:color w:val="auto"/>
              </w:rPr>
            </w:pPr>
          </w:p>
        </w:tc>
      </w:tr>
      <w:tr>
        <w:trPr>
          <w:trHeight w:val="133"/>
        </w:trPr>
        <w:tc>
          <w:tcPr>
            <w:tcW w:w="30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20" w:type="dxa"/>
            <w:vAlign w:val="bottom"/>
          </w:tcPr>
          <w:p>
            <w:pPr>
              <w:spacing w:after="0"/>
              <w:rPr>
                <w:sz w:val="11"/>
                <w:szCs w:val="11"/>
                <w:color w:val="auto"/>
              </w:rPr>
            </w:pPr>
          </w:p>
        </w:tc>
      </w:tr>
      <w:tr>
        <w:trPr>
          <w:trHeight w:val="133"/>
        </w:trPr>
        <w:tc>
          <w:tcPr>
            <w:tcW w:w="3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Renewable Energy</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20" w:type="dxa"/>
            <w:vAlign w:val="bottom"/>
          </w:tcPr>
          <w:p>
            <w:pPr>
              <w:spacing w:after="0"/>
              <w:rPr>
                <w:sz w:val="12"/>
                <w:szCs w:val="12"/>
                <w:color w:val="auto"/>
              </w:rPr>
            </w:pPr>
          </w:p>
        </w:tc>
      </w:tr>
      <w:tr>
        <w:trPr>
          <w:trHeight w:val="144"/>
        </w:trPr>
        <w:tc>
          <w:tcPr>
            <w:tcW w:w="3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16,781</w:t>
            </w:r>
          </w:p>
        </w:tc>
        <w:tc>
          <w:tcPr>
            <w:tcW w:w="20" w:type="dxa"/>
            <w:vAlign w:val="bottom"/>
          </w:tcPr>
          <w:p>
            <w:pPr>
              <w:spacing w:after="0"/>
              <w:rPr>
                <w:sz w:val="12"/>
                <w:szCs w:val="12"/>
                <w:color w:val="auto"/>
              </w:rPr>
            </w:pPr>
          </w:p>
        </w:tc>
      </w:tr>
      <w:tr>
        <w:trPr>
          <w:trHeight w:val="133"/>
        </w:trPr>
        <w:tc>
          <w:tcPr>
            <w:tcW w:w="308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5,146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11,635</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17,198</w:t>
            </w:r>
          </w:p>
        </w:tc>
        <w:tc>
          <w:tcPr>
            <w:tcW w:w="20" w:type="dxa"/>
            <w:vAlign w:val="bottom"/>
          </w:tcPr>
          <w:p>
            <w:pPr>
              <w:spacing w:after="0"/>
              <w:rPr>
                <w:sz w:val="11"/>
                <w:szCs w:val="11"/>
                <w:color w:val="auto"/>
              </w:rPr>
            </w:pPr>
          </w:p>
        </w:tc>
      </w:tr>
      <w:tr>
        <w:trPr>
          <w:trHeight w:val="140"/>
        </w:trPr>
        <w:tc>
          <w:tcPr>
            <w:tcW w:w="30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342,859</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259,431</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53,858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43,604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102,731</w:t>
            </w:r>
          </w:p>
        </w:tc>
        <w:tc>
          <w:tcPr>
            <w:tcW w:w="20" w:type="dxa"/>
            <w:vAlign w:val="bottom"/>
          </w:tcPr>
          <w:p>
            <w:pPr>
              <w:spacing w:after="0"/>
              <w:rPr>
                <w:sz w:val="12"/>
                <w:szCs w:val="12"/>
                <w:color w:val="auto"/>
              </w:rPr>
            </w:pPr>
          </w:p>
        </w:tc>
      </w:tr>
      <w:tr>
        <w:trPr>
          <w:trHeight w:val="144"/>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7,775</w:t>
            </w:r>
          </w:p>
        </w:tc>
        <w:tc>
          <w:tcPr>
            <w:tcW w:w="20" w:type="dxa"/>
            <w:vAlign w:val="bottom"/>
          </w:tcPr>
          <w:p>
            <w:pPr>
              <w:spacing w:after="0"/>
              <w:rPr>
                <w:sz w:val="12"/>
                <w:szCs w:val="12"/>
                <w:color w:val="auto"/>
              </w:rPr>
            </w:pPr>
          </w:p>
        </w:tc>
      </w:tr>
      <w:tr>
        <w:trPr>
          <w:trHeight w:val="1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6,581</w:t>
            </w:r>
          </w:p>
        </w:tc>
        <w:tc>
          <w:tcPr>
            <w:tcW w:w="20" w:type="dxa"/>
            <w:vAlign w:val="bottom"/>
          </w:tcPr>
          <w:p>
            <w:pPr>
              <w:spacing w:after="0"/>
              <w:rPr>
                <w:sz w:val="12"/>
                <w:szCs w:val="12"/>
                <w:color w:val="auto"/>
              </w:rPr>
            </w:pPr>
          </w:p>
        </w:tc>
      </w:tr>
      <w:tr>
        <w:trPr>
          <w:trHeight w:val="155"/>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33,899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(14,016)</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(2,459)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(32,450)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(15,026)</w:t>
            </w:r>
          </w:p>
        </w:tc>
        <w:tc>
          <w:tcPr>
            <w:tcW w:w="20" w:type="dxa"/>
            <w:vAlign w:val="bottom"/>
          </w:tcPr>
          <w:p>
            <w:pPr>
              <w:spacing w:after="0"/>
              <w:rPr>
                <w:sz w:val="13"/>
                <w:szCs w:val="13"/>
                <w:color w:val="auto"/>
              </w:rPr>
            </w:pPr>
          </w:p>
        </w:tc>
      </w:tr>
      <w:tr>
        <w:trPr>
          <w:trHeight w:val="709"/>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F-64</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69785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US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w w:val="98"/>
              </w:rPr>
              <w:t>Renewable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24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Energy (1)</w:t>
            </w: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Other (2)</w:t>
            </w: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20" w:type="dxa"/>
            <w:vAlign w:val="bottom"/>
          </w:tcPr>
          <w:p>
            <w:pPr>
              <w:spacing w:after="0"/>
              <w:rPr>
                <w:sz w:val="10"/>
                <w:szCs w:val="10"/>
                <w:color w:val="auto"/>
              </w:rPr>
            </w:pPr>
          </w:p>
        </w:tc>
      </w:tr>
      <w:tr>
        <w:trPr>
          <w:trHeight w:val="133"/>
        </w:trPr>
        <w:tc>
          <w:tcPr>
            <w:tcW w:w="2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84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4,319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686"/>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4,723</w:t>
            </w:r>
          </w:p>
        </w:tc>
        <w:tc>
          <w:tcPr>
            <w:tcW w:w="20" w:type="dxa"/>
            <w:vAlign w:val="bottom"/>
          </w:tcPr>
          <w:p>
            <w:pPr>
              <w:spacing w:after="0"/>
              <w:rPr>
                <w:sz w:val="12"/>
                <w:szCs w:val="12"/>
                <w:color w:val="auto"/>
              </w:rPr>
            </w:pPr>
          </w:p>
        </w:tc>
      </w:tr>
      <w:tr>
        <w:trPr>
          <w:trHeight w:val="144"/>
        </w:trPr>
        <w:tc>
          <w:tcPr>
            <w:tcW w:w="2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6"/>
              </w:rPr>
              <w:t>78,817</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9,222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88,039</w:t>
            </w:r>
          </w:p>
        </w:tc>
        <w:tc>
          <w:tcPr>
            <w:tcW w:w="20" w:type="dxa"/>
            <w:vAlign w:val="bottom"/>
          </w:tcPr>
          <w:p>
            <w:pPr>
              <w:spacing w:after="0"/>
              <w:rPr>
                <w:sz w:val="12"/>
                <w:szCs w:val="12"/>
                <w:color w:val="auto"/>
              </w:rPr>
            </w:pPr>
          </w:p>
        </w:tc>
      </w:tr>
      <w:tr>
        <w:trPr>
          <w:trHeight w:val="133"/>
        </w:trPr>
        <w:tc>
          <w:tcPr>
            <w:tcW w:w="244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6"/>
              </w:rPr>
              <w:t>83,136</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9,626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92,762</w:t>
            </w:r>
          </w:p>
        </w:tc>
        <w:tc>
          <w:tcPr>
            <w:tcW w:w="20" w:type="dxa"/>
            <w:vAlign w:val="bottom"/>
          </w:tcPr>
          <w:p>
            <w:pPr>
              <w:spacing w:after="0"/>
              <w:rPr>
                <w:sz w:val="11"/>
                <w:szCs w:val="11"/>
                <w:color w:val="auto"/>
              </w:rPr>
            </w:pPr>
          </w:p>
        </w:tc>
      </w:tr>
      <w:tr>
        <w:trPr>
          <w:trHeight w:val="133"/>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6"/>
              </w:rPr>
              <w:t>67,776</w:t>
            </w:r>
          </w:p>
        </w:tc>
        <w:tc>
          <w:tcPr>
            <w:tcW w:w="240" w:type="dxa"/>
            <w:vAlign w:val="bottom"/>
          </w:tcPr>
          <w:p>
            <w:pPr>
              <w:spacing w:after="0"/>
              <w:rPr>
                <w:sz w:val="11"/>
                <w:szCs w:val="11"/>
                <w:color w:val="auto"/>
              </w:rPr>
            </w:pPr>
          </w:p>
        </w:tc>
        <w:tc>
          <w:tcPr>
            <w:tcW w:w="1040" w:type="dxa"/>
            <w:vAlign w:val="bottom"/>
            <w:gridSpan w:val="4"/>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10,237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78,013</w:t>
            </w:r>
          </w:p>
        </w:tc>
        <w:tc>
          <w:tcPr>
            <w:tcW w:w="20" w:type="dxa"/>
            <w:vAlign w:val="bottom"/>
          </w:tcPr>
          <w:p>
            <w:pPr>
              <w:spacing w:after="0"/>
              <w:rPr>
                <w:sz w:val="11"/>
                <w:szCs w:val="11"/>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162,599</w:t>
            </w:r>
          </w:p>
        </w:tc>
        <w:tc>
          <w:tcPr>
            <w:tcW w:w="24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174,631</w:t>
            </w:r>
          </w:p>
        </w:tc>
        <w:tc>
          <w:tcPr>
            <w:tcW w:w="20" w:type="dxa"/>
            <w:vAlign w:val="bottom"/>
          </w:tcPr>
          <w:p>
            <w:pPr>
              <w:spacing w:after="0"/>
              <w:rPr>
                <w:sz w:val="12"/>
                <w:szCs w:val="12"/>
                <w:color w:val="auto"/>
              </w:rPr>
            </w:pPr>
          </w:p>
        </w:tc>
      </w:tr>
      <w:tr>
        <w:trPr>
          <w:trHeight w:val="133"/>
        </w:trPr>
        <w:tc>
          <w:tcPr>
            <w:tcW w:w="244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gridSpan w:val="4"/>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230,375</w:t>
            </w:r>
          </w:p>
        </w:tc>
        <w:tc>
          <w:tcPr>
            <w:tcW w:w="240" w:type="dxa"/>
            <w:vAlign w:val="bottom"/>
            <w:tcBorders>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gridSpan w:val="4"/>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22,269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252,644</w:t>
            </w:r>
          </w:p>
        </w:tc>
        <w:tc>
          <w:tcPr>
            <w:tcW w:w="20" w:type="dxa"/>
            <w:vAlign w:val="bottom"/>
          </w:tcPr>
          <w:p>
            <w:pPr>
              <w:spacing w:after="0"/>
              <w:rPr>
                <w:sz w:val="11"/>
                <w:szCs w:val="11"/>
                <w:color w:val="auto"/>
              </w:rPr>
            </w:pPr>
          </w:p>
        </w:tc>
      </w:tr>
      <w:tr>
        <w:trPr>
          <w:trHeight w:val="151"/>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Carrier Services</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7,120</w:t>
            </w:r>
          </w:p>
        </w:tc>
        <w:tc>
          <w:tcPr>
            <w:tcW w:w="24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79,448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86,568</w:t>
            </w:r>
          </w:p>
        </w:tc>
        <w:tc>
          <w:tcPr>
            <w:tcW w:w="20" w:type="dxa"/>
            <w:vAlign w:val="bottom"/>
          </w:tcPr>
          <w:p>
            <w:pPr>
              <w:spacing w:after="0"/>
              <w:rPr>
                <w:sz w:val="13"/>
                <w:szCs w:val="13"/>
                <w:color w:val="auto"/>
              </w:rPr>
            </w:pPr>
          </w:p>
        </w:tc>
      </w:tr>
      <w:tr>
        <w:trPr>
          <w:trHeight w:val="162"/>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1,535</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20" w:type="dxa"/>
            <w:vAlign w:val="bottom"/>
          </w:tcPr>
          <w:p>
            <w:pPr>
              <w:spacing w:after="0"/>
              <w:rPr>
                <w:sz w:val="14"/>
                <w:szCs w:val="14"/>
                <w:color w:val="auto"/>
              </w:rPr>
            </w:pPr>
          </w:p>
        </w:tc>
      </w:tr>
      <w:tr>
        <w:trPr>
          <w:trHeight w:val="133"/>
        </w:trPr>
        <w:tc>
          <w:tcPr>
            <w:tcW w:w="244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gridSpan w:val="4"/>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322,166</w:t>
            </w: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gridSpan w:val="4"/>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111,343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433,509</w:t>
            </w:r>
          </w:p>
        </w:tc>
        <w:tc>
          <w:tcPr>
            <w:tcW w:w="20" w:type="dxa"/>
            <w:vAlign w:val="bottom"/>
          </w:tcPr>
          <w:p>
            <w:pPr>
              <w:spacing w:after="0"/>
              <w:rPr>
                <w:sz w:val="11"/>
                <w:szCs w:val="11"/>
                <w:color w:val="auto"/>
              </w:rPr>
            </w:pPr>
          </w:p>
        </w:tc>
      </w:tr>
      <w:tr>
        <w:trPr>
          <w:trHeight w:val="133"/>
        </w:trPr>
        <w:tc>
          <w:tcPr>
            <w:tcW w:w="24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gridSpan w:val="4"/>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10,913</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10,913</w:t>
            </w:r>
          </w:p>
        </w:tc>
        <w:tc>
          <w:tcPr>
            <w:tcW w:w="20" w:type="dxa"/>
            <w:vAlign w:val="bottom"/>
          </w:tcPr>
          <w:p>
            <w:pPr>
              <w:spacing w:after="0"/>
              <w:rPr>
                <w:sz w:val="11"/>
                <w:szCs w:val="11"/>
                <w:color w:val="auto"/>
              </w:rPr>
            </w:pPr>
          </w:p>
        </w:tc>
      </w:tr>
      <w:tr>
        <w:trPr>
          <w:trHeight w:val="133"/>
        </w:trPr>
        <w:tc>
          <w:tcPr>
            <w:tcW w:w="2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Energy</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4,555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4,555</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6,467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6,467</w:t>
            </w:r>
          </w:p>
        </w:tc>
        <w:tc>
          <w:tcPr>
            <w:tcW w:w="20" w:type="dxa"/>
            <w:vAlign w:val="bottom"/>
          </w:tcPr>
          <w:p>
            <w:pPr>
              <w:spacing w:after="0"/>
              <w:rPr>
                <w:sz w:val="12"/>
                <w:szCs w:val="12"/>
                <w:color w:val="auto"/>
              </w:rPr>
            </w:pPr>
          </w:p>
        </w:tc>
      </w:tr>
      <w:tr>
        <w:trPr>
          <w:trHeight w:val="133"/>
        </w:trPr>
        <w:tc>
          <w:tcPr>
            <w:tcW w:w="244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6,467</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4,555</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11,022</w:t>
            </w:r>
          </w:p>
        </w:tc>
        <w:tc>
          <w:tcPr>
            <w:tcW w:w="20" w:type="dxa"/>
            <w:vAlign w:val="bottom"/>
          </w:tcPr>
          <w:p>
            <w:pPr>
              <w:spacing w:after="0"/>
              <w:rPr>
                <w:sz w:val="11"/>
                <w:szCs w:val="11"/>
                <w:color w:val="auto"/>
              </w:rPr>
            </w:pPr>
          </w:p>
        </w:tc>
      </w:tr>
      <w:tr>
        <w:trPr>
          <w:trHeight w:val="153"/>
        </w:trPr>
        <w:tc>
          <w:tcPr>
            <w:tcW w:w="2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4"/>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328,633</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gridSpan w:val="4"/>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122,256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4,555</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455,444</w:t>
            </w:r>
          </w:p>
        </w:tc>
        <w:tc>
          <w:tcPr>
            <w:tcW w:w="20" w:type="dxa"/>
            <w:vAlign w:val="bottom"/>
          </w:tcPr>
          <w:p>
            <w:pPr>
              <w:spacing w:after="0"/>
              <w:rPr>
                <w:sz w:val="13"/>
                <w:szCs w:val="13"/>
                <w:color w:val="auto"/>
              </w:rPr>
            </w:pPr>
          </w:p>
        </w:tc>
      </w:tr>
      <w:tr>
        <w:trPr>
          <w:trHeight w:val="131"/>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Depreciation</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gridSpan w:val="3"/>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w w:val="96"/>
              </w:rPr>
              <w:t>54,477</w:t>
            </w:r>
          </w:p>
        </w:tc>
        <w:tc>
          <w:tcPr>
            <w:tcW w:w="240" w:type="dxa"/>
            <w:vAlign w:val="bottom"/>
          </w:tcPr>
          <w:p>
            <w:pPr>
              <w:spacing w:after="0"/>
              <w:rPr>
                <w:sz w:val="11"/>
                <w:szCs w:val="11"/>
                <w:color w:val="auto"/>
              </w:rPr>
            </w:pPr>
          </w:p>
        </w:tc>
        <w:tc>
          <w:tcPr>
            <w:tcW w:w="1040" w:type="dxa"/>
            <w:vAlign w:val="bottom"/>
            <w:gridSpan w:val="4"/>
          </w:tcPr>
          <w:p>
            <w:pPr>
              <w:jc w:val="right"/>
              <w:ind w:right="20"/>
              <w:spacing w:after="0" w:line="131" w:lineRule="exact"/>
              <w:rPr>
                <w:sz w:val="20"/>
                <w:szCs w:val="20"/>
                <w:color w:val="auto"/>
              </w:rPr>
            </w:pPr>
            <w:r>
              <w:rPr>
                <w:rFonts w:ascii="Times New Roman" w:cs="Times New Roman" w:eastAsia="Times New Roman" w:hAnsi="Times New Roman"/>
                <w:sz w:val="12"/>
                <w:szCs w:val="12"/>
                <w:color w:val="auto"/>
              </w:rPr>
              <w:t>23,325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2"/>
                <w:szCs w:val="12"/>
                <w:color w:val="auto"/>
              </w:rPr>
              <w:t>2,216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2"/>
                <w:szCs w:val="12"/>
                <w:color w:val="auto"/>
              </w:rPr>
              <w:t>6,486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86,504</w:t>
            </w:r>
          </w:p>
        </w:tc>
        <w:tc>
          <w:tcPr>
            <w:tcW w:w="20" w:type="dxa"/>
            <w:vAlign w:val="bottom"/>
          </w:tcPr>
          <w:p>
            <w:pPr>
              <w:spacing w:after="0"/>
              <w:rPr>
                <w:sz w:val="11"/>
                <w:szCs w:val="11"/>
                <w:color w:val="auto"/>
              </w:rPr>
            </w:pPr>
          </w:p>
        </w:tc>
      </w:tr>
      <w:tr>
        <w:trPr>
          <w:trHeight w:val="14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1,807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w:t>
            </w:r>
          </w:p>
        </w:tc>
        <w:tc>
          <w:tcPr>
            <w:tcW w:w="20" w:type="dxa"/>
            <w:vAlign w:val="bottom"/>
          </w:tcPr>
          <w:p>
            <w:pPr>
              <w:spacing w:after="0"/>
              <w:rPr>
                <w:sz w:val="12"/>
                <w:szCs w:val="12"/>
                <w:color w:val="auto"/>
              </w:rPr>
            </w:pPr>
          </w:p>
        </w:tc>
      </w:tr>
      <w:tr>
        <w:trPr>
          <w:trHeight w:val="162"/>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5,912</w:t>
            </w:r>
          </w:p>
        </w:tc>
        <w:tc>
          <w:tcPr>
            <w:tcW w:w="20" w:type="dxa"/>
            <w:vAlign w:val="bottom"/>
          </w:tcPr>
          <w:p>
            <w:pPr>
              <w:spacing w:after="0"/>
              <w:rPr>
                <w:sz w:val="14"/>
                <w:szCs w:val="14"/>
                <w:color w:val="auto"/>
              </w:rPr>
            </w:pPr>
          </w:p>
        </w:tc>
      </w:tr>
      <w:tr>
        <w:trPr>
          <w:trHeight w:val="16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58,924</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7,971</w:t>
            </w:r>
          </w:p>
        </w:tc>
        <w:tc>
          <w:tcPr>
            <w:tcW w:w="10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(23,749)</w:t>
            </w:r>
          </w:p>
        </w:tc>
        <w:tc>
          <w:tcPr>
            <w:tcW w:w="1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(33,966)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9,180</w:t>
            </w:r>
          </w:p>
        </w:tc>
        <w:tc>
          <w:tcPr>
            <w:tcW w:w="20" w:type="dxa"/>
            <w:vAlign w:val="bottom"/>
          </w:tcPr>
          <w:p>
            <w:pPr>
              <w:spacing w:after="0"/>
              <w:rPr>
                <w:sz w:val="14"/>
                <w:szCs w:val="14"/>
                <w:color w:val="auto"/>
              </w:rPr>
            </w:pPr>
          </w:p>
        </w:tc>
      </w:tr>
      <w:tr>
        <w:trPr>
          <w:trHeight w:val="433"/>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US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Renewable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w w:val="99"/>
              </w:rPr>
              <w:t>Telecom</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Energy (1)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Other (2)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w w:val="92"/>
              </w:rPr>
              <w:t>Consolidated</w:t>
            </w:r>
          </w:p>
        </w:tc>
        <w:tc>
          <w:tcPr>
            <w:tcW w:w="20" w:type="dxa"/>
            <w:vAlign w:val="bottom"/>
          </w:tcPr>
          <w:p>
            <w:pPr>
              <w:spacing w:after="0"/>
              <w:rPr>
                <w:sz w:val="10"/>
                <w:szCs w:val="10"/>
                <w:color w:val="auto"/>
              </w:rPr>
            </w:pPr>
          </w:p>
        </w:tc>
      </w:tr>
      <w:tr>
        <w:trPr>
          <w:trHeight w:val="133"/>
        </w:trPr>
        <w:tc>
          <w:tcPr>
            <w:tcW w:w="2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2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33"/>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Cash, cash equivalents, and short-term</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w:t>
            </w:r>
          </w:p>
        </w:tc>
        <w:tc>
          <w:tcPr>
            <w:tcW w:w="640" w:type="dxa"/>
            <w:vAlign w:val="bottom"/>
            <w:gridSpan w:val="2"/>
          </w:tcPr>
          <w:p>
            <w:pPr>
              <w:jc w:val="right"/>
              <w:ind w:right="29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25,345</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22,679</w:t>
            </w: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60" w:type="dxa"/>
            <w:vAlign w:val="bottom"/>
          </w:tcPr>
          <w:p>
            <w:pPr>
              <w:spacing w:after="0"/>
              <w:rPr>
                <w:sz w:val="13"/>
                <w:szCs w:val="13"/>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6,474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54,960</w:t>
            </w:r>
          </w:p>
        </w:tc>
        <w:tc>
          <w:tcPr>
            <w:tcW w:w="20" w:type="dxa"/>
            <w:vAlign w:val="bottom"/>
          </w:tcPr>
          <w:p>
            <w:pPr>
              <w:spacing w:after="0"/>
              <w:rPr>
                <w:sz w:val="13"/>
                <w:szCs w:val="13"/>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105,324</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116,038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229,688</w:t>
            </w:r>
          </w:p>
        </w:tc>
        <w:tc>
          <w:tcPr>
            <w:tcW w:w="20" w:type="dxa"/>
            <w:vAlign w:val="bottom"/>
            <w:shd w:val="clear" w:color="auto" w:fill="CCEEFF"/>
          </w:tcPr>
          <w:p>
            <w:pPr>
              <w:spacing w:after="0"/>
              <w:rPr>
                <w:sz w:val="12"/>
                <w:szCs w:val="12"/>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462,447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585,969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7,538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1,055,954</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20" w:type="dxa"/>
            <w:vAlign w:val="bottom"/>
            <w:shd w:val="clear" w:color="auto" w:fill="CCEEFF"/>
          </w:tcPr>
          <w:p>
            <w:pPr>
              <w:spacing w:after="0"/>
              <w:rPr>
                <w:sz w:val="12"/>
                <w:szCs w:val="12"/>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643,664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980,543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69,233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1,707,869</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86,738</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119,755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26,326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233,180</w:t>
            </w:r>
          </w:p>
        </w:tc>
        <w:tc>
          <w:tcPr>
            <w:tcW w:w="20" w:type="dxa"/>
            <w:vAlign w:val="bottom"/>
            <w:shd w:val="clear" w:color="auto" w:fill="CCEEFF"/>
          </w:tcPr>
          <w:p>
            <w:pPr>
              <w:spacing w:after="0"/>
              <w:rPr>
                <w:sz w:val="12"/>
                <w:szCs w:val="12"/>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debt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59,659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308,589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467,248</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3"/>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Cash, cash equivalents, and short-term</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w:t>
            </w:r>
          </w:p>
        </w:tc>
        <w:tc>
          <w:tcPr>
            <w:tcW w:w="640" w:type="dxa"/>
            <w:vAlign w:val="bottom"/>
            <w:gridSpan w:val="2"/>
          </w:tcPr>
          <w:p>
            <w:pPr>
              <w:jc w:val="right"/>
              <w:ind w:right="29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43,128</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28,486</w:t>
            </w: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60" w:type="dxa"/>
            <w:vAlign w:val="bottom"/>
          </w:tcPr>
          <w:p>
            <w:pPr>
              <w:spacing w:after="0"/>
              <w:rPr>
                <w:sz w:val="13"/>
                <w:szCs w:val="13"/>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7,628</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79,901</w:t>
            </w:r>
          </w:p>
        </w:tc>
        <w:tc>
          <w:tcPr>
            <w:tcW w:w="20" w:type="dxa"/>
            <w:vAlign w:val="bottom"/>
          </w:tcPr>
          <w:p>
            <w:pPr>
              <w:spacing w:after="0"/>
              <w:rPr>
                <w:sz w:val="13"/>
                <w:szCs w:val="13"/>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108,677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111,741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232,617</w:t>
            </w:r>
          </w:p>
        </w:tc>
        <w:tc>
          <w:tcPr>
            <w:tcW w:w="20" w:type="dxa"/>
            <w:vAlign w:val="bottom"/>
            <w:shd w:val="clear" w:color="auto" w:fill="CCEEFF"/>
          </w:tcPr>
          <w:p>
            <w:pPr>
              <w:spacing w:after="0"/>
              <w:rPr>
                <w:sz w:val="12"/>
                <w:szCs w:val="12"/>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452,856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480,250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10,103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943,209</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20" w:type="dxa"/>
            <w:vAlign w:val="bottom"/>
            <w:shd w:val="clear" w:color="auto" w:fill="CCEEFF"/>
          </w:tcPr>
          <w:p>
            <w:pPr>
              <w:spacing w:after="0"/>
              <w:rPr>
                <w:sz w:val="12"/>
                <w:szCs w:val="12"/>
                <w:color w:val="auto"/>
              </w:rPr>
            </w:pPr>
          </w:p>
        </w:tc>
      </w:tr>
      <w:tr>
        <w:trPr>
          <w:trHeight w:val="144"/>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630,515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877,041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17,481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83,567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1,608,604</w:t>
            </w:r>
          </w:p>
        </w:tc>
        <w:tc>
          <w:tcPr>
            <w:tcW w:w="20" w:type="dxa"/>
            <w:vAlign w:val="bottom"/>
          </w:tcPr>
          <w:p>
            <w:pPr>
              <w:spacing w:after="0"/>
              <w:rPr>
                <w:sz w:val="12"/>
                <w:szCs w:val="12"/>
                <w:color w:val="auto"/>
              </w:rPr>
            </w:pPr>
          </w:p>
        </w:tc>
      </w:tr>
      <w:tr>
        <w:trPr>
          <w:trHeight w:val="144"/>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91,090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108,950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20,548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220,944</w:t>
            </w:r>
          </w:p>
        </w:tc>
        <w:tc>
          <w:tcPr>
            <w:tcW w:w="20" w:type="dxa"/>
            <w:vAlign w:val="bottom"/>
            <w:shd w:val="clear" w:color="auto" w:fill="CCEEFF"/>
          </w:tcPr>
          <w:p>
            <w:pPr>
              <w:spacing w:after="0"/>
              <w:rPr>
                <w:sz w:val="12"/>
                <w:szCs w:val="12"/>
                <w:color w:val="auto"/>
              </w:rPr>
            </w:pPr>
          </w:p>
        </w:tc>
      </w:tr>
      <w:tr>
        <w:trPr>
          <w:trHeight w:val="155"/>
        </w:trPr>
        <w:tc>
          <w:tcPr>
            <w:tcW w:w="2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debt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64,243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240,802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61,499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366,544</w:t>
            </w:r>
          </w:p>
        </w:tc>
        <w:tc>
          <w:tcPr>
            <w:tcW w:w="20" w:type="dxa"/>
            <w:vAlign w:val="bottom"/>
          </w:tcPr>
          <w:p>
            <w:pPr>
              <w:spacing w:after="0"/>
              <w:rPr>
                <w:sz w:val="13"/>
                <w:szCs w:val="13"/>
                <w:color w:val="auto"/>
              </w:rPr>
            </w:pPr>
          </w:p>
        </w:tc>
      </w:tr>
    </w:tbl>
    <w:p>
      <w:pPr>
        <w:spacing w:after="0" w:line="122" w:lineRule="exact"/>
        <w:rPr>
          <w:sz w:val="20"/>
          <w:szCs w:val="20"/>
          <w:color w:val="auto"/>
        </w:rPr>
      </w:pPr>
    </w:p>
    <w:p>
      <w:pPr>
        <w:ind w:left="240" w:hanging="225"/>
        <w:spacing w:after="0"/>
        <w:tabs>
          <w:tab w:leader="none" w:pos="2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5 for a discussion of the Company’s disposition of its International Solar Business.</w:t>
      </w:r>
    </w:p>
    <w:p>
      <w:pPr>
        <w:spacing w:after="0" w:line="150" w:lineRule="exact"/>
        <w:rPr>
          <w:rFonts w:ascii="Times New Roman" w:cs="Times New Roman" w:eastAsia="Times New Roman" w:hAnsi="Times New Roman"/>
          <w:sz w:val="12"/>
          <w:szCs w:val="12"/>
          <w:color w:val="auto"/>
        </w:rPr>
      </w:pPr>
    </w:p>
    <w:p>
      <w:pPr>
        <w:ind w:left="240" w:hanging="225"/>
        <w:spacing w:after="0"/>
        <w:tabs>
          <w:tab w:leader="none" w:pos="2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Reconciling items refer to corporate overhead expenses and consolidating adjustments.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2" w:name="page143"/>
    <w:bookmarkEnd w:id="1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w w:val="94"/>
              </w:rPr>
              <w:t>Capital Expenditures</w:t>
            </w:r>
          </w:p>
        </w:tc>
        <w:tc>
          <w:tcPr>
            <w:tcW w:w="9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w w:val="91"/>
              </w:rPr>
              <w:t>Corporate and</w:t>
            </w:r>
          </w:p>
        </w:tc>
        <w:tc>
          <w:tcPr>
            <w:tcW w:w="380" w:type="dxa"/>
            <w:vAlign w:val="bottom"/>
          </w:tcPr>
          <w:p>
            <w:pPr>
              <w:spacing w:after="0"/>
              <w:rPr>
                <w:sz w:val="20"/>
                <w:szCs w:val="20"/>
                <w:color w:val="auto"/>
              </w:rPr>
            </w:pPr>
          </w:p>
        </w:tc>
        <w:tc>
          <w:tcPr>
            <w:tcW w:w="102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14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1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2022</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70,385</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ind w:left="580"/>
              <w:spacing w:after="0" w:line="133" w:lineRule="exact"/>
              <w:rPr>
                <w:sz w:val="20"/>
                <w:szCs w:val="20"/>
                <w:color w:val="auto"/>
              </w:rPr>
            </w:pPr>
            <w:r>
              <w:rPr>
                <w:rFonts w:ascii="Times New Roman" w:cs="Times New Roman" w:eastAsia="Times New Roman" w:hAnsi="Times New Roman"/>
                <w:sz w:val="12"/>
                <w:szCs w:val="12"/>
                <w:color w:val="auto"/>
              </w:rPr>
              <w:t>96,589</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1,045</w:t>
            </w:r>
          </w:p>
        </w:tc>
        <w:tc>
          <w:tcPr>
            <w:tcW w:w="38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168,019</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53,235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2,922</w:t>
            </w: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106,142</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Reconciling items refer to corporate overhead expenses and consolidating adjustments.</w:t>
      </w:r>
    </w:p>
    <w:p>
      <w:pPr>
        <w:spacing w:after="0" w:line="168"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table below identifies the Company’s revenues and long-lived assets by geographic location. The Company attributes revenue to geographic location based on location of the customer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79"/>
              </w:rPr>
              <w:t>2020</w:t>
            </w: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3"/>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Long-Lived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Long-Lived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Long-Lived</w:t>
            </w:r>
          </w:p>
        </w:tc>
      </w:tr>
      <w:tr>
        <w:trPr>
          <w:trHeight w:val="143"/>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40" w:type="dxa"/>
            <w:vAlign w:val="bottom"/>
          </w:tcPr>
          <w:p>
            <w:pPr>
              <w:spacing w:after="0"/>
              <w:rPr>
                <w:sz w:val="12"/>
                <w:szCs w:val="12"/>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40" w:type="dxa"/>
            <w:vAlign w:val="bottom"/>
          </w:tcPr>
          <w:p>
            <w:pPr>
              <w:spacing w:after="0"/>
              <w:rPr>
                <w:sz w:val="12"/>
                <w:szCs w:val="12"/>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Assets</w:t>
            </w:r>
          </w:p>
        </w:tc>
      </w:tr>
      <w:tr>
        <w:trPr>
          <w:trHeight w:val="142"/>
        </w:trPr>
        <w:tc>
          <w:tcPr>
            <w:tcW w:w="2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370,204</w:t>
            </w:r>
          </w:p>
        </w:tc>
        <w:tc>
          <w:tcPr>
            <w:tcW w:w="36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927,177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259,430</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840,251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122,256</w:t>
            </w:r>
          </w:p>
        </w:tc>
        <w:tc>
          <w:tcPr>
            <w:tcW w:w="3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308,138</w:t>
            </w:r>
          </w:p>
        </w:tc>
        <w:tc>
          <w:tcPr>
            <w:tcW w:w="40" w:type="dxa"/>
            <w:vAlign w:val="bottom"/>
            <w:shd w:val="clear" w:color="auto" w:fill="CCEEFF"/>
          </w:tcPr>
          <w:p>
            <w:pPr>
              <w:spacing w:after="0"/>
              <w:rPr>
                <w:sz w:val="13"/>
                <w:szCs w:val="13"/>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Guyana</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113,816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108,338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103,071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141,487</w:t>
            </w:r>
          </w:p>
        </w:tc>
        <w:tc>
          <w:tcPr>
            <w:tcW w:w="40" w:type="dxa"/>
            <w:vAlign w:val="bottom"/>
          </w:tcPr>
          <w:p>
            <w:pPr>
              <w:spacing w:after="0"/>
              <w:rPr>
                <w:sz w:val="13"/>
                <w:szCs w:val="13"/>
                <w:color w:val="auto"/>
              </w:rPr>
            </w:pPr>
          </w:p>
        </w:tc>
      </w:tr>
      <w:tr>
        <w:trPr>
          <w:trHeight w:val="15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Virgin Islands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93,264</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209,101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94,310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210,448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90,368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230,630</w:t>
            </w:r>
          </w:p>
        </w:tc>
        <w:tc>
          <w:tcPr>
            <w:tcW w:w="40" w:type="dxa"/>
            <w:vAlign w:val="bottom"/>
            <w:shd w:val="clear" w:color="auto" w:fill="CCEEFF"/>
          </w:tcPr>
          <w:p>
            <w:pPr>
              <w:spacing w:after="0"/>
              <w:rPr>
                <w:sz w:val="13"/>
                <w:szCs w:val="13"/>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Bermuda</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110,337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104,671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107,885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103,471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116,346</w:t>
            </w:r>
          </w:p>
        </w:tc>
        <w:tc>
          <w:tcPr>
            <w:tcW w:w="40" w:type="dxa"/>
            <w:vAlign w:val="bottom"/>
          </w:tcPr>
          <w:p>
            <w:pPr>
              <w:spacing w:after="0"/>
              <w:rPr>
                <w:sz w:val="13"/>
                <w:szCs w:val="13"/>
                <w:color w:val="auto"/>
              </w:rPr>
            </w:pPr>
          </w:p>
        </w:tc>
      </w:tr>
      <w:tr>
        <w:trPr>
          <w:trHeight w:val="15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Foreign Countries</w:t>
            </w: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38,124</w:t>
            </w: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67,058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35,958</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64,775</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36,278</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47,045</w:t>
            </w:r>
          </w:p>
        </w:tc>
        <w:tc>
          <w:tcPr>
            <w:tcW w:w="40" w:type="dxa"/>
            <w:vAlign w:val="bottom"/>
            <w:shd w:val="clear" w:color="auto" w:fill="CCEEFF"/>
          </w:tcPr>
          <w:p>
            <w:pPr>
              <w:spacing w:after="0"/>
              <w:rPr>
                <w:sz w:val="13"/>
                <w:szCs w:val="13"/>
                <w:color w:val="auto"/>
              </w:rPr>
            </w:pPr>
          </w:p>
        </w:tc>
      </w:tr>
      <w:tr>
        <w:trPr>
          <w:trHeight w:val="140"/>
        </w:trPr>
        <w:tc>
          <w:tcPr>
            <w:tcW w:w="266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1,478,180</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1,375,986</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455,444</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843,646</w:t>
            </w:r>
          </w:p>
        </w:tc>
        <w:tc>
          <w:tcPr>
            <w:tcW w:w="4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3" w:name="page144"/>
    <w:bookmarkEnd w:id="1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VALUATION AND QUALIFYING ACCOUNTS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4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Balance at</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Purchase</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Charged to</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Balance</w:t>
            </w:r>
          </w:p>
        </w:tc>
      </w:tr>
      <w:tr>
        <w:trPr>
          <w:trHeight w:val="162"/>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Beginning</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Costs and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0"/>
              </w:rPr>
              <w:t>at End</w:t>
            </w:r>
          </w:p>
        </w:tc>
      </w:tr>
      <w:tr>
        <w:trPr>
          <w:trHeight w:val="152"/>
        </w:trPr>
        <w:tc>
          <w:tcPr>
            <w:tcW w:w="4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of Year</w:t>
            </w:r>
          </w:p>
        </w:tc>
        <w:tc>
          <w:tcPr>
            <w:tcW w:w="8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Accounting</w:t>
            </w:r>
          </w:p>
        </w:tc>
        <w:tc>
          <w:tcPr>
            <w:tcW w:w="8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Expenses</w:t>
            </w: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Deductions</w:t>
            </w:r>
          </w:p>
        </w:tc>
        <w:tc>
          <w:tcPr>
            <w:tcW w:w="14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of Year</w:t>
            </w:r>
          </w:p>
        </w:tc>
      </w:tr>
      <w:tr>
        <w:trPr>
          <w:trHeight w:val="142"/>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2020</w:t>
            </w: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Valuation allowance on foreign net operating losses and other deferred taxes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31,014</w:t>
            </w:r>
          </w:p>
        </w:tc>
        <w:tc>
          <w:tcPr>
            <w:tcW w:w="20" w:type="dxa"/>
            <w:vAlign w:val="bottom"/>
          </w:tcPr>
          <w:p>
            <w:pPr>
              <w:spacing w:after="0"/>
              <w:rPr>
                <w:sz w:val="14"/>
                <w:szCs w:val="14"/>
                <w:color w:val="auto"/>
              </w:rPr>
            </w:pPr>
          </w:p>
        </w:tc>
      </w:tr>
      <w:tr>
        <w:trPr>
          <w:trHeight w:val="162"/>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12,121</w:t>
            </w:r>
          </w:p>
        </w:tc>
        <w:tc>
          <w:tcPr>
            <w:tcW w:w="20" w:type="dxa"/>
            <w:vAlign w:val="bottom"/>
          </w:tcPr>
          <w:p>
            <w:pPr>
              <w:spacing w:after="0"/>
              <w:rPr>
                <w:sz w:val="14"/>
                <w:szCs w:val="14"/>
                <w:color w:val="auto"/>
              </w:rPr>
            </w:pPr>
          </w:p>
        </w:tc>
      </w:tr>
      <w:tr>
        <w:trPr>
          <w:trHeight w:val="153"/>
        </w:trPr>
        <w:tc>
          <w:tcPr>
            <w:tcW w:w="40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52,130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5,785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14,780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right w:val="single" w:sz="8" w:color="CCEEFF"/>
            </w:tcBorders>
            <w:shd w:val="clear" w:color="auto" w:fill="CCEEFF"/>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43,135</w:t>
            </w:r>
          </w:p>
        </w:tc>
        <w:tc>
          <w:tcPr>
            <w:tcW w:w="20" w:type="dxa"/>
            <w:vAlign w:val="bottom"/>
          </w:tcPr>
          <w:p>
            <w:pPr>
              <w:spacing w:after="0"/>
              <w:rPr>
                <w:sz w:val="13"/>
                <w:szCs w:val="13"/>
                <w:color w:val="auto"/>
              </w:rPr>
            </w:pPr>
          </w:p>
        </w:tc>
      </w:tr>
      <w:tr>
        <w:trPr>
          <w:trHeight w:val="131"/>
        </w:trPr>
        <w:tc>
          <w:tcPr>
            <w:tcW w:w="40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YEAR ENDED, December 31, 2021</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Valuation allowance on foreign net operating losses and other deferred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31,014</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33,642</w:t>
            </w:r>
          </w:p>
        </w:tc>
        <w:tc>
          <w:tcPr>
            <w:tcW w:w="20" w:type="dxa"/>
            <w:vAlign w:val="bottom"/>
          </w:tcPr>
          <w:p>
            <w:pPr>
              <w:spacing w:after="0"/>
              <w:rPr>
                <w:sz w:val="14"/>
                <w:szCs w:val="14"/>
                <w:color w:val="auto"/>
              </w:rPr>
            </w:pPr>
          </w:p>
        </w:tc>
      </w:tr>
      <w:tr>
        <w:trPr>
          <w:trHeight w:val="16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13,885</w:t>
            </w:r>
          </w:p>
        </w:tc>
        <w:tc>
          <w:tcPr>
            <w:tcW w:w="20" w:type="dxa"/>
            <w:vAlign w:val="bottom"/>
          </w:tcPr>
          <w:p>
            <w:pPr>
              <w:spacing w:after="0"/>
              <w:rPr>
                <w:sz w:val="14"/>
                <w:szCs w:val="14"/>
                <w:color w:val="auto"/>
              </w:rPr>
            </w:pPr>
          </w:p>
        </w:tc>
      </w:tr>
      <w:tr>
        <w:trPr>
          <w:trHeight w:val="140"/>
        </w:trPr>
        <w:tc>
          <w:tcPr>
            <w:tcW w:w="40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43,135</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ind w:left="4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7,478</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3,086</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47,527</w:t>
            </w:r>
          </w:p>
        </w:tc>
        <w:tc>
          <w:tcPr>
            <w:tcW w:w="20" w:type="dxa"/>
            <w:vAlign w:val="bottom"/>
          </w:tcPr>
          <w:p>
            <w:pPr>
              <w:spacing w:after="0"/>
              <w:rPr>
                <w:sz w:val="12"/>
                <w:szCs w:val="12"/>
                <w:color w:val="auto"/>
              </w:rPr>
            </w:pPr>
          </w:p>
        </w:tc>
      </w:tr>
      <w:tr>
        <w:trPr>
          <w:trHeight w:val="14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2022</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Valuation allowance on foreign net operating losses and other deferred taxes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35,759</w:t>
            </w:r>
          </w:p>
        </w:tc>
        <w:tc>
          <w:tcPr>
            <w:tcW w:w="20" w:type="dxa"/>
            <w:vAlign w:val="bottom"/>
          </w:tcPr>
          <w:p>
            <w:pPr>
              <w:spacing w:after="0"/>
              <w:rPr>
                <w:sz w:val="14"/>
                <w:szCs w:val="14"/>
                <w:color w:val="auto"/>
              </w:rPr>
            </w:pPr>
          </w:p>
        </w:tc>
      </w:tr>
      <w:tr>
        <w:trPr>
          <w:trHeight w:val="162"/>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15,171</w:t>
            </w:r>
          </w:p>
        </w:tc>
        <w:tc>
          <w:tcPr>
            <w:tcW w:w="20" w:type="dxa"/>
            <w:vAlign w:val="bottom"/>
          </w:tcPr>
          <w:p>
            <w:pPr>
              <w:spacing w:after="0"/>
              <w:rPr>
                <w:sz w:val="14"/>
                <w:szCs w:val="14"/>
                <w:color w:val="auto"/>
              </w:rPr>
            </w:pPr>
          </w:p>
        </w:tc>
      </w:tr>
      <w:tr>
        <w:trPr>
          <w:trHeight w:val="140"/>
        </w:trPr>
        <w:tc>
          <w:tcPr>
            <w:tcW w:w="40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47,527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5,945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right w:val="single" w:sz="8" w:color="CCEEFF"/>
            </w:tcBorders>
            <w:shd w:val="clear" w:color="auto" w:fill="CCEEFF"/>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50,930</w:t>
            </w:r>
          </w:p>
        </w:tc>
        <w:tc>
          <w:tcPr>
            <w:tcW w:w="20" w:type="dxa"/>
            <w:vAlign w:val="bottom"/>
          </w:tcPr>
          <w:p>
            <w:pPr>
              <w:spacing w:after="0"/>
              <w:rPr>
                <w:sz w:val="12"/>
                <w:szCs w:val="12"/>
                <w:color w:val="auto"/>
              </w:rPr>
            </w:pPr>
          </w:p>
        </w:tc>
      </w:tr>
      <w:tr>
        <w:trPr>
          <w:trHeight w:val="873"/>
        </w:trPr>
        <w:tc>
          <w:tcPr>
            <w:tcW w:w="4080" w:type="dxa"/>
            <w:vAlign w:val="bottom"/>
          </w:tcPr>
          <w:p>
            <w:pPr>
              <w:spacing w:after="0"/>
              <w:rPr>
                <w:sz w:val="24"/>
                <w:szCs w:val="24"/>
                <w:color w:val="auto"/>
              </w:rPr>
            </w:pPr>
          </w:p>
        </w:tc>
        <w:tc>
          <w:tcPr>
            <w:tcW w:w="820" w:type="dxa"/>
            <w:vAlign w:val="bottom"/>
            <w:gridSpan w:val="2"/>
          </w:tcPr>
          <w:p>
            <w:pPr>
              <w:jc w:val="right"/>
              <w:ind w:right="246"/>
              <w:spacing w:after="0"/>
              <w:rPr>
                <w:sz w:val="20"/>
                <w:szCs w:val="20"/>
                <w:color w:val="auto"/>
              </w:rPr>
            </w:pPr>
            <w:r>
              <w:rPr>
                <w:rFonts w:ascii="Times New Roman" w:cs="Times New Roman" w:eastAsia="Times New Roman" w:hAnsi="Times New Roman"/>
                <w:sz w:val="12"/>
                <w:szCs w:val="12"/>
                <w:color w:val="auto"/>
              </w:rPr>
              <w:t>F-67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4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44" w:name="page145"/>
    <w:bookmarkEnd w:id="144"/>
    <w:p>
      <w:pPr>
        <w:jc w:val="right"/>
        <w:ind w:right="199"/>
        <w:spacing w:after="0"/>
        <w:rPr>
          <w:sz w:val="20"/>
          <w:szCs w:val="20"/>
          <w:color w:val="auto"/>
        </w:rPr>
      </w:pPr>
      <w:r>
        <w:rPr>
          <w:rFonts w:ascii="Times New Roman" w:cs="Times New Roman" w:eastAsia="Times New Roman" w:hAnsi="Times New Roman"/>
          <w:sz w:val="14"/>
          <w:szCs w:val="14"/>
          <w:color w:val="auto"/>
        </w:rPr>
        <w:t>Exhibit 10.11</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 OF EXECUTIVE AGREEMENT</w:t>
      </w:r>
    </w:p>
    <w:p>
      <w:pPr>
        <w:spacing w:after="0" w:line="14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THIS EXECUTIVE AGREEMENT (this “Agreement”), dated as of [DATE] (the “Effective Date”), is made and entered by and between ATN International, Inc., a Delaware corporation (the “Company”), and [NAME] (the “Executive”).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WITNESSETH:</w:t>
      </w:r>
    </w:p>
    <w:p>
      <w:pPr>
        <w:spacing w:after="0" w:line="14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serves as the [TITLE] of the Company, and is expected to continue to contribute to the short- and long-term profitability, growth, and financial strength of the Company;</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Board (as defined below) has determined that appropriate steps should be taken to encourage and reinforce the continued attention and dedication of members of the Company’s management, including the Executive, to their assigned duties without distraction; and</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previously executed an Executive Severance Agreement on [DATE] (the “Original Agreement”) and the Executive and the Company hereby agree to supersede and replace the Original Agreement with this Agreement;]</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hereby agrees that the terms of this Agreement, in addition to the Executive continuing employment with the Company, constitute good and valuable consideration and, thereby, agrees, together with the Company, to be legally bound by this Agreement; and</w:t>
      </w:r>
    </w:p>
    <w:p>
      <w:pPr>
        <w:spacing w:after="0" w:line="90" w:lineRule="exact"/>
        <w:rPr>
          <w:sz w:val="20"/>
          <w:szCs w:val="20"/>
          <w:color w:val="auto"/>
        </w:rPr>
      </w:pPr>
    </w:p>
    <w:p>
      <w:pPr>
        <w:jc w:val="both"/>
        <w:ind w:left="180" w:right="199" w:firstLine="432"/>
        <w:spacing w:after="0" w:line="261" w:lineRule="auto"/>
        <w:rPr>
          <w:sz w:val="20"/>
          <w:szCs w:val="20"/>
          <w:color w:val="auto"/>
        </w:rPr>
      </w:pPr>
      <w:r>
        <w:rPr>
          <w:rFonts w:ascii="Times New Roman" w:cs="Times New Roman" w:eastAsia="Times New Roman" w:hAnsi="Times New Roman"/>
          <w:sz w:val="14"/>
          <w:szCs w:val="14"/>
          <w:color w:val="auto"/>
        </w:rPr>
        <w:t>WHEREAS, in consideration of the Executive’s employment with the Company, the Company desires to provide the Executive with certain compensation and benefits set forth in this Agreement in the event the Executive’s employment with the Company is terminated by the Company for a reason related to, or unrelated to, a Change in Control (as defined below) of the Company.</w:t>
      </w:r>
    </w:p>
    <w:p>
      <w:pPr>
        <w:spacing w:after="0" w:line="10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the mutual covenants and agreements hereinafter set forth and intending to be legally bound hereby, the Company and the Executive agree as follows:</w:t>
      </w:r>
    </w:p>
    <w:p>
      <w:pPr>
        <w:spacing w:after="0" w:line="90" w:lineRule="exact"/>
        <w:rPr>
          <w:sz w:val="20"/>
          <w:szCs w:val="20"/>
          <w:color w:val="auto"/>
        </w:rPr>
      </w:pPr>
    </w:p>
    <w:p>
      <w:pPr>
        <w:ind w:left="180" w:right="199" w:firstLine="1"/>
        <w:spacing w:after="0" w:line="282" w:lineRule="auto"/>
        <w:tabs>
          <w:tab w:leader="none" w:pos="6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Defined Terms</w:t>
      </w:r>
      <w:r>
        <w:rPr>
          <w:rFonts w:ascii="Times New Roman" w:cs="Times New Roman" w:eastAsia="Times New Roman" w:hAnsi="Times New Roman"/>
          <w:sz w:val="14"/>
          <w:szCs w:val="14"/>
          <w:color w:val="auto"/>
        </w:rPr>
        <w:t>. In addition to terms defined elsewhere herein, the following terms have the following meanings when used in this Agreement:</w:t>
      </w:r>
    </w:p>
    <w:p>
      <w:pPr>
        <w:spacing w:after="0" w:line="89"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Pay” means the Executive’s annual base salary rate, exclusive of bonuses, commissions and other Incentive Pay, as in effect on the Termination Date.</w:t>
      </w:r>
    </w:p>
    <w:p>
      <w:pPr>
        <w:spacing w:after="0" w:line="89"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means the Board of Directors of the Company.</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means a determination by the Company’s Chief Executive Officer (in the case of a Non-Change in Control Involuntary Termination) or by the Board (in the case of a Change in Control Involuntary Termination), in their discretion, that the Executive has committed any of the following acts; provided that, with respect to clauses (i), (ii), (iii) and (v) only, the Executive shall not have cured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411480</wp:posOffset>
            </wp:positionV>
            <wp:extent cx="54864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jc w:val="both"/>
        <w:ind w:left="1040" w:right="199"/>
        <w:spacing w:after="0" w:line="261" w:lineRule="auto"/>
        <w:rPr>
          <w:sz w:val="20"/>
          <w:szCs w:val="20"/>
          <w:color w:val="auto"/>
        </w:rPr>
      </w:pPr>
      <w:r>
        <w:rPr>
          <w:rFonts w:ascii="Times New Roman" w:cs="Times New Roman" w:eastAsia="Times New Roman" w:hAnsi="Times New Roman"/>
          <w:sz w:val="14"/>
          <w:szCs w:val="14"/>
          <w:color w:val="auto"/>
        </w:rPr>
        <w:t>breach, or act (if not willful misconduct and if curable, both as determined in the good faith discretion of the Board) within thirty (30) days of the Chief Executive Officer or the Board (as determined above) providing Executive with written notice of the condition (specifying with reasonable particularity the condition):</w:t>
      </w:r>
    </w:p>
    <w:p>
      <w:pPr>
        <w:spacing w:after="0" w:line="105" w:lineRule="exact"/>
        <w:rPr>
          <w:sz w:val="20"/>
          <w:szCs w:val="20"/>
          <w:color w:val="auto"/>
        </w:rPr>
      </w:pPr>
    </w:p>
    <w:p>
      <w:pPr>
        <w:ind w:left="1480" w:right="199" w:hanging="435"/>
        <w:spacing w:after="0" w:line="282" w:lineRule="auto"/>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or material failure to perform job duties and responsibilities (other than by reason of serious physical or mental illness, injury, or medical condition);</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refusal to comply in any material respect with material Company policies or lawful directives of the Board;</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55" w:lineRule="auto"/>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breach of any contract or agreement between the Executive and the Company (including but not limited to this Agreement and any other confidentiality, restrictive covenant, assignment of inventions agreement or similar agreement between Executive and the Company), or material breach of any statutory duty, fiduciary duty or any other obligation that Executive owes to the Company;</w:t>
      </w:r>
    </w:p>
    <w:p>
      <w:pPr>
        <w:spacing w:after="0" w:line="107" w:lineRule="exact"/>
        <w:rPr>
          <w:rFonts w:ascii="Times New Roman" w:cs="Times New Roman" w:eastAsia="Times New Roman" w:hAnsi="Times New Roman"/>
          <w:sz w:val="14"/>
          <w:szCs w:val="14"/>
          <w:color w:val="auto"/>
        </w:rPr>
      </w:pPr>
    </w:p>
    <w:p>
      <w:pPr>
        <w:ind w:left="1480" w:right="199" w:hanging="435"/>
        <w:spacing w:after="0" w:line="261" w:lineRule="auto"/>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 of an act of fraud, theft, embezzlement or other unlawful act against the Company or involving its property or assets;</w:t>
      </w:r>
    </w:p>
    <w:p>
      <w:pPr>
        <w:spacing w:after="0" w:line="292" w:lineRule="exact"/>
        <w:rPr>
          <w:rFonts w:ascii="Times New Roman" w:cs="Times New Roman" w:eastAsia="Times New Roman" w:hAnsi="Times New Roman"/>
          <w:sz w:val="14"/>
          <w:szCs w:val="14"/>
          <w:color w:val="auto"/>
        </w:rPr>
      </w:pPr>
    </w:p>
    <w:p>
      <w:pPr>
        <w:ind w:left="1480" w:right="199" w:hanging="435"/>
        <w:spacing w:after="0" w:line="282" w:lineRule="auto"/>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unprofessional, unethical or other intentional acts that materially discredit the Company or are materially detrimental to the reputation, character or standing of the Company; or</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indictment or conviction or plea of nolo contendere or guilty plea with respect to any felony or crime of moral turpitude.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means:</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46" w:lineRule="auto"/>
        <w:tabs>
          <w:tab w:leader="none" w:pos="14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entity or group (within the meaning of Section 13(2)(3) or 14(d)(2) of the Securities Exchange Act of 1934, as amended) acquires beneficial ownership of securities of the Company representing more than 50% of the combined voting power of the Company's then outstanding securities other than by virtue of a merger, consolidation or similar transaction. Notwithstanding the foregoing, a Change in Control will not be deemed to occur solely because the level of beneficial ownership held by any such person, entity or group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that, assuming the repurchase or other acquisition had not occurred, increases the percentage of the then outstanding voting securities beneficially owned by the Subject Person over</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46" w:name="page147"/>
    <w:bookmarkEnd w:id="146"/>
    <w:p>
      <w:pPr>
        <w:ind w:left="1480"/>
        <w:spacing w:after="0"/>
        <w:rPr>
          <w:sz w:val="20"/>
          <w:szCs w:val="20"/>
          <w:color w:val="auto"/>
        </w:rPr>
      </w:pPr>
      <w:r>
        <w:rPr>
          <w:rFonts w:ascii="Times New Roman" w:cs="Times New Roman" w:eastAsia="Times New Roman" w:hAnsi="Times New Roman"/>
          <w:sz w:val="14"/>
          <w:szCs w:val="14"/>
          <w:color w:val="auto"/>
        </w:rPr>
        <w:t>the designated percentage threshold, then a Change in Control will be deemed to occur;</w:t>
      </w:r>
    </w:p>
    <w:p>
      <w:pPr>
        <w:spacing w:after="0" w:line="145" w:lineRule="exact"/>
        <w:rPr>
          <w:sz w:val="20"/>
          <w:szCs w:val="20"/>
          <w:color w:val="auto"/>
        </w:rPr>
      </w:pPr>
    </w:p>
    <w:p>
      <w:pPr>
        <w:jc w:val="both"/>
        <w:ind w:left="1480" w:right="199" w:hanging="435"/>
        <w:spacing w:after="0" w:line="248" w:lineRule="auto"/>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beneficially own,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beneficial ownership of the outstanding voting securities of the Company immediately prior to such transaction;</w:t>
      </w:r>
    </w:p>
    <w:p>
      <w:pPr>
        <w:spacing w:after="0" w:line="113" w:lineRule="exact"/>
        <w:rPr>
          <w:rFonts w:ascii="Times New Roman" w:cs="Times New Roman" w:eastAsia="Times New Roman" w:hAnsi="Times New Roman"/>
          <w:sz w:val="14"/>
          <w:szCs w:val="14"/>
          <w:color w:val="auto"/>
        </w:rPr>
      </w:pPr>
    </w:p>
    <w:p>
      <w:pPr>
        <w:jc w:val="both"/>
        <w:ind w:left="1480" w:right="199" w:hanging="435"/>
        <w:spacing w:after="0" w:line="250" w:lineRule="auto"/>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beneficially owned by stockholders of the Company in substantially the same proportions as their beneficial ownership of the outstanding voting securities of the Company immediately prior to such sale, lease, license or other disposition; or</w:t>
      </w:r>
    </w:p>
    <w:p>
      <w:pPr>
        <w:spacing w:after="0" w:line="277" w:lineRule="exact"/>
        <w:rPr>
          <w:rFonts w:ascii="Times New Roman" w:cs="Times New Roman" w:eastAsia="Times New Roman" w:hAnsi="Times New Roman"/>
          <w:sz w:val="14"/>
          <w:szCs w:val="14"/>
          <w:color w:val="auto"/>
        </w:rPr>
      </w:pPr>
    </w:p>
    <w:p>
      <w:pPr>
        <w:jc w:val="both"/>
        <w:ind w:left="1480" w:right="199" w:hanging="435"/>
        <w:spacing w:after="0" w:line="251" w:lineRule="auto"/>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who, on the date of this Agreement, are members of the Board (the “Incumbent Board”) cease, during any 12-month period,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Agreement, be considered as a member of the Incumbent Board.</w:t>
      </w:r>
    </w:p>
    <w:p>
      <w:pPr>
        <w:spacing w:after="0" w:line="112" w:lineRule="exact"/>
        <w:rPr>
          <w:sz w:val="20"/>
          <w:szCs w:val="20"/>
          <w:color w:val="auto"/>
        </w:rPr>
      </w:pPr>
    </w:p>
    <w:p>
      <w:pPr>
        <w:jc w:val="both"/>
        <w:ind w:left="1040" w:right="199" w:firstLine="54"/>
        <w:spacing w:after="0" w:line="256" w:lineRule="auto"/>
        <w:rPr>
          <w:sz w:val="20"/>
          <w:szCs w:val="20"/>
          <w:color w:val="auto"/>
        </w:rPr>
      </w:pPr>
      <w:r>
        <w:rPr>
          <w:rFonts w:ascii="Times New Roman" w:cs="Times New Roman" w:eastAsia="Times New Roman" w:hAnsi="Times New Roman"/>
          <w:sz w:val="14"/>
          <w:szCs w:val="14"/>
          <w:color w:val="auto"/>
        </w:rPr>
        <w:t>To the extent required for compliance with Section 409A of the Code, in no event will a Change in Control be deemed to have occurred if such transaction is not also a “change in the ownership of” or a “change in the effective control of” or a “change in the ownership of a substantial portion of the assets of” the Company as determined under (without regard to any alternative definition thereunder).</w:t>
      </w:r>
    </w:p>
    <w:p>
      <w:pPr>
        <w:spacing w:after="0" w:line="277" w:lineRule="exact"/>
        <w:rPr>
          <w:sz w:val="20"/>
          <w:szCs w:val="20"/>
          <w:color w:val="auto"/>
        </w:rPr>
      </w:pPr>
    </w:p>
    <w:p>
      <w:pPr>
        <w:jc w:val="both"/>
        <w:ind w:left="1040" w:right="199" w:hanging="427"/>
        <w:spacing w:after="0" w:line="255" w:lineRule="auto"/>
        <w:tabs>
          <w:tab w:leader="none" w:pos="10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Involuntary Termination” means the termination of the Executive’s employment by the Company within the period beginning three months before, and ending twelve months following, a Change in Control, for any reason other than Cause, the Executive’s death or the Executive’s Disability. For purposes of the preceding sentence, a Good Reason Termination shall be considered to be a “termination of the Executive’s employment by the Company”.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47" w:name="page148"/>
    <w:bookmarkEnd w:id="147"/>
    <w:p>
      <w:pPr>
        <w:ind w:left="1040" w:hanging="427"/>
        <w:spacing w:after="0"/>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“COBRA” means the Consolidated Omnibus Budget Reconciliation Act of 1985, as amended.</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means the Internal Revenue Code of 1986, as amended.</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“Disability” means the Executive becomes permanently disabled within the meaning of, and begins actually to receive disability benefits pursuant to Social Security Disability Income or the long-term disability plan in effect for, or applicable to, the Executive.</w:t>
      </w:r>
    </w:p>
    <w:p>
      <w:pPr>
        <w:spacing w:after="0" w:line="89"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 means any stock option, stock appreciation, stock purchase, restricted stock, restricted stock unit, long term incentive cash bonus award or any other kind of equity-based plan, program, arrangement or grant regardless of whether the form of distribution is in stock or cash.</w:t>
      </w:r>
    </w:p>
    <w:p>
      <w:pPr>
        <w:spacing w:after="0" w:line="104"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Reason Termination” shall mean a termination of the Executive’s employment initiated by the Executive as a result of the occurrence of any of the following without the Executive’s prior written consent:</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reduction in the Executive’s duties, title or responsibilities;</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61" w:lineRule="auto"/>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reduction in the Executive’s annual base salary, except that an aggregate reduction in annual base salary of up to ten percent (10%) that is instituted as a result of a broad-based reduction in base salaries for the Company’s executives as a whole shall not be considered to constitute a basis for a Good Reason Termination;</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53" w:lineRule="auto"/>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relocation of the Executive’s principal place of employment to a location more than fifty (50) miles from the Executive’s prior principal place of employment (unless such relocation does not increase the Executive’s commute by more than twenty</w:t>
      </w:r>
    </w:p>
    <w:p>
      <w:pPr>
        <w:jc w:val="both"/>
        <w:ind w:left="1480" w:right="199" w:hanging="3"/>
        <w:spacing w:after="0" w:line="253" w:lineRule="auto"/>
        <w:tabs>
          <w:tab w:leader="none" w:pos="1766"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 except that required travel on the Company’s business (to an extent substantially consistent with the Executive’s prior business travel obligations for the Company) shall not be considered to constitute a basis for a Good Reason Termination; or</w:t>
      </w:r>
    </w:p>
    <w:p>
      <w:pPr>
        <w:spacing w:after="0" w:line="274" w:lineRule="exact"/>
        <w:rPr>
          <w:rFonts w:ascii="Times New Roman" w:cs="Times New Roman" w:eastAsia="Times New Roman" w:hAnsi="Times New Roman"/>
          <w:sz w:val="14"/>
          <w:szCs w:val="14"/>
          <w:color w:val="auto"/>
        </w:rPr>
      </w:pPr>
    </w:p>
    <w:p>
      <w:pPr>
        <w:ind w:left="1480" w:right="199" w:hanging="435"/>
        <w:spacing w:after="0" w:line="282" w:lineRule="auto"/>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obtain an agreement from any successor to the Company to assume and agree to perform the obligations under this Agreement.</w:t>
      </w:r>
    </w:p>
    <w:p>
      <w:pPr>
        <w:spacing w:after="0" w:line="90" w:lineRule="exact"/>
        <w:rPr>
          <w:sz w:val="20"/>
          <w:szCs w:val="20"/>
          <w:color w:val="auto"/>
        </w:rPr>
      </w:pPr>
    </w:p>
    <w:p>
      <w:pPr>
        <w:jc w:val="both"/>
        <w:ind w:left="1040" w:right="199"/>
        <w:spacing w:after="0" w:line="251" w:lineRule="auto"/>
        <w:rPr>
          <w:sz w:val="20"/>
          <w:szCs w:val="20"/>
          <w:color w:val="auto"/>
        </w:rPr>
      </w:pPr>
      <w:r>
        <w:rPr>
          <w:rFonts w:ascii="Times New Roman" w:cs="Times New Roman" w:eastAsia="Times New Roman" w:hAnsi="Times New Roman"/>
          <w:sz w:val="14"/>
          <w:szCs w:val="14"/>
          <w:color w:val="auto"/>
        </w:rPr>
        <w:t>A Good Reason Termination must be initiated, in a writing to the Company, by the Executive within sixty (60) days following the earlier of (i) the initial notification, or (ii) the initial instance, of the condition giving rise to the Good Reason Termination. The Company shall have thirty (30) days in which to cure the condition otherwise giving rise to the Good Reason Termination. In the event that the Company does not cure the condition, then the Good Reason Termination shall be effective as of the end of the thirty (30) day cure period. In the event that the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48" w:name="page149"/>
    <w:bookmarkEnd w:id="148"/>
    <w:p>
      <w:pPr>
        <w:ind w:left="1040" w:right="199"/>
        <w:spacing w:after="0" w:line="282" w:lineRule="auto"/>
        <w:rPr>
          <w:sz w:val="20"/>
          <w:szCs w:val="20"/>
          <w:color w:val="auto"/>
        </w:rPr>
      </w:pPr>
      <w:r>
        <w:rPr>
          <w:rFonts w:ascii="Times New Roman" w:cs="Times New Roman" w:eastAsia="Times New Roman" w:hAnsi="Times New Roman"/>
          <w:sz w:val="14"/>
          <w:szCs w:val="14"/>
          <w:color w:val="auto"/>
        </w:rPr>
        <w:t>Company does cure the condition (as determined in the reasonable discretion of the Board, with respect to subparagraphs (i) and (ii)) otherwise giving rise to the Good Reason Termination, then no termination of employment shall occur.</w:t>
      </w:r>
    </w:p>
    <w:p>
      <w:pPr>
        <w:spacing w:after="0" w:line="90" w:lineRule="exact"/>
        <w:rPr>
          <w:sz w:val="20"/>
          <w:szCs w:val="20"/>
          <w:color w:val="auto"/>
        </w:rPr>
      </w:pPr>
    </w:p>
    <w:p>
      <w:pPr>
        <w:jc w:val="both"/>
        <w:ind w:left="1040" w:right="199" w:hanging="427"/>
        <w:spacing w:after="0" w:line="248" w:lineRule="auto"/>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Pay” means the maximum bonus or similar incentive compensation opportunity as established by the Company for which the Executive was eligible for the year during which the Termination Date occurs (and if no such maximum bonus or similar compensation opportunity has been established by the Company for the year during which the Termination Date occurs, then “Incentive Pay” means the maximum bonus or similar incentive compensation opportunity for which the Executive was eligible for the most recent year prior to the year during which the Termination Date occurs for which such bonus or similar incentive compensation opportunity was established). For purposes of this definition, “Incentive Pay” does not include any Equity Compensation, or any amounts specifically designated by the parties as amounts other than Incentive Pay.</w:t>
      </w:r>
    </w:p>
    <w:p>
      <w:pPr>
        <w:spacing w:after="0" w:line="113" w:lineRule="exact"/>
        <w:rPr>
          <w:rFonts w:ascii="Times New Roman" w:cs="Times New Roman" w:eastAsia="Times New Roman" w:hAnsi="Times New Roman"/>
          <w:sz w:val="14"/>
          <w:szCs w:val="14"/>
          <w:color w:val="auto"/>
        </w:rPr>
      </w:pPr>
    </w:p>
    <w:p>
      <w:pPr>
        <w:ind w:left="1040" w:right="199" w:hanging="427"/>
        <w:spacing w:after="0" w:line="255" w:lineRule="auto"/>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“Non-Change in Control Involuntary Termination” means the termination of the Executive’s employment by the Company (other than a Change in Control Involuntary Termination) for any reason other than Cause, the Executive’s death or the Executive’s Disability. For purposes of the preceding sentence, a Good Reason Termination shall be considered to be a “termination of the Executive’s employment by the Company”.</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6" w:lineRule="auto"/>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Territory” means the countries in which the Company operates, does business, or is taking steps to do business. For purposes of the Executive’s non-compete restrictions following employment, the Restricted Territory includes all geographic areas in which he or she, during any time within the last two (2) years of employment, provided services or had a material presence or influence.</w:t>
      </w:r>
    </w:p>
    <w:p>
      <w:pPr>
        <w:spacing w:after="0" w:line="276"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Period” means the twelve (12) month period after the Executive’s Termination Date.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means any Company controlled affiliate.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Date” means the last day of the Executive’s employment with the Company.</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Employment” means, except as provided in the following sentence, the termination of the Executive’s active employment relationship with the Company on account of a Non-Change in Control Involuntary Termination or a Change in Control Involuntary Termination. For purposes of the restrictive covenant provision of Section 7 of the Agreement, the term “Termination of Employment” shall mean the termination of the Executive’s employment relationship with the Company for any reason, including, but not limited to, the Executive’s Non-Change in Control Involuntary Termination, Change in Control Involuntary Termination, voluntary termination, termination on account of Disability, or termination by the Company for Cause.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49" w:name="page150"/>
    <w:bookmarkEnd w:id="149"/>
    <w:p>
      <w:pPr>
        <w:ind w:left="620" w:hanging="439"/>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Not in Connection with a Change in Control</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Non-Change in Control Involuntary Termination</w:t>
      </w:r>
      <w:r>
        <w:rPr>
          <w:rFonts w:ascii="Times New Roman" w:cs="Times New Roman" w:eastAsia="Times New Roman" w:hAnsi="Times New Roman"/>
          <w:sz w:val="14"/>
          <w:szCs w:val="14"/>
          <w:color w:val="auto"/>
        </w:rPr>
        <w:t>. In the event the Executive’s employment is terminated on account of a Non-Change in Control Involuntary Termination, the Executive shall be entitled to the benefits provided in subsection (b) of this Section 2.</w:t>
      </w:r>
    </w:p>
    <w:p>
      <w:pPr>
        <w:spacing w:after="0" w:line="89"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Benefits Upon a Non-Change in Control Involuntary Termination</w:t>
      </w:r>
      <w:r>
        <w:rPr>
          <w:rFonts w:ascii="Times New Roman" w:cs="Times New Roman" w:eastAsia="Times New Roman" w:hAnsi="Times New Roman"/>
          <w:sz w:val="14"/>
          <w:szCs w:val="14"/>
          <w:color w:val="auto"/>
        </w:rPr>
        <w:t>. Subject to the provisions of Section 5 hereof, in the event a termination described in subsection (a) of this Section 2 occurs, the Company shall pay and provide to the Executive after his or her Termination Date:</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56" w:lineRule="auto"/>
        <w:tabs>
          <w:tab w:leader="none" w:pos="14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(1) times Base Pay. Unless a different payment stream is required pursuant to Section 10(c) of this Agreement, such Base Pay shall be paid in cash to the Executive in equal installments over the Severance Period consistent with the Company’s normal payroll practices, starting as of the first pay period following the expiration of the Revocation Period defined in Section 5.</w:t>
      </w:r>
    </w:p>
    <w:p>
      <w:pPr>
        <w:spacing w:after="0" w:line="276" w:lineRule="exact"/>
        <w:rPr>
          <w:rFonts w:ascii="Times New Roman" w:cs="Times New Roman" w:eastAsia="Times New Roman" w:hAnsi="Times New Roman"/>
          <w:sz w:val="14"/>
          <w:szCs w:val="14"/>
          <w:color w:val="auto"/>
        </w:rPr>
      </w:pPr>
    </w:p>
    <w:p>
      <w:pPr>
        <w:jc w:val="both"/>
        <w:ind w:left="1480" w:right="199" w:hanging="435"/>
        <w:spacing w:after="0" w:line="246" w:lineRule="auto"/>
        <w:tabs>
          <w:tab w:leader="none" w:pos="14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Severance Period, provided the Executive (i) timely signed and did not revoke the Release, (ii) timely elects COBRA coverage, (iii) timely remits payment, and (iv) remains eligible for COBRA continuation coverage under the Company’s group health plan, the Executive shall only be required to pay active employee rates, as in effect from time-to-time. In the event a tax issue arises with respect to the payment of premiums at active employee rates during the Severance Period, the Executive will be required to pay the full COBRA premium rate, as in effect from time-to-time. In such event, and only during the Severance Period, the Company will reimburse the Executive, on an after-tax basis, for each payment amount that the Executive pays that is greater than the then-in-effect active employee rate under the Company’s group health plan. Following the end of the Severance Period, the Executive will be required to pay the full COBRA rate with no reimbursement for the duration of the COBRA continuation period. Any reimbursement will be made at the same time and in the same form as set forth in 2(b)(i) above.</w:t>
      </w:r>
    </w:p>
    <w:p>
      <w:pPr>
        <w:spacing w:after="0" w:line="278" w:lineRule="exact"/>
        <w:rPr>
          <w:rFonts w:ascii="Times New Roman" w:cs="Times New Roman" w:eastAsia="Times New Roman" w:hAnsi="Times New Roman"/>
          <w:sz w:val="14"/>
          <w:szCs w:val="14"/>
          <w:color w:val="auto"/>
        </w:rPr>
      </w:pPr>
    </w:p>
    <w:p>
      <w:pPr>
        <w:jc w:val="both"/>
        <w:ind w:left="1480" w:right="199" w:hanging="435"/>
        <w:spacing w:after="0" w:line="255" w:lineRule="auto"/>
        <w:tabs>
          <w:tab w:leader="none" w:pos="14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Equity Compensation that is not vested on the Termination Date shall terminate or shall be forfeited to the Company by the Executive, effective as of the Termination Date, except as may be determined otherwise pursuant to the written terms of such Equity Compensation plan or grant agreement (it being the intent that the Executive shall be able to exercise vested options in accord with their respective option agreements).</w:t>
      </w:r>
    </w:p>
    <w:p>
      <w:pPr>
        <w:spacing w:after="0" w:line="107" w:lineRule="exact"/>
        <w:rPr>
          <w:rFonts w:ascii="Times New Roman" w:cs="Times New Roman" w:eastAsia="Times New Roman" w:hAnsi="Times New Roman"/>
          <w:sz w:val="14"/>
          <w:szCs w:val="14"/>
          <w:color w:val="auto"/>
        </w:rPr>
      </w:pPr>
    </w:p>
    <w:p>
      <w:pPr>
        <w:ind w:left="620" w:hanging="439"/>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Associated With a Change in Control</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Involuntary Termination. In the event the Executive’s employment is terminated on account of a Change in Control Involuntary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0" w:name="page151"/>
    <w:bookmarkEnd w:id="150"/>
    <w:p>
      <w:pPr>
        <w:ind w:left="1040"/>
        <w:spacing w:after="0"/>
        <w:rPr>
          <w:sz w:val="20"/>
          <w:szCs w:val="20"/>
          <w:color w:val="auto"/>
        </w:rPr>
      </w:pPr>
      <w:r>
        <w:rPr>
          <w:rFonts w:ascii="Times New Roman" w:cs="Times New Roman" w:eastAsia="Times New Roman" w:hAnsi="Times New Roman"/>
          <w:sz w:val="14"/>
          <w:szCs w:val="14"/>
          <w:color w:val="auto"/>
        </w:rPr>
        <w:t>Termination, the Executive shall be entitled to the benefits provided in subsection (b) of this Section 3.</w:t>
      </w:r>
    </w:p>
    <w:p>
      <w:pPr>
        <w:spacing w:after="0" w:line="145" w:lineRule="exact"/>
        <w:rPr>
          <w:sz w:val="20"/>
          <w:szCs w:val="20"/>
          <w:color w:val="auto"/>
        </w:rPr>
      </w:pPr>
    </w:p>
    <w:p>
      <w:pPr>
        <w:jc w:val="both"/>
        <w:ind w:left="1040" w:right="199" w:hanging="427"/>
        <w:spacing w:after="0" w:line="261" w:lineRule="auto"/>
        <w:tabs>
          <w:tab w:leader="none" w:pos="10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and Benefits Upon a Change in Control Involuntary Termination. Subject to the provisions of Section 5 hereof, in the event a termination described in subsection (a) of this Section 3 occurs, the Company shall pay and provide to the Executive after his or her Termination Date:</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61" w:lineRule="auto"/>
        <w:tabs>
          <w:tab w:leader="none" w:pos="14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Lump sum cash payment equal to one (1) times Base Pay. Unless the payment is delayed pursuant to Section 10(c) of this Agreement, this lump sum cash payment shall be paid to the Executive within sixty (60) days after the expiration of the Revocation Period defined in Section 5.</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61" w:lineRule="auto"/>
        <w:tabs>
          <w:tab w:leader="none" w:pos="14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Lump sum cash payment equal to one (1) times the Executive’s Incentive Pay for the year in which the Termination of Employment occurs. Unless the payment is delayed pursuant to Section 10(c) of this Agreement, this lump sum payment shall be paid to the Executive within sixty (60) days after the expiration of the Revocation Period defined in Section 5.</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46" w:lineRule="auto"/>
        <w:tabs>
          <w:tab w:leader="none" w:pos="14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Severance Period, provided the Executive (i) timely signed and did not revoke the Release, (ii) timely elects COBRA coverage, (iii) timely remits payment, and (iv) remains eligible for COBRA continuation coverage under the Company’s group health plan, the Executive shall only be required to pay active employee rates, as in effect from time-to-time. In the event a tax issue arises with respect to the payment of premiums at active employee rates during the Severance Period, the Executive will be required to pay the full COBRA premium rate, as in effect from time-to-time. In such event, and only during the Severance Period, the Company will reimburse the Executive, on an after-tax basis, for each COBRA payment amount that the Executive pays that is greater than the then-in-effect active employee rate under the Company’s group health plan. Following the end of the Severance Period, the Executive will be required to pay the full COBRA rate with no reimbursement for the remainder of the COBRA continuation period. Any reimbursement will be made at the same time and in the same form as set forth in 3(b)(i) above.</w:t>
      </w:r>
    </w:p>
    <w:p>
      <w:pPr>
        <w:spacing w:after="0" w:line="278" w:lineRule="exact"/>
        <w:rPr>
          <w:rFonts w:ascii="Times New Roman" w:cs="Times New Roman" w:eastAsia="Times New Roman" w:hAnsi="Times New Roman"/>
          <w:sz w:val="14"/>
          <w:szCs w:val="14"/>
          <w:color w:val="auto"/>
        </w:rPr>
      </w:pPr>
    </w:p>
    <w:p>
      <w:pPr>
        <w:jc w:val="both"/>
        <w:ind w:left="1480" w:right="199" w:hanging="435"/>
        <w:spacing w:after="0" w:line="248" w:lineRule="auto"/>
        <w:tabs>
          <w:tab w:leader="none" w:pos="14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to the contrary in any applicable plan, program or agreement, or any contrary provision in this Agreement, in the event of a Change in Control Involuntary Termination, all Equity Compensation held by the Executive on the Termination Date subject to time-based vesting will become fully vested and/or exercisable, as the case may be, and all stock options held by the Executive shall remain exercisable, notwithstanding anything in any other agreement governing such options, for the longer of (i) a period of twelve (12) months after the Executive’s Termination Date, or (ii) the period set forth in the award agreement covering the option; provided, however, that in no event will the option be exercisable beyond its original term (if such date is earlier than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1" w:name="page152"/>
    <w:bookmarkEnd w:id="151"/>
    <w:p>
      <w:pPr>
        <w:jc w:val="both"/>
        <w:ind w:left="1480" w:right="199"/>
        <w:spacing w:after="0" w:line="251" w:lineRule="auto"/>
        <w:rPr>
          <w:sz w:val="20"/>
          <w:szCs w:val="20"/>
          <w:color w:val="auto"/>
        </w:rPr>
      </w:pPr>
      <w:r>
        <w:rPr>
          <w:rFonts w:ascii="Times New Roman" w:cs="Times New Roman" w:eastAsia="Times New Roman" w:hAnsi="Times New Roman"/>
          <w:sz w:val="14"/>
          <w:szCs w:val="14"/>
          <w:color w:val="auto"/>
        </w:rPr>
        <w:t>provided herein). If, at the time of a Change in Control, the Executive holds any Equity Compensation the vesting of which was made contingent upon the attainment of performance goals with respect to a performance period, upon the occurrence of a Change in Control, notwithstanding the terms of any such award (or any plan under which the award is made), the performance goals and vesting with respect to each such award shall be determined in accordance with the terms of any such award (or any plan under which the award is made).</w:t>
      </w:r>
    </w:p>
    <w:p>
      <w:pPr>
        <w:spacing w:after="0" w:line="112" w:lineRule="exact"/>
        <w:rPr>
          <w:sz w:val="20"/>
          <w:szCs w:val="20"/>
          <w:color w:val="auto"/>
        </w:rPr>
      </w:pPr>
    </w:p>
    <w:p>
      <w:pPr>
        <w:jc w:val="both"/>
        <w:ind w:left="180" w:right="199" w:firstLine="1"/>
        <w:spacing w:after="0" w:line="249" w:lineRule="auto"/>
        <w:tabs>
          <w:tab w:leader="none" w:pos="6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on Account of Disability, Cause or Death</w:t>
      </w:r>
      <w:r>
        <w:rPr>
          <w:rFonts w:ascii="Times New Roman" w:cs="Times New Roman" w:eastAsia="Times New Roman" w:hAnsi="Times New Roman"/>
          <w:sz w:val="14"/>
          <w:szCs w:val="14"/>
          <w:color w:val="auto"/>
        </w:rPr>
        <w:t>. Notwithstanding anything in this Agreement to the contrary, if the Executive’s employment terminates on account of Disability, the Executive shall be entitled to receive disability benefits under any disability program maintained by the Company that covers the Executive (subject, in all respects, to the terms of such plan), and the Executive shall not be considered to have terminated employment under this Agreement and shall not receive benefits pursuant to Sections 2 and 3 hereof. If the Executive’s employment terminates on account of Cause or because of his or her death, the Executive shall not be considered to have terminated employment under this Agreement and shall not receive benefits pursuant to Sections 2 or 3 hereof.</w:t>
      </w:r>
    </w:p>
    <w:p>
      <w:pPr>
        <w:spacing w:after="0" w:line="113" w:lineRule="exact"/>
        <w:rPr>
          <w:rFonts w:ascii="Times New Roman" w:cs="Times New Roman" w:eastAsia="Times New Roman" w:hAnsi="Times New Roman"/>
          <w:sz w:val="14"/>
          <w:szCs w:val="14"/>
          <w:color w:val="auto"/>
        </w:rPr>
      </w:pPr>
    </w:p>
    <w:p>
      <w:pPr>
        <w:jc w:val="both"/>
        <w:ind w:left="180" w:right="199" w:firstLine="1"/>
        <w:spacing w:after="0" w:line="246" w:lineRule="auto"/>
        <w:tabs>
          <w:tab w:leader="none" w:pos="6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Notwithstanding the foregoing, no payments shall be made or benefits provided under this Agreement unless the Executive executes and does not revoke, the Company’s standard written release, substantially in the form as attached hereto as Appendix A (the “Release”), of any and all claims against the Company and related parties, including all claims with respect to all matters arising out of the Executive’s employment by the Company (other than entitlements under the terms of this Agreement) or a termination thereof. The Release also contains a reaffirmation of the Executive’s non-compete covenant. The Executive understands and agrees that he or she has twenty-one (21) days to consider the Release. The Executive further understands that he or she has a right to revoke the Release by notifying the Company in writing, by hand delivery or electronic mail, within seven (7) business days of his or her execution of the Release (the “Revocation Period”). In the event that the Release is not executed and delivered to the Company on or before the twenty-second (22nd) day following delivery of the Release to the Executive, or in the event that the Executive notifies the Company of his or her revocation of the Release within seven (7) business days of his or her execution of it, then no payments shall be made to the Executive under this Agreement, other than amounts to which he or she is entitled to receive as a matter of law or contract.</w:t>
      </w:r>
    </w:p>
    <w:p>
      <w:pPr>
        <w:spacing w:after="0" w:line="113" w:lineRule="exact"/>
        <w:rPr>
          <w:rFonts w:ascii="Times New Roman" w:cs="Times New Roman" w:eastAsia="Times New Roman" w:hAnsi="Times New Roman"/>
          <w:sz w:val="14"/>
          <w:szCs w:val="14"/>
          <w:color w:val="auto"/>
        </w:rPr>
      </w:pPr>
    </w:p>
    <w:p>
      <w:pPr>
        <w:jc w:val="both"/>
        <w:ind w:left="180" w:right="199" w:firstLine="1"/>
        <w:spacing w:after="0" w:line="247" w:lineRule="auto"/>
        <w:tabs>
          <w:tab w:leader="none" w:pos="6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The Executive hereby covenants and agrees that he or she will not disclose to any person not employed by the Company, or use for any purpose other than in furtherance of his or her duties to the Company, any Confidential Information (as defined below) of the Company. For purposes of this Agreement, the term “Confidential Information” will include all information of any nature and in any form that is owned by the Company and that is not publicly available (other than by the Executive’s breach of this Section 6) or generally known to persons engaged in businesses similar or related to those of the Company. Confidential Information includes, without limitation, information regarding the Company’s financial matters, customers, employees, industry contracts, strategic business plans, product development (or other proprietary product data), marketing plans, consulting solutions and processes, and all other secrets and all other information of a confidential and proprietary nature. For purposes of the preceding two sentences,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2" w:name="page153"/>
    <w:bookmarkEnd w:id="152"/>
    <w:p>
      <w:pPr>
        <w:jc w:val="both"/>
        <w:ind w:left="180" w:right="199"/>
        <w:spacing w:after="0" w:line="246" w:lineRule="auto"/>
        <w:rPr>
          <w:sz w:val="20"/>
          <w:szCs w:val="20"/>
          <w:color w:val="auto"/>
        </w:rPr>
      </w:pPr>
      <w:r>
        <w:rPr>
          <w:rFonts w:ascii="Times New Roman" w:cs="Times New Roman" w:eastAsia="Times New Roman" w:hAnsi="Times New Roman"/>
          <w:sz w:val="14"/>
          <w:szCs w:val="14"/>
          <w:color w:val="auto"/>
        </w:rPr>
        <w:t>the term “Company” also includes any Subsidiary. The Executive understands and acknowledges that the above list is not exhaustive, and that Confidential Information also includes other information that is marked or otherwise identified as confidential, or that would otherwise appear to a reasonable person to be confidential in the context and circumstances in which the information is known or used. The Executive understands and agrees that any Confidential Information developed by the Executive in the course of his or her employment by the Company shall be subject to the terms and conditions of this Agreement as if the Company furnished the same Confidential Information to the Executive in the first instance. The foregoing obligations imposed by this Section 6 will not apply (i) in the course of the business of and for the benefit of the Company as required in the performance of any of the Executive’s duties to the Company (with the prior consent of an authorized officer acting on behalf of the Company in each instance), (ii) if such Confidential Information has become, through no fault of the Executive, generally known to the public, or (iii) if the Executive is required by law to make disclosure (after giving the Company notice and an opportunity to contest such requirement).</w:t>
      </w:r>
    </w:p>
    <w:p>
      <w:pPr>
        <w:spacing w:after="0" w:line="115"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14"/>
          <w:szCs w:val="14"/>
          <w:b w:val="1"/>
          <w:bCs w:val="1"/>
          <w:color w:val="auto"/>
        </w:rPr>
        <w:t>Nothing in this Section 6 is intended to nor shall it limit or prohibit Executive, or waive any right on his or her part, to initiate or engage in communication with, respond to any inquiry from, or otherwise provide information to, any federal or state regulatory, self-regulatory, or enforcement agency or authority regarding possible violations of federal or state law or regulation including under the whistleblower provisions of federal or state law or regulation. Please also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16" w:lineRule="exact"/>
        <w:rPr>
          <w:sz w:val="20"/>
          <w:szCs w:val="20"/>
          <w:color w:val="auto"/>
        </w:rPr>
      </w:pPr>
    </w:p>
    <w:p>
      <w:pPr>
        <w:ind w:left="620" w:hanging="439"/>
        <w:spacing w:after="0"/>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Covenants Not to Compete and Not to Solicit</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5" w:lineRule="auto"/>
        <w:tabs>
          <w:tab w:leader="none" w:pos="104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 Not to Compete</w:t>
      </w:r>
      <w:r>
        <w:rPr>
          <w:rFonts w:ascii="Times New Roman" w:cs="Times New Roman" w:eastAsia="Times New Roman" w:hAnsi="Times New Roman"/>
          <w:sz w:val="14"/>
          <w:szCs w:val="14"/>
          <w:color w:val="auto"/>
        </w:rPr>
        <w:t>. Because of the Company’s legitimate business interests as described herein, and in exchange for the mutually-agreed upon consideration for Executive’s compliance with the covenants in this Section 7, including the severance benefits outlined above, for the remainder of the Executive’s employment with the Company and for the twelve (12) months thereafter, the Executive agrees and covenants not to engage in any Competitive Activity within the Restricted Territory. For purposes of this non-compete clause, “Competitive Activity” means to, directly or indirectly, in whole or in part, engage in, provide services to or otherwise participate in, whether as an employee, employer, owner, operator, manager, advisor, consultant, agent, partner, director, stockholder, officer, or any other similar capacity, any entity engaged in a business that is competitive with the business of the Company. Without limiting the foregoing, Competitive Activity also includes activity that may require or inevitably would require disclosure of trade secrets or other Confidential Information. Nothing herein shall prohibit the Executive from purchasing or owning less than five percent (5%) of the publicly traded securities of any corporation, provided that such ownership represents a passive investment and that the Executive is not a controlling person of, or a member of a group that controls, such corporation.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3" w:name="page154"/>
    <w:bookmarkEnd w:id="153"/>
    <w:p>
      <w:pPr>
        <w:jc w:val="both"/>
        <w:ind w:left="1040" w:right="199"/>
        <w:spacing w:after="0" w:line="269" w:lineRule="auto"/>
        <w:rPr>
          <w:sz w:val="20"/>
          <w:szCs w:val="20"/>
          <w:color w:val="auto"/>
        </w:rPr>
      </w:pPr>
      <w:r>
        <w:rPr>
          <w:rFonts w:ascii="Times New Roman" w:cs="Times New Roman" w:eastAsia="Times New Roman" w:hAnsi="Times New Roman"/>
          <w:sz w:val="14"/>
          <w:szCs w:val="14"/>
          <w:color w:val="auto"/>
        </w:rPr>
        <w:t>In the event that the Executive breaches his or her fiduciary duty to the Company or unlawfully takes property belonging to the Company, the duration of the restrictions in this Section 7(a) shall be extended to two (2) years from the date of cessation of employment.</w:t>
      </w:r>
    </w:p>
    <w:p>
      <w:pPr>
        <w:spacing w:after="0" w:line="269" w:lineRule="exact"/>
        <w:rPr>
          <w:sz w:val="20"/>
          <w:szCs w:val="20"/>
          <w:color w:val="auto"/>
        </w:rPr>
      </w:pPr>
    </w:p>
    <w:p>
      <w:pPr>
        <w:jc w:val="both"/>
        <w:ind w:left="1040" w:right="199" w:hanging="427"/>
        <w:spacing w:after="0" w:line="251" w:lineRule="auto"/>
        <w:tabs>
          <w:tab w:leader="none" w:pos="10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 of Employees</w:t>
      </w:r>
      <w:r>
        <w:rPr>
          <w:rFonts w:ascii="Times New Roman" w:cs="Times New Roman" w:eastAsia="Times New Roman" w:hAnsi="Times New Roman"/>
          <w:sz w:val="14"/>
          <w:szCs w:val="14"/>
          <w:color w:val="auto"/>
        </w:rPr>
        <w:t>. The Executive understands and acknowledges that the Company has expended and continues to expend significant time and expense in recruiting and training its employees and that the loss of employees would cause significant and irreparable harm to the Company. The Executive agrees and covenants not to directly or indirectly solicit, hire, recruit, attempt to hire or recruit, or induce the termination of employment of any employee of the Company during the remainder of the Executive’s employment with the Company and for the twelve (12) months thereafter.</w:t>
      </w:r>
    </w:p>
    <w:p>
      <w:pPr>
        <w:spacing w:after="0" w:line="112" w:lineRule="exact"/>
        <w:rPr>
          <w:rFonts w:ascii="Times New Roman" w:cs="Times New Roman" w:eastAsia="Times New Roman" w:hAnsi="Times New Roman"/>
          <w:sz w:val="14"/>
          <w:szCs w:val="14"/>
          <w:color w:val="auto"/>
        </w:rPr>
      </w:pPr>
    </w:p>
    <w:p>
      <w:pPr>
        <w:jc w:val="both"/>
        <w:ind w:left="1040" w:right="199" w:hanging="427"/>
        <w:spacing w:after="0" w:line="248" w:lineRule="auto"/>
        <w:tabs>
          <w:tab w:leader="none" w:pos="10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 of Customers</w:t>
      </w:r>
      <w:r>
        <w:rPr>
          <w:rFonts w:ascii="Times New Roman" w:cs="Times New Roman" w:eastAsia="Times New Roman" w:hAnsi="Times New Roman"/>
          <w:sz w:val="14"/>
          <w:szCs w:val="14"/>
          <w:color w:val="auto"/>
        </w:rPr>
        <w:t>. The Executive understands and acknowledges that the Company has expended and continues to expend significant time and expense in developing customer relationships, customer information and goodwill, and that because of the Executive’s experience with and relationship to the Company, the Executive has had access to and learned about much or all of the Company’s customer information. For purposes of this clause, “customer information” includes, but is not limited to, names, phone numbers, addresses, e-mail addresses, order history, order preferences, chain of command, pricing information and other information identifying facts and circumstances specific to the customer. The Executive understands and acknowledges that loss of this customer relationship and/or goodwill will cause significant and irreparable harm to the Company.</w:t>
      </w:r>
    </w:p>
    <w:p>
      <w:pPr>
        <w:spacing w:after="0" w:line="113" w:lineRule="exact"/>
        <w:rPr>
          <w:rFonts w:ascii="Times New Roman" w:cs="Times New Roman" w:eastAsia="Times New Roman" w:hAnsi="Times New Roman"/>
          <w:sz w:val="14"/>
          <w:szCs w:val="14"/>
          <w:color w:val="auto"/>
        </w:rPr>
      </w:pPr>
    </w:p>
    <w:p>
      <w:pPr>
        <w:jc w:val="both"/>
        <w:ind w:left="1040" w:right="1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agrees and covenants, during the remainder of the Executive’s employment with the Company and for the twelve (12) months thereafter, not to directly or indirectly solicit, contact (including but not limited to e-mail, regular mail, express mail, telephone, fax, and instant message), attempt to contact or meet with the Company’s current, former or prospective customers for purposes of offering or accepting goods or services similar to or competitive with those offered by the Company.</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The covenants contained in this Section 7 are intended to be construed as a series of separate covenants. If, in any judicial proceeding, the court shall refuse to enforce any of the separate covenants (or any part thereof), then such unenforceable covenant (or such part) shall be deemed to be eliminated from this Agreement for the purpose of those proceedings to the extent necessary to permit the remaining separate covenants (or portions thereof) to be enforced. T</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Reasonableness</w:t>
      </w:r>
      <w:r>
        <w:rPr>
          <w:rFonts w:ascii="Times New Roman" w:cs="Times New Roman" w:eastAsia="Times New Roman" w:hAnsi="Times New Roman"/>
          <w:sz w:val="14"/>
          <w:szCs w:val="14"/>
          <w:color w:val="auto"/>
        </w:rPr>
        <w:t>. In the event that the provisions of this Section 7 shall ever be deemed to exceed the time, scope or geographic limitations permitted by applicable laws, then such provisions shall be reformed to the maximum time, scope or geographic limitations, as the case may be, permitted by applicable laws.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4" w:name="page155"/>
    <w:bookmarkEnd w:id="154"/>
    <w:p>
      <w:pPr>
        <w:jc w:val="both"/>
        <w:ind w:left="1040" w:right="199" w:hanging="427"/>
        <w:spacing w:after="0" w:line="251" w:lineRule="auto"/>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 In the event of the Executive’s Termination of Employment, the Company’s obligations to provide the severance benefits as provided in Sections 2 and 3 shall be expressly conditioned upon the Executive’s covenants not to compete and not to solicit as provided herein. In the event the Executive breaches his or her obligations to the Company as provided herein, the Company’s obligations to make severance payments to the Executive pursuant to Sections 2 and 3 shall cease, without prejudice to any other remedies that may be available to the Company.</w:t>
      </w:r>
    </w:p>
    <w:p>
      <w:pPr>
        <w:spacing w:after="0" w:line="112" w:lineRule="exact"/>
        <w:rPr>
          <w:rFonts w:ascii="Times New Roman" w:cs="Times New Roman" w:eastAsia="Times New Roman" w:hAnsi="Times New Roman"/>
          <w:sz w:val="14"/>
          <w:szCs w:val="14"/>
          <w:color w:val="auto"/>
        </w:rPr>
      </w:pPr>
    </w:p>
    <w:p>
      <w:pPr>
        <w:jc w:val="both"/>
        <w:ind w:left="180" w:right="199" w:firstLine="1"/>
        <w:spacing w:after="0" w:line="269" w:lineRule="auto"/>
        <w:tabs>
          <w:tab w:leader="none" w:pos="6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Rights</w:t>
      </w:r>
      <w:r>
        <w:rPr>
          <w:rFonts w:ascii="Times New Roman" w:cs="Times New Roman" w:eastAsia="Times New Roman" w:hAnsi="Times New Roman"/>
          <w:sz w:val="14"/>
          <w:szCs w:val="14"/>
          <w:color w:val="auto"/>
        </w:rPr>
        <w:t>. Nothing expressed or implied in this Agreement will create any right or duty on the part of the Company or the Executive to have the Executive remain in the employment of the Company or any Subsidiary prior to or following any Change in Control or otherwise.</w:t>
      </w:r>
    </w:p>
    <w:p>
      <w:pPr>
        <w:spacing w:after="0" w:line="269" w:lineRule="exact"/>
        <w:rPr>
          <w:rFonts w:ascii="Times New Roman" w:cs="Times New Roman" w:eastAsia="Times New Roman" w:hAnsi="Times New Roman"/>
          <w:sz w:val="14"/>
          <w:szCs w:val="14"/>
          <w:color w:val="auto"/>
        </w:rPr>
      </w:pPr>
    </w:p>
    <w:p>
      <w:pPr>
        <w:jc w:val="both"/>
        <w:ind w:left="180" w:right="199" w:firstLine="1"/>
        <w:spacing w:after="0" w:line="247" w:lineRule="auto"/>
        <w:tabs>
          <w:tab w:leader="none" w:pos="6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In the event of a breach or threatened breach by the Executive of any of the provisions of this Agreement, the Executive hereby consents and agrees that the Company shall be entitled, in addition to other available remedies, to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Should the Executive fail to abide by any of the terms of this Agreement, including the covenants contained in Section 7 hereof, the Company may, in addition to any other remedies it may have, reclaim any amounts paid to the Executive under the provisions of this Agreement or terminate any benefits or payments that are later due under this Agreement, without waiving the Release provided herein.</w:t>
      </w:r>
    </w:p>
    <w:p>
      <w:pPr>
        <w:spacing w:after="0" w:line="115"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14"/>
          <w:szCs w:val="14"/>
          <w:color w:val="auto"/>
        </w:rPr>
        <w:t>In the event that the Executive’s employment is terminated for Cause under Section 1(c)(vi), and the prosecution of such matter is discontinued without any action, or any such prosecution results in a not guilty finding, then forty-five (45) days following such discontinuation or finding (provided that Executive shall have provided (and not revoked) a fully executed and effective Release), the Company shall pay to the Executive the difference between (i) what he or she would have received if such termination of employment had been classified as a Change in Control Involuntary Termination or a Non-Change in Control Involuntary Termination (whichever would have been applicable, based upon the timing of the Executive’s termination of employment), and (ii) whatever severance benefits (if any) were actually provided to the Executive in connection therewith, plus three percent (3%) simple interest.</w:t>
      </w:r>
    </w:p>
    <w:p>
      <w:pPr>
        <w:spacing w:after="0" w:line="114" w:lineRule="exact"/>
        <w:rPr>
          <w:sz w:val="20"/>
          <w:szCs w:val="20"/>
          <w:color w:val="auto"/>
        </w:rPr>
      </w:pPr>
    </w:p>
    <w:p>
      <w:pPr>
        <w:ind w:left="620" w:hanging="439"/>
        <w:spacing w:after="0"/>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Tax Matters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The Company may withhold from any amounts payable under this Agreement all federal, state, city or other taxes as the Company is required to withhold pursuant to any applicable law, regulation or ruling.</w:t>
      </w:r>
    </w:p>
    <w:p>
      <w:pPr>
        <w:spacing w:after="0" w:line="89"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280G Contingent Cutback</w:t>
      </w:r>
      <w:r>
        <w:rPr>
          <w:rFonts w:ascii="Times New Roman" w:cs="Times New Roman" w:eastAsia="Times New Roman" w:hAnsi="Times New Roman"/>
          <w:sz w:val="14"/>
          <w:szCs w:val="14"/>
          <w:color w:val="auto"/>
        </w:rPr>
        <w:t>. Notwithstanding any provision of this Agreement to the contrary, in the event that the payments and other benefits payable under this Agreement or otherwise payable to an Executive under any other plan,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5" w:name="page156"/>
    <w:bookmarkEnd w:id="155"/>
    <w:p>
      <w:pPr>
        <w:jc w:val="both"/>
        <w:ind w:left="1040" w:right="199"/>
        <w:spacing w:after="0" w:line="248" w:lineRule="auto"/>
        <w:rPr>
          <w:sz w:val="20"/>
          <w:szCs w:val="20"/>
          <w:color w:val="auto"/>
        </w:rPr>
      </w:pPr>
      <w:r>
        <w:rPr>
          <w:rFonts w:ascii="Times New Roman" w:cs="Times New Roman" w:eastAsia="Times New Roman" w:hAnsi="Times New Roman"/>
          <w:sz w:val="14"/>
          <w:szCs w:val="14"/>
          <w:color w:val="auto"/>
        </w:rPr>
        <w:t>program, arrangement or agreement maintained by the Company or one of its affiliates (i) would constitute an “excess parachute payment” (as defined under Code Section 280G) and (ii) would be subject to the excise tax imposed by Section 4999 of the Code, then such payments and other benefits shall be payable either (x) in full or (y) in a reduced amount that would result in no portion of such payments and other benefits being subject to the excise tax imposed under Section 4999 of the Code, whichever of the foregoing amounts, taking into account the applicable federal, state, and local income taxes and the excise tax imposed by Section 4999 of the Code, results in the receipt by such Executive on an after-tax basis, of the greatest amount of severance benefits under this Agreement or otherwise, notwithstanding that all or some portion of such severance benefits may be taxable under Section 4999 of the Code.</w:t>
      </w:r>
    </w:p>
    <w:p>
      <w:pPr>
        <w:spacing w:after="0" w:line="114" w:lineRule="exact"/>
        <w:rPr>
          <w:sz w:val="20"/>
          <w:szCs w:val="20"/>
          <w:color w:val="auto"/>
        </w:rPr>
      </w:pPr>
    </w:p>
    <w:p>
      <w:pPr>
        <w:jc w:val="both"/>
        <w:ind w:left="1040" w:right="199" w:hanging="427"/>
        <w:spacing w:after="0" w:line="246" w:lineRule="auto"/>
        <w:tabs>
          <w:tab w:leader="none" w:pos="10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of whether it is necessary to decrease a payment or benefit to be paid under this Agreement must be made in good faith by a nationally recognized certified public accounting firm (the “Accounting Firm”) selected by the Company. This determination will be conclusive and binding upon the Executive and the Company. In the event that the Accounting Firm is serving as accountant or auditor for the individual, entity, or group effecting the Change in Control, the Company shall appoint another nationally recognized certified public accounting firm to make the determination required under this Agreement. The Company shall bear all fees of the Accounting Firm. The amount of benefit to be reduced shall be an amount express in present value which maximizes the aggregate present value of payments without causing any payment to be subject to an excise tax, determined in accordance with Section 280G of the Code and the excise tax under Section 4999 of the Code. The Company shall reduce the payment by first reducing amounts that are not payable in cash and then by reducing cash payments, with such reduction being done in a manner consistent with the requirements of Section 409A of the Code.</w:t>
      </w:r>
    </w:p>
    <w:p>
      <w:pPr>
        <w:spacing w:after="0" w:line="278" w:lineRule="exact"/>
        <w:rPr>
          <w:rFonts w:ascii="Times New Roman" w:cs="Times New Roman" w:eastAsia="Times New Roman" w:hAnsi="Times New Roman"/>
          <w:sz w:val="14"/>
          <w:szCs w:val="14"/>
          <w:color w:val="auto"/>
        </w:rPr>
      </w:pPr>
    </w:p>
    <w:p>
      <w:pPr>
        <w:jc w:val="both"/>
        <w:ind w:left="1040" w:right="199" w:hanging="427"/>
        <w:spacing w:after="0" w:line="247" w:lineRule="auto"/>
        <w:tabs>
          <w:tab w:leader="none" w:pos="10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409A Compliance</w:t>
      </w:r>
      <w:r>
        <w:rPr>
          <w:rFonts w:ascii="Times New Roman" w:cs="Times New Roman" w:eastAsia="Times New Roman" w:hAnsi="Times New Roman"/>
          <w:sz w:val="14"/>
          <w:szCs w:val="14"/>
          <w:color w:val="auto"/>
        </w:rPr>
        <w:t>. This Agreement is intended to comply with Section 409A of the Code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w:t>
      </w:r>
    </w:p>
    <w:p>
      <w:pPr>
        <w:spacing w:after="0" w:line="115" w:lineRule="exact"/>
        <w:rPr>
          <w:sz w:val="20"/>
          <w:szCs w:val="20"/>
          <w:color w:val="auto"/>
        </w:rPr>
      </w:pPr>
    </w:p>
    <w:p>
      <w:pPr>
        <w:ind w:left="1040" w:right="199"/>
        <w:spacing w:after="0" w:line="282" w:lineRule="auto"/>
        <w:rPr>
          <w:sz w:val="20"/>
          <w:szCs w:val="20"/>
          <w:color w:val="auto"/>
        </w:rPr>
      </w:pPr>
      <w:r>
        <w:rPr>
          <w:rFonts w:ascii="Times New Roman" w:cs="Times New Roman" w:eastAsia="Times New Roman" w:hAnsi="Times New Roman"/>
          <w:sz w:val="14"/>
          <w:szCs w:val="14"/>
          <w:color w:val="auto"/>
        </w:rPr>
        <w:t>The parties intend that the provisions of this Agreement will operate in a manner that will avoid adverse federal income tax consequences under Section 409A. If a payment under this Agreement to the Executive is subject to the requirements of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6" w:name="page157"/>
    <w:bookmarkEnd w:id="156"/>
    <w:p>
      <w:pPr>
        <w:jc w:val="both"/>
        <w:ind w:left="1040" w:right="199"/>
        <w:spacing w:after="0" w:line="251" w:lineRule="auto"/>
        <w:rPr>
          <w:sz w:val="20"/>
          <w:szCs w:val="20"/>
          <w:color w:val="auto"/>
        </w:rPr>
      </w:pPr>
      <w:r>
        <w:rPr>
          <w:rFonts w:ascii="Times New Roman" w:cs="Times New Roman" w:eastAsia="Times New Roman" w:hAnsi="Times New Roman"/>
          <w:sz w:val="14"/>
          <w:szCs w:val="14"/>
          <w:color w:val="auto"/>
        </w:rPr>
        <w:t>Section 409A, the Executive hereby acknowledges and agrees that the Company may take any actions deemed necessary in its sole discretion to avoid adverse federal income tax consequences under Section 409A and that such action may be taken without the consent of the Executive, including, but not limited to, delaying the commencement of any payment under this Agreement for six (6) months from the Executive’s Termination Date if it is determined that as of such Termination Date, the Executive is a “specified employee” and such amounts are deemed to be “deferred compensation” subject to the requirements of Section 409A.</w:t>
      </w:r>
    </w:p>
    <w:p>
      <w:pPr>
        <w:spacing w:after="0" w:line="112" w:lineRule="exact"/>
        <w:rPr>
          <w:sz w:val="20"/>
          <w:szCs w:val="20"/>
          <w:color w:val="auto"/>
        </w:rPr>
      </w:pPr>
    </w:p>
    <w:p>
      <w:pPr>
        <w:jc w:val="both"/>
        <w:ind w:left="1040" w:right="199"/>
        <w:spacing w:after="0" w:line="261" w:lineRule="auto"/>
        <w:rPr>
          <w:sz w:val="20"/>
          <w:szCs w:val="20"/>
          <w:color w:val="auto"/>
        </w:rPr>
      </w:pPr>
      <w:r>
        <w:rPr>
          <w:rFonts w:ascii="Times New Roman" w:cs="Times New Roman" w:eastAsia="Times New Roman" w:hAnsi="Times New Roman"/>
          <w:sz w:val="14"/>
          <w:szCs w:val="14"/>
          <w:color w:val="auto"/>
        </w:rPr>
        <w:t>Notwithstanding the foregoing, the Company makes no representations or warranty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05" w:lineRule="exact"/>
        <w:rPr>
          <w:sz w:val="20"/>
          <w:szCs w:val="20"/>
          <w:color w:val="auto"/>
        </w:rPr>
      </w:pPr>
    </w:p>
    <w:p>
      <w:pPr>
        <w:ind w:left="620" w:hanging="439"/>
        <w:spacing w:after="0"/>
        <w:tabs>
          <w:tab w:leader="none" w:pos="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Binding Agreement</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inure to the benefit of and be enforceable by the Executive’s personal or legal representatives, executors, administrators, successors, heirs, distributees and legatees. This Agreement will supersede the provisions of any employment or other agreement between the Executive and the Company that relate to any matter that is also the subject of this Agreement, and such provisions in such other agreements will be null and void.</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personal in nature and neither of the parties hereto will, without the consent of the other, assign, transfer or delegate this Agreement or any rights or obligations hereunder except as expressly provided in Sections 11(a) and 11(b). Without limiting the generality or effect of the foregoing, the Executive’s right to receive payments hereunder will not be assignable, transferable or delegable, whether by pledge, creation of a security interest, or otherwise, other than by a transfer by the Executive’s will or by the laws of descent and distribution and, in the event of any attempted assignment or transfer contrary to this Section 11(c), the Company will have no liability to pay any amount so attempted to be assigned, transferred or delegated.</w:t>
      </w:r>
    </w:p>
    <w:p>
      <w:pPr>
        <w:spacing w:after="0" w:line="113"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under this Agreement must be given in writing by personal delivery or United States registered or certified mail, return receipt requested, at the addresses indicated in this Agreement, or any other address designated in writing by either party.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Notice to the Company: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4"/>
          <w:szCs w:val="14"/>
          <w:color w:val="auto"/>
        </w:rPr>
        <w:t>ATN International, Inc.</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500 Cummings Center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Beverly, MA 01915</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Notice to the Executive: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[NAME]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[ADDRESS]</w:t>
      </w:r>
    </w:p>
    <w:p>
      <w:pPr>
        <w:spacing w:after="0" w:line="335" w:lineRule="exact"/>
        <w:rPr>
          <w:sz w:val="20"/>
          <w:szCs w:val="20"/>
          <w:color w:val="auto"/>
        </w:rPr>
      </w:pPr>
    </w:p>
    <w:p>
      <w:pPr>
        <w:ind w:left="180" w:right="199" w:firstLine="1"/>
        <w:spacing w:after="0" w:line="282" w:lineRule="auto"/>
        <w:tabs>
          <w:tab w:leader="none" w:pos="61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this Agreement will be governed by and construed in accordance with the substantive laws of the State of Delaware, without giving effect to the principles of conflict of laws of such State.</w:t>
      </w:r>
    </w:p>
    <w:p>
      <w:pPr>
        <w:spacing w:after="0" w:line="89" w:lineRule="exact"/>
        <w:rPr>
          <w:rFonts w:ascii="Times New Roman" w:cs="Times New Roman" w:eastAsia="Times New Roman" w:hAnsi="Times New Roman"/>
          <w:sz w:val="14"/>
          <w:szCs w:val="14"/>
          <w:color w:val="auto"/>
        </w:rPr>
      </w:pPr>
    </w:p>
    <w:p>
      <w:pPr>
        <w:jc w:val="both"/>
        <w:ind w:left="180" w:right="199" w:firstLine="1"/>
        <w:spacing w:after="0" w:line="255" w:lineRule="auto"/>
        <w:tabs>
          <w:tab w:leader="none" w:pos="61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the application of any provision hereof to any person or circumstances is held by a court of competent jurisdiction to be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07" w:lineRule="exact"/>
        <w:rPr>
          <w:rFonts w:ascii="Times New Roman" w:cs="Times New Roman" w:eastAsia="Times New Roman" w:hAnsi="Times New Roman"/>
          <w:sz w:val="14"/>
          <w:szCs w:val="14"/>
          <w:color w:val="auto"/>
        </w:rPr>
      </w:pPr>
    </w:p>
    <w:p>
      <w:pPr>
        <w:jc w:val="both"/>
        <w:ind w:left="180" w:right="199" w:firstLine="1"/>
        <w:spacing w:after="0" w:line="251" w:lineRule="auto"/>
        <w:tabs>
          <w:tab w:leader="none" w:pos="61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Binding Arbitration</w:t>
      </w:r>
      <w:r>
        <w:rPr>
          <w:rFonts w:ascii="Times New Roman" w:cs="Times New Roman" w:eastAsia="Times New Roman" w:hAnsi="Times New Roman"/>
          <w:sz w:val="14"/>
          <w:szCs w:val="14"/>
          <w:color w:val="auto"/>
        </w:rPr>
        <w:t>. The parties agree that any dispute, controversy or claim arising out of or related to this Agreement (other than with respect to matters arising under Sections 6 or 7 hereof), including the validity of this arbitration clause, or any breach of this Agreement shall be submitted to and decided by binding arbitration in Boston, Massachusetts. Arbitration shall be administered by a single arbitrator under the rules of the American Arbitration Association, or any other similar association mutually agreed to by the parties. Any arbitral award determination shall be final and binding upon the parties and may be entered as a judgment in a court of competent jurisdiction.</w:t>
      </w:r>
    </w:p>
    <w:p>
      <w:pPr>
        <w:spacing w:after="0" w:line="112" w:lineRule="exact"/>
        <w:rPr>
          <w:rFonts w:ascii="Times New Roman" w:cs="Times New Roman" w:eastAsia="Times New Roman" w:hAnsi="Times New Roman"/>
          <w:sz w:val="14"/>
          <w:szCs w:val="14"/>
          <w:color w:val="auto"/>
        </w:rPr>
      </w:pPr>
    </w:p>
    <w:p>
      <w:pPr>
        <w:ind w:left="620" w:hanging="439"/>
        <w:spacing w:after="0"/>
        <w:tabs>
          <w:tab w:leader="none" w:pos="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subparagraph (b) below,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w:t>
      </w:r>
    </w:p>
    <w:p>
      <w:pPr>
        <w:spacing w:after="0" w:line="113"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contrary provision of this Agreement, the Company may modify benefits otherwise payable or to be provided under this Agreement without obtaining the Executive’s consent to such modification to the extent that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075" w:right="1440" w:bottom="1440" w:gutter="0" w:footer="0" w:header="0"/>
        </w:sectPr>
      </w:pPr>
    </w:p>
    <w:bookmarkStart w:id="158" w:name="page159"/>
    <w:bookmarkEnd w:id="158"/>
    <w:p>
      <w:pPr>
        <w:ind w:left="1040" w:right="199"/>
        <w:spacing w:after="0" w:line="282" w:lineRule="auto"/>
        <w:rPr>
          <w:sz w:val="20"/>
          <w:szCs w:val="20"/>
          <w:color w:val="auto"/>
        </w:rPr>
      </w:pPr>
      <w:r>
        <w:rPr>
          <w:rFonts w:ascii="Times New Roman" w:cs="Times New Roman" w:eastAsia="Times New Roman" w:hAnsi="Times New Roman"/>
          <w:sz w:val="14"/>
          <w:szCs w:val="14"/>
          <w:color w:val="auto"/>
        </w:rPr>
        <w:t>Company determines in its sole discretion that such modification is necessary or appropriate in order to effect compliance with applicable law or regulatory requirements.</w:t>
      </w:r>
    </w:p>
    <w:p>
      <w:pPr>
        <w:spacing w:after="0" w:line="90" w:lineRule="exact"/>
        <w:rPr>
          <w:sz w:val="20"/>
          <w:szCs w:val="20"/>
          <w:color w:val="auto"/>
        </w:rPr>
      </w:pPr>
    </w:p>
    <w:p>
      <w:pPr>
        <w:ind w:left="1040" w:hanging="427"/>
        <w:spacing w:after="0"/>
        <w:tabs>
          <w:tab w:leader="none" w:pos="10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this Agreement to a provision of a statute, rule or regulation will also include any successor provision thereto.</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Sections are to references to Sections of this Agreement.</w:t>
      </w:r>
    </w:p>
    <w:p>
      <w:pPr>
        <w:spacing w:after="0" w:line="145"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Notwithstanding any provision of this Agreement to the contrary, Sections 1, 2, 3, 5, 6, 7, 9, 10, 11, 13, 14, 15, 16 and 17 will survive any termination or expiration of this Agreement or the termination of the Executive’s employment for any reason whatsoever.</w:t>
      </w:r>
    </w:p>
    <w:p>
      <w:pPr>
        <w:spacing w:after="0" w:line="89"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one or more counterparts, each of which will be deemed to be an original but all of which together will constitute one and the same agreement.</w:t>
      </w:r>
    </w:p>
    <w:p>
      <w:pPr>
        <w:spacing w:after="0" w:line="89" w:lineRule="exact"/>
        <w:rPr>
          <w:rFonts w:ascii="Times New Roman" w:cs="Times New Roman" w:eastAsia="Times New Roman" w:hAnsi="Times New Roman"/>
          <w:sz w:val="14"/>
          <w:szCs w:val="14"/>
          <w:color w:val="auto"/>
        </w:rPr>
      </w:pPr>
    </w:p>
    <w:p>
      <w:pPr>
        <w:jc w:val="both"/>
        <w:ind w:left="180" w:right="199" w:firstLine="1"/>
        <w:spacing w:after="0" w:line="261" w:lineRule="auto"/>
        <w:tabs>
          <w:tab w:leader="none" w:pos="61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Unless specifically provided herein, this Agreement contains all the understandings and representations between the Executive and the Company pertaining to the Termination of Employment and supersedes the Original Agreement and all prior and contemporaneous understandings, agreements, representations and warranties, both written and oral, with respect to such subject matter.</w:t>
      </w:r>
    </w:p>
    <w:p>
      <w:pPr>
        <w:spacing w:after="0" w:line="104" w:lineRule="exact"/>
        <w:rPr>
          <w:rFonts w:ascii="Times New Roman" w:cs="Times New Roman" w:eastAsia="Times New Roman" w:hAnsi="Times New Roman"/>
          <w:sz w:val="14"/>
          <w:szCs w:val="14"/>
          <w:color w:val="auto"/>
        </w:rPr>
      </w:pPr>
    </w:p>
    <w:p>
      <w:pPr>
        <w:jc w:val="both"/>
        <w:ind w:left="180" w:right="199" w:firstLine="1"/>
        <w:spacing w:after="0" w:line="251" w:lineRule="auto"/>
        <w:tabs>
          <w:tab w:leader="none" w:pos="61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w:t>
      </w:r>
      <w:r>
        <w:rPr>
          <w:rFonts w:ascii="Times New Roman" w:cs="Times New Roman" w:eastAsia="Times New Roman" w:hAnsi="Times New Roman"/>
          <w:sz w:val="14"/>
          <w:szCs w:val="14"/>
          <w:color w:val="auto"/>
        </w:rPr>
        <w:t>. THE EXECUTIVE ACKNOWLEDGES AND AGREES THAT HE/SHE HAS FULLY READ, UNDERSTANDS AND VOLUNTARILY ENTERS INTO THIS AGREEMENT. THE EXECUTIVE ACKNOWLEDGES AND AGREES THAT HE/SHE HAS A RIGHT TO CONSULT WITH AN ATTORNEY OF HIS OR HER CHOICE BEFORE SIGNING THIS AGREEMENT AND THAT HE/SHE HAS HAD AN OPPORTUNITY TO ASK QUESTIONS AND CONSULT WITH AN ATTORNEY OF HIS OR HER CHOICE BEFORE SIGNING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59" w:name="page160"/>
    <w:bookmarkEnd w:id="159"/>
    <w:p>
      <w:pPr>
        <w:ind w:left="620"/>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as of the date first above written.</w:t>
      </w:r>
    </w:p>
    <w:p>
      <w:pPr>
        <w:spacing w:after="0" w:line="1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ATN INTERNATIONAL, INC.</w:t>
      </w:r>
    </w:p>
    <w:p>
      <w:pPr>
        <w:spacing w:after="0" w:line="3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-4445</wp:posOffset>
            </wp:positionV>
            <wp:extent cx="176339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1763395" cy="571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EXECUTIVE</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-4445</wp:posOffset>
            </wp:positionV>
            <wp:extent cx="117157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color w:val="auto"/>
        </w:rPr>
        <w:t>Name: [NAME]</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7"/>
          <w:szCs w:val="7"/>
          <w:color w:val="auto"/>
        </w:rPr>
        <w:t>00030357-2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234950</wp:posOffset>
            </wp:positionV>
            <wp:extent cx="54864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0" w:name="page161"/>
    <w:bookmarkEnd w:id="160"/>
    <w:p>
      <w:pPr>
        <w:jc w:val="right"/>
        <w:ind w:right="199"/>
        <w:spacing w:after="0"/>
        <w:rPr>
          <w:sz w:val="20"/>
          <w:szCs w:val="20"/>
          <w:color w:val="auto"/>
        </w:rPr>
      </w:pPr>
      <w:r>
        <w:rPr>
          <w:rFonts w:ascii="Times New Roman" w:cs="Times New Roman" w:eastAsia="Times New Roman" w:hAnsi="Times New Roman"/>
          <w:sz w:val="14"/>
          <w:szCs w:val="14"/>
          <w:color w:val="auto"/>
        </w:rPr>
        <w:t>Exhibit 10.12</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 OF EXECUTIVE AGREEMENT</w:t>
      </w:r>
    </w:p>
    <w:p>
      <w:pPr>
        <w:spacing w:after="0" w:line="14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THIS EXECUTIVE AGREEMENT (this “Agreement”), dated as of [DATE] (the “Effective Date”), is made and entered by and between ATN International, Inc., a Delaware corporation (the “Company”), and [NAME] (the “Executive”).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WITNESSETH:</w:t>
      </w:r>
    </w:p>
    <w:p>
      <w:pPr>
        <w:spacing w:after="0" w:line="14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serves as the Chief Executive Officer of the Company, and is expected to continue to contribute to the short- and long-term profitability, growth, and financial strength of the Company;</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Board (as defined below) has determined that appropriate steps should be taken to encourage and reinforce the continued attention and dedication of members of the Company’s management, including the Executive, to their assigned duties without distraction; and</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previously executed an Executive Severance Agreement on [DATE] (the “Original Agreement”) and the Executive and the Company hereby agree to supersede and replace the Original Agreement with this Agreement;]</w:t>
      </w:r>
    </w:p>
    <w:p>
      <w:pPr>
        <w:spacing w:after="0" w:line="90"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WHEREAS, the Executive hereby agrees that the terms of this Agreement, in addition to the Executive continuing employment with the Company, constitute good and valuable consideration and, thereby, agrees, together with the Company, to be legally bound by this Agreement; and</w:t>
      </w:r>
    </w:p>
    <w:p>
      <w:pPr>
        <w:spacing w:after="0" w:line="90" w:lineRule="exact"/>
        <w:rPr>
          <w:sz w:val="20"/>
          <w:szCs w:val="20"/>
          <w:color w:val="auto"/>
        </w:rPr>
      </w:pPr>
    </w:p>
    <w:p>
      <w:pPr>
        <w:jc w:val="both"/>
        <w:ind w:left="180" w:right="199" w:firstLine="432"/>
        <w:spacing w:after="0" w:line="261" w:lineRule="auto"/>
        <w:rPr>
          <w:sz w:val="20"/>
          <w:szCs w:val="20"/>
          <w:color w:val="auto"/>
        </w:rPr>
      </w:pPr>
      <w:r>
        <w:rPr>
          <w:rFonts w:ascii="Times New Roman" w:cs="Times New Roman" w:eastAsia="Times New Roman" w:hAnsi="Times New Roman"/>
          <w:sz w:val="14"/>
          <w:szCs w:val="14"/>
          <w:color w:val="auto"/>
        </w:rPr>
        <w:t>WHEREAS, in consideration of the Executive’s employment with the Company, the Company desires to provide the Executive with certain compensation and benefits set forth in this Agreement in the event the Executive’s employment with the Company is terminated by the Company for a reason related to, or unrelated to, a Change in Control (as defined below) of the Company.</w:t>
      </w:r>
    </w:p>
    <w:p>
      <w:pPr>
        <w:spacing w:after="0" w:line="105" w:lineRule="exact"/>
        <w:rPr>
          <w:sz w:val="20"/>
          <w:szCs w:val="20"/>
          <w:color w:val="auto"/>
        </w:rPr>
      </w:pPr>
    </w:p>
    <w:p>
      <w:pPr>
        <w:jc w:val="both"/>
        <w:ind w:left="180" w:right="199" w:firstLine="43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the mutual covenants and agreements hereinafter set forth and intending to be legally bound hereby, the Company and the Executive agree as follows:</w:t>
      </w:r>
    </w:p>
    <w:p>
      <w:pPr>
        <w:spacing w:after="0" w:line="90" w:lineRule="exact"/>
        <w:rPr>
          <w:sz w:val="20"/>
          <w:szCs w:val="20"/>
          <w:color w:val="auto"/>
        </w:rPr>
      </w:pPr>
    </w:p>
    <w:p>
      <w:pPr>
        <w:ind w:left="180" w:right="199" w:firstLine="1"/>
        <w:spacing w:after="0" w:line="282" w:lineRule="auto"/>
        <w:tabs>
          <w:tab w:leader="none" w:pos="61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Defined Terms</w:t>
      </w:r>
      <w:r>
        <w:rPr>
          <w:rFonts w:ascii="Times New Roman" w:cs="Times New Roman" w:eastAsia="Times New Roman" w:hAnsi="Times New Roman"/>
          <w:sz w:val="14"/>
          <w:szCs w:val="14"/>
          <w:color w:val="auto"/>
        </w:rPr>
        <w:t>. In addition to terms defined elsewhere herein, the following terms have the following meanings when used in this Agreement:</w:t>
      </w:r>
    </w:p>
    <w:p>
      <w:pPr>
        <w:spacing w:after="0" w:line="89"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Pay” means the Executive’s annual base salary rate, exclusive of bonuses, commissions and other Incentive Pay, as in effect on the Termination Date.</w:t>
      </w:r>
    </w:p>
    <w:p>
      <w:pPr>
        <w:spacing w:after="0" w:line="89"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means the Board of Directors of the Company.</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means a determination by the Board that the Executive has committed any of the following acts; provided that, with respect to clauses (i), (ii), (iii) and (v) only, the Executive shall not have cured such failure, breach, or act (if not willful misconduct and if curable, both as determined in the good faith discretion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409575</wp:posOffset>
            </wp:positionV>
            <wp:extent cx="548640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1" w:name="page162"/>
    <w:bookmarkEnd w:id="161"/>
    <w:p>
      <w:pPr>
        <w:ind w:left="1040" w:right="199"/>
        <w:spacing w:after="0" w:line="282" w:lineRule="auto"/>
        <w:rPr>
          <w:sz w:val="20"/>
          <w:szCs w:val="20"/>
          <w:color w:val="auto"/>
        </w:rPr>
      </w:pPr>
      <w:r>
        <w:rPr>
          <w:rFonts w:ascii="Times New Roman" w:cs="Times New Roman" w:eastAsia="Times New Roman" w:hAnsi="Times New Roman"/>
          <w:sz w:val="14"/>
          <w:szCs w:val="14"/>
          <w:color w:val="auto"/>
        </w:rPr>
        <w:t>Board) within thirty (30) days of the Board providing Executive with written notice of the condition (specifying with reasonable particularity the condition):</w:t>
      </w:r>
    </w:p>
    <w:p>
      <w:pPr>
        <w:spacing w:after="0" w:line="90" w:lineRule="exact"/>
        <w:rPr>
          <w:sz w:val="20"/>
          <w:szCs w:val="20"/>
          <w:color w:val="auto"/>
        </w:rPr>
      </w:pPr>
    </w:p>
    <w:p>
      <w:pPr>
        <w:ind w:left="1480" w:right="199" w:hanging="435"/>
        <w:spacing w:after="0" w:line="282" w:lineRule="auto"/>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or material failure to perform job duties and responsibilities (other than by reason of serious physical or mental illness, injury, or medical condition);</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refusal to comply in any material respect with material Company policies or lawful directives of the Board;</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55" w:lineRule="auto"/>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breach of any contract or agreement between the Executive and the Company (including but not limited to this Agreement and any other confidentiality, restrictive covenant, assignment of inventions agreement or similar agreement between Executive and the Company), or material breach of any statutory duty, fiduciary duty or any other obligation that Executive owes to the Company;</w:t>
      </w:r>
    </w:p>
    <w:p>
      <w:pPr>
        <w:spacing w:after="0" w:line="107" w:lineRule="exact"/>
        <w:rPr>
          <w:rFonts w:ascii="Times New Roman" w:cs="Times New Roman" w:eastAsia="Times New Roman" w:hAnsi="Times New Roman"/>
          <w:sz w:val="14"/>
          <w:szCs w:val="14"/>
          <w:color w:val="auto"/>
        </w:rPr>
      </w:pPr>
    </w:p>
    <w:p>
      <w:pPr>
        <w:ind w:left="1480" w:right="199" w:hanging="435"/>
        <w:spacing w:after="0" w:line="261" w:lineRule="auto"/>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 of an act of fraud, theft, embezzlement or other unlawful act against the Company or involving its property or assets;</w:t>
      </w:r>
    </w:p>
    <w:p>
      <w:pPr>
        <w:spacing w:after="0" w:line="292" w:lineRule="exact"/>
        <w:rPr>
          <w:rFonts w:ascii="Times New Roman" w:cs="Times New Roman" w:eastAsia="Times New Roman" w:hAnsi="Times New Roman"/>
          <w:sz w:val="14"/>
          <w:szCs w:val="14"/>
          <w:color w:val="auto"/>
        </w:rPr>
      </w:pPr>
    </w:p>
    <w:p>
      <w:pPr>
        <w:ind w:left="1480" w:right="199" w:hanging="435"/>
        <w:spacing w:after="0" w:line="282" w:lineRule="auto"/>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unprofessional, unethical or other intentional acts that materially discredit the Company or are materially detrimental to the reputation, character or standing of the Company; or</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indictment or conviction or plea of nolo contendere or guilty plea with respect to any felony or crime of moral turpitude.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means:</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45" w:lineRule="auto"/>
        <w:tabs>
          <w:tab w:leader="none" w:pos="148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entity or group (within the meaning of Section 13(2)(3) or 14(d)(2) of the Securities Exchange Act of 1934, as amended) acquires beneficial ownership of securities of the Company representing more than 50% of the combined voting power of the Company's then outstanding securities other than by virtue of a merger, consolidation or similar transaction. Notwithstanding the foregoing, a Change in Control will not be deemed to occur solely because the level of beneficial ownership held by any such person, entity or group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that, assuming the repurchase or other acquisition had not occurred, increases the percentage of the then outstanding voting securities beneficially owned by the Subject Person over the designated percentage threshold, then a Change in Control will be deemed to occur;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2" w:name="page163"/>
    <w:bookmarkEnd w:id="162"/>
    <w:p>
      <w:pPr>
        <w:jc w:val="both"/>
        <w:ind w:left="1480" w:right="199" w:hanging="435"/>
        <w:spacing w:after="0" w:line="248" w:lineRule="auto"/>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beneficially own,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beneficial ownership of the outstanding voting securities of the Company immediately prior to such transaction;</w:t>
      </w:r>
    </w:p>
    <w:p>
      <w:pPr>
        <w:spacing w:after="0" w:line="113" w:lineRule="exact"/>
        <w:rPr>
          <w:rFonts w:ascii="Times New Roman" w:cs="Times New Roman" w:eastAsia="Times New Roman" w:hAnsi="Times New Roman"/>
          <w:sz w:val="14"/>
          <w:szCs w:val="14"/>
          <w:color w:val="auto"/>
        </w:rPr>
      </w:pPr>
    </w:p>
    <w:p>
      <w:pPr>
        <w:jc w:val="both"/>
        <w:ind w:left="1480" w:right="199" w:hanging="435"/>
        <w:spacing w:after="0" w:line="250" w:lineRule="auto"/>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beneficially owned by stockholders of the Company in substantially the same proportions as their beneficial ownership of the outstanding voting securities of the Company immediately prior to such sale, lease, license or other disposition; or</w:t>
      </w:r>
    </w:p>
    <w:p>
      <w:pPr>
        <w:spacing w:after="0" w:line="277" w:lineRule="exact"/>
        <w:rPr>
          <w:rFonts w:ascii="Times New Roman" w:cs="Times New Roman" w:eastAsia="Times New Roman" w:hAnsi="Times New Roman"/>
          <w:sz w:val="14"/>
          <w:szCs w:val="14"/>
          <w:color w:val="auto"/>
        </w:rPr>
      </w:pPr>
    </w:p>
    <w:p>
      <w:pPr>
        <w:jc w:val="both"/>
        <w:ind w:left="1480" w:right="199" w:hanging="435"/>
        <w:spacing w:after="0" w:line="251" w:lineRule="auto"/>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who, on the date of this Agreement, are members of the Board (the “Incumbent Board”) cease, during any 12-month period,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Agreement, be considered as a member of the Incumbent Board.</w:t>
      </w:r>
    </w:p>
    <w:p>
      <w:pPr>
        <w:spacing w:after="0" w:line="112" w:lineRule="exact"/>
        <w:rPr>
          <w:sz w:val="20"/>
          <w:szCs w:val="20"/>
          <w:color w:val="auto"/>
        </w:rPr>
      </w:pPr>
    </w:p>
    <w:p>
      <w:pPr>
        <w:jc w:val="both"/>
        <w:ind w:left="1040" w:right="199" w:firstLine="54"/>
        <w:spacing w:after="0" w:line="256" w:lineRule="auto"/>
        <w:rPr>
          <w:sz w:val="20"/>
          <w:szCs w:val="20"/>
          <w:color w:val="auto"/>
        </w:rPr>
      </w:pPr>
      <w:r>
        <w:rPr>
          <w:rFonts w:ascii="Times New Roman" w:cs="Times New Roman" w:eastAsia="Times New Roman" w:hAnsi="Times New Roman"/>
          <w:sz w:val="14"/>
          <w:szCs w:val="14"/>
          <w:color w:val="auto"/>
        </w:rPr>
        <w:t>To the extent required for compliance with Section 409A of the Code, in no event will a Change in Control be deemed to have occurred if such transaction is not also a “change in the ownership of” or a “change in the effective control of” or a “change in the ownership of a substantial portion of the assets of” the Company as determined under (without regard to any alternative definition thereunder).</w:t>
      </w:r>
    </w:p>
    <w:p>
      <w:pPr>
        <w:spacing w:after="0" w:line="277" w:lineRule="exact"/>
        <w:rPr>
          <w:sz w:val="20"/>
          <w:szCs w:val="20"/>
          <w:color w:val="auto"/>
        </w:rPr>
      </w:pPr>
    </w:p>
    <w:p>
      <w:pPr>
        <w:jc w:val="both"/>
        <w:ind w:left="1040" w:right="199" w:hanging="427"/>
        <w:spacing w:after="0" w:line="255" w:lineRule="auto"/>
        <w:tabs>
          <w:tab w:leader="none" w:pos="10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Involuntary Termination” means the termination of the Executive’s employment by the Company within the period beginning three months before, and ending twelve months following, a Change in Control, for any reason other than Cause, the Executive’s death or the Executive’s Disability. For purposes of the preceding sentence, a Good Reason Termination shall be considered to be a “termination of the Executive’s employment by the Company”.</w:t>
      </w:r>
    </w:p>
    <w:p>
      <w:pPr>
        <w:spacing w:after="0" w:line="107"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“COBRA” means the Consolidated Omnibus Budget Reconciliation Act of 1985, as amended.</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3" w:name="page164"/>
    <w:bookmarkEnd w:id="163"/>
    <w:p>
      <w:pPr>
        <w:ind w:left="1040" w:hanging="427"/>
        <w:spacing w:after="0"/>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means the Internal Revenue Code of 1986, as amended.</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“Disability” means the Executive becomes permanently disabled within the meaning of, and begins actually to receive disability benefits pursuant to Social Security Disability Income or the long-term disability plan in effect for, or applicable to, the Executive.</w:t>
      </w:r>
    </w:p>
    <w:p>
      <w:pPr>
        <w:spacing w:after="0" w:line="89"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 means any stock option, stock appreciation, stock purchase, restricted stock, restricted stock unit, long term incentive cash bonus award or any other kind of equity-based plan, program, arrangement or grant regardless of whether the form of distribution is in stock or cash.</w:t>
      </w:r>
    </w:p>
    <w:p>
      <w:pPr>
        <w:spacing w:after="0" w:line="104"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Reason Termination” shall mean a termination of the Executive’s employment initiated by the Executive as a result of the occurrence of any of the following without the Executive’s prior written consent:</w:t>
      </w:r>
    </w:p>
    <w:p>
      <w:pPr>
        <w:spacing w:after="0" w:line="89" w:lineRule="exact"/>
        <w:rPr>
          <w:rFonts w:ascii="Times New Roman" w:cs="Times New Roman" w:eastAsia="Times New Roman" w:hAnsi="Times New Roman"/>
          <w:sz w:val="14"/>
          <w:szCs w:val="14"/>
          <w:color w:val="auto"/>
        </w:rPr>
      </w:pPr>
    </w:p>
    <w:p>
      <w:pPr>
        <w:ind w:left="1480" w:hanging="435"/>
        <w:spacing w:after="0"/>
        <w:tabs>
          <w:tab w:leader="none" w:pos="14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reduction in the Executive’s duties, title or responsibilities;</w:t>
      </w:r>
    </w:p>
    <w:p>
      <w:pPr>
        <w:spacing w:after="0" w:line="145" w:lineRule="exact"/>
        <w:rPr>
          <w:rFonts w:ascii="Times New Roman" w:cs="Times New Roman" w:eastAsia="Times New Roman" w:hAnsi="Times New Roman"/>
          <w:sz w:val="14"/>
          <w:szCs w:val="14"/>
          <w:color w:val="auto"/>
        </w:rPr>
      </w:pPr>
    </w:p>
    <w:p>
      <w:pPr>
        <w:jc w:val="both"/>
        <w:ind w:left="1480" w:right="199" w:hanging="435"/>
        <w:spacing w:after="0" w:line="261" w:lineRule="auto"/>
        <w:tabs>
          <w:tab w:leader="none" w:pos="14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reduction in the Executive’s annual base salary, except that an aggregate reduction in annual base salary of up to ten percent (10%) that is instituted as a result of a broad-based reduction in base salaries for the Company’s executives as a whole shall not be considered to constitute a basis for a Good Reason Termination;</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53" w:lineRule="auto"/>
        <w:tabs>
          <w:tab w:leader="none" w:pos="14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relocation of the Executive’s principal place of employment to a location more than fifty (50) miles from the Executive’s prior principal place of employment (unless such relocation does not increase the Executive’s commute by more than twenty</w:t>
      </w:r>
    </w:p>
    <w:p>
      <w:pPr>
        <w:jc w:val="both"/>
        <w:ind w:left="1480" w:right="199" w:hanging="3"/>
        <w:spacing w:after="0" w:line="253" w:lineRule="auto"/>
        <w:tabs>
          <w:tab w:leader="none" w:pos="1766"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 except that required travel on the Company’s business (to an extent substantially consistent with the Executive’s prior business travel obligations for the Company) shall not be considered to constitute a basis for a Good Reason Termination; or</w:t>
      </w:r>
    </w:p>
    <w:p>
      <w:pPr>
        <w:spacing w:after="0" w:line="274" w:lineRule="exact"/>
        <w:rPr>
          <w:rFonts w:ascii="Times New Roman" w:cs="Times New Roman" w:eastAsia="Times New Roman" w:hAnsi="Times New Roman"/>
          <w:sz w:val="14"/>
          <w:szCs w:val="14"/>
          <w:color w:val="auto"/>
        </w:rPr>
      </w:pPr>
    </w:p>
    <w:p>
      <w:pPr>
        <w:ind w:left="1480" w:right="199" w:hanging="435"/>
        <w:spacing w:after="0" w:line="282" w:lineRule="auto"/>
        <w:tabs>
          <w:tab w:leader="none" w:pos="148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obtain an agreement from any successor to the Company to assume and agree to perform the obligations under this Agreement.</w:t>
      </w:r>
    </w:p>
    <w:p>
      <w:pPr>
        <w:spacing w:after="0" w:line="90" w:lineRule="exact"/>
        <w:rPr>
          <w:sz w:val="20"/>
          <w:szCs w:val="20"/>
          <w:color w:val="auto"/>
        </w:rPr>
      </w:pPr>
    </w:p>
    <w:p>
      <w:pPr>
        <w:jc w:val="both"/>
        <w:ind w:left="1040" w:right="199"/>
        <w:spacing w:after="0" w:line="247" w:lineRule="auto"/>
        <w:rPr>
          <w:sz w:val="20"/>
          <w:szCs w:val="20"/>
          <w:color w:val="auto"/>
        </w:rPr>
      </w:pPr>
      <w:r>
        <w:rPr>
          <w:rFonts w:ascii="Times New Roman" w:cs="Times New Roman" w:eastAsia="Times New Roman" w:hAnsi="Times New Roman"/>
          <w:sz w:val="14"/>
          <w:szCs w:val="14"/>
          <w:color w:val="auto"/>
        </w:rPr>
        <w:t>A Good Reason Termination must be initiated, in a writing to the Company, by the Executive within sixty (60) days following the earlier of (i) the initial notification, or (ii) the initial instance, of the condition giving rise to the Good Reason Termination. The Company shall have thirty (30) days in which to cure the condition otherwise giving rise to the Good Reason Termination. In the event that the Company does not cure the condition, then the Good Reason Termination shall be effective as of the end of the thirty</w:t>
      </w:r>
    </w:p>
    <w:p>
      <w:pPr>
        <w:spacing w:after="0" w:line="1" w:lineRule="exact"/>
        <w:rPr>
          <w:sz w:val="20"/>
          <w:szCs w:val="20"/>
          <w:color w:val="auto"/>
        </w:rPr>
      </w:pPr>
    </w:p>
    <w:p>
      <w:pPr>
        <w:jc w:val="both"/>
        <w:ind w:left="1040" w:right="199" w:firstLine="5"/>
        <w:spacing w:after="0" w:line="249" w:lineRule="auto"/>
        <w:tabs>
          <w:tab w:leader="none" w:pos="132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cure period. In the event that the Company does cure the condition (as determined in the reasonable discretion of the Board, with respect to subparagraphs (i) and (ii)) otherwise giving rise to the Good Reason Termination, then no termination of employment shall occur.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4" w:name="page165"/>
    <w:bookmarkEnd w:id="164"/>
    <w:p>
      <w:pPr>
        <w:jc w:val="both"/>
        <w:ind w:left="1040" w:right="199" w:hanging="427"/>
        <w:spacing w:after="0" w:line="248"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Pay” means the maximum bonus or similar incentive compensation opportunity as established by the Company for which the Executive was eligible for the year during which the Termination Date occurs (and if no such maximum bonus or similar compensation opportunity has been established by the Company for the year during which the Termination Date occurs, then “Incentive Pay” means the maximum bonus or similar incentive compensation opportunity for which the Executive was eligible for the most recent year prior to the year during which the Termination Date occurs for which such bonus or similar incentive compensation opportunity was established). For purposes of this definition, “Incentive Pay” does not include any Equity Compensation, or any amounts specifically designated by the parties as amounts other than Incentive Pay.</w:t>
      </w:r>
    </w:p>
    <w:p>
      <w:pPr>
        <w:spacing w:after="0" w:line="113" w:lineRule="exact"/>
        <w:rPr>
          <w:rFonts w:ascii="Times New Roman" w:cs="Times New Roman" w:eastAsia="Times New Roman" w:hAnsi="Times New Roman"/>
          <w:sz w:val="14"/>
          <w:szCs w:val="14"/>
          <w:color w:val="auto"/>
        </w:rPr>
      </w:pPr>
    </w:p>
    <w:p>
      <w:pPr>
        <w:ind w:left="1040" w:right="199" w:hanging="427"/>
        <w:spacing w:after="0" w:line="255"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“Non-Change in Control Involuntary Termination” means the termination of the Executive’s employment by the Company (other than a Change in Control Involuntary Termination) for any reason other than Cause, the Executive’s death or the Executive’s Disability. For purposes of the preceding sentence, a Good Reason Termination shall be considered to be a “termination of the Executive’s employment by the Company”.</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6"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Territory” means the countries in which the Company operates, does business, or is taking steps to do business. For purposes of the Executive’s non-compete restrictions following employment, the Restricted Territory includes all geographic areas in which he or she, during any time within the last two (2) years of employment, provided services or had a material presence or influence.</w:t>
      </w:r>
    </w:p>
    <w:p>
      <w:pPr>
        <w:spacing w:after="0" w:line="276"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Period” means the eighteen (18) month period after the Executive’s Termination Date.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means any Company controlled affiliate.</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Date” means the last day of the Executive’s employment with the Company.</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Employment” means, except as provided in the following sentence, the termination of the Executive’s active employment relationship with the Company on account of a Non-Change in Control Involuntary Termination or a Change in Control Involuntary Termination. For purposes of the restrictive covenant provision of Section 7 of the Agreement, the term “Termination of Employment” shall mean the termination of the Executive’s employment relationship with the Company for any reason, including, but not limited to, the Executive’s Non-Change in Control Involuntary Termination, Change in Control Involuntary Termination, voluntary termination, termination on account of Disability, or termination by the Company for Cause.</w:t>
      </w:r>
    </w:p>
    <w:p>
      <w:pPr>
        <w:spacing w:after="0" w:line="113" w:lineRule="exact"/>
        <w:rPr>
          <w:rFonts w:ascii="Times New Roman" w:cs="Times New Roman" w:eastAsia="Times New Roman" w:hAnsi="Times New Roman"/>
          <w:sz w:val="14"/>
          <w:szCs w:val="14"/>
          <w:color w:val="auto"/>
        </w:rPr>
      </w:pPr>
    </w:p>
    <w:p>
      <w:pPr>
        <w:ind w:left="620" w:hanging="439"/>
        <w:spacing w:after="0"/>
        <w:tabs>
          <w:tab w:leader="none" w:pos="6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Not in Connection with a Change in Control</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Non-Change in Control Involuntary Termination</w:t>
      </w:r>
      <w:r>
        <w:rPr>
          <w:rFonts w:ascii="Times New Roman" w:cs="Times New Roman" w:eastAsia="Times New Roman" w:hAnsi="Times New Roman"/>
          <w:sz w:val="14"/>
          <w:szCs w:val="14"/>
          <w:color w:val="auto"/>
        </w:rPr>
        <w:t>. In the event the Executive’s employment is terminated on account of a Non-Change in Control Involuntary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5" w:name="page166"/>
    <w:bookmarkEnd w:id="165"/>
    <w:p>
      <w:pPr>
        <w:ind w:left="1040"/>
        <w:spacing w:after="0"/>
        <w:rPr>
          <w:sz w:val="20"/>
          <w:szCs w:val="20"/>
          <w:color w:val="auto"/>
        </w:rPr>
      </w:pPr>
      <w:r>
        <w:rPr>
          <w:rFonts w:ascii="Times New Roman" w:cs="Times New Roman" w:eastAsia="Times New Roman" w:hAnsi="Times New Roman"/>
          <w:sz w:val="14"/>
          <w:szCs w:val="14"/>
          <w:color w:val="auto"/>
        </w:rPr>
        <w:t>Termination, the Executive shall be entitled to the benefits provided in subsection (b) of this Section 2.</w:t>
      </w:r>
    </w:p>
    <w:p>
      <w:pPr>
        <w:spacing w:after="0" w:line="145" w:lineRule="exact"/>
        <w:rPr>
          <w:sz w:val="20"/>
          <w:szCs w:val="20"/>
          <w:color w:val="auto"/>
        </w:rPr>
      </w:pPr>
    </w:p>
    <w:p>
      <w:pPr>
        <w:jc w:val="both"/>
        <w:ind w:left="1040" w:right="199" w:hanging="427"/>
        <w:spacing w:after="0" w:line="261" w:lineRule="auto"/>
        <w:tabs>
          <w:tab w:leader="none" w:pos="104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Benefits Upon a Non-Change in Control Involuntary Termination</w:t>
      </w:r>
      <w:r>
        <w:rPr>
          <w:rFonts w:ascii="Times New Roman" w:cs="Times New Roman" w:eastAsia="Times New Roman" w:hAnsi="Times New Roman"/>
          <w:sz w:val="14"/>
          <w:szCs w:val="14"/>
          <w:color w:val="auto"/>
        </w:rPr>
        <w:t>. Subject to the provisions of Section 5 hereof, in the event a termination described in subsection (a) of this Section 2 occurs, the Company shall pay and provide to the Executive after his Termination Date:</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55" w:lineRule="auto"/>
        <w:tabs>
          <w:tab w:leader="none" w:pos="1480" w:val="left"/>
        </w:tabs>
        <w:numPr>
          <w:ilvl w:val="2"/>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and one-half (1.5) times Base Pay. Unless a different payment stream is required pursuant to Section 10(c) of this Agreement, such Base Pay shall be paid in cash to the Executive in equal installments over the Severance Period consistent with the Company’s normal payroll practices, starting as of the first pay period following the expiration of the Revocation Period defined in Section 5.</w:t>
      </w:r>
    </w:p>
    <w:p>
      <w:pPr>
        <w:spacing w:after="0" w:line="107" w:lineRule="exact"/>
        <w:rPr>
          <w:rFonts w:ascii="Times New Roman" w:cs="Times New Roman" w:eastAsia="Times New Roman" w:hAnsi="Times New Roman"/>
          <w:sz w:val="14"/>
          <w:szCs w:val="14"/>
          <w:color w:val="auto"/>
        </w:rPr>
      </w:pPr>
    </w:p>
    <w:p>
      <w:pPr>
        <w:jc w:val="both"/>
        <w:ind w:left="1480" w:right="199" w:hanging="435"/>
        <w:spacing w:after="0" w:line="246" w:lineRule="auto"/>
        <w:tabs>
          <w:tab w:leader="none" w:pos="1480" w:val="left"/>
        </w:tabs>
        <w:numPr>
          <w:ilvl w:val="2"/>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Severance Period, provided the Executive (i) timely signed and did not revoke the Release, (ii) timely elects COBRA coverage, (iii) timely remits payment, and (iv) remains eligible for COBRA continuation coverage under the Company’s group health plan, the Executive shall only be required to pay active employee rates, as in effect from time-to-time. In the event a tax issue arises with respect to the payment of premiums at active employee rates during the Severance Period, the Executive will be required to pay the full COBRA premium rate, as in effect from time-to-time. In such event, and only during the Severance Period, the Company will reimburse the Executive, on an after-tax basis, for each payment amount that the Executive pays that is greater than the then-in-effect active employee rate under the Company’s group health plan. Following the end of the Severance Period, the Executive will be required to pay the full COBRA rate with no reimbursement for the duration of the COBRA continuation period. Any reimbursement will be made at the same time and in the same form as set forth in 2(b)(i) above.</w:t>
      </w:r>
    </w:p>
    <w:p>
      <w:pPr>
        <w:spacing w:after="0" w:line="278" w:lineRule="exact"/>
        <w:rPr>
          <w:rFonts w:ascii="Times New Roman" w:cs="Times New Roman" w:eastAsia="Times New Roman" w:hAnsi="Times New Roman"/>
          <w:sz w:val="14"/>
          <w:szCs w:val="14"/>
          <w:color w:val="auto"/>
        </w:rPr>
      </w:pPr>
    </w:p>
    <w:p>
      <w:pPr>
        <w:jc w:val="both"/>
        <w:ind w:left="1480" w:right="199" w:hanging="435"/>
        <w:spacing w:after="0" w:line="255" w:lineRule="auto"/>
        <w:tabs>
          <w:tab w:leader="none" w:pos="1480" w:val="left"/>
        </w:tabs>
        <w:numPr>
          <w:ilvl w:val="2"/>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Equity Compensation that is not vested on the Termination Date shall terminate or shall be forfeited to the Company by the Executive, effective as of the Termination Date, except as may be determined otherwise pursuant to the written terms of such Equity Compensation plan or grant agreement (it being the intent that the Executive shall be able to exercise vested options in accord with their respective option agreements).</w:t>
      </w:r>
    </w:p>
    <w:p>
      <w:pPr>
        <w:spacing w:after="0" w:line="107" w:lineRule="exact"/>
        <w:rPr>
          <w:rFonts w:ascii="Times New Roman" w:cs="Times New Roman" w:eastAsia="Times New Roman" w:hAnsi="Times New Roman"/>
          <w:sz w:val="14"/>
          <w:szCs w:val="14"/>
          <w:color w:val="auto"/>
        </w:rPr>
      </w:pPr>
    </w:p>
    <w:p>
      <w:pPr>
        <w:ind w:left="620" w:hanging="439"/>
        <w:spacing w:after="0"/>
        <w:tabs>
          <w:tab w:leader="none" w:pos="6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Associated With a Change in Control</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Involuntary Termination. In the event the Executive’s employment is terminated on account of a Change in Control Involuntary Termination, the Executive shall be entitled to the benefits provided in subsection (b) of this Section 3.</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6" w:name="page167"/>
    <w:bookmarkEnd w:id="166"/>
    <w:p>
      <w:pPr>
        <w:jc w:val="both"/>
        <w:ind w:left="1040" w:right="199" w:hanging="427"/>
        <w:spacing w:after="0" w:line="261" w:lineRule="auto"/>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and Benefits Upon a Change in Control Involuntary Termination. Subject to the provisions of Section 5 hereof, in the event a termination described in subsection (a) of this Section 3 occurs, the Company shall pay and provide to the Executive after his Termination Date:</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61" w:lineRule="auto"/>
        <w:tabs>
          <w:tab w:leader="none" w:pos="14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Lump sum cash payment equal to one and one-half (1.5) times Base Pay. Unless the payment is delayed pursuant to Section 10(c) of this Agreement, this lump sum cash payment shall be paid to the Executive within sixty (60) days after the expiration of the Revocation Period defined in Section 5.</w:t>
      </w:r>
    </w:p>
    <w:p>
      <w:pPr>
        <w:spacing w:after="0" w:line="104" w:lineRule="exact"/>
        <w:rPr>
          <w:rFonts w:ascii="Times New Roman" w:cs="Times New Roman" w:eastAsia="Times New Roman" w:hAnsi="Times New Roman"/>
          <w:sz w:val="14"/>
          <w:szCs w:val="14"/>
          <w:color w:val="auto"/>
        </w:rPr>
      </w:pPr>
    </w:p>
    <w:p>
      <w:pPr>
        <w:jc w:val="both"/>
        <w:ind w:left="1480" w:right="199" w:hanging="435"/>
        <w:spacing w:after="0" w:line="256" w:lineRule="auto"/>
        <w:tabs>
          <w:tab w:leader="none" w:pos="14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Lump sum cash payment equal to one and one-half (1.5) times the Executive’s Incentive Pay for the year in which the Termination of Employment occurs. Unless the payment is delayed pursuant to Section 10(c) of this Agreement, this lump sum payment shall be paid to the Executive within sixty (60) days after the expiration of the Revocation Period defined in Section 5.</w:t>
      </w:r>
    </w:p>
    <w:p>
      <w:pPr>
        <w:spacing w:after="0" w:line="276" w:lineRule="exact"/>
        <w:rPr>
          <w:rFonts w:ascii="Times New Roman" w:cs="Times New Roman" w:eastAsia="Times New Roman" w:hAnsi="Times New Roman"/>
          <w:sz w:val="14"/>
          <w:szCs w:val="14"/>
          <w:color w:val="auto"/>
        </w:rPr>
      </w:pPr>
    </w:p>
    <w:p>
      <w:pPr>
        <w:jc w:val="both"/>
        <w:ind w:left="1480" w:right="199" w:hanging="435"/>
        <w:spacing w:after="0" w:line="246" w:lineRule="auto"/>
        <w:tabs>
          <w:tab w:leader="none" w:pos="14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Severance Period, provided the Executive (i) timely signed and did not revoke the Release, (ii) timely elects COBRA coverage, (iii) timely remits payment, and (iv) remains eligible for COBRA continuation coverage under the Company’s group health plan, the Executive shall only be required to pay active employee rates, as in effect from time-to-time. In the event a tax issue arises with respect to the payment of premiums at active employee rates during the Severance Period, the Executive will be required to pay the full COBRA premium rate, as in effect from time-to-time. In such event, and only during the Severance Period, the Company will reimburse the Executive, on an after-tax basis, for each COBRA payment amount that the Executive pays that is greater than the then-in-effect active employee rate under the Company’s group health plan. Following the end of the Severance Period, the Executive will be required to pay the full COBRA rate with no reimbursement for the remainder of the COBRA continuation period. Any reimbursement will be made at the same time and in the same form as set forth in 3(b)(i) above.</w:t>
      </w:r>
    </w:p>
    <w:p>
      <w:pPr>
        <w:spacing w:after="0" w:line="278" w:lineRule="exact"/>
        <w:rPr>
          <w:rFonts w:ascii="Times New Roman" w:cs="Times New Roman" w:eastAsia="Times New Roman" w:hAnsi="Times New Roman"/>
          <w:sz w:val="14"/>
          <w:szCs w:val="14"/>
          <w:color w:val="auto"/>
        </w:rPr>
      </w:pPr>
    </w:p>
    <w:p>
      <w:pPr>
        <w:jc w:val="both"/>
        <w:ind w:left="1480" w:right="199" w:hanging="435"/>
        <w:spacing w:after="0" w:line="247" w:lineRule="auto"/>
        <w:tabs>
          <w:tab w:leader="none" w:pos="14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to the contrary in any applicable plan, program or agreement, or any contrary provision in this Agreement, in the event of a Change in Control Involuntary Termination, all Equity Compensation held by the Executive on the Termination Date subject to time-based vesting will become fully vested and/or exercisable, as the case may be, and all stock options held by the Executive shall remain exercisable, notwithstanding anything in any other agreement governing such options, for the longer of (i) a period of twelve (12) months after the Executive’s Termination Date, or (ii) the period set forth in the award agreement covering the option; provided, however, that in no event will the option be exercisable beyond its original term (if such date is earlier than provided herein). If, at the time of a Change in Control, the Executive holds any Equity Compensation the vesting of which was made contingent upon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7" w:name="page168"/>
    <w:bookmarkEnd w:id="167"/>
    <w:p>
      <w:pPr>
        <w:jc w:val="both"/>
        <w:ind w:left="1480" w:right="199"/>
        <w:spacing w:after="0" w:line="255" w:lineRule="auto"/>
        <w:rPr>
          <w:sz w:val="20"/>
          <w:szCs w:val="20"/>
          <w:color w:val="auto"/>
        </w:rPr>
      </w:pPr>
      <w:r>
        <w:rPr>
          <w:rFonts w:ascii="Times New Roman" w:cs="Times New Roman" w:eastAsia="Times New Roman" w:hAnsi="Times New Roman"/>
          <w:sz w:val="14"/>
          <w:szCs w:val="14"/>
          <w:color w:val="auto"/>
        </w:rPr>
        <w:t>the attainment of performance goals with respect to a performance period, upon the occurrence of a Change in Control, notwithstanding the terms of any such award (or any plan under which the award is made), the performance goals and vesting with respect to each such award shall be determined in accordance with the terms of any such award (or any plan under which the award is made).</w:t>
      </w:r>
    </w:p>
    <w:p>
      <w:pPr>
        <w:spacing w:after="0" w:line="108" w:lineRule="exact"/>
        <w:rPr>
          <w:sz w:val="20"/>
          <w:szCs w:val="20"/>
          <w:color w:val="auto"/>
        </w:rPr>
      </w:pPr>
    </w:p>
    <w:p>
      <w:pPr>
        <w:jc w:val="both"/>
        <w:ind w:left="180" w:right="199" w:firstLine="1"/>
        <w:spacing w:after="0" w:line="249" w:lineRule="auto"/>
        <w:tabs>
          <w:tab w:leader="none" w:pos="61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on Account of Disability, Cause or Death</w:t>
      </w:r>
      <w:r>
        <w:rPr>
          <w:rFonts w:ascii="Times New Roman" w:cs="Times New Roman" w:eastAsia="Times New Roman" w:hAnsi="Times New Roman"/>
          <w:sz w:val="14"/>
          <w:szCs w:val="14"/>
          <w:color w:val="auto"/>
        </w:rPr>
        <w:t>. Notwithstanding anything in this Agreement to the contrary, if the Executive’s employment terminates on account of Disability, the Executive shall be entitled to receive disability benefits under any disability program maintained by the Company that covers the Executive (subject, in all respects, to the terms of such plan), and the Executive shall not be considered to have terminated employment under this Agreement and shall not receive benefits pursuant to Sections 2 and 3 hereof. If the Executive’s employment terminates on account of Cause or because of his death, the Executive shall not be considered to have terminated employment under this Agreement and shall not receive benefits pursuant to Sections 2 or 3 hereof.</w:t>
      </w:r>
    </w:p>
    <w:p>
      <w:pPr>
        <w:spacing w:after="0" w:line="113" w:lineRule="exact"/>
        <w:rPr>
          <w:rFonts w:ascii="Times New Roman" w:cs="Times New Roman" w:eastAsia="Times New Roman" w:hAnsi="Times New Roman"/>
          <w:sz w:val="14"/>
          <w:szCs w:val="14"/>
          <w:color w:val="auto"/>
        </w:rPr>
      </w:pPr>
    </w:p>
    <w:p>
      <w:pPr>
        <w:jc w:val="both"/>
        <w:ind w:left="180" w:right="199" w:firstLine="1"/>
        <w:spacing w:after="0" w:line="245" w:lineRule="auto"/>
        <w:tabs>
          <w:tab w:leader="none" w:pos="61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Notwithstanding the foregoing, no payments shall be made or benefits provided under this Agreement unless the Executive executes and does not revoke, the Company’s standard written release, substantially in the form as attached hereto as Appendix A (the “Release”), of any and all claims against the Company and related parties, including all claims with respect to all matters arising out of the Executive’s employment by the Company (other than entitlements under the terms of this Agreement) or a termination thereof. The Release also contains a reaffirmation of the Executive’s non-compete covenant. The Executive understands and agrees that he has twenty-one (21) days to consider the Release. The Executive further understands that he has a right to revoke the Release by notifying the Company in writing, by hand delivery or electronic mail, within seven</w:t>
      </w:r>
    </w:p>
    <w:p>
      <w:pPr>
        <w:spacing w:after="0" w:line="1" w:lineRule="exact"/>
        <w:rPr>
          <w:rFonts w:ascii="Times New Roman" w:cs="Times New Roman" w:eastAsia="Times New Roman" w:hAnsi="Times New Roman"/>
          <w:sz w:val="14"/>
          <w:szCs w:val="14"/>
          <w:color w:val="auto"/>
        </w:rPr>
      </w:pPr>
    </w:p>
    <w:p>
      <w:pPr>
        <w:jc w:val="both"/>
        <w:ind w:left="180" w:right="19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business days of his execution of the Release (the “Revocation Period”). In the event that the Release is not executed and delivered to the Company on or before the twenty-second (22nd) day following delivery of the Release to the Executive, or in the event that the Executive notifies the Company of his revocation of the Release within seven (7) business days of his execution of it, then no payments shall be made to the Executive under this Agreement, other than amounts to which he or she is entitled to receive as a matter of law or contract.</w:t>
      </w:r>
    </w:p>
    <w:p>
      <w:pPr>
        <w:spacing w:after="0" w:line="113" w:lineRule="exact"/>
        <w:rPr>
          <w:rFonts w:ascii="Times New Roman" w:cs="Times New Roman" w:eastAsia="Times New Roman" w:hAnsi="Times New Roman"/>
          <w:sz w:val="14"/>
          <w:szCs w:val="14"/>
          <w:color w:val="auto"/>
        </w:rPr>
      </w:pPr>
    </w:p>
    <w:p>
      <w:pPr>
        <w:jc w:val="both"/>
        <w:ind w:left="180" w:right="199" w:firstLine="1"/>
        <w:spacing w:after="0" w:line="246" w:lineRule="auto"/>
        <w:tabs>
          <w:tab w:leader="none" w:pos="61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The Executive hereby covenants and agrees that he will not disclose to any person not employed by the Company, or use for any purpose other than in furtherance of his duties to the Company, any Confidential Information (as defined below) of the Company. For purposes of this Agreement, the term “Confidential Information” will include all information of any nature and in any form that is owned by the Company and that is not publicly available (other than by the Executive’s breach of this Section 6) or generally known to persons engaged in businesses similar or related to those of the Company. Confidential Information includes, without limitation, information regarding the Company’s financial matters, customers, employees, industry contracts, strategic business plans, product development (or other proprietary product data), marketing plans, consulting solutions and processes, and all other secrets and all other information of a confidential and proprietary nature. For purposes of the preceding two sentences, the term “Company” also includes any Subsidiary. The Executive understands and acknowledges that the above list is not exhaustive, and that Confidential Information also includes other information that is marked or otherwise identified as confidential, or that would otherwise appear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8" w:name="page169"/>
    <w:bookmarkEnd w:id="168"/>
    <w:p>
      <w:pPr>
        <w:jc w:val="both"/>
        <w:ind w:left="180" w:right="199"/>
        <w:spacing w:after="0" w:line="248" w:lineRule="auto"/>
        <w:rPr>
          <w:sz w:val="20"/>
          <w:szCs w:val="20"/>
          <w:color w:val="auto"/>
        </w:rPr>
      </w:pPr>
      <w:r>
        <w:rPr>
          <w:rFonts w:ascii="Times New Roman" w:cs="Times New Roman" w:eastAsia="Times New Roman" w:hAnsi="Times New Roman"/>
          <w:sz w:val="14"/>
          <w:szCs w:val="14"/>
          <w:color w:val="auto"/>
        </w:rPr>
        <w:t>to a reasonable person to be confidential in the context and circumstances in which the information is known or used. The Executive understands and agrees that any Confidential Information developed by the Executive in the course of his or her employment by the Company shall be subject to the terms and conditions of this Agreement as if the Company furnished the same Confidential Information to the Executive in the first instance. The foregoing obligations imposed by this Section 6 will not apply (i) in the course of the business of and for the benefit of the Company as required in the performance of any of the Executive’s duties to the Company (with the prior consent of an authorized officer acting on behalf of the Company in each instance), (ii) if such Confidential Information has become, through no fault of the Executive, generally known to the public, or (iii) if the Executive is required by law to make disclosure (after giving the Company notice and an opportunity to contest such requirement).</w:t>
      </w:r>
    </w:p>
    <w:p>
      <w:pPr>
        <w:spacing w:after="0" w:line="112"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14"/>
          <w:szCs w:val="14"/>
          <w:b w:val="1"/>
          <w:bCs w:val="1"/>
          <w:color w:val="auto"/>
        </w:rPr>
        <w:t>Nothing in this Section 6 is intended to nor shall it limit or prohibit Executive, or waive any right on his or her part, to initiate or engage in communication with, respond to any inquiry from, or otherwise provide information to, any federal or state regulatory, self-regulatory, or enforcement agency or authority regarding possible violations of federal or state law or regulation including under the whistleblower provisions of federal or state law or regulation. Please also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16" w:lineRule="exact"/>
        <w:rPr>
          <w:sz w:val="20"/>
          <w:szCs w:val="20"/>
          <w:color w:val="auto"/>
        </w:rPr>
      </w:pPr>
    </w:p>
    <w:p>
      <w:pPr>
        <w:ind w:left="620" w:hanging="439"/>
        <w:spacing w:after="0"/>
        <w:tabs>
          <w:tab w:leader="none" w:pos="6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Covenants Not to Compete and Not to Solicit</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5" w:lineRule="auto"/>
        <w:tabs>
          <w:tab w:leader="none" w:pos="104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 Not to Compete</w:t>
      </w:r>
      <w:r>
        <w:rPr>
          <w:rFonts w:ascii="Times New Roman" w:cs="Times New Roman" w:eastAsia="Times New Roman" w:hAnsi="Times New Roman"/>
          <w:sz w:val="14"/>
          <w:szCs w:val="14"/>
          <w:color w:val="auto"/>
        </w:rPr>
        <w:t>. Because of the Company’s legitimate business interests as described herein, and in exchange for the mutually-agreed upon consideration for Executive’s compliance with the covenants in this Section 7, including the severance benefits outlined above, for the remainder of the Executive’s employment with the Company and for the twelve (12) months thereafter, the Executive agrees and covenants not to engage in any Competitive Activity within the Restricted Territory. For purposes of this non-compete clause, “Competitive Activity” means to, directly or indirectly, in whole or in part, engage in, provide services to or otherwise participate in, whether as an employee, employer, owner, operator, manager, advisor, consultant, agent, partner, director, stockholder, officer, or any other similar capacity, any entity engaged in a business that is competitive with the business of the Company. Without limiting the foregoing, Competitive Activity also includes activity that may require or inevitably would require disclosure of trade secrets or other Confidential Information. Nothing herein shall prohibit the Executive from purchasing or owning less than five percent (5%) of the publicly traded securities of any corporation, provided that such ownership represents a passive investment and that the Executive is not a controlling person of, or a member of a group that controls, such corporation.</w:t>
      </w:r>
    </w:p>
    <w:p>
      <w:pPr>
        <w:spacing w:after="0" w:line="118" w:lineRule="exact"/>
        <w:rPr>
          <w:sz w:val="20"/>
          <w:szCs w:val="20"/>
          <w:color w:val="auto"/>
        </w:rPr>
      </w:pPr>
    </w:p>
    <w:p>
      <w:pPr>
        <w:ind w:left="1040" w:right="199"/>
        <w:spacing w:after="0" w:line="282" w:lineRule="auto"/>
        <w:rPr>
          <w:sz w:val="20"/>
          <w:szCs w:val="20"/>
          <w:color w:val="auto"/>
        </w:rPr>
      </w:pPr>
      <w:r>
        <w:rPr>
          <w:rFonts w:ascii="Times New Roman" w:cs="Times New Roman" w:eastAsia="Times New Roman" w:hAnsi="Times New Roman"/>
          <w:sz w:val="14"/>
          <w:szCs w:val="14"/>
          <w:color w:val="auto"/>
        </w:rPr>
        <w:t>In the event that the Executive breaches his or her fiduciary duty to the Company or unlawfully takes property belonging to the Company, the duration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69" w:name="page170"/>
    <w:bookmarkEnd w:id="169"/>
    <w:p>
      <w:pPr>
        <w:ind w:left="1040"/>
        <w:spacing w:after="0"/>
        <w:rPr>
          <w:sz w:val="20"/>
          <w:szCs w:val="20"/>
          <w:color w:val="auto"/>
        </w:rPr>
      </w:pPr>
      <w:r>
        <w:rPr>
          <w:rFonts w:ascii="Times New Roman" w:cs="Times New Roman" w:eastAsia="Times New Roman" w:hAnsi="Times New Roman"/>
          <w:sz w:val="14"/>
          <w:szCs w:val="14"/>
          <w:color w:val="auto"/>
        </w:rPr>
        <w:t>restrictions in this Section 7(a) shall be extended to two (2) years from the date of cessation of employment.</w:t>
      </w:r>
    </w:p>
    <w:p>
      <w:pPr>
        <w:spacing w:after="0" w:line="145" w:lineRule="exact"/>
        <w:rPr>
          <w:sz w:val="20"/>
          <w:szCs w:val="20"/>
          <w:color w:val="auto"/>
        </w:rPr>
      </w:pPr>
    </w:p>
    <w:p>
      <w:pPr>
        <w:jc w:val="both"/>
        <w:ind w:left="1040" w:right="199" w:hanging="427"/>
        <w:spacing w:after="0" w:line="251" w:lineRule="auto"/>
        <w:tabs>
          <w:tab w:leader="none" w:pos="10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 of Employees</w:t>
      </w:r>
      <w:r>
        <w:rPr>
          <w:rFonts w:ascii="Times New Roman" w:cs="Times New Roman" w:eastAsia="Times New Roman" w:hAnsi="Times New Roman"/>
          <w:sz w:val="14"/>
          <w:szCs w:val="14"/>
          <w:color w:val="auto"/>
        </w:rPr>
        <w:t>. The Executive understands and acknowledges that the Company has expended and continues to expend significant time and expense in recruiting and training its employees and that the loss of employees would cause significant and irreparable harm to the Company. The Executive agrees and covenants not to directly or indirectly solicit, hire, recruit, attempt to hire or recruit, or induce the termination of employment of any employee of the Company during the remainder of the Executive’s employment with the Company and for the twelve (12) months thereafter.</w:t>
      </w:r>
    </w:p>
    <w:p>
      <w:pPr>
        <w:spacing w:after="0" w:line="112" w:lineRule="exact"/>
        <w:rPr>
          <w:rFonts w:ascii="Times New Roman" w:cs="Times New Roman" w:eastAsia="Times New Roman" w:hAnsi="Times New Roman"/>
          <w:sz w:val="14"/>
          <w:szCs w:val="14"/>
          <w:color w:val="auto"/>
        </w:rPr>
      </w:pPr>
    </w:p>
    <w:p>
      <w:pPr>
        <w:jc w:val="both"/>
        <w:ind w:left="1040" w:right="199" w:hanging="427"/>
        <w:spacing w:after="0" w:line="248" w:lineRule="auto"/>
        <w:tabs>
          <w:tab w:leader="none" w:pos="10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 of Customers</w:t>
      </w:r>
      <w:r>
        <w:rPr>
          <w:rFonts w:ascii="Times New Roman" w:cs="Times New Roman" w:eastAsia="Times New Roman" w:hAnsi="Times New Roman"/>
          <w:sz w:val="14"/>
          <w:szCs w:val="14"/>
          <w:color w:val="auto"/>
        </w:rPr>
        <w:t>. The Executive understands and acknowledges that the Company has expended and continues to expend significant time and expense in developing customer relationships, customer information and goodwill, and that because of the Executive’s experience with and relationship to the Company, the Executive has had access to and learned about much or all of the Company’s customer information. For purposes of this clause, “customer information” includes, but is not limited to, names, phone numbers, addresses, e-mail addresses, order history, order preferences, chain of command, pricing information and other information identifying facts and circumstances specific to the customer. The Executive understands and acknowledges that loss of this customer relationship and/or goodwill will cause significant and irreparable harm to the Company.</w:t>
      </w:r>
    </w:p>
    <w:p>
      <w:pPr>
        <w:spacing w:after="0" w:line="113" w:lineRule="exact"/>
        <w:rPr>
          <w:rFonts w:ascii="Times New Roman" w:cs="Times New Roman" w:eastAsia="Times New Roman" w:hAnsi="Times New Roman"/>
          <w:sz w:val="14"/>
          <w:szCs w:val="14"/>
          <w:color w:val="auto"/>
        </w:rPr>
      </w:pPr>
    </w:p>
    <w:p>
      <w:pPr>
        <w:jc w:val="both"/>
        <w:ind w:left="1040" w:right="1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agrees and covenants, during the remainder of the Executive’s employment with the Company and for the twelve (12) months thereafter, not to directly or indirectly solicit, contact (including but not limited to e-mail, regular mail, express mail, telephone, fax, and instant message), attempt to contact or meet with the Company’s current, former or prospective customers for purposes of offering or accepting goods or services similar to or competitive with those offered by the Company.</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The covenants contained in this Section 7 are intended to be construed as a series of separate covenants. If, in any judicial proceeding, the court shall refuse to enforce any of the separate covenants (or any part thereof), then such unenforceable covenant (or such part) shall be deemed to be eliminated from this Agreement for the purpose of those proceedings to the extent necessary to permit the remaining separate covenants (or portions thereof) to be enforced. T</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61" w:lineRule="auto"/>
        <w:tabs>
          <w:tab w:leader="none" w:pos="10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Reasonableness</w:t>
      </w:r>
      <w:r>
        <w:rPr>
          <w:rFonts w:ascii="Times New Roman" w:cs="Times New Roman" w:eastAsia="Times New Roman" w:hAnsi="Times New Roman"/>
          <w:sz w:val="14"/>
          <w:szCs w:val="14"/>
          <w:color w:val="auto"/>
        </w:rPr>
        <w:t>. In the event that the provisions of this Section 7 shall ever be deemed to exceed the time, scope or geographic limitations permitted by applicable laws, then such provisions shall be reformed to the maximum time, scope or geographic limitations, as the case may be, permitted by applicable laws.</w:t>
      </w:r>
    </w:p>
    <w:p>
      <w:pPr>
        <w:spacing w:after="0" w:line="104"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 In the event of the Executive’s Termination of Employment, the Company’s obligations to provide the severance benefits as provided in Sections 2 and 3 shall be expressly conditioned upon the Executive’s covenants not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0" w:name="page171"/>
    <w:bookmarkEnd w:id="170"/>
    <w:p>
      <w:pPr>
        <w:jc w:val="both"/>
        <w:ind w:left="1040" w:right="199"/>
        <w:spacing w:after="0" w:line="261" w:lineRule="auto"/>
        <w:rPr>
          <w:sz w:val="20"/>
          <w:szCs w:val="20"/>
          <w:color w:val="auto"/>
        </w:rPr>
      </w:pPr>
      <w:r>
        <w:rPr>
          <w:rFonts w:ascii="Times New Roman" w:cs="Times New Roman" w:eastAsia="Times New Roman" w:hAnsi="Times New Roman"/>
          <w:sz w:val="14"/>
          <w:szCs w:val="14"/>
          <w:color w:val="auto"/>
        </w:rPr>
        <w:t>to compete and not to solicit as provided herein. In the event the Executive breaches his or her obligations to the Company as provided herein, the Company’s obligations to make severance payments to the Executive pursuant to Sections 2 and 3 shall cease, without prejudice to any other remedies that may be available to the Company.</w:t>
      </w:r>
    </w:p>
    <w:p>
      <w:pPr>
        <w:spacing w:after="0" w:line="105" w:lineRule="exact"/>
        <w:rPr>
          <w:sz w:val="20"/>
          <w:szCs w:val="20"/>
          <w:color w:val="auto"/>
        </w:rPr>
      </w:pPr>
    </w:p>
    <w:p>
      <w:pPr>
        <w:jc w:val="both"/>
        <w:ind w:left="180" w:right="199" w:firstLine="1"/>
        <w:spacing w:after="0" w:line="269" w:lineRule="auto"/>
        <w:tabs>
          <w:tab w:leader="none" w:pos="61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Rights</w:t>
      </w:r>
      <w:r>
        <w:rPr>
          <w:rFonts w:ascii="Times New Roman" w:cs="Times New Roman" w:eastAsia="Times New Roman" w:hAnsi="Times New Roman"/>
          <w:sz w:val="14"/>
          <w:szCs w:val="14"/>
          <w:color w:val="auto"/>
        </w:rPr>
        <w:t>. Nothing expressed or implied in this Agreement will create any right or duty on the part of the Company or the Executive to have the Executive remain in the employment of the Company or any Subsidiary prior to or following any Change in Control or otherwise.</w:t>
      </w:r>
    </w:p>
    <w:p>
      <w:pPr>
        <w:spacing w:after="0" w:line="269" w:lineRule="exact"/>
        <w:rPr>
          <w:rFonts w:ascii="Times New Roman" w:cs="Times New Roman" w:eastAsia="Times New Roman" w:hAnsi="Times New Roman"/>
          <w:sz w:val="14"/>
          <w:szCs w:val="14"/>
          <w:color w:val="auto"/>
        </w:rPr>
      </w:pPr>
    </w:p>
    <w:p>
      <w:pPr>
        <w:jc w:val="both"/>
        <w:ind w:left="180" w:right="199" w:firstLine="1"/>
        <w:spacing w:after="0" w:line="247" w:lineRule="auto"/>
        <w:tabs>
          <w:tab w:leader="none" w:pos="61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In the event of a breach or threatened breach by the Executive of any of the provisions of this Agreement, the Executive hereby consents and agrees that the Company shall be entitled, in addition to other available remedies, to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Should the Executive fail to abide by any of the terms of this Agreement, including the covenants contained in Section 7 hereof, the Company may, in addition to any other remedies it may have, reclaim any amounts paid to the Executive under the provisions of this Agreement or terminate any benefits or payments that are later due under this Agreement, without waiving the Release provided herein.</w:t>
      </w:r>
    </w:p>
    <w:p>
      <w:pPr>
        <w:spacing w:after="0" w:line="115"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14"/>
          <w:szCs w:val="14"/>
          <w:color w:val="auto"/>
        </w:rPr>
        <w:t>In the event that the Executive’s employment is terminated for Cause under Section 1(c)(vi), and the prosecution of such matter is discontinued without any action, or any such prosecution results in a not guilty finding, then forty-five (45) days following such discontinuation or finding (provided that Executive shall have provided (and not revoked) a fully executed and effective Release), the Company shall pay to the Executive the difference between (i) what he or she would have received if such termination of employment had been classified as a Change in Control Involuntary Termination or a Non-Change in Control Involuntary Termination (whichever would have been applicable, based upon the timing of the Executive’s termination of employment), and (ii) whatever severance benefits (if any) were actually provided to the Executive in connection therewith, plus three percent (3%) simple interest.</w:t>
      </w:r>
    </w:p>
    <w:p>
      <w:pPr>
        <w:spacing w:after="0" w:line="114" w:lineRule="exact"/>
        <w:rPr>
          <w:sz w:val="20"/>
          <w:szCs w:val="20"/>
          <w:color w:val="auto"/>
        </w:rPr>
      </w:pPr>
    </w:p>
    <w:p>
      <w:pPr>
        <w:ind w:left="620" w:hanging="439"/>
        <w:spacing w:after="0"/>
        <w:tabs>
          <w:tab w:leader="none" w:pos="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Tax Matters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040" w:right="199" w:hanging="427"/>
        <w:spacing w:after="0" w:line="282"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The Company may withhold from any amounts payable under this Agreement all federal, state, city or other taxes as the Company is required to withhold pursuant to any applicable law, regulation or ruling.</w:t>
      </w:r>
    </w:p>
    <w:p>
      <w:pPr>
        <w:spacing w:after="0" w:line="89"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280G Contingent Cutback</w:t>
      </w:r>
      <w:r>
        <w:rPr>
          <w:rFonts w:ascii="Times New Roman" w:cs="Times New Roman" w:eastAsia="Times New Roman" w:hAnsi="Times New Roman"/>
          <w:sz w:val="14"/>
          <w:szCs w:val="14"/>
          <w:color w:val="auto"/>
        </w:rPr>
        <w:t>. Notwithstanding any provision of this Agreement to the contrary, in the event that the payments and other benefits payable under this Agreement or otherwise payable to an Executive under any other plan, program, arrangement or agreement maintained by the Company or one of its affiliates (i) would constitute an “excess parachute payment” (as defined under Code Section 280G) and (ii) would be subject to the excise tax imposed by Section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1" w:name="page172"/>
    <w:bookmarkEnd w:id="171"/>
    <w:p>
      <w:pPr>
        <w:jc w:val="both"/>
        <w:ind w:left="1040" w:right="199"/>
        <w:spacing w:after="0" w:line="250" w:lineRule="auto"/>
        <w:rPr>
          <w:sz w:val="20"/>
          <w:szCs w:val="20"/>
          <w:color w:val="auto"/>
        </w:rPr>
      </w:pPr>
      <w:r>
        <w:rPr>
          <w:rFonts w:ascii="Times New Roman" w:cs="Times New Roman" w:eastAsia="Times New Roman" w:hAnsi="Times New Roman"/>
          <w:sz w:val="14"/>
          <w:szCs w:val="14"/>
          <w:color w:val="auto"/>
        </w:rPr>
        <w:t>4999 of the Code, then such payments and other benefits shall be payable either (x) in full or (y) in a reduced amount that would result in no portion of such payments and other benefits being subject to the excise tax imposed under Section 4999 of the Code, whichever of the foregoing amounts, taking into account the applicable federal, state, and local income taxes and the excise tax imposed by Section 4999 of the Code, results in the receipt by such Executive on an after-tax basis, of the greatest amount of severance benefits under this Agreement or otherwise, notwithstanding that all or some portion of such severance benefits may be taxable under Section 4999 of the Code.</w:t>
      </w:r>
    </w:p>
    <w:p>
      <w:pPr>
        <w:spacing w:after="0" w:line="278" w:lineRule="exact"/>
        <w:rPr>
          <w:sz w:val="20"/>
          <w:szCs w:val="20"/>
          <w:color w:val="auto"/>
        </w:rPr>
      </w:pPr>
    </w:p>
    <w:p>
      <w:pPr>
        <w:jc w:val="both"/>
        <w:ind w:left="1040" w:right="199" w:hanging="427"/>
        <w:spacing w:after="0" w:line="246" w:lineRule="auto"/>
        <w:tabs>
          <w:tab w:leader="none" w:pos="10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of whether it is necessary to decrease a payment or benefit to be paid under this Agreement must be made in good faith by a nationally recognized certified public accounting firm (the “Accounting Firm”) selected by the Company. This determination will be conclusive and binding upon the Executive and the Company. In the event that the Accounting Firm is serving as accountant or auditor for the individual, entity, or group effecting the Change in Control, the Company shall appoint another nationally recognized certified public accounting firm to make the determination required under this Agreement. The Company shall bear all fees of the Accounting Firm. The amount of benefit to be reduced shall be an amount express in present value which maximizes the aggregate present value of payments without causing any payment to be subject to an excise tax, determined in accordance with Section 280G of the Code and the excise tax under Section 4999 of the Code. The Company shall reduce the payment by first reducing amounts that are not payable in cash and then by reducing cash payments, with such reduction being done in a manner consistent with the requirements of Section 409A of the Code.</w:t>
      </w:r>
    </w:p>
    <w:p>
      <w:pPr>
        <w:spacing w:after="0" w:line="278" w:lineRule="exact"/>
        <w:rPr>
          <w:rFonts w:ascii="Times New Roman" w:cs="Times New Roman" w:eastAsia="Times New Roman" w:hAnsi="Times New Roman"/>
          <w:sz w:val="14"/>
          <w:szCs w:val="14"/>
          <w:color w:val="auto"/>
        </w:rPr>
      </w:pPr>
    </w:p>
    <w:p>
      <w:pPr>
        <w:jc w:val="both"/>
        <w:ind w:left="1040" w:right="199" w:hanging="427"/>
        <w:spacing w:after="0" w:line="247" w:lineRule="auto"/>
        <w:tabs>
          <w:tab w:leader="none" w:pos="10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409A Compliance</w:t>
      </w:r>
      <w:r>
        <w:rPr>
          <w:rFonts w:ascii="Times New Roman" w:cs="Times New Roman" w:eastAsia="Times New Roman" w:hAnsi="Times New Roman"/>
          <w:sz w:val="14"/>
          <w:szCs w:val="14"/>
          <w:color w:val="auto"/>
        </w:rPr>
        <w:t>. This Agreement is intended to comply with Section 409A of the Code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w:t>
      </w:r>
    </w:p>
    <w:p>
      <w:pPr>
        <w:spacing w:after="0" w:line="114" w:lineRule="exact"/>
        <w:rPr>
          <w:rFonts w:ascii="Times New Roman" w:cs="Times New Roman" w:eastAsia="Times New Roman" w:hAnsi="Times New Roman"/>
          <w:sz w:val="14"/>
          <w:szCs w:val="14"/>
          <w:color w:val="auto"/>
        </w:rPr>
      </w:pPr>
    </w:p>
    <w:p>
      <w:pPr>
        <w:jc w:val="both"/>
        <w:ind w:left="1040" w:right="1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that the provisions of this Agreement will operate in a manner that will avoid adverse federal income tax consequences under Section 409A. If a payment under this Agreement to the Executive is subject to the requirements of Section 409A, the Executive hereby acknowledges and agrees that the Company may take any actions deemed necessary in its sole discretion to avoid adverse federal income tax consequences under Section 409A and that such action may be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2" w:name="page173"/>
    <w:bookmarkEnd w:id="172"/>
    <w:p>
      <w:pPr>
        <w:jc w:val="both"/>
        <w:ind w:left="1040" w:right="199"/>
        <w:spacing w:after="0" w:line="256" w:lineRule="auto"/>
        <w:rPr>
          <w:sz w:val="20"/>
          <w:szCs w:val="20"/>
          <w:color w:val="auto"/>
        </w:rPr>
      </w:pPr>
      <w:r>
        <w:rPr>
          <w:rFonts w:ascii="Times New Roman" w:cs="Times New Roman" w:eastAsia="Times New Roman" w:hAnsi="Times New Roman"/>
          <w:sz w:val="14"/>
          <w:szCs w:val="14"/>
          <w:color w:val="auto"/>
        </w:rPr>
        <w:t>taken without the consent of the Executive, including, but not limited to, delaying the commencement of any payment under this Agreement for six (6) months from the Executive’s Termination Date if it is determined that as of such Termination Date, the Executive is a “specified employee” and such amounts are deemed to be “deferred compensation” subject to the requirements of Section 409A.</w:t>
      </w:r>
    </w:p>
    <w:p>
      <w:pPr>
        <w:spacing w:after="0" w:line="277" w:lineRule="exact"/>
        <w:rPr>
          <w:sz w:val="20"/>
          <w:szCs w:val="20"/>
          <w:color w:val="auto"/>
        </w:rPr>
      </w:pPr>
    </w:p>
    <w:p>
      <w:pPr>
        <w:jc w:val="both"/>
        <w:ind w:left="1040" w:right="199"/>
        <w:spacing w:after="0" w:line="261" w:lineRule="auto"/>
        <w:rPr>
          <w:sz w:val="20"/>
          <w:szCs w:val="20"/>
          <w:color w:val="auto"/>
        </w:rPr>
      </w:pPr>
      <w:r>
        <w:rPr>
          <w:rFonts w:ascii="Times New Roman" w:cs="Times New Roman" w:eastAsia="Times New Roman" w:hAnsi="Times New Roman"/>
          <w:sz w:val="14"/>
          <w:szCs w:val="14"/>
          <w:color w:val="auto"/>
        </w:rPr>
        <w:t>Notwithstanding the foregoing, the Company makes no representations or warranty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05" w:lineRule="exact"/>
        <w:rPr>
          <w:sz w:val="20"/>
          <w:szCs w:val="20"/>
          <w:color w:val="auto"/>
        </w:rPr>
      </w:pPr>
    </w:p>
    <w:p>
      <w:pPr>
        <w:ind w:left="620" w:hanging="439"/>
        <w:spacing w:after="0"/>
        <w:tabs>
          <w:tab w:leader="none" w:pos="6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Binding Agreement</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55" w:lineRule="auto"/>
        <w:tabs>
          <w:tab w:leader="none" w:pos="1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inure to the benefit of and be enforceable by the Executive’s personal or legal representatives, executors, administrators, successors, heirs, distributees and legatees. This Agreement will supersede the provisions of any employment or other agreement between the Executive and the Company that relate to any matter that is also the subject of this Agreement, and such provisions in such other agreements will be null and void.</w:t>
      </w:r>
    </w:p>
    <w:p>
      <w:pPr>
        <w:spacing w:after="0" w:line="107"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personal in nature and neither of the parties hereto will, without the consent of the other, assign, transfer or delegate this Agreement or any rights or obligations hereunder except as expressly provided in Sections 11(a) and 11(b). Without limiting the generality or effect of the foregoing, the Executive’s right to receive payments hereunder will not be assignable, transferable or delegable, whether by pledge, creation of a security interest, or otherwise, other than by a transfer by the Executive’s will or by the laws of descent and distribution and, in the event of any attempted assignment or transfer contrary to this Section 11(c), the Company will have no liability to pay any amount so attempted to be assigned, transferred or delegated.</w:t>
      </w:r>
    </w:p>
    <w:p>
      <w:pPr>
        <w:spacing w:after="0" w:line="113"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under this Agreement must be given in writing by personal delivery or United States registered or certified mail, return receipt requested, at the addresses indicated in this Agreement, or any other address designated in writing by either party.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Notice to the Company: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ATN International, Inc.</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500 Cummings Center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3" w:name="page174"/>
    <w:bookmarkEnd w:id="173"/>
    <w:p>
      <w:pPr>
        <w:ind w:left="440"/>
        <w:spacing w:after="0"/>
        <w:rPr>
          <w:sz w:val="20"/>
          <w:szCs w:val="20"/>
          <w:color w:val="auto"/>
        </w:rPr>
      </w:pPr>
      <w:r>
        <w:rPr>
          <w:rFonts w:ascii="Times New Roman" w:cs="Times New Roman" w:eastAsia="Times New Roman" w:hAnsi="Times New Roman"/>
          <w:sz w:val="14"/>
          <w:szCs w:val="14"/>
          <w:color w:val="auto"/>
        </w:rPr>
        <w:t>Beverly, MA 01915</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Notice to the Executive: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[NAME]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[ADDRESS]</w:t>
      </w:r>
    </w:p>
    <w:p>
      <w:pPr>
        <w:spacing w:after="0" w:line="335" w:lineRule="exact"/>
        <w:rPr>
          <w:sz w:val="20"/>
          <w:szCs w:val="20"/>
          <w:color w:val="auto"/>
        </w:rPr>
      </w:pPr>
    </w:p>
    <w:p>
      <w:pPr>
        <w:ind w:left="180" w:right="199" w:firstLine="1"/>
        <w:spacing w:after="0" w:line="282" w:lineRule="auto"/>
        <w:tabs>
          <w:tab w:leader="none" w:pos="6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validity, interpretation, construction and performance of this Agreement will be governed by and construed in accordance with the substantive laws of the State of Delaware, without giving effect to the principles of conflict of laws of such State.</w:t>
      </w:r>
    </w:p>
    <w:p>
      <w:pPr>
        <w:spacing w:after="0" w:line="89" w:lineRule="exact"/>
        <w:rPr>
          <w:rFonts w:ascii="Times New Roman" w:cs="Times New Roman" w:eastAsia="Times New Roman" w:hAnsi="Times New Roman"/>
          <w:sz w:val="14"/>
          <w:szCs w:val="14"/>
          <w:color w:val="auto"/>
        </w:rPr>
      </w:pPr>
    </w:p>
    <w:p>
      <w:pPr>
        <w:jc w:val="both"/>
        <w:ind w:left="180" w:right="199" w:firstLine="1"/>
        <w:spacing w:after="0" w:line="255" w:lineRule="auto"/>
        <w:tabs>
          <w:tab w:leader="none" w:pos="6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the application of any provision hereof to any person or circumstances is held by a court of competent jurisdiction to be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07" w:lineRule="exact"/>
        <w:rPr>
          <w:rFonts w:ascii="Times New Roman" w:cs="Times New Roman" w:eastAsia="Times New Roman" w:hAnsi="Times New Roman"/>
          <w:sz w:val="14"/>
          <w:szCs w:val="14"/>
          <w:color w:val="auto"/>
        </w:rPr>
      </w:pPr>
    </w:p>
    <w:p>
      <w:pPr>
        <w:jc w:val="both"/>
        <w:ind w:left="180" w:right="199" w:firstLine="1"/>
        <w:spacing w:after="0" w:line="251" w:lineRule="auto"/>
        <w:tabs>
          <w:tab w:leader="none" w:pos="6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Binding Arbitration</w:t>
      </w:r>
      <w:r>
        <w:rPr>
          <w:rFonts w:ascii="Times New Roman" w:cs="Times New Roman" w:eastAsia="Times New Roman" w:hAnsi="Times New Roman"/>
          <w:sz w:val="14"/>
          <w:szCs w:val="14"/>
          <w:color w:val="auto"/>
        </w:rPr>
        <w:t>. The parties agree that any dispute, controversy or claim arising out of or related to this Agreement (other than with respect to matters arising under Sections 6 or 7 hereof), including the validity of this arbitration clause, or any breach of this Agreement shall be submitted to and decided by binding arbitration in Boston, Massachusetts. Arbitration shall be administered by a single arbitrator under the rules of the American Arbitration Association, or any other similar association mutually agreed to by the parties. Any arbitral award determination shall be final and binding upon the parties and may be entered as a judgment in a court of competent jurisdiction.</w:t>
      </w:r>
    </w:p>
    <w:p>
      <w:pPr>
        <w:spacing w:after="0" w:line="112" w:lineRule="exact"/>
        <w:rPr>
          <w:rFonts w:ascii="Times New Roman" w:cs="Times New Roman" w:eastAsia="Times New Roman" w:hAnsi="Times New Roman"/>
          <w:sz w:val="14"/>
          <w:szCs w:val="14"/>
          <w:color w:val="auto"/>
        </w:rPr>
      </w:pPr>
    </w:p>
    <w:p>
      <w:pPr>
        <w:ind w:left="620" w:hanging="439"/>
        <w:spacing w:after="0"/>
        <w:tabs>
          <w:tab w:leader="none" w:pos="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jc w:val="both"/>
        <w:ind w:left="1040" w:right="199" w:hanging="427"/>
        <w:spacing w:after="0" w:line="249" w:lineRule="auto"/>
        <w:tabs>
          <w:tab w:leader="none" w:pos="104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subparagraph (b) below,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w:t>
      </w:r>
    </w:p>
    <w:p>
      <w:pPr>
        <w:spacing w:after="0" w:line="113" w:lineRule="exact"/>
        <w:rPr>
          <w:rFonts w:ascii="Times New Roman" w:cs="Times New Roman" w:eastAsia="Times New Roman" w:hAnsi="Times New Roman"/>
          <w:sz w:val="14"/>
          <w:szCs w:val="14"/>
          <w:color w:val="auto"/>
        </w:rPr>
      </w:pPr>
    </w:p>
    <w:p>
      <w:pPr>
        <w:jc w:val="both"/>
        <w:ind w:left="1040" w:right="199" w:hanging="427"/>
        <w:spacing w:after="0" w:line="256" w:lineRule="auto"/>
        <w:tabs>
          <w:tab w:leader="none" w:pos="104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contrary provision of this Agreement, the Company may modify benefits otherwise payable or to be provided under this Agreement without obtaining the Executive’s consent to such modification to the extent that the Company determines in its sole discretion that such modification is necessary or appropriate in order to effect compliance with applicable law or regulatory requirements.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4" w:name="page175"/>
    <w:bookmarkEnd w:id="174"/>
    <w:p>
      <w:pPr>
        <w:ind w:left="1040" w:hanging="427"/>
        <w:spacing w:after="0"/>
        <w:tabs>
          <w:tab w:leader="none" w:pos="104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this Agreement to a provision of a statute, rule or regulation will also include any successor provision thereto.</w:t>
      </w:r>
    </w:p>
    <w:p>
      <w:pPr>
        <w:spacing w:after="0" w:line="145" w:lineRule="exact"/>
        <w:rPr>
          <w:rFonts w:ascii="Times New Roman" w:cs="Times New Roman" w:eastAsia="Times New Roman" w:hAnsi="Times New Roman"/>
          <w:sz w:val="14"/>
          <w:szCs w:val="14"/>
          <w:color w:val="auto"/>
        </w:rPr>
      </w:pPr>
    </w:p>
    <w:p>
      <w:pPr>
        <w:ind w:left="1040" w:hanging="427"/>
        <w:spacing w:after="0"/>
        <w:tabs>
          <w:tab w:leader="none" w:pos="104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Sections are to references to Sections of this Agreement.</w:t>
      </w:r>
    </w:p>
    <w:p>
      <w:pPr>
        <w:spacing w:after="0" w:line="145"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Notwithstanding any provision of this Agreement to the contrary, Sections 1, 2, 3, 5, 6, 7, 9, 10, 11, 13, 14, 15, 16 and 17 will survive any termination or expiration of this Agreement or the termination of the Executive’s employment for any reason whatsoever.</w:t>
      </w:r>
    </w:p>
    <w:p>
      <w:pPr>
        <w:spacing w:after="0" w:line="89" w:lineRule="exact"/>
        <w:rPr>
          <w:rFonts w:ascii="Times New Roman" w:cs="Times New Roman" w:eastAsia="Times New Roman" w:hAnsi="Times New Roman"/>
          <w:sz w:val="14"/>
          <w:szCs w:val="14"/>
          <w:color w:val="auto"/>
        </w:rPr>
      </w:pPr>
    </w:p>
    <w:p>
      <w:pPr>
        <w:ind w:left="180" w:right="199" w:firstLine="1"/>
        <w:spacing w:after="0" w:line="282" w:lineRule="auto"/>
        <w:tabs>
          <w:tab w:leader="none" w:pos="61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one or more counterparts, each of which will be deemed to be an original but all of which together will constitute one and the same agreement.</w:t>
      </w:r>
    </w:p>
    <w:p>
      <w:pPr>
        <w:spacing w:after="0" w:line="89" w:lineRule="exact"/>
        <w:rPr>
          <w:rFonts w:ascii="Times New Roman" w:cs="Times New Roman" w:eastAsia="Times New Roman" w:hAnsi="Times New Roman"/>
          <w:sz w:val="14"/>
          <w:szCs w:val="14"/>
          <w:color w:val="auto"/>
        </w:rPr>
      </w:pPr>
    </w:p>
    <w:p>
      <w:pPr>
        <w:jc w:val="both"/>
        <w:ind w:left="180" w:right="199" w:firstLine="1"/>
        <w:spacing w:after="0" w:line="261" w:lineRule="auto"/>
        <w:tabs>
          <w:tab w:leader="none" w:pos="61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Unless specifically provided herein, this Agreement contains all the understandings and representations between the Executive and the Company pertaining to the Termination of Employment and supersedes the Original Agreement and all prior and contemporaneous understandings, agreements, representations and warranties, both written and oral, with respect to such subject matter.</w:t>
      </w:r>
    </w:p>
    <w:p>
      <w:pPr>
        <w:spacing w:after="0" w:line="104" w:lineRule="exact"/>
        <w:rPr>
          <w:rFonts w:ascii="Times New Roman" w:cs="Times New Roman" w:eastAsia="Times New Roman" w:hAnsi="Times New Roman"/>
          <w:sz w:val="14"/>
          <w:szCs w:val="14"/>
          <w:color w:val="auto"/>
        </w:rPr>
      </w:pPr>
    </w:p>
    <w:p>
      <w:pPr>
        <w:jc w:val="both"/>
        <w:ind w:left="180" w:right="199" w:firstLine="1"/>
        <w:spacing w:after="0" w:line="255" w:lineRule="auto"/>
        <w:tabs>
          <w:tab w:leader="none" w:pos="61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w:t>
      </w:r>
      <w:r>
        <w:rPr>
          <w:rFonts w:ascii="Times New Roman" w:cs="Times New Roman" w:eastAsia="Times New Roman" w:hAnsi="Times New Roman"/>
          <w:sz w:val="14"/>
          <w:szCs w:val="14"/>
          <w:color w:val="auto"/>
        </w:rPr>
        <w:t>. THE EXECUTIVE ACKNOWLEDGES AND AGREES THAT HE HAS FULLY READ, UNDERSTANDS AND VOLUNTARILY ENTERS INTO THIS AGREEMENT. THE EXECUTIVE ACKNOWLEDGES AND AGREES THAT HE HAS A RIGHT TO CONSULT WITH AN ATTORNEY OF HIS CHOICE BEFORE SIGNING THIS AGREEMENT AND THAT HE/SHE HAS HAD AN OPPORTUNITY TO ASK QUESTIONS AND CONSULT WITH AN ATTORNEY OF HIS CHOICE BEFORE SIGNING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343535</wp:posOffset>
            </wp:positionV>
            <wp:extent cx="548640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5" w:name="page176"/>
    <w:bookmarkEnd w:id="175"/>
    <w:p>
      <w:pPr>
        <w:ind w:left="620"/>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as of the date first above written.</w:t>
      </w:r>
    </w:p>
    <w:p>
      <w:pPr>
        <w:spacing w:after="0" w:line="1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ATN INTERNATIONAL, INC.</w:t>
      </w:r>
    </w:p>
    <w:p>
      <w:pPr>
        <w:spacing w:after="0" w:line="3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-4445</wp:posOffset>
            </wp:positionV>
            <wp:extent cx="176339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1763395" cy="571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EXECUTIVE</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-4445</wp:posOffset>
            </wp:positionV>
            <wp:extent cx="117157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color w:val="auto"/>
        </w:rPr>
        <w:t>Name: [NAME]</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7"/>
          <w:szCs w:val="7"/>
          <w:color w:val="auto"/>
        </w:rPr>
        <w:t>00030357-2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234950</wp:posOffset>
            </wp:positionV>
            <wp:extent cx="548640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76" w:name="page177"/>
    <w:bookmarkEnd w:id="176"/>
    <w:tbl>
      <w:tblPr>
        <w:tblLayout w:type="fixed"/>
        <w:tblInd w:w="760" w:type="dxa"/>
        <w:tblCellMar>
          <w:top w:w="0" w:type="dxa"/>
          <w:left w:w="0" w:type="dxa"/>
          <w:bottom w:w="0" w:type="dxa"/>
          <w:right w:w="0" w:type="dxa"/>
        </w:tblCellMar>
      </w:tblPr>
      <w:tr>
        <w:trPr>
          <w:trHeight w:val="159"/>
        </w:trPr>
        <w:tc>
          <w:tcPr>
            <w:tcW w:w="2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380" w:type="dxa"/>
            <w:vAlign w:val="bottom"/>
          </w:tcPr>
          <w:p>
            <w:pPr>
              <w:ind w:left="2860"/>
              <w:spacing w:after="0"/>
              <w:rPr>
                <w:sz w:val="20"/>
                <w:szCs w:val="20"/>
                <w:color w:val="auto"/>
              </w:rPr>
            </w:pPr>
            <w:r>
              <w:rPr>
                <w:rFonts w:ascii="Times New Roman" w:cs="Times New Roman" w:eastAsia="Times New Roman" w:hAnsi="Times New Roman"/>
                <w:sz w:val="12"/>
                <w:szCs w:val="12"/>
                <w:b w:val="1"/>
                <w:bCs w:val="1"/>
                <w:color w:val="auto"/>
                <w:w w:val="94"/>
              </w:rPr>
              <w:t>Exhibit 21</w:t>
            </w:r>
          </w:p>
        </w:tc>
      </w:tr>
      <w:tr>
        <w:trPr>
          <w:trHeight w:val="288"/>
        </w:trPr>
        <w:tc>
          <w:tcPr>
            <w:tcW w:w="2360" w:type="dxa"/>
            <w:vAlign w:val="bottom"/>
          </w:tcPr>
          <w:p>
            <w:pPr>
              <w:spacing w:after="0"/>
              <w:rPr>
                <w:sz w:val="24"/>
                <w:szCs w:val="24"/>
                <w:color w:val="auto"/>
              </w:rPr>
            </w:pPr>
          </w:p>
        </w:tc>
        <w:tc>
          <w:tcPr>
            <w:tcW w:w="57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SUBSIDIARIES OF ATN INTERNATIONAL, INC.</w:t>
            </w:r>
          </w:p>
        </w:tc>
      </w:tr>
      <w:tr>
        <w:trPr>
          <w:trHeight w:val="320"/>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Jurisdiction of Incorporation</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Other name(s) under which entity does business</w:t>
            </w:r>
          </w:p>
        </w:tc>
      </w:tr>
      <w:tr>
        <w:trPr>
          <w:trHeight w:val="22"/>
        </w:trPr>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r>
        <w:trPr>
          <w:trHeight w:val="156"/>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Alloy, Inc. (1)</w:t>
            </w:r>
          </w:p>
        </w:tc>
        <w:tc>
          <w:tcPr>
            <w:tcW w:w="520" w:type="dxa"/>
            <w:vAlign w:val="bottom"/>
          </w:tcPr>
          <w:p>
            <w:pPr>
              <w:spacing w:after="0"/>
              <w:rPr>
                <w:sz w:val="13"/>
                <w:szCs w:val="13"/>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7"/>
              </w:rPr>
              <w:t>Commnet, Commnet Broadband, Choice Wireless, Sacred Wind, Ethos</w:t>
            </w:r>
          </w:p>
        </w:tc>
      </w:tr>
      <w:tr>
        <w:trPr>
          <w:trHeight w:val="180"/>
        </w:trPr>
        <w:tc>
          <w:tcPr>
            <w:tcW w:w="23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NTUA Wireless, LLC</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6"/>
              </w:rPr>
              <w:t>Choice NTUA Wireless</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GTT, Inc. (2)</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Guyana</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6"/>
              </w:rPr>
              <w:t>GTT+, GTT Fibre, MMG</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6"/>
              </w:rPr>
              <w:t>Mora Valley Wireless</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6"/>
              </w:rPr>
              <w:t>Mora Valley Wireless</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Elbert County Wireless</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Elbert County Wireless</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Atlantic Teleconnection Operating Company Limited</w:t>
            </w:r>
          </w:p>
        </w:tc>
        <w:tc>
          <w:tcPr>
            <w:tcW w:w="520" w:type="dxa"/>
            <w:vAlign w:val="bottom"/>
          </w:tcPr>
          <w:p>
            <w:pPr>
              <w:spacing w:after="0"/>
              <w:rPr>
                <w:sz w:val="15"/>
                <w:szCs w:val="15"/>
                <w:color w:val="auto"/>
              </w:rPr>
            </w:pPr>
          </w:p>
        </w:tc>
        <w:tc>
          <w:tcPr>
            <w:tcW w:w="1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6"/>
              </w:rPr>
              <w:t>British Virgin Islands</w:t>
            </w:r>
          </w:p>
        </w:tc>
        <w:tc>
          <w:tcPr>
            <w:tcW w:w="33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3"/>
              </w:rPr>
              <w:t>ATOC</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One Communications, Ltd. (3)</w:t>
            </w:r>
          </w:p>
        </w:tc>
        <w:tc>
          <w:tcPr>
            <w:tcW w:w="520" w:type="dxa"/>
            <w:vAlign w:val="bottom"/>
          </w:tcPr>
          <w:p>
            <w:pPr>
              <w:spacing w:after="0"/>
              <w:rPr>
                <w:sz w:val="15"/>
                <w:szCs w:val="15"/>
                <w:color w:val="auto"/>
              </w:rPr>
            </w:pPr>
          </w:p>
        </w:tc>
        <w:tc>
          <w:tcPr>
            <w:tcW w:w="1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9"/>
              </w:rPr>
              <w:t>Bermuda</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7"/>
              </w:rPr>
              <w:t>One Communications</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9"/>
              </w:rPr>
              <w:t>Logic Communications, Ltd.</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Cayman Islands</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Logic</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ATN VI, Inc.(4)</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3"/>
              </w:rPr>
              <w:t>Viya</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Alaska Communications Systems Group, Inc. (5)</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7"/>
              </w:rPr>
              <w:t>Alaska Communications</w:t>
            </w:r>
          </w:p>
        </w:tc>
      </w:tr>
      <w:tr>
        <w:trPr>
          <w:trHeight w:val="180"/>
        </w:trPr>
        <w:tc>
          <w:tcPr>
            <w:tcW w:w="23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Aragorn Holding Company Two Pte. Ltd.</w:t>
            </w:r>
          </w:p>
        </w:tc>
        <w:tc>
          <w:tcPr>
            <w:tcW w:w="520" w:type="dxa"/>
            <w:vAlign w:val="bottom"/>
          </w:tcPr>
          <w:p>
            <w:pPr>
              <w:spacing w:after="0"/>
              <w:rPr>
                <w:sz w:val="15"/>
                <w:szCs w:val="15"/>
                <w:color w:val="auto"/>
              </w:rPr>
            </w:pPr>
          </w:p>
        </w:tc>
        <w:tc>
          <w:tcPr>
            <w:tcW w:w="1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Singapore</w:t>
            </w:r>
          </w:p>
        </w:tc>
        <w:tc>
          <w:tcPr>
            <w:tcW w:w="33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5"/>
              </w:rPr>
              <w:t>Vibrant</w:t>
            </w:r>
          </w:p>
        </w:tc>
      </w:tr>
      <w:tr>
        <w:trPr>
          <w:trHeight w:val="180"/>
        </w:trPr>
        <w:tc>
          <w:tcPr>
            <w:tcW w:w="23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DeployCom Holdco, LLC (6)</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DeployCom</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ATN Overseas Holdings, Ltd.</w:t>
            </w:r>
          </w:p>
        </w:tc>
        <w:tc>
          <w:tcPr>
            <w:tcW w:w="520" w:type="dxa"/>
            <w:vAlign w:val="bottom"/>
          </w:tcPr>
          <w:p>
            <w:pPr>
              <w:spacing w:after="0"/>
              <w:rPr>
                <w:sz w:val="15"/>
                <w:szCs w:val="15"/>
                <w:color w:val="auto"/>
              </w:rPr>
            </w:pPr>
          </w:p>
        </w:tc>
        <w:tc>
          <w:tcPr>
            <w:tcW w:w="1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9"/>
              </w:rPr>
              <w:t>Bermuda</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ATN Overseas Holdings, Ltd.</w:t>
            </w:r>
          </w:p>
        </w:tc>
      </w:tr>
      <w:tr>
        <w:trPr>
          <w:trHeight w:val="180"/>
        </w:trPr>
        <w:tc>
          <w:tcPr>
            <w:tcW w:w="2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6"/>
              </w:rPr>
              <w:t>ATN Shared Services, LLC</w:t>
            </w:r>
          </w:p>
        </w:tc>
        <w:tc>
          <w:tcPr>
            <w:tcW w:w="520" w:type="dxa"/>
            <w:vAlign w:val="bottom"/>
          </w:tcPr>
          <w:p>
            <w:pPr>
              <w:spacing w:after="0"/>
              <w:rPr>
                <w:sz w:val="15"/>
                <w:szCs w:val="15"/>
                <w:color w:val="auto"/>
              </w:rPr>
            </w:pPr>
          </w:p>
        </w:tc>
        <w:tc>
          <w:tcPr>
            <w:tcW w:w="180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Delaware</w:t>
            </w:r>
          </w:p>
        </w:tc>
        <w:tc>
          <w:tcPr>
            <w:tcW w:w="33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ATN, ATN Shared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225425</wp:posOffset>
            </wp:positionV>
            <wp:extent cx="137160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1371600" cy="11430"/>
                    </a:xfrm>
                    <a:prstGeom prst="rect">
                      <a:avLst/>
                    </a:prstGeom>
                    <a:noFill/>
                  </pic:spPr>
                </pic:pic>
              </a:graphicData>
            </a:graphic>
          </wp:anchor>
        </w:drawing>
      </w:r>
    </w:p>
    <w:p>
      <w:pPr>
        <w:spacing w:after="0" w:line="393" w:lineRule="exact"/>
        <w:rPr>
          <w:sz w:val="20"/>
          <w:szCs w:val="20"/>
          <w:color w:val="auto"/>
        </w:rPr>
      </w:pPr>
    </w:p>
    <w:p>
      <w:pPr>
        <w:ind w:left="620" w:hanging="223"/>
        <w:spacing w:after="0"/>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twenty-eight consolidated wholly-owned subsidiaries also providing wholesale wireless voice and data services under the “Commnet” brand name in the United States</w:t>
      </w:r>
    </w:p>
    <w:p>
      <w:pPr>
        <w:spacing w:after="0" w:line="146" w:lineRule="exact"/>
        <w:rPr>
          <w:rFonts w:ascii="Times New Roman" w:cs="Times New Roman" w:eastAsia="Times New Roman" w:hAnsi="Times New Roman"/>
          <w:sz w:val="10"/>
          <w:szCs w:val="10"/>
          <w:color w:val="auto"/>
        </w:rPr>
      </w:pPr>
    </w:p>
    <w:p>
      <w:pPr>
        <w:ind w:left="620" w:right="279" w:hanging="223"/>
        <w:spacing w:after="0" w:line="261" w:lineRule="auto"/>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Formerly known as Guyana Telephone and Telegraph Company Limited. Includes nine consolidated wholly owned subsidiaries also providing wireline and wireless services under the “GTT+” and "MMG" brand names in Guyana.</w:t>
      </w:r>
    </w:p>
    <w:p>
      <w:pPr>
        <w:spacing w:after="0" w:line="118"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eight consolidated wholly owned subsidiaries also providing wireline and wireless services under the “One Communications” brand name in Bermuda.</w:t>
      </w:r>
    </w:p>
    <w:p>
      <w:pPr>
        <w:spacing w:after="0" w:line="146"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thirteen consolidated wholly owned subsidiaries also providing wireline and wireless services under the “Viya” brand name in the U.S. Virgin Islands.</w:t>
      </w:r>
    </w:p>
    <w:p>
      <w:pPr>
        <w:spacing w:after="0" w:line="146"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thirty-one consolidated wholly owned subsidiaries also providing wireline and wireless services under the “Alaska Communications” brand name in Alaska.</w:t>
      </w:r>
    </w:p>
    <w:p>
      <w:pPr>
        <w:spacing w:after="0" w:line="146"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three consolidated wholly-owned subsidiaries also providing wireline services under the “DeployCom” brand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238760</wp:posOffset>
            </wp:positionV>
            <wp:extent cx="548640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7" w:name="page178"/>
    <w:bookmarkEnd w:id="177"/>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jc w:val="both"/>
        <w:ind w:left="180" w:right="339" w:firstLine="432"/>
        <w:spacing w:after="0" w:line="257"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S-3 (No. 333-266723) and Forms S-8 (Nos. 333-62416, 333-125179, 333-150940, and 333-174935) of ATN International, Inc. of our report dated March 15, 2023 relating to the financial statements, financial statement schedule and the effectiveness of internal control over financial reporting, which appears in this Form 10-K.</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Boston, Massachusetts</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232410</wp:posOffset>
            </wp:positionV>
            <wp:extent cx="548640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ind w:left="4183"/>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ind w:left="4163"/>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4" w:lineRule="exact"/>
        <w:rPr>
          <w:sz w:val="20"/>
          <w:szCs w:val="20"/>
          <w:color w:val="auto"/>
        </w:rPr>
      </w:pPr>
    </w:p>
    <w:p>
      <w:pPr>
        <w:ind w:left="4323"/>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RULE 302 OF THE SARBANES-OXLEY ACT OF 2002</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Michael T. Prior, certify that:</w:t>
      </w:r>
    </w:p>
    <w:p>
      <w:pPr>
        <w:spacing w:after="0" w:line="150" w:lineRule="exact"/>
        <w:rPr>
          <w:sz w:val="20"/>
          <w:szCs w:val="20"/>
          <w:color w:val="auto"/>
        </w:rPr>
      </w:pPr>
    </w:p>
    <w:p>
      <w:pPr>
        <w:ind w:left="423" w:hanging="423"/>
        <w:spacing w:after="0"/>
        <w:tabs>
          <w:tab w:leader="none" w:pos="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ATN International, Inc.;</w:t>
      </w:r>
    </w:p>
    <w:p>
      <w:pPr>
        <w:spacing w:after="0" w:line="150" w:lineRule="exact"/>
        <w:rPr>
          <w:rFonts w:ascii="Times New Roman" w:cs="Times New Roman" w:eastAsia="Times New Roman" w:hAnsi="Times New Roman"/>
          <w:sz w:val="12"/>
          <w:szCs w:val="12"/>
          <w:color w:val="auto"/>
        </w:rPr>
      </w:pPr>
    </w:p>
    <w:p>
      <w:pPr>
        <w:ind w:left="423" w:right="20" w:hanging="423"/>
        <w:spacing w:after="0" w:line="279" w:lineRule="auto"/>
        <w:tabs>
          <w:tab w:leader="none" w:pos="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863" w:right="360" w:hanging="431"/>
        <w:spacing w:after="0" w:line="279" w:lineRule="auto"/>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3" w:right="60" w:hanging="431"/>
        <w:spacing w:after="0" w:line="279" w:lineRule="auto"/>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3" w:right="20" w:hanging="431"/>
        <w:spacing w:after="0" w:line="279" w:lineRule="auto"/>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3" w:right="80" w:hanging="431"/>
        <w:spacing w:after="0" w:line="279" w:lineRule="auto"/>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23" w:right="220" w:hanging="423"/>
        <w:spacing w:after="0" w:line="279" w:lineRule="auto"/>
        <w:tabs>
          <w:tab w:leader="none" w:pos="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3" w:right="160" w:hanging="431"/>
        <w:spacing w:after="0" w:line="279" w:lineRule="auto"/>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3" w:hanging="431"/>
        <w:spacing w:after="0"/>
        <w:tabs>
          <w:tab w:leader="none" w:pos="863"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3"/>
        <w:spacing w:after="0"/>
        <w:tabs>
          <w:tab w:leader="none" w:pos="5802" w:val="left"/>
          <w:tab w:leader="none" w:pos="6122" w:val="left"/>
        </w:tabs>
        <w:rPr>
          <w:sz w:val="20"/>
          <w:szCs w:val="20"/>
          <w:color w:val="auto"/>
        </w:rPr>
      </w:pPr>
      <w:r>
        <w:rPr>
          <w:rFonts w:ascii="Times New Roman" w:cs="Times New Roman" w:eastAsia="Times New Roman" w:hAnsi="Times New Roman"/>
          <w:sz w:val="12"/>
          <w:szCs w:val="12"/>
          <w:color w:val="auto"/>
        </w:rPr>
        <w:t>Dated: March 15, 2023</w:t>
      </w:r>
      <w:r>
        <w:rPr>
          <w:sz w:val="20"/>
          <w:szCs w:val="20"/>
          <w:color w:val="auto"/>
        </w:rPr>
        <w:tab/>
      </w:r>
      <w:r>
        <w:rPr>
          <w:rFonts w:ascii="Times New Roman" w:cs="Times New Roman" w:eastAsia="Times New Roman" w:hAnsi="Times New Roman"/>
          <w:sz w:val="12"/>
          <w:szCs w:val="12"/>
          <w:color w:val="auto"/>
        </w:rPr>
        <w:t>By:</w:t>
        <w:tab/>
        <w:t>/s/ M</w:t>
      </w:r>
      <w:r>
        <w:rPr>
          <w:rFonts w:ascii="Times New Roman" w:cs="Times New Roman" w:eastAsia="Times New Roman" w:hAnsi="Times New Roman"/>
          <w:sz w:val="8"/>
          <w:szCs w:val="8"/>
          <w:color w:val="auto"/>
        </w:rPr>
        <w:t>ichael</w:t>
      </w:r>
      <w:r>
        <w:rPr>
          <w:rFonts w:ascii="Times New Roman" w:cs="Times New Roman" w:eastAsia="Times New Roman" w:hAnsi="Times New Roman"/>
          <w:sz w:val="12"/>
          <w:szCs w:val="12"/>
          <w:color w:val="auto"/>
        </w:rPr>
        <w:t xml:space="preserve"> T. P</w:t>
      </w:r>
      <w:r>
        <w:rPr>
          <w:rFonts w:ascii="Times New Roman" w:cs="Times New Roman" w:eastAsia="Times New Roman" w:hAnsi="Times New Roman"/>
          <w:sz w:val="8"/>
          <w:szCs w:val="8"/>
          <w:color w:val="auto"/>
        </w:rPr>
        <w:t>rior</w:t>
      </w:r>
    </w:p>
    <w:p>
      <w:pPr>
        <w:spacing w:after="0" w:line="150" w:lineRule="exact"/>
        <w:rPr>
          <w:sz w:val="20"/>
          <w:szCs w:val="20"/>
          <w:color w:val="auto"/>
        </w:rPr>
      </w:pPr>
    </w:p>
    <w:p>
      <w:pPr>
        <w:ind w:left="6143"/>
        <w:spacing w:after="0"/>
        <w:rPr>
          <w:sz w:val="20"/>
          <w:szCs w:val="20"/>
          <w:color w:val="auto"/>
        </w:rPr>
      </w:pPr>
      <w:r>
        <w:rPr>
          <w:rFonts w:ascii="Times New Roman" w:cs="Times New Roman" w:eastAsia="Times New Roman" w:hAnsi="Times New Roman"/>
          <w:sz w:val="12"/>
          <w:szCs w:val="12"/>
          <w:color w:val="auto"/>
        </w:rPr>
        <w:t>Michael T. Prior</w:t>
      </w:r>
    </w:p>
    <w:p>
      <w:pPr>
        <w:spacing w:after="0" w:line="17" w:lineRule="exact"/>
        <w:rPr>
          <w:sz w:val="20"/>
          <w:szCs w:val="20"/>
          <w:color w:val="auto"/>
        </w:rPr>
      </w:pPr>
    </w:p>
    <w:p>
      <w:pPr>
        <w:ind w:left="6143"/>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5379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125" w:right="79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ind w:left="4183"/>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ind w:left="4163"/>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4" w:lineRule="exact"/>
        <w:rPr>
          <w:sz w:val="20"/>
          <w:szCs w:val="20"/>
          <w:color w:val="auto"/>
        </w:rPr>
      </w:pPr>
    </w:p>
    <w:p>
      <w:pPr>
        <w:ind w:left="4323"/>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RULE 302 OF THE SARBANES-OXLEY ACT OF 2002</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Justin D. Benincasa, certify that:</w:t>
      </w:r>
    </w:p>
    <w:p>
      <w:pPr>
        <w:spacing w:after="0" w:line="150" w:lineRule="exact"/>
        <w:rPr>
          <w:sz w:val="20"/>
          <w:szCs w:val="20"/>
          <w:color w:val="auto"/>
        </w:rPr>
      </w:pPr>
    </w:p>
    <w:p>
      <w:pPr>
        <w:ind w:left="423" w:hanging="423"/>
        <w:spacing w:after="0"/>
        <w:tabs>
          <w:tab w:leader="none" w:pos="4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ATN International, Inc.;</w:t>
      </w:r>
    </w:p>
    <w:p>
      <w:pPr>
        <w:spacing w:after="0" w:line="150" w:lineRule="exact"/>
        <w:rPr>
          <w:rFonts w:ascii="Times New Roman" w:cs="Times New Roman" w:eastAsia="Times New Roman" w:hAnsi="Times New Roman"/>
          <w:sz w:val="12"/>
          <w:szCs w:val="12"/>
          <w:color w:val="auto"/>
        </w:rPr>
      </w:pPr>
    </w:p>
    <w:p>
      <w:pPr>
        <w:ind w:left="423" w:right="20" w:hanging="423"/>
        <w:spacing w:after="0" w:line="279" w:lineRule="auto"/>
        <w:tabs>
          <w:tab w:leader="none" w:pos="4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863" w:right="360" w:hanging="431"/>
        <w:spacing w:after="0" w:line="279" w:lineRule="auto"/>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3" w:right="60" w:hanging="431"/>
        <w:spacing w:after="0" w:line="279" w:lineRule="auto"/>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3" w:right="20" w:hanging="431"/>
        <w:spacing w:after="0" w:line="279" w:lineRule="auto"/>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3" w:right="80" w:hanging="431"/>
        <w:spacing w:after="0" w:line="279" w:lineRule="auto"/>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23" w:right="220" w:hanging="423"/>
        <w:spacing w:after="0" w:line="279" w:lineRule="auto"/>
        <w:tabs>
          <w:tab w:leader="none" w:pos="4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3" w:right="160" w:hanging="431"/>
        <w:spacing w:after="0" w:line="279" w:lineRule="auto"/>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3" w:hanging="431"/>
        <w:spacing w:after="0"/>
        <w:tabs>
          <w:tab w:leader="none" w:pos="863"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3"/>
        <w:spacing w:after="0"/>
        <w:tabs>
          <w:tab w:leader="none" w:pos="5962" w:val="left"/>
          <w:tab w:leader="none" w:pos="6282" w:val="left"/>
        </w:tabs>
        <w:rPr>
          <w:sz w:val="20"/>
          <w:szCs w:val="20"/>
          <w:color w:val="auto"/>
        </w:rPr>
      </w:pPr>
      <w:r>
        <w:rPr>
          <w:rFonts w:ascii="Times New Roman" w:cs="Times New Roman" w:eastAsia="Times New Roman" w:hAnsi="Times New Roman"/>
          <w:sz w:val="12"/>
          <w:szCs w:val="12"/>
          <w:color w:val="auto"/>
        </w:rPr>
        <w:t>Dated: March 15, 2023</w:t>
      </w:r>
      <w:r>
        <w:rPr>
          <w:sz w:val="20"/>
          <w:szCs w:val="20"/>
          <w:color w:val="auto"/>
        </w:rPr>
        <w:tab/>
      </w:r>
      <w:r>
        <w:rPr>
          <w:rFonts w:ascii="Times New Roman" w:cs="Times New Roman" w:eastAsia="Times New Roman" w:hAnsi="Times New Roman"/>
          <w:sz w:val="12"/>
          <w:szCs w:val="12"/>
          <w:color w:val="auto"/>
        </w:rPr>
        <w:t>By:</w:t>
        <w:tab/>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p>
      <w:pPr>
        <w:spacing w:after="0" w:line="150"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2"/>
          <w:szCs w:val="12"/>
          <w:color w:val="auto"/>
        </w:rPr>
        <w:t>Justin D. Benincasa</w:t>
      </w:r>
    </w:p>
    <w:p>
      <w:pPr>
        <w:spacing w:after="0" w:line="17"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5379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125" w:right="799" w:bottom="1440" w:gutter="0" w:footer="0" w:header="0"/>
        </w:sectPr>
      </w:pPr>
    </w:p>
    <w:bookmarkStart w:id="180" w:name="page181"/>
    <w:bookmarkEnd w:id="180"/>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8" w:lineRule="exact"/>
        <w:rPr>
          <w:sz w:val="20"/>
          <w:szCs w:val="20"/>
          <w:color w:val="auto"/>
        </w:rPr>
      </w:pPr>
    </w:p>
    <w:p>
      <w:pPr>
        <w:ind w:left="180" w:right="33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annual report on Form 10-K of ATN International, Inc. (the “Company”) for the period ended December 31, 2022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19" w:lineRule="exact"/>
        <w:rPr>
          <w:sz w:val="20"/>
          <w:szCs w:val="20"/>
          <w:color w:val="auto"/>
        </w:rPr>
      </w:pPr>
    </w:p>
    <w:p>
      <w:pPr>
        <w:ind w:left="1040" w:hanging="427"/>
        <w:spacing w:after="0"/>
        <w:tabs>
          <w:tab w:leader="none" w:pos="104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1040" w:hanging="427"/>
        <w:spacing w:after="0"/>
        <w:tabs>
          <w:tab w:leader="none" w:pos="104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220"/>
        <w:spacing w:after="0"/>
        <w:tabs>
          <w:tab w:leader="none" w:pos="4520" w:val="left"/>
        </w:tabs>
        <w:rPr>
          <w:sz w:val="20"/>
          <w:szCs w:val="20"/>
          <w:color w:val="auto"/>
        </w:rPr>
      </w:pPr>
      <w:r>
        <w:rPr>
          <w:rFonts w:ascii="Times New Roman" w:cs="Times New Roman" w:eastAsia="Times New Roman" w:hAnsi="Times New Roman"/>
          <w:sz w:val="12"/>
          <w:szCs w:val="12"/>
          <w:color w:val="auto"/>
        </w:rPr>
        <w:t>Dated: March 15, 2023</w:t>
      </w:r>
      <w:r>
        <w:rPr>
          <w:sz w:val="20"/>
          <w:szCs w:val="20"/>
          <w:color w:val="auto"/>
        </w:rPr>
        <w:tab/>
      </w:r>
      <w:r>
        <w:rPr>
          <w:rFonts w:ascii="Times New Roman" w:cs="Times New Roman" w:eastAsia="Times New Roman" w:hAnsi="Times New Roman"/>
          <w:sz w:val="12"/>
          <w:szCs w:val="12"/>
          <w:color w:val="auto"/>
        </w:rPr>
        <w:t>/s/ M</w:t>
      </w:r>
      <w:r>
        <w:rPr>
          <w:rFonts w:ascii="Times New Roman" w:cs="Times New Roman" w:eastAsia="Times New Roman" w:hAnsi="Times New Roman"/>
          <w:sz w:val="8"/>
          <w:szCs w:val="8"/>
          <w:color w:val="auto"/>
        </w:rPr>
        <w:t>ichael</w:t>
      </w:r>
      <w:r>
        <w:rPr>
          <w:rFonts w:ascii="Times New Roman" w:cs="Times New Roman" w:eastAsia="Times New Roman" w:hAnsi="Times New Roman"/>
          <w:sz w:val="12"/>
          <w:szCs w:val="12"/>
          <w:color w:val="auto"/>
        </w:rPr>
        <w:t xml:space="preserve"> T. P</w:t>
      </w:r>
      <w:r>
        <w:rPr>
          <w:rFonts w:ascii="Times New Roman" w:cs="Times New Roman" w:eastAsia="Times New Roman" w:hAnsi="Times New Roman"/>
          <w:sz w:val="8"/>
          <w:szCs w:val="8"/>
          <w:color w:val="auto"/>
        </w:rPr>
        <w:t>rior</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color w:val="auto"/>
        </w:rPr>
        <w:t>Michael T. Prior</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323850</wp:posOffset>
            </wp:positionV>
            <wp:extent cx="548640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8" w:lineRule="exact"/>
        <w:rPr>
          <w:sz w:val="20"/>
          <w:szCs w:val="20"/>
          <w:color w:val="auto"/>
        </w:rPr>
      </w:pPr>
    </w:p>
    <w:p>
      <w:pPr>
        <w:ind w:left="180" w:right="19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annual report on Form 10-K of ATN International, Inc. (the “Company”) for the period ended December 31, 2022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19" w:lineRule="exact"/>
        <w:rPr>
          <w:sz w:val="20"/>
          <w:szCs w:val="20"/>
          <w:color w:val="auto"/>
        </w:rPr>
      </w:pPr>
    </w:p>
    <w:p>
      <w:pPr>
        <w:ind w:left="1040" w:hanging="427"/>
        <w:spacing w:after="0"/>
        <w:tabs>
          <w:tab w:leader="none" w:pos="10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1040" w:hanging="427"/>
        <w:spacing w:after="0"/>
        <w:tabs>
          <w:tab w:leader="none" w:pos="10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220"/>
        <w:spacing w:after="0"/>
        <w:tabs>
          <w:tab w:leader="none" w:pos="4600" w:val="left"/>
        </w:tabs>
        <w:rPr>
          <w:sz w:val="20"/>
          <w:szCs w:val="20"/>
          <w:color w:val="auto"/>
        </w:rPr>
      </w:pPr>
      <w:r>
        <w:rPr>
          <w:rFonts w:ascii="Times New Roman" w:cs="Times New Roman" w:eastAsia="Times New Roman" w:hAnsi="Times New Roman"/>
          <w:sz w:val="12"/>
          <w:szCs w:val="12"/>
          <w:color w:val="auto"/>
        </w:rPr>
        <w:t>Dated: March 15, 2023</w:t>
      </w:r>
      <w:r>
        <w:rPr>
          <w:sz w:val="20"/>
          <w:szCs w:val="20"/>
          <w:color w:val="auto"/>
        </w:rPr>
        <w:tab/>
      </w: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p>
      <w:pPr>
        <w:spacing w:after="0" w:line="1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color w:val="auto"/>
        </w:rPr>
        <w:t>Justin D. Benincasa</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323850</wp:posOffset>
            </wp:positionV>
            <wp:extent cx="548640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7"/>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lowerLetter"/>
      <w:start w:val="1"/>
    </w:lvl>
    <w:lvl w:ilvl="1">
      <w:lvlJc w:val="left"/>
      <w:lvlText w:val="(%2)"/>
      <w:numFmt w:val="decimal"/>
      <w:start w:val="1"/>
    </w:lvl>
  </w:abstractNum>
  <w:abstractNum w:abstractNumId="28">
    <w:nsid w:val="180115BE"/>
    <w:multiLevelType w:val="hybridMultilevel"/>
    <w:lvl w:ilvl="0">
      <w:lvlJc w:val="left"/>
      <w:lvlText w:val="ⱡ"/>
      <w:numFmt w:val="bullet"/>
      <w:start w:val="1"/>
    </w:lvl>
    <w:lvl w:ilvl="1">
      <w:lvlJc w:val="left"/>
      <w:lvlText w:val="%2"/>
      <w:numFmt w:val="decimal"/>
      <w:start w:val="104"/>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lvl w:ilvl="1">
      <w:lvlJc w:val="left"/>
      <w:lvlText w:val="(%2)"/>
      <w:numFmt w:val="lowerLetter"/>
      <w:start w:val="1"/>
    </w:lvl>
  </w:abstractNum>
  <w:abstractNum w:abstractNumId="40">
    <w:nsid w:val="579BE4F1"/>
    <w:multiLevelType w:val="hybridMultilevel"/>
    <w:lvl w:ilvl="0">
      <w:lvlJc w:val="left"/>
      <w:lvlText w:val="%1"/>
      <w:numFmt w:val="lowerLetter"/>
      <w:start w:val="1"/>
    </w:lvl>
    <w:lvl w:ilvl="1">
      <w:lvlJc w:val="left"/>
      <w:lvlText w:val="%2."/>
      <w:numFmt w:val="lowerRoman"/>
      <w:start w:val="1"/>
    </w:lvl>
  </w:abstractNum>
  <w:abstractNum w:abstractNumId="41">
    <w:nsid w:val="310C50B3"/>
    <w:multiLevelType w:val="hybridMultilevel"/>
    <w:lvl w:ilvl="0">
      <w:lvlJc w:val="left"/>
      <w:lvlText w:val="(%1)"/>
      <w:numFmt w:val="lowerLetter"/>
      <w:start w:val="4"/>
    </w:lvl>
    <w:lvl w:ilvl="1">
      <w:lvlJc w:val="left"/>
      <w:lvlText w:val="%2."/>
      <w:numFmt w:val="lowerRoman"/>
      <w:start w:val="1"/>
    </w:lvl>
  </w:abstractNum>
  <w:abstractNum w:abstractNumId="42">
    <w:nsid w:val="5FF87E05"/>
    <w:multiLevelType w:val="hybridMultilevel"/>
    <w:lvl w:ilvl="0">
      <w:lvlJc w:val="left"/>
      <w:lvlText w:val="%1."/>
      <w:numFmt w:val="lowerRoman"/>
      <w:start w:val="2"/>
    </w:lvl>
  </w:abstractNum>
  <w:abstractNum w:abstractNumId="43">
    <w:nsid w:val="2F305DEF"/>
    <w:multiLevelType w:val="hybridMultilevel"/>
    <w:lvl w:ilvl="0">
      <w:lvlJc w:val="left"/>
      <w:lvlText w:val="(%1)"/>
      <w:numFmt w:val="lowerLetter"/>
      <w:start w:val="5"/>
    </w:lvl>
  </w:abstractNum>
  <w:abstractNum w:abstractNumId="44">
    <w:nsid w:val="25A70BF7"/>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20"/>
    </w:lvl>
  </w:abstractNum>
  <w:abstractNum w:abstractNumId="45">
    <w:nsid w:val="1DBABF00"/>
    <w:multiLevelType w:val="hybridMultilevel"/>
    <w:lvl w:ilvl="0">
      <w:lvlJc w:val="left"/>
      <w:lvlText w:val="(%1)"/>
      <w:numFmt w:val="lowerLetter"/>
      <w:start w:val="12"/>
    </w:lvl>
  </w:abstractNum>
  <w:abstractNum w:abstractNumId="46">
    <w:nsid w:val="4AD084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1F48EAA1"/>
    <w:multiLevelType w:val="hybridMultilevel"/>
    <w:lvl w:ilvl="0">
      <w:lvlJc w:val="left"/>
      <w:lvlText w:val="(%1)"/>
      <w:numFmt w:val="lowerLetter"/>
      <w:start w:val="2"/>
    </w:lvl>
    <w:lvl w:ilvl="1">
      <w:lvlJc w:val="left"/>
      <w:lvlText w:val="%2."/>
      <w:numFmt w:val="lowerRoman"/>
      <w:start w:val="1"/>
    </w:lvl>
  </w:abstractNum>
  <w:abstractNum w:abstractNumId="48">
    <w:nsid w:val="1381823A"/>
    <w:multiLevelType w:val="hybridMultilevel"/>
    <w:lvl w:ilvl="0">
      <w:lvlJc w:val="left"/>
      <w:lvlText w:val="%1."/>
      <w:numFmt w:val="decimal"/>
      <w:start w:val="4"/>
    </w:lvl>
  </w:abstractNum>
  <w:abstractNum w:abstractNumId="49">
    <w:nsid w:val="5DB70AE5"/>
    <w:multiLevelType w:val="hybridMultilevel"/>
    <w:lvl w:ilvl="0">
      <w:lvlJc w:val="left"/>
      <w:lvlText w:val="%1."/>
      <w:numFmt w:val="decimal"/>
      <w:start w:val="7"/>
    </w:lvl>
    <w:lvl w:ilvl="1">
      <w:lvlJc w:val="left"/>
      <w:lvlText w:val="(%2)"/>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1"/>
      <w:numFmt w:val="decimal"/>
      <w:start w:val="1"/>
    </w:lvl>
    <w:lvl w:ilvl="1">
      <w:lvlJc w:val="left"/>
      <w:lvlText w:val="(%2)"/>
      <w:numFmt w:val="lowerLetter"/>
      <w:start w:val="6"/>
    </w:lvl>
  </w:abstractNum>
  <w:abstractNum w:abstractNumId="52">
    <w:nsid w:val="15014ACB"/>
    <w:multiLevelType w:val="hybridMultilevel"/>
    <w:lvl w:ilvl="0">
      <w:lvlJc w:val="left"/>
      <w:lvlText w:val="%1."/>
      <w:numFmt w:val="decimal"/>
      <w:start w:val="8"/>
    </w:lvl>
    <w:lvl w:ilvl="1">
      <w:lvlJc w:val="left"/>
      <w:lvlText w:val="%2"/>
      <w:numFmt w:val="lowerLetter"/>
      <w:start w:val="1"/>
    </w:lvl>
  </w:abstractNum>
  <w:abstractNum w:abstractNumId="53">
    <w:nsid w:val="5F5E7FD0"/>
    <w:multiLevelType w:val="hybridMultilevel"/>
    <w:lvl w:ilvl="0">
      <w:lvlJc w:val="left"/>
      <w:lvlText w:val="%1."/>
      <w:numFmt w:val="decimal"/>
      <w:start w:val="10"/>
    </w:lvl>
    <w:lvl w:ilvl="1">
      <w:lvlJc w:val="left"/>
      <w:lvlText w:val="(%2)"/>
      <w:numFmt w:val="lowerLetter"/>
      <w:start w:val="1"/>
    </w:lvl>
  </w:abstractNum>
  <w:abstractNum w:abstractNumId="54">
    <w:nsid w:val="98A3148"/>
    <w:multiLevelType w:val="hybridMultilevel"/>
    <w:lvl w:ilvl="0">
      <w:lvlJc w:val="left"/>
      <w:lvlText w:val="(%1)"/>
      <w:numFmt w:val="lowerLetter"/>
      <w:start w:val="3"/>
    </w:lvl>
  </w:abstractNum>
  <w:abstractNum w:abstractNumId="55">
    <w:nsid w:val="799D0247"/>
    <w:multiLevelType w:val="hybridMultilevel"/>
    <w:lvl w:ilvl="0">
      <w:lvlJc w:val="left"/>
      <w:lvlText w:val="%1."/>
      <w:numFmt w:val="decimal"/>
      <w:start w:val="11"/>
    </w:lvl>
    <w:lvl w:ilvl="1">
      <w:lvlJc w:val="left"/>
      <w:lvlText w:val="(%2)"/>
      <w:numFmt w:val="lowerLetter"/>
      <w:start w:val="1"/>
    </w:lvl>
  </w:abstractNum>
  <w:abstractNum w:abstractNumId="56">
    <w:nsid w:val="6B94764"/>
    <w:multiLevelType w:val="hybridMultilevel"/>
    <w:lvl w:ilvl="0">
      <w:lvlJc w:val="left"/>
      <w:lvlText w:val="%1."/>
      <w:numFmt w:val="decimal"/>
      <w:start w:val="13"/>
    </w:lvl>
    <w:lvl w:ilvl="1">
      <w:lvlJc w:val="left"/>
      <w:lvlText w:val="(%2)"/>
      <w:numFmt w:val="lowerLetter"/>
      <w:start w:val="1"/>
    </w:lvl>
  </w:abstractNum>
  <w:abstractNum w:abstractNumId="57">
    <w:nsid w:val="42C296BD"/>
    <w:multiLevelType w:val="hybridMultilevel"/>
    <w:lvl w:ilvl="0">
      <w:lvlJc w:val="left"/>
      <w:lvlText w:val="%1"/>
      <w:numFmt w:val="decimal"/>
      <w:start w:val="1"/>
    </w:lvl>
    <w:lvl w:ilvl="1">
      <w:lvlJc w:val="left"/>
      <w:lvlText w:val="(%2)"/>
      <w:numFmt w:val="lowerLetter"/>
      <w:start w:val="3"/>
    </w:lvl>
  </w:abstractNum>
  <w:abstractNum w:abstractNumId="58">
    <w:nsid w:val="168E121F"/>
    <w:multiLevelType w:val="hybridMultilevel"/>
    <w:lvl w:ilvl="0">
      <w:lvlJc w:val="left"/>
      <w:lvlText w:val="%1."/>
      <w:numFmt w:val="decimal"/>
      <w:start w:val="17"/>
    </w:lvl>
    <w:lvl w:ilvl="1">
      <w:lvlJc w:val="left"/>
      <w:lvlText w:val="%2"/>
      <w:numFmt w:val="lowerLetter"/>
      <w:start w:val="1"/>
    </w:lvl>
  </w:abstractNum>
  <w:abstractNum w:abstractNumId="59">
    <w:nsid w:val="1EBA5D23"/>
    <w:multiLevelType w:val="hybridMultilevel"/>
    <w:lvl w:ilvl="0">
      <w:lvlJc w:val="left"/>
      <w:lvlText w:val="%1."/>
      <w:numFmt w:val="decimal"/>
      <w:start w:val="1"/>
    </w:lvl>
    <w:lvl w:ilvl="1">
      <w:lvlJc w:val="left"/>
      <w:lvlText w:val="(%2)"/>
      <w:numFmt w:val="lowerLetter"/>
      <w:start w:val="1"/>
    </w:lvl>
  </w:abstractNum>
  <w:abstractNum w:abstractNumId="60">
    <w:nsid w:val="661E3F1E"/>
    <w:multiLevelType w:val="hybridMultilevel"/>
    <w:lvl w:ilvl="0">
      <w:lvlJc w:val="left"/>
      <w:lvlText w:val="%1"/>
      <w:numFmt w:val="lowerLetter"/>
      <w:start w:val="1"/>
    </w:lvl>
    <w:lvl w:ilvl="1">
      <w:lvlJc w:val="left"/>
      <w:lvlText w:val="%2."/>
      <w:numFmt w:val="lowerRoman"/>
      <w:start w:val="1"/>
    </w:lvl>
  </w:abstractNum>
  <w:abstractNum w:abstractNumId="61">
    <w:nsid w:val="5DC79EA8"/>
    <w:multiLevelType w:val="hybridMultilevel"/>
    <w:lvl w:ilvl="0">
      <w:lvlJc w:val="left"/>
      <w:lvlText w:val="(%1)"/>
      <w:numFmt w:val="lowerLetter"/>
      <w:start w:val="4"/>
    </w:lvl>
    <w:lvl w:ilvl="1">
      <w:lvlJc w:val="left"/>
      <w:lvlText w:val="%2."/>
      <w:numFmt w:val="lowerRoman"/>
      <w:start w:val="1"/>
    </w:lvl>
  </w:abstractNum>
  <w:abstractNum w:abstractNumId="62">
    <w:nsid w:val="540A471C"/>
    <w:multiLevelType w:val="hybridMultilevel"/>
    <w:lvl w:ilvl="0">
      <w:lvlJc w:val="left"/>
      <w:lvlText w:val="%1."/>
      <w:numFmt w:val="lowerRoman"/>
      <w:start w:val="2"/>
    </w:lvl>
  </w:abstractNum>
  <w:abstractNum w:abstractNumId="63">
    <w:nsid w:val="7BD3EE7B"/>
    <w:multiLevelType w:val="hybridMultilevel"/>
    <w:lvl w:ilvl="0">
      <w:lvlJc w:val="left"/>
      <w:lvlText w:val="(%1)"/>
      <w:numFmt w:val="lowerLetter"/>
      <w:start w:val="5"/>
    </w:lvl>
  </w:abstractNum>
  <w:abstractNum w:abstractNumId="64">
    <w:nsid w:val="51D9C564"/>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20"/>
    </w:lvl>
  </w:abstractNum>
  <w:abstractNum w:abstractNumId="65">
    <w:nsid w:val="613EFDC5"/>
    <w:multiLevelType w:val="hybridMultilevel"/>
    <w:lvl w:ilvl="0">
      <w:lvlJc w:val="left"/>
      <w:lvlText w:val="(%1)"/>
      <w:numFmt w:val="decimal"/>
      <w:start w:val="30"/>
    </w:lvl>
  </w:abstractNum>
  <w:abstractNum w:abstractNumId="66">
    <w:nsid w:val="BF72B14"/>
    <w:multiLevelType w:val="hybridMultilevel"/>
    <w:lvl w:ilvl="0">
      <w:lvlJc w:val="left"/>
      <w:lvlText w:val="%1"/>
      <w:numFmt w:val="decimal"/>
      <w:start w:val="1"/>
    </w:lvl>
    <w:lvl w:ilvl="1">
      <w:lvlJc w:val="left"/>
      <w:lvlText w:val="(%2)"/>
      <w:numFmt w:val="lowerLetter"/>
      <w:start w:val="12"/>
    </w:lvl>
  </w:abstractNum>
  <w:abstractNum w:abstractNumId="67">
    <w:nsid w:val="11447B73"/>
    <w:multiLevelType w:val="hybridMultilevel"/>
    <w:lvl w:ilvl="0">
      <w:lvlJc w:val="left"/>
      <w:lvlText w:val="%1."/>
      <w:numFmt w:val="decimal"/>
      <w:start w:val="2"/>
    </w:lvl>
    <w:lvl w:ilvl="1">
      <w:lvlJc w:val="left"/>
      <w:lvlText w:val="(%2)"/>
      <w:numFmt w:val="lowerLetter"/>
      <w:start w:val="1"/>
    </w:lvl>
  </w:abstractNum>
  <w:abstractNum w:abstractNumId="68">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A0382C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8F2B15E"/>
    <w:multiLevelType w:val="hybridMultilevel"/>
    <w:lvl w:ilvl="0">
      <w:lvlJc w:val="left"/>
      <w:lvlText w:val="(%1)"/>
      <w:numFmt w:val="lowerLetter"/>
      <w:start w:val="2"/>
    </w:lvl>
    <w:lvl w:ilvl="1">
      <w:lvlJc w:val="left"/>
      <w:lvlText w:val="%2."/>
      <w:numFmt w:val="lowerRoman"/>
      <w:start w:val="1"/>
    </w:lvl>
  </w:abstractNum>
  <w:abstractNum w:abstractNumId="71">
    <w:nsid w:val="1A32234B"/>
    <w:multiLevelType w:val="hybridMultilevel"/>
    <w:lvl w:ilvl="0">
      <w:lvlJc w:val="left"/>
      <w:lvlText w:val="%1."/>
      <w:numFmt w:val="decimal"/>
      <w:start w:val="4"/>
    </w:lvl>
  </w:abstractNum>
  <w:abstractNum w:abstractNumId="72">
    <w:nsid w:val="3B0FD379"/>
    <w:multiLevelType w:val="hybridMultilevel"/>
    <w:lvl w:ilvl="0">
      <w:lvlJc w:val="left"/>
      <w:lvlText w:val="%1."/>
      <w:numFmt w:val="decimal"/>
      <w:start w:val="7"/>
    </w:lvl>
    <w:lvl w:ilvl="1">
      <w:lvlJc w:val="left"/>
      <w:lvlText w:val="(%2)"/>
      <w:numFmt w:val="lowerLetter"/>
      <w:start w:val="1"/>
    </w:lvl>
  </w:abstractNum>
  <w:abstractNum w:abstractNumId="73">
    <w:nsid w:val="68EB2F63"/>
    <w:multiLevelType w:val="hybridMultilevel"/>
    <w:lvl w:ilvl="0">
      <w:lvlJc w:val="left"/>
      <w:lvlText w:val="(%1)"/>
      <w:numFmt w:val="lowerLetter"/>
      <w:start w:val="2"/>
    </w:lvl>
  </w:abstractNum>
  <w:abstractNum w:abstractNumId="74">
    <w:nsid w:val="4962813B"/>
    <w:multiLevelType w:val="hybridMultilevel"/>
    <w:lvl w:ilvl="0">
      <w:lvlJc w:val="left"/>
      <w:lvlText w:val="%1."/>
      <w:numFmt w:val="decimal"/>
      <w:start w:val="8"/>
    </w:lvl>
  </w:abstractNum>
  <w:abstractNum w:abstractNumId="75">
    <w:nsid w:val="60B6DF70"/>
    <w:multiLevelType w:val="hybridMultilevel"/>
    <w:lvl w:ilvl="0">
      <w:lvlJc w:val="left"/>
      <w:lvlText w:val="%1."/>
      <w:numFmt w:val="decimal"/>
      <w:start w:val="10"/>
    </w:lvl>
    <w:lvl w:ilvl="1">
      <w:lvlJc w:val="left"/>
      <w:lvlText w:val="(%2)"/>
      <w:numFmt w:val="lowerLetter"/>
      <w:start w:val="1"/>
    </w:lvl>
  </w:abstractNum>
  <w:abstractNum w:abstractNumId="76">
    <w:nsid w:val="6A5EE64"/>
    <w:multiLevelType w:val="hybridMultilevel"/>
    <w:lvl w:ilvl="0">
      <w:lvlJc w:val="left"/>
      <w:lvlText w:val="(%1)"/>
      <w:numFmt w:val="lowerLetter"/>
      <w:start w:val="3"/>
    </w:lvl>
  </w:abstractNum>
  <w:abstractNum w:abstractNumId="77">
    <w:nsid w:val="14330624"/>
    <w:multiLevelType w:val="hybridMultilevel"/>
    <w:lvl w:ilvl="0">
      <w:lvlJc w:val="left"/>
      <w:lvlText w:val="%1."/>
      <w:numFmt w:val="decimal"/>
      <w:start w:val="11"/>
    </w:lvl>
    <w:lvl w:ilvl="1">
      <w:lvlJc w:val="left"/>
      <w:lvlText w:val="(%2)"/>
      <w:numFmt w:val="lowerLetter"/>
      <w:start w:val="1"/>
    </w:lvl>
  </w:abstractNum>
  <w:abstractNum w:abstractNumId="78">
    <w:nsid w:val="7FFFCA11"/>
    <w:multiLevelType w:val="hybridMultilevel"/>
    <w:lvl w:ilvl="0">
      <w:lvlJc w:val="left"/>
      <w:lvlText w:val="%1."/>
      <w:numFmt w:val="decimal"/>
      <w:start w:val="13"/>
    </w:lvl>
    <w:lvl w:ilvl="1">
      <w:lvlJc w:val="left"/>
      <w:lvlText w:val="(%2)"/>
      <w:numFmt w:val="lowerLetter"/>
      <w:start w:val="1"/>
    </w:lvl>
  </w:abstractNum>
  <w:abstractNum w:abstractNumId="79">
    <w:nsid w:val="1A27709E"/>
    <w:multiLevelType w:val="hybridMultilevel"/>
    <w:lvl w:ilvl="0">
      <w:lvlJc w:val="left"/>
      <w:lvlText w:val="%1"/>
      <w:numFmt w:val="decimal"/>
      <w:start w:val="1"/>
    </w:lvl>
    <w:lvl w:ilvl="1">
      <w:lvlJc w:val="left"/>
      <w:lvlText w:val="(%2)"/>
      <w:numFmt w:val="lowerLetter"/>
      <w:start w:val="3"/>
    </w:lvl>
  </w:abstractNum>
  <w:abstractNum w:abstractNumId="80">
    <w:nsid w:val="71EA1109"/>
    <w:multiLevelType w:val="hybridMultilevel"/>
    <w:lvl w:ilvl="0">
      <w:lvlJc w:val="left"/>
      <w:lvlText w:val="%1."/>
      <w:numFmt w:val="decimal"/>
      <w:start w:val="17"/>
    </w:lvl>
    <w:lvl w:ilvl="1">
      <w:lvlJc w:val="left"/>
      <w:lvlText w:val="%2"/>
      <w:numFmt w:val="lowerLetter"/>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11"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88" Type="http://schemas.openxmlformats.org/officeDocument/2006/relationships/hyperlink" Target="https://www.sec.gov/Archives/edgar/data/879585/000110465921000095/tm2039713d3_ex2-1.htm" TargetMode="External"/><Relationship Id="rId89" Type="http://schemas.openxmlformats.org/officeDocument/2006/relationships/hyperlink" Target="http://www.sec.gov/Archives/edgar/data/879585/000087958501500004/s8subc.txt" TargetMode="External"/><Relationship Id="rId90" Type="http://schemas.openxmlformats.org/officeDocument/2006/relationships/hyperlink" Target="http://www.sec.gov/Archives/edgar/data/879585/000110465906054787/a06-15866_1ex3d2.htm" TargetMode="External"/><Relationship Id="rId91" Type="http://schemas.openxmlformats.org/officeDocument/2006/relationships/hyperlink" Target="http://www.sec.gov/Archives/edgar/data/879585/000110465916129397/a16-13965_1ex3d1.htm" TargetMode="External"/><Relationship Id="rId92" Type="http://schemas.openxmlformats.org/officeDocument/2006/relationships/hyperlink" Target="https://www.sec.gov/Archives/edgar/data/879585/000110465923032255/tm239573d1_ex3-1.htm" TargetMode="External"/><Relationship Id="rId93" Type="http://schemas.openxmlformats.org/officeDocument/2006/relationships/hyperlink" Target="https://www.sec.gov/Archives/edgar/data/879585/000155837020001867/ex-4d1.htm" TargetMode="External"/><Relationship Id="rId94" Type="http://schemas.openxmlformats.org/officeDocument/2006/relationships/hyperlink" Target="http://www.sec.gov/Archives/edgar/data/879585/000104746911004365/a2203783zdef14a.htm" TargetMode="External"/><Relationship Id="rId95" Type="http://schemas.openxmlformats.org/officeDocument/2006/relationships/hyperlink" Target="http://www.sec.gov/Archives/edgar/data/879585/000110465908035014/a08-14925_1ex10d2.htm" TargetMode="External"/><Relationship Id="rId96" Type="http://schemas.openxmlformats.org/officeDocument/2006/relationships/hyperlink" Target="http://www.sec.gov/Archives/edgar/data/879585/000110465908035014/a08-14925_1ex10d3.htm" TargetMode="External"/><Relationship Id="rId97" Type="http://schemas.openxmlformats.org/officeDocument/2006/relationships/hyperlink" Target="http://www.sec.gov/Archives/edgar/data/879585/000110465908035014/a08-14925_1ex10d4.htm" TargetMode="External"/><Relationship Id="rId98" Type="http://schemas.openxmlformats.org/officeDocument/2006/relationships/hyperlink" Target="http://www.sec.gov/Archives/edgar/data/879585/000110465908035014/a08-14925_1ex10d5.htm" TargetMode="External"/><Relationship Id="rId99" Type="http://schemas.openxmlformats.org/officeDocument/2006/relationships/hyperlink" Target="http://www.sec.gov/Archives/edgar/data/879585/000110465909000624/a09-1148_1ex10d1.htm" TargetMode="External"/><Relationship Id="rId100" Type="http://schemas.openxmlformats.org/officeDocument/2006/relationships/hyperlink" Target="http://www.sec.gov/Archives/edgar/data/879585/000155837018004510/atni-20180331ex102a94824.htm" TargetMode="External"/><Relationship Id="rId101" Type="http://schemas.openxmlformats.org/officeDocument/2006/relationships/hyperlink" Target="https://www.sec.gov/Archives/edgar/data/879585/000110465921036209/tm219695d1_ex10-2.htm" TargetMode="External"/><Relationship Id="rId102" Type="http://schemas.openxmlformats.org/officeDocument/2006/relationships/hyperlink" Target="https://www.sec.gov/Archives/edgar/data/879585/000110465921036209/tm219695d1_ex10-1.htm" TargetMode="External"/><Relationship Id="rId103" Type="http://schemas.openxmlformats.org/officeDocument/2006/relationships/hyperlink" Target="http://www.sec.gov/Archives/edgar/data/879585/000110465919016051/a19-6809_1ex10d2.htm" TargetMode="External"/><Relationship Id="rId104" Type="http://schemas.openxmlformats.org/officeDocument/2006/relationships/hyperlink" Target="http://www.sec.gov/Archives/edgar/data/879585/000110465914088453/a14-26566_1ex10d1.htm" TargetMode="External"/><Relationship Id="rId105" Type="http://schemas.openxmlformats.org/officeDocument/2006/relationships/hyperlink" Target="http://www.sec.gov/Archives/edgar/data/879585/000110465916090003/a16-1978_1ex10d1.htm" TargetMode="External"/><Relationship Id="rId106" Type="http://schemas.openxmlformats.org/officeDocument/2006/relationships/hyperlink" Target="http://www.sec.gov/Archives/edgar/data/879585/000110465919021647/a19-8299_1ex10d1.htm" TargetMode="External"/><Relationship Id="rId107" Type="http://schemas.openxmlformats.org/officeDocument/2006/relationships/hyperlink" Target="https://www.sec.gov/Archives/edgar/data/879585/000155837022017082/atni-20220930xex10d1.htm" TargetMode="External"/><Relationship Id="rId108" Type="http://schemas.openxmlformats.org/officeDocument/2006/relationships/hyperlink" Target="https://www.sec.gov/Archives/edgar/data/879585/000110465922131384/tm2233773d1_ex10-3.htm" TargetMode="External"/><Relationship Id="rId109" Type="http://schemas.openxmlformats.org/officeDocument/2006/relationships/hyperlink" Target="https://www.sec.gov/Archives/edgar/data/879585/000110465920041840/tm2014199d1_ex10-1.htm" TargetMode="External"/><Relationship Id="rId110" Type="http://schemas.openxmlformats.org/officeDocument/2006/relationships/hyperlink" Target="https://www.sec.gov/Archives/edgar/data/879585/000110465920041840/tm2014199d1_ex10-2.htm" TargetMode="External"/><Relationship Id="rId112" Type="http://schemas.openxmlformats.org/officeDocument/2006/relationships/hyperlink" Target="https://www.sec.gov/Archives/edgar/data/0000879585/000110465922131384/tm2233773d1_ex10-1.htm" TargetMode="External"/><Relationship Id="rId113" Type="http://schemas.openxmlformats.org/officeDocument/2006/relationships/hyperlink" Target="http://www.sec.gov/Archives/edgar/data/879585/000110465906035157/a06-11928_1ex10d1.htm" TargetMode="External"/><Relationship Id="rId114" Type="http://schemas.openxmlformats.org/officeDocument/2006/relationships/hyperlink" Target="http://www.sec.gov/Archives/edgar/data/879585/000104746913002987/a2213629zex-10_20.htm" TargetMode="External"/><Relationship Id="rId115" Type="http://schemas.openxmlformats.org/officeDocument/2006/relationships/hyperlink" Target="http://www.sec.gov/Archives/edgar/data/879585/000155837016007795/atni-20160630ex10280f996.htm" TargetMode="External"/><Relationship Id="rId116" Type="http://schemas.openxmlformats.org/officeDocument/2006/relationships/hyperlink" Target="http://www.sec.gov/Archives/edgar/data/879585/000155837018001408/atni-20171231ex10256097c.htm" TargetMode="External"/><Relationship Id="rId117" Type="http://schemas.openxmlformats.org/officeDocument/2006/relationships/hyperlink" Target="http://www.sec.gov/Archives/edgar/data/879585/000155837019001338/atni-20181231ex101969ca0.htm" TargetMode="External"/><Relationship Id="rId118" Type="http://schemas.openxmlformats.org/officeDocument/2006/relationships/hyperlink" Target="https://www.sec.gov/Archives/edgar/data/879585/000155837020001867/ex-10d18.htm" TargetMode="External"/><Relationship Id="rId119" Type="http://schemas.openxmlformats.org/officeDocument/2006/relationships/hyperlink" Target="https://www.sec.gov/Archives/edgar/data/879585/000155837021002145/atni-20201231ex10218ed16.htm" TargetMode="External"/><Relationship Id="rId120" Type="http://schemas.openxmlformats.org/officeDocument/2006/relationships/hyperlink" Target="http://www.sec.gov/Archives/edgar/data/879585/000155837018004510/atni-20180331ex1017d0269.htm" TargetMode="External"/><Relationship Id="rId121" Type="http://schemas.openxmlformats.org/officeDocument/2006/relationships/hyperlink" Target="http://www.sec.gov/Archives/edgar/data/879585/000155837018006732/atni-20180630ex101a03c6e.htm" TargetMode="External"/><Relationship Id="rId122" Type="http://schemas.openxmlformats.org/officeDocument/2006/relationships/hyperlink" Target="https://www.sec.gov/Archives/edgar/data/879585/000155837022008065/atni-20220331xex10d1.htm" TargetMode="External"/><Relationship Id="rId123" Type="http://schemas.openxmlformats.org/officeDocument/2006/relationships/hyperlink" Target="http://www.sec.gov/Archives/edgar/data/879585/000155837019010584/atni-20190930ex101dd2f08.htm" TargetMode="External"/><Relationship Id="rId124" Type="http://schemas.openxmlformats.org/officeDocument/2006/relationships/hyperlink" Target="https://www.sec.gov/Archives/edgar/data/879585/000155837020012564/atni-20200930xex10d1.htm" TargetMode="External"/><Relationship Id="rId125" Type="http://schemas.openxmlformats.org/officeDocument/2006/relationships/hyperlink" Target="https://www.sec.gov/Archives/edgar/data/879585/000155837021006628/atni-20210331xex10d1.htm" TargetMode="External"/><Relationship Id="rId126" Type="http://schemas.openxmlformats.org/officeDocument/2006/relationships/hyperlink" Target="https://www.sec.gov/Archives/edgar/data/879585/000155837022012620/atni-20220630xex10d2.htm" TargetMode="External"/><Relationship Id="rId127" Type="http://schemas.openxmlformats.org/officeDocument/2006/relationships/hyperlink" Target="https://www.sec.gov/Archives/edgar/data/879585/000110465921094942/tm2122780d1_ex10-1.htm" TargetMode="External"/><Relationship Id="rId128" Type="http://schemas.openxmlformats.org/officeDocument/2006/relationships/hyperlink" Target="https://www.sec.gov/Archives/edgar/data/879585/000110465921094942/tm2122780d1_ex10-2.htm" TargetMode="External"/><Relationship Id="rId129" Type="http://schemas.openxmlformats.org/officeDocument/2006/relationships/hyperlink" Target="https://www.sec.gov/Archives/edgar/data/879585/000110465922131384/tm223377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2023-03-15T14:00:43Z</dcterms:created>
  <dcterms:modified xsi:type="dcterms:W3CDTF">2023-03-15T14:00:43Z</dcterms:modified>
</cp:coreProperties>
</file>