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920" w:right="1800" w:hanging="3588"/>
        <w:spacing w:after="0" w:line="466" w:lineRule="auto"/>
        <w:tabs>
          <w:tab w:leader="none" w:pos="651"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38" w:lineRule="exact"/>
        <w:rPr>
          <w:sz w:val="24"/>
          <w:szCs w:val="24"/>
          <w:color w:val="auto"/>
        </w:rPr>
      </w:pPr>
    </w:p>
    <w:p>
      <w:pPr>
        <w:ind w:left="4360" w:right="1440" w:hanging="4028"/>
        <w:spacing w:after="0" w:line="500" w:lineRule="auto"/>
        <w:tabs>
          <w:tab w:leader="none" w:pos="65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001-12593</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ATN INTERNATIONAL,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Borders>
              <w:bottom w:val="single" w:sz="8" w:color="auto"/>
            </w:tcBorders>
            <w:gridSpan w:val="3"/>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47-0728886</w:t>
            </w:r>
          </w:p>
        </w:tc>
      </w:tr>
      <w:tr>
        <w:trPr>
          <w:trHeight w:val="191"/>
        </w:trPr>
        <w:tc>
          <w:tcPr>
            <w:tcW w:w="4520" w:type="dxa"/>
            <w:vAlign w:val="bottom"/>
            <w:gridSpan w:val="3"/>
          </w:tcPr>
          <w:p>
            <w:pPr>
              <w:jc w:val="center"/>
              <w:ind w:left="22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4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520" w:type="dxa"/>
            <w:vAlign w:val="bottom"/>
            <w:gridSpan w:val="3"/>
          </w:tcPr>
          <w:p>
            <w:pPr>
              <w:jc w:val="center"/>
              <w:ind w:left="22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rPr>
              <w:t>500 Cummings Center</w:t>
            </w:r>
          </w:p>
        </w:tc>
        <w:tc>
          <w:tcPr>
            <w:tcW w:w="4140" w:type="dxa"/>
            <w:vAlign w:val="bottom"/>
          </w:tcPr>
          <w:p>
            <w:pPr>
              <w:spacing w:after="0"/>
              <w:rPr>
                <w:sz w:val="24"/>
                <w:szCs w:val="24"/>
                <w:color w:val="auto"/>
              </w:rPr>
            </w:pPr>
          </w:p>
        </w:tc>
      </w:tr>
      <w:tr>
        <w:trPr>
          <w:trHeight w:val="216"/>
        </w:trPr>
        <w:tc>
          <w:tcPr>
            <w:tcW w:w="4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rPr>
              <w:t>Beverly, Massachusetts 01915</w:t>
            </w:r>
          </w:p>
        </w:tc>
        <w:tc>
          <w:tcPr>
            <w:tcW w:w="4140" w:type="dxa"/>
            <w:vAlign w:val="bottom"/>
          </w:tcPr>
          <w:p>
            <w:pPr>
              <w:spacing w:after="0"/>
              <w:rPr>
                <w:sz w:val="18"/>
                <w:szCs w:val="18"/>
                <w:color w:val="auto"/>
              </w:rPr>
            </w:pPr>
          </w:p>
        </w:tc>
      </w:tr>
      <w:tr>
        <w:trPr>
          <w:trHeight w:val="234"/>
        </w:trPr>
        <w:tc>
          <w:tcPr>
            <w:tcW w:w="7100" w:type="dxa"/>
            <w:vAlign w:val="bottom"/>
            <w:gridSpan w:val="8"/>
          </w:tcPr>
          <w:p>
            <w:pPr>
              <w:jc w:val="center"/>
              <w:ind w:left="40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140" w:type="dxa"/>
            <w:vAlign w:val="bottom"/>
          </w:tcPr>
          <w:p>
            <w:pPr>
              <w:spacing w:after="0"/>
              <w:rPr>
                <w:sz w:val="20"/>
                <w:szCs w:val="20"/>
                <w:color w:val="auto"/>
              </w:rPr>
            </w:pPr>
          </w:p>
        </w:tc>
      </w:tr>
      <w:tr>
        <w:trPr>
          <w:trHeight w:val="414"/>
        </w:trPr>
        <w:tc>
          <w:tcPr>
            <w:tcW w:w="4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(978) 619-1300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34"/>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45"/>
        </w:trPr>
        <w:tc>
          <w:tcPr>
            <w:tcW w:w="45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80" w:type="dxa"/>
            <w:vAlign w:val="bottom"/>
            <w:gridSpan w:val="5"/>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2"/>
              </w:rPr>
              <w:t>ATNI</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spacing w:after="0"/>
              <w:rPr>
                <w:sz w:val="18"/>
                <w:szCs w:val="18"/>
                <w:color w:val="auto"/>
              </w:rPr>
            </w:pPr>
          </w:p>
        </w:tc>
        <w:tc>
          <w:tcPr>
            <w:tcW w:w="4140" w:type="dxa"/>
            <w:vAlign w:val="bottom"/>
            <w:tcBorders>
              <w:top w:val="single" w:sz="8" w:color="auto"/>
            </w:tcBorders>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88"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66"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60" w:type="dxa"/>
        <w:tblCellMar>
          <w:top w:w="0" w:type="dxa"/>
          <w:left w:w="0" w:type="dxa"/>
          <w:bottom w:w="0" w:type="dxa"/>
          <w:right w:w="0" w:type="dxa"/>
        </w:tblCellMar>
      </w:tblPr>
      <w:tr>
        <w:trPr>
          <w:trHeight w:val="221"/>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780"/>
              <w:spacing w:after="0"/>
              <w:rPr>
                <w:sz w:val="20"/>
                <w:szCs w:val="20"/>
                <w:color w:val="auto"/>
              </w:rPr>
            </w:pPr>
            <w:r>
              <w:rPr>
                <w:rFonts w:ascii="Wingdings" w:cs="Wingdings" w:eastAsia="Wingdings" w:hAnsi="Wingdings"/>
                <w:sz w:val="18"/>
                <w:szCs w:val="18"/>
                <w:b w:val="1"/>
                <w:bCs w:val="1"/>
                <w:color w:val="auto"/>
                <w:w w:val="94"/>
              </w:rPr>
              <w:t>x</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6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03"/>
        </w:trPr>
        <w:tc>
          <w:tcPr>
            <w:tcW w:w="3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165"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176"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ectPr>
          <w:pgSz w:w="11900" w:h="16838" w:orient="portrait"/>
          <w:cols w:equalWidth="0" w:num="1">
            <w:col w:w="11240"/>
          </w:cols>
          <w:pgMar w:left="320" w:top="725" w:right="339" w:bottom="0" w:gutter="0" w:footer="0" w:header="0"/>
        </w:sectPr>
      </w:pPr>
    </w:p>
    <w:bookmarkStart w:id="1" w:name="page2"/>
    <w:bookmarkEnd w:id="1"/>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aggregate market value of Common Stock held by non-affiliates of the registrant as of June 30, 2023, was approximately $394 million based on the closing price of the registrant’s Common Stock as reported on the Nasdaq Global Select Market.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15, 2024, the registrant had 15,481,207 outstanding shares of Common Stock, $.01 par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AUDIT FIRM ID</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AUDITOR NAME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AUDITOR LOCATION</w:t>
            </w:r>
          </w:p>
        </w:tc>
      </w:tr>
      <w:tr>
        <w:trPr>
          <w:trHeight w:val="234"/>
        </w:trPr>
        <w:tc>
          <w:tcPr>
            <w:tcW w:w="3620" w:type="dxa"/>
            <w:vAlign w:val="bottom"/>
            <w:tcBorders>
              <w:top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PRICEWATERHOUSECOOPERS LLP</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BOSTON, MASSACHUSETTS</w:t>
            </w:r>
          </w:p>
        </w:tc>
      </w:tr>
      <w:tr>
        <w:trPr>
          <w:trHeight w:val="657"/>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Amendment No. 1 to the Annual Report on Form 10-K/A (this “Amendment No. 1”) of ATN International, Inc. (the “Company”) amends the </w:t>
      </w:r>
      <w:hyperlink r:id="rId10">
        <w:r>
          <w:rPr>
            <w:rFonts w:ascii="Times New Roman" w:cs="Times New Roman" w:eastAsia="Times New Roman" w:hAnsi="Times New Roman"/>
            <w:sz w:val="18"/>
            <w:szCs w:val="18"/>
            <w:u w:val="single" w:color="auto"/>
            <w:color w:val="0000EE"/>
          </w:rPr>
          <w:t>Annual Report on Form 10-K for the fiscal year ended December 31,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the Company filed with the U.S. Securities and Exchange Commission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“SEC”) on March 15, 2024 (the “Original Form 10-K”).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amending the disclosure included in Part II, Item 9A of the Original Form 10-K to include a clarifying statement of management’s conclusion that the Company maintained effective internal control over financial reporting as of December 31, 2023. The Company added the following statement, which was inadvertently omitted from the Original Form 10-K:</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“Based on its assessment, management concluded that, as of December 31, 2023, our internal control over financial reporting was effective based on those criteria.”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described above, this Amendment No. 1 does not modify or update disclosure in, or exhibits to, the Original Form 10-K. Furthermore, this Amendment No. 1 does not change any previously reported financial results, nor does it reflect events occurring after the filing date of the Original Form 10-K. Information not affected by this Amendment No. 1 remains unchanged and reflects the disclosures made at the time the Original Form 10-K was filed.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Original Form 10-K, the Company had conducted an assessment of the effectiveness of the Company’s internal control over financial reporting based upon the Internal Control – Integrated Framework (2013 framework) issued by the Committee of Sponsoring Organizations of the Treadway Commission (“COSO”) and concluded that the Company maintained effective internal control over financial reporting as of December 31, 2023. Furthermore, the Original Form 10-K certifications of the Company’s principal executive officer (Exhibit 31.1) and its principal financial officer (Exhibit 31.2) stated that they have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required by Rule 12b-15 under the Securities Exchange Act of 1934, as amended, in connection with this Amendment No. 1, our Chief Executive Officer and Chief Financial Officer are providing Rule 13a-14(a) certifications as included herein. We are amending Item 15 of Part IV solely to reflect the inclusion of these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2023. Disclosure controls and procedures, as defined in Rules 13a-15(e) and 15d-15(e) under the Securities Exchange Act of 1934, as amended (the “Exchange Act”), mean controls and other procedures of an issuer that are designed to ensure that information required to be disclosed by the issuer in the reports that it files or submits under the Exchange Act is recorded, processed, summarized and reported within the time periods specified by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2023. In making this assessment, our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Based on its assessment, management concluded that, as of December 31, 2023, our internal control over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effective based on those criteria.</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PricewaterhouseCoopers LLP, an independent registered public accounting firm, as stated in their report which appears on page F-2 of the Original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December 31, 2023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No financial statements are filed with this Amendment No. 1. The financial statements and notes thereto were included as part of the Original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exhibits listed below are filed herewith in response to this Item 15.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8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c>
          <w:tcPr>
            <w:tcW w:w="10100" w:type="dxa"/>
            <w:vAlign w:val="bottom"/>
            <w:gridSpan w:val="3"/>
          </w:tcPr>
          <w:p>
            <w:pPr>
              <w:ind w:left="4640"/>
              <w:spacing w:after="0"/>
              <w:rPr>
                <w:sz w:val="20"/>
                <w:szCs w:val="20"/>
                <w:color w:val="auto"/>
              </w:rPr>
            </w:pPr>
            <w:r>
              <w:rPr>
                <w:rFonts w:ascii="Times New Roman" w:cs="Times New Roman" w:eastAsia="Times New Roman" w:hAnsi="Times New Roman"/>
                <w:sz w:val="18"/>
                <w:szCs w:val="18"/>
                <w:color w:val="auto"/>
              </w:rPr>
              <w:t>Description</w:t>
            </w:r>
          </w:p>
        </w:tc>
      </w:tr>
      <w:tr>
        <w:trPr>
          <w:trHeight w:val="209"/>
        </w:trPr>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17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3</w:t>
            </w:r>
          </w:p>
        </w:tc>
        <w:tc>
          <w:tcPr>
            <w:tcW w:w="220" w:type="dxa"/>
            <w:vAlign w:val="bottom"/>
            <w:shd w:val="clear" w:color="auto" w:fill="CCEEFF"/>
          </w:tcPr>
          <w:p>
            <w:pPr>
              <w:spacing w:after="0"/>
              <w:rPr>
                <w:sz w:val="15"/>
                <w:szCs w:val="15"/>
                <w:color w:val="auto"/>
              </w:rPr>
            </w:pP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Periodic Report by Principal Executive Officer under Section 302 of the Sarbanes-Oxley Act of 2002.</w:t>
            </w:r>
          </w:p>
        </w:tc>
      </w:tr>
      <w:tr>
        <w:trPr>
          <w:trHeight w:val="20"/>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4</w:t>
            </w:r>
          </w:p>
        </w:tc>
        <w:tc>
          <w:tcPr>
            <w:tcW w:w="2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Periodic Report by Principal Financial Officer under Section 302 of the Sarbanes-Oxley Act of 2002.</w:t>
            </w: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July 29, 2024</w:t>
      </w:r>
      <w:r>
        <w:rPr>
          <w:sz w:val="20"/>
          <w:szCs w:val="20"/>
          <w:color w:val="auto"/>
        </w:rPr>
        <w:tab/>
      </w:r>
      <w:r>
        <w:rPr>
          <w:rFonts w:ascii="Times New Roman" w:cs="Times New Roman" w:eastAsia="Times New Roman" w:hAnsi="Times New Roman"/>
          <w:sz w:val="17"/>
          <w:szCs w:val="17"/>
          <w:b w:val="1"/>
          <w:bCs w:val="1"/>
          <w:color w:val="auto"/>
        </w:rPr>
        <w:t>ATN INTERNATIONAL,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Brad W.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Brad W. Martin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July 29, 2024</w:t>
      </w:r>
      <w:r>
        <w:rPr>
          <w:sz w:val="20"/>
          <w:szCs w:val="20"/>
          <w:color w:val="auto"/>
        </w:rPr>
        <w:tab/>
      </w:r>
      <w:r>
        <w:rPr>
          <w:rFonts w:ascii="Times New Roman" w:cs="Times New Roman" w:eastAsia="Times New Roman" w:hAnsi="Times New Roman"/>
          <w:sz w:val="17"/>
          <w:szCs w:val="17"/>
          <w:b w:val="1"/>
          <w:bCs w:val="1"/>
          <w:color w:val="auto"/>
        </w:rPr>
        <w:t>ATN INTERNATIONAL,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Carlos R. Doglioli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Carlos R. Doglioli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W. Martin, certify that:</w:t>
      </w:r>
    </w:p>
    <w:p>
      <w:pPr>
        <w:spacing w:after="0" w:line="22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ATN International,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980" w:hanging="323"/>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980" w:hanging="323"/>
        <w:spacing w:after="0" w:line="266"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980" w:right="20" w:hanging="323"/>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980" w:hanging="323"/>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980" w:hanging="323"/>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980" w:right="20" w:hanging="323"/>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29, 2024</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Brad W.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Brad W. Martin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Carlos R. Doglioli,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ATN International,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980" w:hanging="323"/>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980" w:hanging="323"/>
        <w:spacing w:after="0" w:line="266"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980" w:right="20" w:hanging="323"/>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980" w:hanging="323"/>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980" w:hanging="323"/>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980" w:right="20" w:hanging="323"/>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29,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Carlos R. Doglioli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Carlos R. Doglioli</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0" Type="http://schemas.openxmlformats.org/officeDocument/2006/relationships/hyperlink" Target="http://www.sec.gov/ix?doc=/Archives/edgar/data/879585/000155837024003375/atni-2023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2024-07-29T14:38:51Z</dcterms:created>
  <dcterms:modified xsi:type="dcterms:W3CDTF">2024-07-29T14:38:51Z</dcterms:modified>
</cp:coreProperties>
</file>