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3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3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3759200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509905</wp:posOffset>
            </wp:positionV>
            <wp:extent cx="1560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June 18, 2024</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April 29, 2024</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to be held at the Company’s subsidiary office at 7801 Academy Road NE, Building 2, Suite 103, in Albuquerque, New Mexico 87109 on Tuesday, June 18, 2024 at 9:00 a.m. MT (the “Annual Meeting”). The Annual Meeting is scheduled to be held for the following purposes:</w:t>
      </w:r>
    </w:p>
    <w:p>
      <w:pPr>
        <w:spacing w:after="0" w:line="112" w:lineRule="exact"/>
        <w:rPr>
          <w:sz w:val="20"/>
          <w:szCs w:val="20"/>
          <w:color w:val="auto"/>
        </w:rPr>
      </w:pPr>
    </w:p>
    <w:p>
      <w:pPr>
        <w:ind w:left="1980" w:right="63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 to hold office until the next annual meeting of stockholders or until their respective successors are elected and qualified;</w:t>
      </w:r>
    </w:p>
    <w:p>
      <w:pPr>
        <w:spacing w:after="0" w:line="80" w:lineRule="exact"/>
        <w:rPr>
          <w:rFonts w:ascii="Times New Roman" w:cs="Times New Roman" w:eastAsia="Times New Roman" w:hAnsi="Times New Roman"/>
          <w:sz w:val="18"/>
          <w:szCs w:val="18"/>
          <w:color w:val="auto"/>
        </w:rPr>
      </w:pPr>
    </w:p>
    <w:p>
      <w:pPr>
        <w:ind w:left="1980" w:right="91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(known as a “Say on Pay” vote) on the compensation of our named executive officers;</w:t>
      </w:r>
    </w:p>
    <w:p>
      <w:pPr>
        <w:spacing w:after="0" w:line="94"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auditor for the fiscal year ending December 31, 2024; and</w:t>
      </w:r>
    </w:p>
    <w:p>
      <w:pPr>
        <w:spacing w:after="0" w:line="94"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or any adjournments or postponements thereof.</w:t>
      </w:r>
    </w:p>
    <w:p>
      <w:pPr>
        <w:spacing w:after="0" w:line="8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April 22, 2024 are entitled to notice of, and to vote at, the Annual Meeting. During the ten days prior to the Annual Meeting, a list of such stockholders will be available for inspection during our ordinary business hours at our office at 500 Cummings Center, Suite 2450, Beverly MA 01915.</w:t>
      </w:r>
    </w:p>
    <w:p>
      <w:pPr>
        <w:spacing w:after="0" w:line="112"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Whether or not you expect to attend the meeting, please submit your proxy via the Internet, telephone or mail to ensure that your shares are represented at the Annual Meeting. Whether or not you expect to attend the Annual Meeting, please cast your vote via the Internet, telephone or mail to ensure that your shares are represented at the Annual Meeting. If you attend the meeting and vote in person, your proxy will not be used.</w:t>
      </w: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1776095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3680" w:type="dxa"/>
            <w:vAlign w:val="bottom"/>
            <w:tcBorders>
              <w:top w:val="single" w:sz="8" w:color="CCEEFF"/>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 ABOUT VOTING</w:t>
            </w:r>
          </w:p>
        </w:tc>
        <w:tc>
          <w:tcPr>
            <w:tcW w:w="4200" w:type="dxa"/>
            <w:vAlign w:val="bottom"/>
            <w:tcBorders>
              <w:top w:val="single" w:sz="8" w:color="CCEEFF"/>
            </w:tcBorders>
            <w:gridSpan w:val="9"/>
            <w:shd w:val="clear" w:color="auto" w:fill="CCEEFF"/>
          </w:tcPr>
          <w:p>
            <w:pPr>
              <w:spacing w:after="0"/>
              <w:rPr>
                <w:sz w:val="20"/>
                <w:szCs w:val="20"/>
                <w:color w:val="auto"/>
              </w:rPr>
            </w:pPr>
          </w:p>
        </w:tc>
        <w:tc>
          <w:tcPr>
            <w:tcW w:w="2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Who Can Vote</w:t>
            </w:r>
          </w:p>
        </w:tc>
        <w:tc>
          <w:tcPr>
            <w:tcW w:w="2420" w:type="dxa"/>
            <w:vAlign w:val="bottom"/>
            <w:gridSpan w:val="16"/>
          </w:tcPr>
          <w:p>
            <w:pPr>
              <w:spacing w:after="0"/>
              <w:rPr>
                <w:sz w:val="20"/>
                <w:szCs w:val="20"/>
                <w:color w:val="auto"/>
              </w:rPr>
            </w:pPr>
          </w:p>
        </w:tc>
        <w:tc>
          <w:tcPr>
            <w:tcW w:w="4200" w:type="dxa"/>
            <w:vAlign w:val="bottom"/>
            <w:gridSpan w:val="9"/>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Voting</w:t>
            </w:r>
          </w:p>
        </w:tc>
        <w:tc>
          <w:tcPr>
            <w:tcW w:w="580" w:type="dxa"/>
            <w:vAlign w:val="bottom"/>
            <w:gridSpan w:val="2"/>
            <w:shd w:val="clear" w:color="auto" w:fill="CCEEFF"/>
          </w:tcPr>
          <w:p>
            <w:pPr>
              <w:spacing w:after="0"/>
              <w:rPr>
                <w:sz w:val="20"/>
                <w:szCs w:val="20"/>
                <w:color w:val="auto"/>
              </w:rPr>
            </w:pPr>
          </w:p>
        </w:tc>
        <w:tc>
          <w:tcPr>
            <w:tcW w:w="6620" w:type="dxa"/>
            <w:vAlign w:val="bottom"/>
            <w:tcBorders>
              <w:left w:val="single" w:sz="8" w:color="CCEEFF"/>
            </w:tcBorders>
            <w:gridSpan w:val="25"/>
            <w:shd w:val="clear" w:color="auto" w:fill="CCEEFF"/>
          </w:tcPr>
          <w:p>
            <w:pPr>
              <w:spacing w:after="0"/>
              <w:rPr>
                <w:sz w:val="20"/>
                <w:szCs w:val="20"/>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Quorum</w:t>
            </w:r>
          </w:p>
        </w:tc>
        <w:tc>
          <w:tcPr>
            <w:tcW w:w="7100" w:type="dxa"/>
            <w:vAlign w:val="bottom"/>
            <w:gridSpan w:val="26"/>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Votes Required</w:t>
            </w:r>
          </w:p>
        </w:tc>
        <w:tc>
          <w:tcPr>
            <w:tcW w:w="6540" w:type="dxa"/>
            <w:vAlign w:val="bottom"/>
            <w:gridSpan w:val="24"/>
            <w:shd w:val="clear" w:color="auto" w:fill="CCEEFF"/>
          </w:tcPr>
          <w:p>
            <w:pPr>
              <w:spacing w:after="0"/>
              <w:rPr>
                <w:sz w:val="20"/>
                <w:szCs w:val="20"/>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5920" w:type="dxa"/>
            <w:vAlign w:val="bottom"/>
            <w:gridSpan w:val="21"/>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68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Can I Find the Voting Results of the Annual Meeting?</w:t>
            </w:r>
          </w:p>
        </w:tc>
        <w:tc>
          <w:tcPr>
            <w:tcW w:w="3020" w:type="dxa"/>
            <w:vAlign w:val="bottom"/>
            <w:gridSpan w:val="6"/>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Solicitation Expenses</w:t>
            </w:r>
          </w:p>
        </w:tc>
        <w:tc>
          <w:tcPr>
            <w:tcW w:w="3020" w:type="dxa"/>
            <w:vAlign w:val="bottom"/>
            <w:gridSpan w:val="6"/>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8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Who to Contact for Additional Information</w:t>
            </w:r>
          </w:p>
        </w:tc>
        <w:tc>
          <w:tcPr>
            <w:tcW w:w="4420" w:type="dxa"/>
            <w:vAlign w:val="bottom"/>
            <w:gridSpan w:val="10"/>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69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9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9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2200" w:type="dxa"/>
            <w:vAlign w:val="bottom"/>
            <w:gridSpan w:val="15"/>
          </w:tcPr>
          <w:p>
            <w:pPr>
              <w:spacing w:after="0"/>
              <w:rPr>
                <w:sz w:val="21"/>
                <w:szCs w:val="21"/>
                <w:color w:val="auto"/>
              </w:rPr>
            </w:pPr>
          </w:p>
        </w:tc>
        <w:tc>
          <w:tcPr>
            <w:tcW w:w="4420" w:type="dxa"/>
            <w:vAlign w:val="bottom"/>
            <w:gridSpan w:val="10"/>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7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DIRECTOR AND NOMINEE EXPERIENCE AND QUALIFICATIONS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2300" w:type="dxa"/>
            <w:vAlign w:val="bottom"/>
            <w:gridSpan w:val="3"/>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4320" w:type="dxa"/>
            <w:vAlign w:val="bottom"/>
            <w:gridSpan w:val="22"/>
          </w:tcPr>
          <w:p>
            <w:pPr>
              <w:spacing w:after="0"/>
              <w:rPr>
                <w:sz w:val="21"/>
                <w:szCs w:val="21"/>
                <w:color w:val="auto"/>
              </w:rPr>
            </w:pPr>
          </w:p>
        </w:tc>
        <w:tc>
          <w:tcPr>
            <w:tcW w:w="2300" w:type="dxa"/>
            <w:vAlign w:val="bottom"/>
            <w:gridSpan w:val="3"/>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7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3: RATIFICATION OF SELECTION OF INDEPENDENT AUDITOR</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5040" w:type="dxa"/>
            <w:vAlign w:val="bottom"/>
            <w:tcBorders>
              <w:left w:val="single" w:sz="8" w:color="CCEEFF"/>
            </w:tcBorders>
            <w:gridSpan w:val="23"/>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15</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600" w:type="dxa"/>
            <w:vAlign w:val="bottom"/>
            <w:gridSpan w:val="9"/>
          </w:tcPr>
          <w:p>
            <w:pPr>
              <w:spacing w:after="0"/>
              <w:rPr>
                <w:sz w:val="21"/>
                <w:szCs w:val="21"/>
                <w:color w:val="auto"/>
              </w:rPr>
            </w:pPr>
          </w:p>
        </w:tc>
        <w:tc>
          <w:tcPr>
            <w:tcW w:w="5500" w:type="dxa"/>
            <w:vAlign w:val="bottom"/>
            <w:gridSpan w:val="1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620" w:type="dxa"/>
            <w:vAlign w:val="bottom"/>
            <w:gridSpan w:val="18"/>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15</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Director Nomination Process</w:t>
            </w:r>
          </w:p>
        </w:tc>
        <w:tc>
          <w:tcPr>
            <w:tcW w:w="5500" w:type="dxa"/>
            <w:vAlign w:val="bottom"/>
            <w:gridSpan w:val="1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Refreshment</w:t>
            </w:r>
          </w:p>
        </w:tc>
        <w:tc>
          <w:tcPr>
            <w:tcW w:w="5500" w:type="dxa"/>
            <w:vAlign w:val="bottom"/>
            <w:tcBorders>
              <w:left w:val="single" w:sz="8" w:color="CCEEFF"/>
            </w:tcBorders>
            <w:gridSpan w:val="17"/>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17</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Determination of Independence</w:t>
            </w:r>
          </w:p>
        </w:tc>
        <w:tc>
          <w:tcPr>
            <w:tcW w:w="5320" w:type="dxa"/>
            <w:vAlign w:val="bottom"/>
            <w:gridSpan w:val="16"/>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Management and Risk Assessment</w:t>
            </w:r>
          </w:p>
        </w:tc>
        <w:tc>
          <w:tcPr>
            <w:tcW w:w="4740" w:type="dxa"/>
            <w:vAlign w:val="bottom"/>
            <w:tcBorders>
              <w:left w:val="single" w:sz="8" w:color="CCEEFF"/>
            </w:tcBorders>
            <w:gridSpan w:val="1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20</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Communications from Stockholders and Other Interested Parties</w:t>
            </w:r>
          </w:p>
        </w:tc>
        <w:tc>
          <w:tcPr>
            <w:tcW w:w="2820" w:type="dxa"/>
            <w:vAlign w:val="bottom"/>
            <w:gridSpan w:val="5"/>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50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of Directors’ Meetings and Committees</w:t>
            </w:r>
          </w:p>
        </w:tc>
        <w:tc>
          <w:tcPr>
            <w:tcW w:w="1380" w:type="dxa"/>
            <w:vAlign w:val="bottom"/>
            <w:gridSpan w:val="4"/>
            <w:shd w:val="clear" w:color="auto" w:fill="CCEEFF"/>
          </w:tcPr>
          <w:p>
            <w:pPr>
              <w:spacing w:after="0"/>
              <w:rPr>
                <w:sz w:val="21"/>
                <w:szCs w:val="21"/>
                <w:color w:val="auto"/>
              </w:rPr>
            </w:pPr>
          </w:p>
        </w:tc>
        <w:tc>
          <w:tcPr>
            <w:tcW w:w="2820" w:type="dxa"/>
            <w:vAlign w:val="bottom"/>
            <w:gridSpan w:val="5"/>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3020" w:type="dxa"/>
            <w:vAlign w:val="bottom"/>
            <w:gridSpan w:val="6"/>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AUDITOR</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25</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Independent Auditor Fees and Services</w:t>
            </w:r>
          </w:p>
        </w:tc>
        <w:tc>
          <w:tcPr>
            <w:tcW w:w="4740" w:type="dxa"/>
            <w:vAlign w:val="bottom"/>
            <w:gridSpan w:val="12"/>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Pre-Approval Policy and Procedures</w:t>
            </w:r>
          </w:p>
        </w:tc>
        <w:tc>
          <w:tcPr>
            <w:tcW w:w="3580" w:type="dxa"/>
            <w:vAlign w:val="bottom"/>
            <w:gridSpan w:val="7"/>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25</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3580" w:type="dxa"/>
            <w:vAlign w:val="bottom"/>
            <w:gridSpan w:val="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9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920" w:type="dxa"/>
            <w:vAlign w:val="bottom"/>
            <w:gridSpan w:val="21"/>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27</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3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EXECUTIVE OFFICER COMPENSATION</w:t>
            </w:r>
          </w:p>
        </w:tc>
        <w:tc>
          <w:tcPr>
            <w:tcW w:w="4540" w:type="dxa"/>
            <w:vAlign w:val="bottom"/>
            <w:gridSpan w:val="11"/>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200" w:type="dxa"/>
            <w:vAlign w:val="bottom"/>
            <w:tcBorders>
              <w:left w:val="single" w:sz="8" w:color="CCEEFF"/>
            </w:tcBorders>
            <w:shd w:val="clear" w:color="auto" w:fill="CCEEFF"/>
          </w:tcPr>
          <w:p>
            <w:pPr>
              <w:spacing w:after="0"/>
              <w:rPr>
                <w:sz w:val="21"/>
                <w:szCs w:val="21"/>
                <w:color w:val="auto"/>
              </w:rPr>
            </w:pPr>
          </w:p>
        </w:tc>
        <w:tc>
          <w:tcPr>
            <w:tcW w:w="4540" w:type="dxa"/>
            <w:vAlign w:val="bottom"/>
            <w:gridSpan w:val="11"/>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28</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440" w:type="dxa"/>
            <w:vAlign w:val="bottom"/>
            <w:gridSpan w:val="3"/>
          </w:tcPr>
          <w:p>
            <w:pPr>
              <w:spacing w:after="0"/>
              <w:rPr>
                <w:sz w:val="21"/>
                <w:szCs w:val="21"/>
                <w:color w:val="auto"/>
              </w:rPr>
            </w:pPr>
          </w:p>
        </w:tc>
        <w:tc>
          <w:tcPr>
            <w:tcW w:w="4740" w:type="dxa"/>
            <w:vAlign w:val="bottom"/>
            <w:gridSpan w:val="12"/>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7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2023 Summary Compensation Table</w:t>
            </w:r>
          </w:p>
        </w:tc>
        <w:tc>
          <w:tcPr>
            <w:tcW w:w="4960" w:type="dxa"/>
            <w:vAlign w:val="bottom"/>
            <w:gridSpan w:val="14"/>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39</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Grants of Plan Based Awards in 2023</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2023</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41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-6985635</wp:posOffset>
            </wp:positionV>
            <wp:extent cx="5006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664210</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Option Exercises and Stock Vested in 2023</w:t>
      </w:r>
    </w:p>
    <w:p>
      <w:pPr>
        <w:spacing w:after="0" w:line="50" w:lineRule="exact"/>
        <w:rPr>
          <w:sz w:val="20"/>
          <w:szCs w:val="20"/>
          <w:color w:val="auto"/>
        </w:rPr>
      </w:pPr>
    </w:p>
    <w:p>
      <w:pPr>
        <w:ind w:left="1440" w:right="1740"/>
        <w:spacing w:after="0" w:line="302" w:lineRule="auto"/>
        <w:rPr>
          <w:sz w:val="20"/>
          <w:szCs w:val="20"/>
          <w:color w:val="auto"/>
        </w:rPr>
      </w:pPr>
      <w:r>
        <w:rPr>
          <w:rFonts w:ascii="Times New Roman" w:cs="Times New Roman" w:eastAsia="Times New Roman" w:hAnsi="Times New Roman"/>
          <w:sz w:val="18"/>
          <w:szCs w:val="18"/>
          <w:u w:val="single" w:color="auto"/>
          <w:color w:val="0000EE"/>
        </w:rPr>
        <w:t>Securities Authorized for Issuance Under Equity Compensation Plans Non-Qualified Deferred Compensation Plan Transactions in 2023 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-346710</wp:posOffset>
            </wp:positionV>
            <wp:extent cx="52120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-20955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Pay Ratio Disclosure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Tabular List of Important Financial Measures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2023 Director Compensation Table</w:t>
      </w:r>
    </w:p>
    <w:p>
      <w:pPr>
        <w:spacing w:after="0" w:line="63" w:lineRule="exact"/>
        <w:rPr>
          <w:sz w:val="20"/>
          <w:szCs w:val="20"/>
          <w:color w:val="auto"/>
        </w:rPr>
      </w:pPr>
    </w:p>
    <w:p>
      <w:pPr>
        <w:jc w:val="right"/>
        <w:ind w:right="4140"/>
        <w:spacing w:after="0"/>
        <w:rPr>
          <w:sz w:val="20"/>
          <w:szCs w:val="20"/>
          <w:color w:val="auto"/>
        </w:rPr>
      </w:pPr>
      <w:r>
        <w:rPr>
          <w:rFonts w:ascii="Times New Roman" w:cs="Times New Roman" w:eastAsia="Times New Roman" w:hAnsi="Times New Roman"/>
          <w:sz w:val="18"/>
          <w:szCs w:val="18"/>
          <w:u w:val="single" w:color="auto"/>
          <w:color w:val="0000EE"/>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18"/>
          <w:szCs w:val="18"/>
          <w:u w:val="single" w:color="auto"/>
          <w:color w:val="0000EE"/>
        </w:rPr>
        <w:t>Policy on Related Person Transactions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Sustainability, Governance and Community Involvement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Stockholder Proposals for 2025 Annual Meeting</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Annual Report and Other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47</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 xml:space="preserve"> ​</w:t>
      </w:r>
    </w:p>
    <w:p>
      <w:pPr>
        <w:sectPr>
          <w:pgSz w:w="11900" w:h="16838" w:orient="portrait"/>
          <w:cols w:equalWidth="0" w:num="2">
            <w:col w:w="8440" w:space="720"/>
            <w:col w:w="71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18, 2024</w:t>
      </w:r>
    </w:p>
    <w:p>
      <w:pPr>
        <w:spacing w:after="0" w:line="9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162"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ATN International, Inc., a Delaware corporation, for use at the 2024 Annual Meeting of Stockholders to be held on June 18, 2024, at 9 a.m. MT (the “Annual Meeting”), or any adjournments or postponements thereof.</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certain rules of the U.S. Securities and Exchange Commission (“SEC”) that allow issuers to furnish proxy materials to stockholders over the Internet, we are posting our proxy materials on the Internet and delivering a Notice of Internet Availability of Proxy Materials (the “Notice”) containing instructions on how to access or request a copy of our Proxy Statement, our Annual Letter to Stockholders and our Annual Report on Form 10-K for the year ended December 31, 2023 (excluding exhibits). We first mailed the Notice to stockholders on April 29, 2024, unless they requested printed copies of our proxy materials. If you would like to receive a paper or e-mail copy of our proxy materials, please follow the instructions in the Notice. If you requested printed versions of these materials by mail, they will also include a proxy card for the Annual Meeting on June 18, 2024.</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June 18, 2024: </w:t>
      </w:r>
      <w:r>
        <w:rPr>
          <w:rFonts w:ascii="Times New Roman" w:cs="Times New Roman" w:eastAsia="Times New Roman" w:hAnsi="Times New Roman"/>
          <w:sz w:val="18"/>
          <w:szCs w:val="18"/>
          <w:color w:val="auto"/>
        </w:rPr>
        <w:t>This Proxy Statement and our 2023 Annual Report on Form 10-K are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https://ir.atni.com/financial-information.</w:t>
      </w:r>
    </w:p>
    <w:p>
      <w:pPr>
        <w:spacing w:after="0" w:line="105" w:lineRule="exact"/>
        <w:rPr>
          <w:sz w:val="20"/>
          <w:szCs w:val="20"/>
          <w:color w:val="auto"/>
        </w:rPr>
      </w:pPr>
    </w:p>
    <w:p>
      <w:pPr>
        <w:ind w:left="126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document includes several website addresses. These website addresses are intended to provide inactive, textual references only. The information on these websites is not part of this Proxy Statement.</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22, 2024 are entitled to vote at the Annual Meeting. On that date, 15,454,008 shares of common stock, par value $0.01 per share (“Common Stock”),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may vote your shares held of record either by attending the meeting and voting in person or by proxy. To vote in person, you must attend the Annual Meeting. You do not need to register in advance to attend the Annual Meeting. On April 29, 2024, we mailed the Notice to stockholders, unless they requested printed copies of our proxy materials. The Notice contains instructions on how to access our proxy materials and how to vote. You may submit your proxy over the Internet or by telephone prior to the Annual Meeting, or, if you requested printed copies of our proxy materials, by completing, dating and returning a proxy card. Please review the instructions on the Notice or on the proxy card regarding your voting options. Any proxy that is voted according to the instructions included in the Notice or on the proxy card will be voted in the manner instructed by the stockholder, and if no instructions are given, the shares represented thereby will be voted by the proxy holders as follows:</w:t>
      </w:r>
    </w:p>
    <w:p>
      <w:pPr>
        <w:spacing w:after="0" w:line="96"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director nominees named 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an advisory vote to approve the compensation of our named executive officers;</w:t>
      </w: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479" w:hanging="180"/>
        <w:spacing w:after="0" w:line="263"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auditor;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3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judgment of the proxy holders named on the proxy as to any other matter that is properly brought before the Annual Meeting, or any adjournments or postponements thereof.</w:t>
      </w:r>
    </w:p>
    <w:p>
      <w:pPr>
        <w:spacing w:after="0" w:line="94"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in person.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4" w:lineRule="exact"/>
        <w:rPr>
          <w:sz w:val="20"/>
          <w:szCs w:val="20"/>
          <w:color w:val="auto"/>
        </w:rPr>
      </w:pPr>
    </w:p>
    <w:p>
      <w:pPr>
        <w:ind w:left="1260" w:right="43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the election of each director nominee,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and entitled to vote at the Annual Meeting 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w:t>
      </w:r>
    </w:p>
    <w:p>
      <w:pPr>
        <w:spacing w:after="0" w:line="345"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the advisory vote on the compensation of our named executive officers,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 majority of the shares present,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2, however, such broker non-votes will have no effect on Proposal 2.</w:t>
      </w:r>
    </w:p>
    <w:p>
      <w:pPr>
        <w:spacing w:after="0" w:line="329" w:lineRule="exact"/>
        <w:rPr>
          <w:sz w:val="20"/>
          <w:szCs w:val="20"/>
          <w:color w:val="auto"/>
        </w:rPr>
      </w:pPr>
    </w:p>
    <w:p>
      <w:pPr>
        <w:ind w:left="1260" w:right="519" w:firstLine="3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the ratification of the appointment of PricewaterhouseCoopers LLP as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auditor for 2024 requires the 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be entitled to vote a customer’s shares in their discretion on Proposal 3, so there will be no broker non-votes on Proposal 3.</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ind w:left="1260" w:right="519" w:firstLine="360"/>
        <w:spacing w:after="0" w:line="267" w:lineRule="auto"/>
        <w:rPr>
          <w:sz w:val="20"/>
          <w:szCs w:val="20"/>
          <w:color w:val="auto"/>
        </w:rPr>
      </w:pPr>
      <w:r>
        <w:rPr>
          <w:rFonts w:ascii="Times New Roman" w:cs="Times New Roman" w:eastAsia="Times New Roman" w:hAnsi="Times New Roman"/>
          <w:sz w:val="18"/>
          <w:szCs w:val="18"/>
          <w:color w:val="auto"/>
        </w:rPr>
        <w:t>A proxy may be revoked at any time before it is exercised by delivering a written revocation to ATN International, Inc., Attn: Secretary, 500 Cummings Center, Suite 2450, Beverly, MA 01915. A proxy may also be revoked by re-voting by Internet or by telephone as instructed on your Notice or proxy card, as applicable, or by voting in person at the Annual Meeting. If you hold your shares through a bank, broker or other nominee, you must make arrangements with your bank, broker, or other nominee to revoke your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Expenses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solicitation is being made by us and as such, we will bear all costs of solicitation of proxies. We have retained Alliance Advisors, Inc. as our agent to aid us in soliciting the proxies of stockholders for this year’s Annual General Meeting, at an estimated cost of approximately $18,000 for any such services including reasonable out-of-pocket expenses.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$30,000 for any such services, plus reasonable out-of-pocket expenses.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to Contact for Additional Information</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how to submit your proxy, or if you received paper copies of our proxy materials and you need additional copies of this Proxy Statement or the enclosed proxy card, please contact our proxy solicitor:</w:t>
      </w:r>
    </w:p>
    <w:p>
      <w:pPr>
        <w:spacing w:after="0" w:line="10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Broadridge Investor Communications Solutions, Inc.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INTERNET: www.proxyvote.com</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TELEPHONE: 1-800-579-1639</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BY E-MAIL: sendmaterial@proxyvote.com</w:t>
      </w:r>
    </w:p>
    <w:p>
      <w:pPr>
        <w:spacing w:after="0" w:line="1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attending the meeting in person or require directions, please contact us at the following address or telephone number:</w:t>
      </w:r>
    </w:p>
    <w:p>
      <w:pPr>
        <w:spacing w:after="0" w:line="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ATN International,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500 Cummings Center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Suite 2450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Beverly, MA 01915</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TELEPHONE: (978) 619-1300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E-MAIL: ir@atni.com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as of April 22, 2024 (unless otherwise indicated in the footnotes to this table) with respect to the shares of our common stock that were beneficially owned as of such date by:</w:t>
      </w:r>
    </w:p>
    <w:p>
      <w:pPr>
        <w:spacing w:after="0" w:line="76"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listed in the Summary Compensation Table 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(including any partnership, syndicate or other group) known to us to be the beneficial owner of more than 5% of our outstanding shares of Common Stock.</w:t>
      </w:r>
    </w:p>
    <w:p>
      <w:pPr>
        <w:spacing w:after="0" w:line="8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number of shares beneficially owned by each person listed below includes any shares that the person has a right to acquire on or before June 21, 2024 by exercising rights to acquire shares. For each person listed below, the percentage set forth under “Percent of Class” was calculated based on 15,454,008 shares of Common Stock outstanding on April 22, 2024, plus any shares that person could acquire on or before June 21, 2024.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Shares Beneficially Owned</w:t>
            </w:r>
          </w:p>
        </w:tc>
        <w:tc>
          <w:tcPr>
            <w:tcW w:w="40" w:type="dxa"/>
            <w:vAlign w:val="bottom"/>
          </w:tcPr>
          <w:p>
            <w:pPr>
              <w:spacing w:after="0"/>
              <w:rPr>
                <w:sz w:val="16"/>
                <w:szCs w:val="16"/>
                <w:color w:val="auto"/>
              </w:rPr>
            </w:pPr>
          </w:p>
        </w:tc>
      </w:tr>
      <w:tr>
        <w:trPr>
          <w:trHeight w:val="37"/>
        </w:trPr>
        <w:tc>
          <w:tcPr>
            <w:tcW w:w="6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Percent of</w:t>
            </w:r>
          </w:p>
        </w:tc>
        <w:tc>
          <w:tcPr>
            <w:tcW w:w="40" w:type="dxa"/>
            <w:vAlign w:val="bottom"/>
          </w:tcPr>
          <w:p>
            <w:pPr>
              <w:spacing w:after="0"/>
              <w:rPr>
                <w:sz w:val="14"/>
                <w:szCs w:val="14"/>
                <w:color w:val="auto"/>
              </w:rPr>
            </w:pPr>
          </w:p>
        </w:tc>
      </w:tr>
      <w:tr>
        <w:trPr>
          <w:trHeight w:val="190"/>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10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0" w:type="dxa"/>
            <w:vAlign w:val="bottom"/>
          </w:tcPr>
          <w:p>
            <w:pPr>
              <w:spacing w:after="0"/>
              <w:rPr>
                <w:sz w:val="16"/>
                <w:szCs w:val="16"/>
                <w:color w:val="auto"/>
              </w:rPr>
            </w:pPr>
          </w:p>
        </w:tc>
      </w:tr>
      <w:tr>
        <w:trPr>
          <w:trHeight w:val="23"/>
        </w:trPr>
        <w:tc>
          <w:tcPr>
            <w:tcW w:w="6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Named Executive Officers: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Prior(1)</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617,747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4.0%​</w:t>
            </w:r>
          </w:p>
        </w:tc>
      </w:tr>
      <w:tr>
        <w:trPr>
          <w:trHeight w:val="25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J. Bulkin</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Ganong</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V. Henry</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G. Hudson</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A. Jacobs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F. Lenehan(2)</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 Benincasa(3)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Mabey(4)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Director Nominees and Executive Officers as a group</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 persons)(5)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787,702</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Cornelius B. Prior, Jr.(6)</w:t>
            </w:r>
          </w:p>
        </w:tc>
        <w:tc>
          <w:tcPr>
            <w:tcW w:w="9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​4,184,730​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Inc.(7)</w:t>
            </w: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​1,771,451​</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964,496</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Dimensional Fund Advisors LP(9)</w:t>
            </w: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​1,018,817​</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6.6%​</w:t>
            </w: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Alpha Capital Management Ltd.(10)</w:t>
            </w:r>
          </w:p>
        </w:tc>
        <w:tc>
          <w:tcPr>
            <w:tcW w:w="9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​1,037,679​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-3368040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-3368040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63" w:lineRule="exact"/>
        <w:rPr>
          <w:sz w:val="20"/>
          <w:szCs w:val="20"/>
          <w:color w:val="auto"/>
        </w:rPr>
      </w:pPr>
    </w:p>
    <w:p>
      <w:pPr>
        <w:ind w:left="1620" w:right="539" w:hanging="360"/>
        <w:spacing w:after="0" w:line="258"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456,995 shares owned by Mr. Prior or the Michael T. Prior 2013 Trust and 128,847 shares owned by the Lauren T. Prior 2013 Trust, for each of which Mr. Prior serves as trustee. Also includes 8,041 shares held by the RP 2014 Trust, 7,741 shares held by the WP 2015 Trust, 8,141 shares held by the JP 2018 Trust and 7,982 shares held by the Prior Family Trust 2019. Mr. Prior serves as trustee for each trust and disclaims beneficial ownership of all shares held by these trusts.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 shares owned by Ms. Lenehan’s spouse.</w:t>
      </w:r>
    </w:p>
    <w:p>
      <w:pPr>
        <w:spacing w:after="0" w:line="90"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42,142 shares owned by Justin D. Benincasa Revocable Trust, for which Mr. Benincasa serves as trustee. Mr. Benincasa retired from the Company on March 17, 2024.</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jointly with Ms. Mabey’s spouse.</w:t>
      </w:r>
    </w:p>
    <w:p>
      <w:pPr>
        <w:spacing w:after="0" w:line="76" w:lineRule="exact"/>
        <w:rPr>
          <w:rFonts w:ascii="Times New Roman" w:cs="Times New Roman" w:eastAsia="Times New Roman" w:hAnsi="Times New Roman"/>
          <w:sz w:val="18"/>
          <w:szCs w:val="18"/>
          <w:color w:val="auto"/>
        </w:rPr>
      </w:pPr>
    </w:p>
    <w:p>
      <w:pPr>
        <w:ind w:left="1620" w:right="979" w:hanging="360"/>
        <w:spacing w:after="0" w:line="282"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(1) through (4). Includes Mr. Carlos Doglioli, who began his employment with the Company in 2024 and became an executive officer on March 18, 2024.</w:t>
      </w:r>
    </w:p>
    <w:p>
      <w:pPr>
        <w:spacing w:after="0" w:line="26" w:lineRule="exact"/>
        <w:rPr>
          <w:rFonts w:ascii="Times New Roman" w:cs="Times New Roman" w:eastAsia="Times New Roman" w:hAnsi="Times New Roman"/>
          <w:sz w:val="18"/>
          <w:szCs w:val="18"/>
          <w:color w:val="auto"/>
        </w:rPr>
      </w:pPr>
    </w:p>
    <w:p>
      <w:pPr>
        <w:ind w:left="1620" w:right="47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9, 2023. Mr. C.B. Prior has sole voting and dispositive power with respect to 4,184,230 shares and shared voting and dispositive power with respect to 500 shares. The business address for Mr. C.B. Prior is 5521 Curacao Gade, St. Thomas, Virgin Islands 00802.</w:t>
      </w:r>
    </w:p>
    <w:p>
      <w:pPr>
        <w:spacing w:after="0" w:line="31"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January 24, 2024, BlackRock, Inc. (“Blackrock”) has sole voting power with respect to 1,743,846 shares and sole dispositive power with respect to 1,771,451 shares. The address of Blackrock is 50 Hudson Yards, New York, NY 10001.</w:t>
      </w:r>
    </w:p>
    <w:p>
      <w:pPr>
        <w:spacing w:after="0" w:line="31"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13, 2024, The Vanguard Group (“Vanguard”) does not have sole voting power with respect to any shares, shared voting power with respect to 6,730 shares, sole dispositive power with respect to 947,799 shares and shared dispositive power with respect to 16,697 shares. The address of Vanguard is 100 Vanguard Blvd., Malvern, Pennsylvania 19355.</w:t>
      </w:r>
    </w:p>
    <w:p>
      <w:pPr>
        <w:spacing w:after="0" w:line="48" w:lineRule="exact"/>
        <w:rPr>
          <w:rFonts w:ascii="Times New Roman" w:cs="Times New Roman" w:eastAsia="Times New Roman" w:hAnsi="Times New Roman"/>
          <w:sz w:val="18"/>
          <w:szCs w:val="18"/>
          <w:color w:val="auto"/>
        </w:rPr>
      </w:pPr>
    </w:p>
    <w:p>
      <w:pPr>
        <w:ind w:left="1620" w:right="71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14, 2024, Dimensional Fund Advisors LP (“Dimensional”) has sole voting power with respect to 998,053 shares and sole dispositive power with respect to 1,018,817 shares. The address of Dimensional is Building One, 6300 Bee Cave Road, Austin, Texas 78746.</w:t>
      </w:r>
    </w:p>
    <w:p>
      <w:pPr>
        <w:spacing w:after="0" w:line="31"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13G/A filed with the SEC on February 8, 2024, Global Alpha Capital Management Ltd. (“Global Alpha”) has sole voting power with respect to 766,994 shares and sole dispositive power with respect to 1,037,679 shares. The address of Global Alpha is 1800 McGill College, Suite 1300, Montreal, Quebec, H3A 3J6, Canada.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equity securities and provide us with copies of those reports. To our knowledge, based solely on our review of such forms filed with the SEC, for the fiscal year ended December 31, 2023, all Section 16(a) reports applicable to our executive officers, directors and 10% stockholders were timely filed except that one Form 4 filing for Justin D. Benincasa was filed on March 14, 2023 reporting a transaction that occurred on March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elect the following eight members to our Board to hold office until our next annual meeting of stockholders or until their respective successors are elected and qualified, subject to their earlier retirement, resignation or removal:</w:t>
      </w:r>
    </w:p>
    <w:p>
      <w:pPr>
        <w:spacing w:after="0" w:line="10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Bernard J. Bulkin</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Richard J. Ganong</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April V. Henry</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Derek G. Hudson</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Patricia A. Jacobs</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Pamela F. Lenehan</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Brad W. Martin</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Michael T. Prior</w:t>
      </w:r>
    </w:p>
    <w:p>
      <w:pPr>
        <w:spacing w:after="0" w:line="126"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Nominating and Corporate Governance Committee in making its recommendation, and the Board in making its decision, each may consider any factors and other information that they consider appropriate and relevant.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44"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DIRECTOR AND NOMINEE EXPERIENCE AND QUALIFICATIONS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Our Board believes that diversity among Board members in background, expertise and life experience is beneficial as it expands the range of perspectives brought to Board deliberations. Accordingly, our Nominating and Corporate Governance Committee utilizes a matrix of skills to consider a wide range of capabilities that each nominee may bring to the Board, as well as differences of viewpoint, professional experience, education, skill and other characteristics that are relevant to the current needs of the Company. Additional information about the Director candidates follows on page 8.</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Director candidates experience, demographics and attributes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128905</wp:posOffset>
            </wp:positionV>
            <wp:extent cx="5168900" cy="4577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890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nominees for director: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BERNARD J. BULKIN</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Dr. Bulkin was selected as a candidate for the Board due to his extensive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governance expertise and his experience working in infrastructure businesses, including renewable energy. Dr. Bulkin has several decades of experience in leadership roles within highly regulated industries with expertise in operational and general management oversight, technology integration, product development and environmental affairs. He also is a director of the holding company for ATN’s minority-owned renewable energy business, operating under the Vibrant name in India.</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82</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2016</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08" w:lineRule="exact"/>
        <w:rPr>
          <w:sz w:val="20"/>
          <w:szCs w:val="20"/>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Lead Director</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Nominating and Corporate Governance Committee</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Audit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Dr. Bulkin has held several senior management roles throughout his approximately 20-year career at British Petroleum, including Director of the refining business, Vice President Environmental Affairs, and Chief Scientist, and left BP in 2003. He is currently a Director of VH-Global Sustainable Energy Opportunities Plc (LDN:GSEO) (Chairman) and QLM Technology Ltd (Chairman) . Dr. Bulkin has served on the boards of Severn Trent plc, Ludgate Investments Limited, HMN Colmworth Ltd., ARQ, Ltd., Chemrec AB, REAC Fuel AB, and Ze-gen Corporation,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w:t>
      </w:r>
    </w:p>
    <w:p>
      <w:pPr>
        <w:spacing w:after="0" w:line="32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addition to his extensive experience overseeing governance with several companies and his role as Chair of our Nominating and Corporate Governance Committee, Dr. Bulkin serves as the Board’s Lead Independent Director. In 2022, Dr. Bulkin was appointed by the Board as the Company’s Lead Independent Director to serve for a term of up to three years, assuming his re-election to the Board each year. Given Dr. Bulkin’s tenure with the Board and extensive experience with Board oversight, the Board believes that he is the best candidate to serve in this role.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RICHARD J. GANONG</w:t>
      </w:r>
    </w:p>
    <w:p>
      <w:pPr>
        <w:spacing w:after="0" w:line="158" w:lineRule="exact"/>
        <w:rPr>
          <w:sz w:val="20"/>
          <w:szCs w:val="20"/>
          <w:color w:val="auto"/>
        </w:rPr>
      </w:pPr>
    </w:p>
    <w:p>
      <w:pPr>
        <w:jc w:val="both"/>
        <w:ind w:left="1260" w:right="5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Ganong was selected as a candidate for the Board due to his extensive finance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management background, as well as his strategic corporate advisory experience. In particular, Mr. Ganong’s experience in investment management brings specialized expertise to the Board in advising management with respect to capital allocation and external investments.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60</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2018</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08" w:lineRule="exact"/>
        <w:rPr>
          <w:sz w:val="20"/>
          <w:szCs w:val="20"/>
          <w:color w:val="auto"/>
        </w:rPr>
      </w:pPr>
    </w:p>
    <w:p>
      <w:pPr>
        <w:ind w:left="2160" w:hanging="180"/>
        <w:spacing w:after="0"/>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Compensation Committee</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Investment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Mr. Ganong previously worked at the Tudor Investment Corporation, an internationally recognized diversified investment management firm, from 1993 to 2009, and was a Partner from 2000 to 2009, and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7" w:lineRule="auto"/>
        <w:rPr>
          <w:sz w:val="20"/>
          <w:szCs w:val="20"/>
          <w:color w:val="auto"/>
        </w:rPr>
      </w:pPr>
      <w:r>
        <w:rPr>
          <w:rFonts w:ascii="Times New Roman" w:cs="Times New Roman" w:eastAsia="Times New Roman" w:hAnsi="Times New Roman"/>
          <w:sz w:val="18"/>
          <w:szCs w:val="18"/>
          <w:color w:val="auto"/>
        </w:rPr>
        <w:t>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of LMCG Investments, LLC.</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APRIL V. HENRY</w:t>
      </w:r>
    </w:p>
    <w:p>
      <w:pPr>
        <w:spacing w:after="0" w:line="158"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Ms. Henry was selected as a candidate for the Board due to her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telecommunications and finance expertise with both large and small companies, as well as her experience sourcing and evaluating deals, mergers, acquisitions and strategic partnerships for major media companies and nearly a decade as an equity research analyst in telecommunications and technology infrastructure at Morgan Stanley. Ms. Henry’s experience brings corporate strategy and capital allocation to the Board.</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54</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Investment Committee</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Compensation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Ms. Henry is the Managing Partner of Hawkeye Digital, a management consulting firm that is focused on driving revenue growth, core decision-making and business and human capital transformation for businesses at critical points in their growth cycle. Previously, Ms. Henry was a director of SciPlay Corporation (Nasdaq: SCPL) until its sale to Light &amp; Wonder in 2023. Previously, Ms. Henry was General Partner of Defiance Capital from 2022 to 2023, the Executive Vice President of Corporate Development for Science Inc. and Science Strategic Acquisition Corp. Alpha (Nasdaq: SSAA)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DEREK G. HUDSON</w:t>
      </w:r>
    </w:p>
    <w:p>
      <w:pPr>
        <w:spacing w:after="0" w:line="158"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Hudson was selected as a candidate for the Board for his international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and demonstrated leadership of critical infrastructure businesses across diverse markets. He enhances the Board’s capabilities in the areas of international business strategy, capital allocation and governmental affairs.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68</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08" w:lineRule="exact"/>
        <w:rPr>
          <w:sz w:val="20"/>
          <w:szCs w:val="20"/>
          <w:color w:val="auto"/>
        </w:rPr>
      </w:pPr>
    </w:p>
    <w:p>
      <w:pPr>
        <w:ind w:left="2160" w:hanging="180"/>
        <w:spacing w:after="0"/>
        <w:tabs>
          <w:tab w:leader="none" w:pos="2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Investment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Mr. Hudson currently serves as the Chairman of the Board of Scotia Bank Trinidad and Tobago Limited and has been a member of the Board since June 2016. Following his retirement from his role as Shell’s Vice President and Country Chairman, Trinidad &amp; Tobago from June 2016 to June 2019, Mr. Hudson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most recently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is currently a non-Executive Director of Trinity Energy, a UK registered independent company focused on Trinidad and Tobago. He also has served on NGOs and other voluntary organizations in Trinidad and Tobago, and performed the role of Non-Executive Chairman of the Port Authority of Trinidad and Tobago from 2005 – 2010.</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PATRICIA A. JACOBS</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Ms. Jacobs was selected as a candidate to the Company’s board due to her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corporate strategy and fueling revenue expansion across capital-intensive and regulated industries, including telecommunications, energy, and transportation both domestically and internationally. Her extensive international and government experience enhances the Board’s corporate strategy and government affairs expertise.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60</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Compensation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Nominating and Corporate Governance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and as a member of the staff of the Massachusetts Senate’s Commerce and Labor Committee.</w:t>
      </w:r>
    </w:p>
    <w:p>
      <w:pPr>
        <w:spacing w:after="0" w:line="327"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Ms. Jacobs was appointed to the Board of Directors of the Massachusetts Port Authority in 2016, and she currently serves as Chair of the Board, and Chairs the Human Resources &amp; Compensation, and Diversity Committees. Ms. Jacobs also serves on the board of Avangrid (NYSE: NGR), and is a member of the Compensation and Nominating and the Unaffiliated Committees. Additionally, she is Vice Chair of the New England Council and serves on the boards of the JFK Presidential Library Foundation, the Boys and Girls Clubs of Boston, and is on the Leadership Council for Home Base (a partnership of Mass General Hospital and the Red Sox Foundation).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PAMELA F. LENEHAN</w:t>
      </w:r>
    </w:p>
    <w:p>
      <w:pPr>
        <w:spacing w:after="0" w:line="158" w:lineRule="exact"/>
        <w:rPr>
          <w:sz w:val="20"/>
          <w:szCs w:val="20"/>
          <w:color w:val="auto"/>
        </w:rPr>
      </w:pPr>
    </w:p>
    <w:p>
      <w:pPr>
        <w:ind w:left="1260" w:right="9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Ms. Lenehan was selected as a candidate for the Board due to her broad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technology and board experience and her qualification as a financial expert. In particular, Ms. Lenehan’s corporate governance and financial oversight experience aid in her role as Chair of the Company’s Audit Committee.</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Nominating and Corporate Governance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Ms. Lenehan founded Ridge Hill Consulting, LLC in 2002 and currently serves as President. Previously, she served as Chief Financial Officer of Convergent Networks, a high technology start-up and was Senior Vice President, Corporate Development and Treasurer of Oak Industries, a NYSE-listed manufacturer of telecommunications components. She previously served as a Managing Director in Investment Banking for 14 years at Credit Suisse First Boston and started her career in corporate banking at Chase Manhattan Bank. Ms. Lenehan also is a director of the Center for Women &amp; Enterprise, the National Association of Corporate Directors New England Chapter, and is co-chair of the Boston Chapter of Women Corporate Directors. Ms. Lenehan previously served on the boards of Rithm Capital from 2019 to 2023, Monotype Imaging, Civitas Solutions, American Superconductor, Spartech Corporation and Avid Technology.</w:t>
      </w:r>
    </w:p>
    <w:p>
      <w:pPr>
        <w:spacing w:after="0" w:line="337"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Ms. Lenehan has served as a member of our Board since 2020 and is the Chair of our Audit Committee and an Audit Committee financial expert. Ms. Lenehan’s extensive financial background and experience as a public company officer, director and previous experience with other companies as audit chair make her an integral and important member of our Board.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BRAD W. MARTIN</w:t>
      </w:r>
    </w:p>
    <w:p>
      <w:pPr>
        <w:spacing w:after="0" w:line="144"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Martin was selected as a candidate for the Board due to his role as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ATN and his substantial leadership and operational expertise within ATN and the telecommunications and technology sectors. Mr. Martin’s extensive knowledge of the telecommunications industry and his role as Chief Executive Officer positions him as a key contributor to the board.</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48</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Mr. Martin was named Chief Executive Officer of ATN and a member of our Board of Directors in January 2024. Mr. Martin previously served as Chief Operating Officer from 2018 to 2023. Prior to joining ATN, Mr. Martin served as Chief Operating Officer for Senet Inc., a leading “low power wide area” network (LPWAN) operator and global service provider. From 2013 through 2015, Mr. Martin was Senior Vice President and Chief Quality Officer with Extreme Networks, a global leader in software-driven networking solutions for Enterprise and Service Provider customers. Between 2008 and 2013, Mr. Martin served as Vice President of Engineering Operations and Quality with Siemens Enterprise Communications and Enterasys Networks, delivering voice and data networking hardware and software solutions to global enterprises.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MICHAEL T. PRIOR</w:t>
      </w:r>
    </w:p>
    <w:p>
      <w:pPr>
        <w:spacing w:after="0" w:line="144" w:lineRule="exact"/>
        <w:rPr>
          <w:sz w:val="20"/>
          <w:szCs w:val="20"/>
          <w:color w:val="auto"/>
        </w:rPr>
      </w:pPr>
    </w:p>
    <w:p>
      <w:pPr>
        <w:ind w:left="126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Prior was selected as a candidate for the Board due to his long tenure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the Company and his extensive experience in the telecommunications industry. Mr. Prior’s experience in corporate development as well as his financial and legal background assists the Board in the areas of corporate strategy, capital allocation and financial review, and governmental affairs.</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59</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2008</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Chairman</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Investment Committee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Mr. Prior is currently Executive Chairman and served as the Chief Executive Officer of ATN from 2005 to December 31, 2023 and as Chief Financial Officer of ATN from 2003 to 2005. Before joining the Company, Mr. Prior was a partner with Q Advisors LLC, a Denver-based investment banking and financial advisory firm focused on the technology and telecommunications sectors. Mr. Prior began his career as a corporate attorney with Cleary Gottlieb Steen &amp; Hamilton LLP in London and New York. Mr. Prior currently serves on the Board of Directors and Executive Committee of the Competitive Carriers Association.</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Board Diversity Rules: Board Diversity Matrix</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asked each of our directors and director candidates elected to provide information on certain background, gender identity and demographic background characteristics to disclose the diversity make up of our Board in line with Nasdaq’s Board Diversity Rule as set forth in the table below. Although the Board is disclosing this information in accordance with the Nasdaq Board Diversity Rules, the Board takes a broader view of diversity amongst its members including skillset, work and life experiences.</w:t>
      </w:r>
    </w:p>
    <w:p>
      <w:pPr>
        <w:spacing w:after="0" w:line="1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56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8</w:t>
            </w:r>
          </w:p>
        </w:tc>
        <w:tc>
          <w:tcPr>
            <w:tcW w:w="1100" w:type="dxa"/>
            <w:vAlign w:val="bottom"/>
          </w:tcPr>
          <w:p>
            <w:pPr>
              <w:spacing w:after="0"/>
              <w:rPr>
                <w:sz w:val="16"/>
                <w:szCs w:val="16"/>
                <w:color w:val="auto"/>
              </w:rPr>
            </w:pPr>
          </w:p>
        </w:tc>
      </w:tr>
      <w:tr>
        <w:trPr>
          <w:trHeight w:val="37"/>
        </w:trPr>
        <w:tc>
          <w:tcPr>
            <w:tcW w:w="4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Did Not</w:t>
            </w:r>
          </w:p>
        </w:tc>
      </w:t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Male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Non-Binary</w:t>
            </w:r>
          </w:p>
        </w:tc>
        <w:tc>
          <w:tcPr>
            <w:tcW w:w="11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Disclose Gender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 I: Gender Identity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African American or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Alaskan Native or Native American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Hispanic or Latinx</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Two or More Races or Ethnicities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Did Not Disclose Demographic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6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40" w:lineRule="exact"/>
        <w:rPr>
          <w:sz w:val="20"/>
          <w:szCs w:val="20"/>
          <w:color w:val="auto"/>
        </w:rPr>
      </w:pPr>
    </w:p>
    <w:p>
      <w:pPr>
        <w:sectPr>
          <w:pgSz w:w="11900" w:h="16838" w:orient="portrait"/>
          <w:cols w:equalWidth="0" w:num="4">
            <w:col w:w="5700" w:space="720"/>
            <w:col w:w="1880" w:space="560"/>
            <w:col w:w="200" w:space="400"/>
            <w:col w:w="419"/>
          </w:cols>
          <w:pgMar w:left="580" w:top="97" w:right="1440" w:bottom="1440" w:gutter="0" w:footer="0" w:header="0"/>
          <w:type w:val="continuous"/>
        </w:sectPr>
      </w:pPr>
    </w:p>
    <w:p>
      <w:pPr>
        <w:spacing w:after="0" w:line="173" w:lineRule="exact"/>
        <w:rPr>
          <w:sz w:val="20"/>
          <w:szCs w:val="20"/>
          <w:color w:val="auto"/>
        </w:rPr>
      </w:pPr>
    </w:p>
    <w:p>
      <w:pPr>
        <w:ind w:left="1620" w:hanging="360"/>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members of our Board did not disclose LGBTQ+ affiliation</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Board Diversity Matrix (as of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0234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Number of Directors</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7</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98"/>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280" w:type="dxa"/>
            <w:vAlign w:val="bottom"/>
          </w:tcPr>
          <w:p>
            <w:pPr>
              <w:spacing w:after="0"/>
              <w:rPr>
                <w:sz w:val="17"/>
                <w:szCs w:val="17"/>
                <w:color w:val="auto"/>
              </w:rPr>
            </w:pPr>
          </w:p>
        </w:tc>
      </w:tr>
      <w:tr>
        <w:trPr>
          <w:trHeight w:val="214"/>
        </w:trPr>
        <w:tc>
          <w:tcPr>
            <w:tcW w:w="4500" w:type="dxa"/>
            <w:vAlign w:val="bottom"/>
          </w:tcPr>
          <w:p>
            <w:pPr>
              <w:spacing w:after="0"/>
              <w:rPr>
                <w:sz w:val="18"/>
                <w:szCs w:val="18"/>
                <w:color w:val="auto"/>
              </w:rPr>
            </w:pPr>
          </w:p>
        </w:tc>
        <w:tc>
          <w:tcPr>
            <w:tcW w:w="6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w:t>
            </w:r>
          </w:p>
        </w:tc>
        <w:tc>
          <w:tcPr>
            <w:tcW w:w="2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Male</w:t>
            </w:r>
          </w:p>
        </w:tc>
        <w:tc>
          <w:tcPr>
            <w:tcW w:w="22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Non- Binary</w:t>
            </w:r>
          </w:p>
        </w:tc>
        <w:tc>
          <w:tcPr>
            <w:tcW w:w="2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Disclose Gender</w:t>
            </w:r>
          </w:p>
        </w:tc>
        <w:tc>
          <w:tcPr>
            <w:tcW w:w="280" w:type="dxa"/>
            <w:vAlign w:val="bottom"/>
          </w:tcPr>
          <w:p>
            <w:pPr>
              <w:spacing w:after="0"/>
              <w:rPr>
                <w:sz w:val="18"/>
                <w:szCs w:val="18"/>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00" w:type="dxa"/>
            <w:vAlign w:val="bottom"/>
            <w:shd w:val="clear" w:color="auto" w:fill="CCEEFF"/>
          </w:tcPr>
          <w:p>
            <w:pPr>
              <w:spacing w:after="0"/>
              <w:rPr>
                <w:sz w:val="22"/>
                <w:szCs w:val="22"/>
                <w:color w:val="auto"/>
              </w:rPr>
            </w:pPr>
          </w:p>
        </w:tc>
        <w:tc>
          <w:tcPr>
            <w:tcW w:w="46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-1799590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-1799590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-1799590</wp:posOffset>
            </wp:positionV>
            <wp:extent cx="37719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Board is providing stockholders with the opportunity to cast an advisory vote on the compensation of our named executive officers as described in the Compensation Discussion and Analysis, the compensation tables and related materials contained in this Proxy Statement. This proposal, also commonly referred to as a “Say on Pay” vote, gives our stockholders the opportunity to indicate whether they approve of or do not approve of our executive compensation policies and programs and the compensation actually paid to our named executive officers. This resolution is required pursuant to Section 14A of the Securities Exchange Act. We currently provide our stockholders the opportunity to indicate whether they approve of the compensation of our named executive officers annually.</w:t>
      </w:r>
    </w:p>
    <w:p>
      <w:pPr>
        <w:spacing w:after="0" w:line="12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Please review the Compensation Discussion and Analysis beginning on page 28 and the accompanying tabular and other disclosures on executive compensation beginning on page 39,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w:t>
      </w:r>
    </w:p>
    <w:p>
      <w:pPr>
        <w:spacing w:after="0" w:line="324"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believe our executive compensation programs use appropriate structures and policies that are effective in achieving our Company goals and objectives. Accordingly, the Board recommends that you vote in favor of the following resolution:</w:t>
      </w:r>
    </w:p>
    <w:p>
      <w:pPr>
        <w:spacing w:after="0" w:line="108"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of the compensation of the Company’s named executive officers, as disclosed in the Compensation Discussion and Analysis and Executive Compensation sections contained in this Proxy Statement.”</w:t>
      </w:r>
    </w:p>
    <w:p>
      <w:pPr>
        <w:spacing w:after="0" w:line="10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approval, on an advisory and non-binding basis, of the compensation of our named executive officers requires the affirmative vote of a majority of the shares present, or represented by proxy, and entitled to vote thereon. Abstentions will be considered to be votes present and entitled to vote on this proposal and, therefore, they will have the effect of a vote against this proposal. Banks, brokers and other nominees will not be entitled to vote a customer’s shares in their discretion on this proposal, however, such broker non-votes will have no effect on Proposal 2.</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PROPOSAL 3: RATIFICATION OF SELECTION OF INDEPENDENT AUDITOR</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has selected PricewaterhouseCoopers LLP as our independent auditor to perform the audits of our financial statements and of our internal control over financial reporting for the fiscal year ending December 31, 2024. In making its selection, the Audit Committee conducted a review of PricewaterhouseCoopers LLP’s performance, including consideration of the following:</w:t>
      </w:r>
    </w:p>
    <w:p>
      <w:pPr>
        <w:spacing w:after="0" w:line="72" w:lineRule="exact"/>
        <w:rPr>
          <w:sz w:val="20"/>
          <w:szCs w:val="20"/>
          <w:color w:val="auto"/>
        </w:rPr>
      </w:pPr>
    </w:p>
    <w:p>
      <w:pPr>
        <w:ind w:left="1800" w:right="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LLP’s performance on the audits, including the quality of the engagement team and the firm’s experience, client service, responsiveness and technical expertise;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of the firm against comparable accounting firms in various matters such as regulatory, litigation and accounting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financial strength and performance;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charged by the firm.</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PricewaterhouseCoopers LLP was our independent auditor for the year ended December 31, 2023.</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auditor for 2024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THE INDEPENDENT AUDITOR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role of the Board is to ensure that we are managed for the long- term benefit of our stockholders. The Board periodically reviews and advises management with respect to our annual operating plans and strategic initiatives. The Board has adopted corporate governance principles to support compliance with all applicable corporate governance standards.</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During the past year, we have reviewed our corporate governance practices in comparison to the practices of other public companies and to ensure they comport with guidance and interpretations provided by the SEC and the Nasdaq Stock Market (“Nasdaq”).</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Investment Committee Charter, and Audit Committee Charter are available on our website at https://ir.atni.com/ and may be obtained free of charge upon request by writing to us at ATN International, Inc., Attn: Secretary, 500 Cummings Center, Suite 2450, Beverly, MA 01915.</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w:t>
      </w:r>
    </w:p>
    <w:p>
      <w:pPr>
        <w:spacing w:after="0" w:line="11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Mr. Michael Prior has served as a member of our Board since June 2008 and as Chairman of our Board since 2018, the Nominating and Corporate Governance Committee intends to nominate him to continue to serve in the role of Chairman for the 2024 year, assuming he is re-elected to the Board. Effective January 1, 2024, Mr. Prior was appointed to serve as Executive Chairman and stepped down from his role as Chief Executive Officer of the Company, a position he held since 2005. In his role as Executive Chairman,</w:t>
      </w:r>
    </w:p>
    <w:p>
      <w:pPr>
        <w:spacing w:after="0" w:line="2"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Mr. Prior provides advice and guidance to Mr. Martin, our newly appointed Chief Executive Officer, and serves as a resource to other members of management with respect to ongoing items, including government relations and corporate development.</w:t>
      </w:r>
    </w:p>
    <w:p>
      <w:pPr>
        <w:spacing w:after="0" w:line="11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Audit, Compensation, and Nominating and Corporate Governance Committees of the Board, are chaired by, and entirely composed of, independent directors, a policy that the Board determined best serves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the Chief Executive Officer and Chairman were combined in 2018, the Board had determined at that time to appoint a Lead Independent Director. In 2022, Dr. Bernard J. Bulkin was appointed by the Board as the Company’s Lead Independent Director to serve for a term of up to three years, assuming his re-election to the Board each year. The Lead Independent Director is an independent, non- employee director designated by the Board to serve in a lead capacity to coordinate the activities of the other non -employee directors, interface with and advise management, and perform such other duties as the Board may determine. Although the Board does not have a firm policy regarding the requirement to appoint a Lead Independent Director, it currently believes that in light of the fact that the Chairman is not considered independent, it is appropriate for the Board to continue to have a Lead Independent Director. The Board’s expectations for this role is as follows or as otherwise deemed necessary or desirable by the independent directors:</w:t>
      </w:r>
    </w:p>
    <w:p>
      <w:pPr>
        <w:spacing w:after="0" w:line="78" w:lineRule="exact"/>
        <w:rPr>
          <w:sz w:val="20"/>
          <w:szCs w:val="20"/>
          <w:color w:val="auto"/>
        </w:rPr>
      </w:pPr>
    </w:p>
    <w:p>
      <w:pPr>
        <w:ind w:left="1800" w:right="7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convene and chair meetings of independent directors at least annually or as otherwise deemed necessary or desirable by the independent directors;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input to the Executive Chairman in setting the agenda for Board meetings; and</w:t>
      </w:r>
    </w:p>
    <w:p>
      <w:pPr>
        <w:spacing w:after="0" w:line="144"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serve as a sounding board and spokesperson for independent directors for any board or stockholder related matters, as appropriate.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Our Nominating and Corporate Governance Committee considers director nominees, whether proposed by a stockholder or identified through the Company’s processes, in accordance with its charter and our Corporate Governance Guidelines (as posted on our website).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w:t>
      </w:r>
    </w:p>
    <w:p>
      <w:pPr>
        <w:spacing w:after="0" w:line="113"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30"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the ability to exercise sound judgment in matters that relate to the current and long-term objectives of the Company, and should be willing and able to contribute positively to the decision-making process of the Board;</w:t>
      </w:r>
    </w:p>
    <w:p>
      <w:pPr>
        <w:spacing w:after="0" w:line="94"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understanding the Company and its industries and to regularly attending and participating in meetings of the Board and its committees;</w:t>
      </w:r>
    </w:p>
    <w:p>
      <w:pPr>
        <w:spacing w:after="0" w:line="67" w:lineRule="exact"/>
        <w:rPr>
          <w:rFonts w:ascii="Times New Roman" w:cs="Times New Roman" w:eastAsia="Times New Roman" w:hAnsi="Times New Roman"/>
          <w:sz w:val="18"/>
          <w:szCs w:val="18"/>
          <w:color w:val="auto"/>
        </w:rPr>
      </w:pPr>
    </w:p>
    <w:p>
      <w:pPr>
        <w:ind w:left="1800" w:right="859" w:hanging="180"/>
        <w:spacing w:after="0" w:line="261"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interest in and be capable of understanding the sometimes conflicting interests of the various constituencies of the Company, which include stockholders, employees, customers, governmental units, creditors and the general public, and to act in the interests of stockholders; and</w:t>
      </w:r>
    </w:p>
    <w:p>
      <w:pPr>
        <w:spacing w:after="0" w:line="98"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any conflicts of interest that could impair the nominee’s ability to represent the interests of all of the Company’s stockholders and to fulfill the responsibilities of a director.</w:t>
      </w:r>
    </w:p>
    <w:p>
      <w:pPr>
        <w:spacing w:after="0" w:line="108"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The re-nomination of existing directors is based on continuing qualification as determined by our Nominating and Corporate Governance Committee. This Committee evaluates the performance of existing directors and any applicable committees based on the results of the Board’s annual self-assessment process as well as the extent to which the directors undertook continuing education related to the Company’s industry and operating environment. Our Board requires that the backgrounds and qualifications of the directors considered as a group provide a significant breadth of experience, knowledge and abilities that assist the Board in fulfilling its responsibilities. In determining the array of skills and attributes relevant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95" w:lineRule="auto"/>
        <w:rPr>
          <w:sz w:val="20"/>
          <w:szCs w:val="20"/>
          <w:color w:val="auto"/>
        </w:rPr>
      </w:pPr>
      <w:r>
        <w:rPr>
          <w:rFonts w:ascii="Times New Roman" w:cs="Times New Roman" w:eastAsia="Times New Roman" w:hAnsi="Times New Roman"/>
          <w:sz w:val="18"/>
          <w:szCs w:val="18"/>
          <w:color w:val="auto"/>
        </w:rPr>
        <w:t>the Nominating and Corporate Governance Committee maintains a matrix of all skills and attributes represented by current directors and director nominees, each of which fit into the categories as summarized below:</w:t>
      </w:r>
    </w:p>
    <w:p>
      <w:pPr>
        <w:spacing w:after="0" w:line="354" w:lineRule="exact"/>
        <w:rPr>
          <w:sz w:val="20"/>
          <w:szCs w:val="20"/>
          <w:color w:val="auto"/>
        </w:rPr>
      </w:pPr>
    </w:p>
    <w:tbl>
      <w:tblPr>
        <w:tblLayout w:type="fixed"/>
        <w:tblInd w:w="1270" w:type="dxa"/>
        <w:tblCellMar>
          <w:top w:w="0" w:type="dxa"/>
          <w:left w:w="0" w:type="dxa"/>
          <w:bottom w:w="0" w:type="dxa"/>
          <w:right w:w="0" w:type="dxa"/>
        </w:tblCellMar>
      </w:tblPr>
      <w:tr>
        <w:trPr>
          <w:trHeight w:val="225"/>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Senior leadership experience.  </w:t>
            </w:r>
            <w:r>
              <w:rPr>
                <w:rFonts w:ascii="Times New Roman" w:cs="Times New Roman" w:eastAsia="Times New Roman" w:hAnsi="Times New Roman"/>
                <w:sz w:val="18"/>
                <w:szCs w:val="18"/>
                <w:color w:val="auto"/>
              </w:rPr>
              <w:t>Directors who have</w:t>
            </w:r>
          </w:p>
        </w:tc>
        <w:tc>
          <w:tcPr>
            <w:tcW w:w="4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Finance experience.  </w:t>
            </w:r>
            <w:r>
              <w:rPr>
                <w:rFonts w:ascii="Times New Roman" w:cs="Times New Roman" w:eastAsia="Times New Roman" w:hAnsi="Times New Roman"/>
                <w:sz w:val="18"/>
                <w:szCs w:val="18"/>
                <w:color w:val="auto"/>
              </w:rPr>
              <w:t>We believe that as a public</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held significant corporate leadership positions bring</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our directors must have an understanding</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valuable knowledge of organization, controls,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our financial reporting processes, risk</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strategy and risk management, and can provide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management policies, and the way we measure and</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insight as to how to drive change and growth. Our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analyze our operating and strategic performance by</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skills matrix also tracks past and current director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reference to financial goals. Our current slate of</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roles on other corporate boards and committees,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nominees includes several directors who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ensuring we have the right mix of experience to</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qualify as an “audit committee financial expert” as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advise and oversee the Company’s executive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defined in applicable SEC rules, and we expect all</w:t>
            </w:r>
          </w:p>
        </w:tc>
      </w:tr>
      <w:tr>
        <w:trPr>
          <w:trHeight w:val="234"/>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management.</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our directors to be financially knowledgeable.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5"/>
        </w:trPr>
        <w:tc>
          <w:tcPr>
            <w:tcW w:w="41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Industry experience.  </w:t>
            </w:r>
            <w:r>
              <w:rPr>
                <w:rFonts w:ascii="Times New Roman" w:cs="Times New Roman" w:eastAsia="Times New Roman" w:hAnsi="Times New Roman"/>
                <w:sz w:val="18"/>
                <w:szCs w:val="18"/>
                <w:color w:val="auto"/>
              </w:rPr>
              <w:t>We endeavor to have some</w:t>
            </w:r>
          </w:p>
        </w:tc>
        <w:tc>
          <w:tcPr>
            <w:tcW w:w="41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Board Tenure.  </w:t>
            </w:r>
            <w:r>
              <w:rPr>
                <w:rFonts w:ascii="Times New Roman" w:cs="Times New Roman" w:eastAsia="Times New Roman" w:hAnsi="Times New Roman"/>
                <w:sz w:val="18"/>
                <w:szCs w:val="18"/>
                <w:color w:val="auto"/>
              </w:rPr>
              <w:t>We endeavor to vary the tenure of</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 with experience as executives, directors 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directors on our Board, which we believe allows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other leadership positions in the industries in</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to preserve continuity of oversight while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which we operate and target for growth. For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introducing new insights to our group. To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example, we specifically seek directors with</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accomplish this, our Board engages in succession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experience in the telecommunications industry.</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planning with respect to its current slate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 and seeks to maintain a roster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prospective Board nominees in the near- and mid-</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 Our director nominees currently have an</w:t>
            </w:r>
          </w:p>
        </w:tc>
      </w:tr>
      <w:tr>
        <w:trPr>
          <w:trHeight w:val="234"/>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average tenure of 4.8 years.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5"/>
        </w:trPr>
        <w:tc>
          <w:tcPr>
            <w:tcW w:w="41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Global business / International Affairs.  </w:t>
            </w:r>
            <w:r>
              <w:rPr>
                <w:rFonts w:ascii="Times New Roman" w:cs="Times New Roman" w:eastAsia="Times New Roman" w:hAnsi="Times New Roman"/>
                <w:sz w:val="18"/>
                <w:szCs w:val="18"/>
                <w:color w:val="auto"/>
              </w:rPr>
              <w:t>Due to the</w:t>
            </w:r>
          </w:p>
        </w:tc>
        <w:tc>
          <w:tcPr>
            <w:tcW w:w="41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Governmental and Regulatory Affairs.  </w:t>
            </w:r>
            <w:r>
              <w:rPr>
                <w:rFonts w:ascii="Times New Roman" w:cs="Times New Roman" w:eastAsia="Times New Roman" w:hAnsi="Times New Roman"/>
                <w:sz w:val="18"/>
                <w:szCs w:val="18"/>
                <w:color w:val="auto"/>
              </w:rPr>
              <w:t>The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nature of our business, we seek directors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telecommunications industry is highly regulated in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who have leadership or oversight experience with</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of the jurisdictions in which we operate, and</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companies with a global presence. We believe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seek directors who are familiar with working</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an understanding of the differences in global</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a legal or regulated environment or who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culture and perspective strengthen our Board’s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 advise management on navigating through key</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ability to understand our business and advise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governmental relationships in operating the</w:t>
            </w:r>
          </w:p>
        </w:tc>
      </w:tr>
      <w:tr>
        <w:trPr>
          <w:trHeight w:val="234"/>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management accordingly.</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43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Refreshment</w:t>
            </w:r>
          </w:p>
        </w:tc>
        <w:tc>
          <w:tcPr>
            <w:tcW w:w="4100" w:type="dxa"/>
            <w:vAlign w:val="bottom"/>
          </w:tcPr>
          <w:p>
            <w:pPr>
              <w:spacing w:after="0"/>
              <w:rPr>
                <w:sz w:val="24"/>
                <w:szCs w:val="24"/>
                <w:color w:val="auto"/>
              </w:rPr>
            </w:pPr>
          </w:p>
        </w:tc>
      </w:tr>
    </w:tbl>
    <w:p>
      <w:pPr>
        <w:spacing w:after="0" w:line="130" w:lineRule="exact"/>
        <w:rPr>
          <w:sz w:val="20"/>
          <w:szCs w:val="20"/>
          <w:color w:val="auto"/>
        </w:rPr>
      </w:pPr>
    </w:p>
    <w:p>
      <w:pPr>
        <w:ind w:left="1260" w:right="659" w:firstLine="360"/>
        <w:spacing w:after="0" w:line="271" w:lineRule="auto"/>
        <w:rPr>
          <w:sz w:val="20"/>
          <w:szCs w:val="20"/>
          <w:color w:val="auto"/>
        </w:rPr>
      </w:pPr>
      <w:r>
        <w:rPr>
          <w:rFonts w:ascii="Times New Roman" w:cs="Times New Roman" w:eastAsia="Times New Roman" w:hAnsi="Times New Roman"/>
          <w:sz w:val="18"/>
          <w:szCs w:val="18"/>
          <w:color w:val="auto"/>
        </w:rPr>
        <w:t>Our Board has undergone significant change as part of a conscious effort, led by the Nominating and Corporate Governance Committee, to refresh the Board and augment its composition with fresh, diverse perspectives and complementary skills and experiences that are aligned with the Company’s long-term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97" w:lineRule="auto"/>
        <w:rPr>
          <w:sz w:val="20"/>
          <w:szCs w:val="20"/>
          <w:color w:val="auto"/>
        </w:rPr>
      </w:pPr>
      <w:r>
        <w:rPr>
          <w:rFonts w:ascii="Times New Roman" w:cs="Times New Roman" w:eastAsia="Times New Roman" w:hAnsi="Times New Roman"/>
          <w:sz w:val="18"/>
          <w:szCs w:val="18"/>
          <w:color w:val="auto"/>
        </w:rPr>
        <w:t>Since 2017, many of our long-tenured directors have stepped down and our Board has added many new directors, and those new directors comprise the majority of the directors of the Board.</w:t>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graphics below illustrate the efficacy of our Board refreshment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186045" cy="2486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8604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Reflects the characteristics of Director candidates in each of the years shown.</w:t>
      </w:r>
    </w:p>
    <w:p>
      <w:pPr>
        <w:spacing w:after="0" w:line="21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In selecting director nominees, pursuant to our Corporate Governance Guidelines, our Nominating and Corporate Governance Committee considers candidates submitted by stockholders and evaluates such candidates in a similar manner and using the same criteria as all other director nominee candidates. The Nominating and Corporate Governance Committee seeks to align the skills and key expertise of each board member or candidate identified in the board assessment process to the current or future needs of the Company according to its strategy. In doing so, the Nominating and Corporate Governance Committee has utilized a practice of assembling and reviewing a board skills matrix in its succession planning, similar to as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509905</wp:posOffset>
            </wp:positionV>
            <wp:extent cx="5186045" cy="4011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8604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As part of its director succession and candidate recruitment process, in addition to considering director candidates referred by existing board members and advisors, the Nominating and Corporate Governance Committee has also benefitted from referrals from organizations, such as Boston Women’s Leaders Network seeking to connect experienced, high potential board candidates with public companies. Prior to making any nomination, our Nominating and Corporate Governance undergoes a rigorous review of a candidate’s background, and requests that each candidate engages in several in-person meetings with our Chairman as well as the Chair and other members of our Nominating and Corporate Governance Committee, and typically conducts a background check. Our Nominating and Corporate Governance Committee then recommends director nominees to the Board for its consideration.</w:t>
      </w:r>
    </w:p>
    <w:p>
      <w:pPr>
        <w:spacing w:after="0" w:line="11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Nominees will not be discriminated against on the basis of race, religion, national origin, gender, sexual orientation, disability or any other basis proscribed by law.</w:t>
      </w:r>
    </w:p>
    <w:p>
      <w:pPr>
        <w:spacing w:after="0" w:line="114" w:lineRule="exact"/>
        <w:rPr>
          <w:sz w:val="20"/>
          <w:szCs w:val="20"/>
          <w:color w:val="auto"/>
        </w:rPr>
      </w:pPr>
    </w:p>
    <w:p>
      <w:pPr>
        <w:ind w:left="1260" w:right="1059" w:firstLine="360"/>
        <w:spacing w:after="0" w:line="246" w:lineRule="auto"/>
        <w:rPr>
          <w:sz w:val="20"/>
          <w:szCs w:val="20"/>
          <w:color w:val="auto"/>
        </w:rPr>
      </w:pPr>
      <w:r>
        <w:rPr>
          <w:rFonts w:ascii="Times New Roman" w:cs="Times New Roman" w:eastAsia="Times New Roman" w:hAnsi="Times New Roman"/>
          <w:sz w:val="18"/>
          <w:szCs w:val="18"/>
          <w:color w:val="auto"/>
        </w:rPr>
        <w:t>All submissions of director nominee candidates made by stockholders should be sent to ATN International, Inc., Attn: Nominating and Corporate Governance Committee, 500 Cummings Center,</w:t>
      </w:r>
    </w:p>
    <w:p>
      <w:pPr>
        <w:spacing w:after="0" w:line="1"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Suite 2450, Beverly, MA 01915 and must comply with applicable timing requirements. Our Nominating and Corporate Governance Committee may also seek additional information regarding the director nominee candidate and the stockholder making the submission. In considering candidates recommended by</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stockholders, our Nominating and Corporate Governance Committee will take into consideration the needs of the Board and the qualifications of each candidate. When assessing new director candidates for nomination, regardless of who recommends the candidate for consideration, the Nominating and Corporate Governance Committee will consider the skills, business and board experience, background, diversity, and personal characteristics of the candidate. For a more detailed description of the attributes considered see “Director Nomination Process” above.</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Stockholders may also nominate candidates to the Board pursuant to the advance notice, information, and consent provisions contained in our Bylaws. See the “Stockholder Proposals for 2025 Annual Meeting” section of this Proxy Statement on page 52 for more information.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Nasdaq rules require that a majority of our directors be “independent” and that we maintain a minimum three-person audit committee and a two- 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Nominating and Corporate Governance Committee and the Board have determined that as of January 1, 2024 all of our current directors and director nominees, with the exception of Messrs. Martin and Prior, are independent for purposes of applicable SEC and Nasdaq rules. Mr. Prior previously was our Chief Executive Officer and Chairman, but he stepped down from his position as Chief Executive Officer of the Company effective December 31, 2023 and is now our Executive Chairman. Mr. Martin is our current CEO.</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Management and Risk Assessment</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Audit Committee has primary responsibility for the oversight of risk management and risk assessment, including the Company’s major financial risk exposures, business continuity risks, cybersecurity risks, environmental risks and the steps management has undertaken to control such risks. For more information on ATN’s cybersecurity risk management and strategy, and cybersecurity governance please reference ITEM 1C. CYBERSECURITY in our Annual Report on Form 10-K as filed with the SEC on March 15, 2024.</w:t>
      </w:r>
    </w:p>
    <w:p>
      <w:pPr>
        <w:spacing w:after="0" w:line="325"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329"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2023,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2023 achievements;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tabs>
          <w:tab w:leader="none" w:pos="15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practice of prudent awards of annual cash bonus payments; and (iii) the use of restricted stock unit and performance stock unit awards to encourage management to balance “upside” and “downside” risk by including both time-based and performance-based vesting. While the Compensation Committee did not identify changes to its compensation programs specifically needed to mitigate risk, the Compensation Committee also determined this year to introduce performance-based vesting for a number of restricted stock units that are intended to further align the compensation of the Company’s senior management with stockholder returns over a multi-year period. For more information about the Company’s award of performance stock units, please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Analysis—Annual Cash and Equity Bonus.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Stockholders and Other Interested Parties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Board and management team may from time to time meet with or conduct outreach to our investors to enhance our understanding of their perspective regarding our performance and governance matters. In addition to the typical activities to reach out to existing and prospective investors in the Company, in 2023 and early 2024, members of management and the Board also reached out to the governance specialists at several of the large index funds holding shares in the Company to understand their positions on governance and other matters. The Board values the feedback provided during these engagements, which it has taken under advisement.</w:t>
      </w:r>
    </w:p>
    <w:p>
      <w:pPr>
        <w:spacing w:after="0" w:line="336"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9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Meetings and Committees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During 2023, our Board met seven times. In 2023, no director attended fewer than 75% of the meetings of the Board and the meetings of the committee(s) on which he or she served. Although we do not have a policy requiring our directors to attend the Annual Meeting, all of our then-current directors nominated for re-election at this year’s Annual Meeting attended last year’s annual meeting of stockholders.</w:t>
      </w:r>
    </w:p>
    <w:p>
      <w:pPr>
        <w:spacing w:after="0" w:line="11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Board has established four standing committees: the Audit Committee, the Compensation Committee, the Nominating and Corporate Governance Committee, and the Investment Committee. The current membership of each committee is as follows:</w:t>
      </w:r>
    </w:p>
    <w:p>
      <w:pPr>
        <w:spacing w:after="0" w:line="12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Nominating and Corporate</w:t>
            </w:r>
          </w:p>
        </w:tc>
        <w:tc>
          <w:tcPr>
            <w:tcW w:w="1940" w:type="dxa"/>
            <w:vAlign w:val="bottom"/>
          </w:tcPr>
          <w:p>
            <w:pPr>
              <w:spacing w:after="0"/>
              <w:rPr>
                <w:sz w:val="14"/>
                <w:szCs w:val="14"/>
                <w:color w:val="auto"/>
              </w:rPr>
            </w:pPr>
          </w:p>
        </w:tc>
      </w:tr>
      <w:tr>
        <w:trPr>
          <w:trHeight w:val="190"/>
        </w:trPr>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Compensation Committee</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Governance Committee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Investment Committee</w:t>
            </w:r>
          </w:p>
        </w:tc>
      </w:tr>
      <w:tr>
        <w:trPr>
          <w:trHeight w:val="23"/>
        </w:trPr>
        <w:tc>
          <w:tcPr>
            <w:tcW w:w="1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5"/>
        </w:trPr>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 xml:space="preserve">Pamela F. Lenehan, </w:t>
            </w:r>
            <w:r>
              <w:rPr>
                <w:rFonts w:ascii="Times New Roman" w:cs="Times New Roman" w:eastAsia="Times New Roman" w:hAnsi="Times New Roman"/>
                <w:sz w:val="17"/>
                <w:szCs w:val="17"/>
                <w:i w:val="1"/>
                <w:iCs w:val="1"/>
                <w:color w:val="auto"/>
              </w:rPr>
              <w:t>Chair</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 xml:space="preserve">Richard J. Ganong, </w:t>
            </w:r>
            <w:r>
              <w:rPr>
                <w:rFonts w:ascii="Times New Roman" w:cs="Times New Roman" w:eastAsia="Times New Roman" w:hAnsi="Times New Roman"/>
                <w:sz w:val="17"/>
                <w:szCs w:val="17"/>
                <w:i w:val="1"/>
                <w:iCs w:val="1"/>
                <w:color w:val="auto"/>
              </w:rPr>
              <w:t>Chair</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 xml:space="preserve">Dr. Bernard J. Bulkin, </w:t>
            </w:r>
            <w:r>
              <w:rPr>
                <w:rFonts w:ascii="Times New Roman" w:cs="Times New Roman" w:eastAsia="Times New Roman" w:hAnsi="Times New Roman"/>
                <w:sz w:val="17"/>
                <w:szCs w:val="17"/>
                <w:i w:val="1"/>
                <w:iCs w:val="1"/>
                <w:color w:val="auto"/>
              </w:rPr>
              <w:t>Chair</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xml:space="preserve">April V. Henry, </w:t>
            </w:r>
            <w:r>
              <w:rPr>
                <w:rFonts w:ascii="Times New Roman" w:cs="Times New Roman" w:eastAsia="Times New Roman" w:hAnsi="Times New Roman"/>
                <w:sz w:val="17"/>
                <w:szCs w:val="17"/>
                <w:i w:val="1"/>
                <w:iCs w:val="1"/>
                <w:color w:val="auto"/>
              </w:rPr>
              <w:t>Chair</w:t>
            </w:r>
          </w:p>
        </w:tc>
      </w:tr>
      <w:tr>
        <w:trPr>
          <w:trHeight w:val="256"/>
        </w:trPr>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Dr. Bernard J. Bulkin</w:t>
            </w: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April V. Henry</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Pamela F. Lenehan</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J. Ganong</w:t>
            </w:r>
          </w:p>
        </w:tc>
      </w:tr>
      <w:tr>
        <w:trPr>
          <w:trHeight w:val="257"/>
        </w:trPr>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Derek G. Hudson</w:t>
            </w: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Patricia A. Jacobs</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Patricia A. Jacobs</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T. Prior</w:t>
            </w:r>
          </w:p>
        </w:tc>
      </w:tr>
      <w:tr>
        <w:trPr>
          <w:trHeight w:val="257"/>
        </w:trPr>
        <w:tc>
          <w:tcPr>
            <w:tcW w:w="1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Derek G. Hudson</w:t>
            </w:r>
          </w:p>
        </w:tc>
      </w:tr>
    </w:tbl>
    <w:p>
      <w:pPr>
        <w:spacing w:after="0" w:line="146"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All members of these committees, other than Mr. Prior, are independent as defined in applicable Nasdaq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During 2023, the Audit Committee met eight times. These meetings included separate private sessions with the Company’s independent auditors, internal audit department and management, as well as executive sessions with committee members only, as appropriate. Our Audit Committee operates under a written charter that satisfies the applicable standards of Nasdaq and is available on our website at https://ir.atni.com/. The functions of the Audit Committee include: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evaluating and overseeing our independent auditor;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 the plan and scope of the audit, its status during the year and any recommendations the independent auditor may have for improving or changing the audit and control environment;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the services provided by our independent auditor;</w:t>
      </w:r>
    </w:p>
    <w:p>
      <w:pPr>
        <w:spacing w:after="0" w:line="10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internal audit department and its review and testing of the Company’s internal control policies, systems and procedures;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our independent auditor the adequacy of internal accounting and financial controls and, if deemed necessary or appropriate, discussing with each of them, independently of the other, any recommendations on matters that any of them considers to be of importance;</w:t>
      </w:r>
    </w:p>
    <w:p>
      <w:pPr>
        <w:spacing w:after="0" w:line="58"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accounting principles, policies and practices and financial reporting policies and practices;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Code of Ethics, the Audit Committee Charter, the Internal Audit Department Charter and any other relevant Company policies and overseeing other compliance matters;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effectiveness of the Company’s risk assessment and risk management policies and processes, including with respect to cybersecurity and environmental risks, and reporting to the Board thereon;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appropriate, approving related party transactions entered into by the Company;</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prior to publication or filing, our annual audited financial statements, quarterly earnings releases and the disclosures that are to be included in our reports on Form 10-Q and Form 10-K, as well as such other information as the Audit Committee deems desirable;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other duties as assigned by our Board.</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Our Board has determined that each current member of the Audit Committee meets the financial literacy requirements of Nasdaq. It has also determined that Ms. Lenehan, who is currently the Chair of the Audit Committee, qualifies as an “audit committee financial expert” under the rules of the SEC and meets the financial sophistication requirements of Nasdaq. In addition, our Nominating and Corporate Governance Committee has determined that each of the current members of our Audit Committee is independent under applicable Nasdaq and SEC rules for audit committee members.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met five times during 2023, and the Chair of the Compensation Committee met several times with then-Chief Executive Officer, Mr. Prior, as well. Our Compensation Committee’s written charter satisfies the applicable standards of Nasdaq and is available on our website at https://ir.atni.com/. The functions of the Compensation Committee include:</w:t>
      </w:r>
    </w:p>
    <w:p>
      <w:pPr>
        <w:spacing w:after="0" w:line="69" w:lineRule="exact"/>
        <w:rPr>
          <w:sz w:val="20"/>
          <w:szCs w:val="20"/>
          <w:color w:val="auto"/>
        </w:rPr>
      </w:pPr>
    </w:p>
    <w:p>
      <w:pPr>
        <w:ind w:left="1800" w:right="4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of our Chief Executive Officer and our other executive officers;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compensation of the managers of the Company’s key operating units;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cash and equity incentive compensation plans and practices applicable to all employees to determine whether such programs create incentives that might motivate inappropriate or excessive risk-taking and reporting such findings to the Board;</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to be included in our Proxy Statement;</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administering and taking all action required or permitted to be taken by the Board under our stock-based incentive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our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58"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88"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working with compensation consultants or other advisors as the Compensation Committee may deem appropriate to carry out its responsibilities;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results of the most recent stockholder advisory vote on executive compensation and recommending to the Board for approval the frequency with which the Company will conduct such vote;</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progress on its objectives with respect to human capital management;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 Charter;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such other functions as are assigned to the Compensation Committee by the Board.</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Compensation Committee meets several times each year to carry out these responsibilities.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re-evaluate and make recommendations as to the Company’s peer group as well as to consult on executive and director compensation trends. Following this review, the Chief Executive Officer typically meets with the Chair of the Compensation Committee to discuss the draft compensation recommendations, performance analysis and future objectives of each of the executive officers of the Company and finalizes, with input from the Chair, a memorandum detailing the Company’s performance and individual executive officer performance for the year before providing it to the full Compensation Committee. The Chief Executive Officer also engages in a detailed discussion of the performance of an executive officer or a manager of the Company’s key operating units with the Committee. The Compensation Committee has been authorized by the Board to delegate to the Chief Executive Officer the power to make limited awards under the Company’s 2023 Equity Incentive Plan (the “2023 Equity Plan”) to employees of the Company. Our Board and our Nominating and Corporate Governance Committee have determined that each of the current members of our Compensation Committee is independent under applicable Nasdaq and SEC rules for compensation committee members.</w:t>
      </w:r>
    </w:p>
    <w:p>
      <w:pPr>
        <w:spacing w:after="0" w:line="12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w:t>
      </w:r>
    </w:p>
    <w:p>
      <w:pPr>
        <w:spacing w:after="0" w:line="11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Compensation Committee’s practices, please see “Compensation Discussion and Analysis,” under “Executive Officer Compensation,”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During or prior to the fiscal year ended December 31, 2023,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met four times in 2023. Our Nominating and Corporate Governance Committee operates under a written charter that satisfies the applicable standards of Nasdaq and is available on our website at https://ir.atni.com/. The functions of the Nominating and Corporate Governance Committee include: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19" w:hanging="180"/>
        <w:spacing w:after="0" w:line="26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considered for nomination for election as directors at any meeting of stockholders and the persons (if any) to be elected by the Board to fill any vacancies on the Board;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independence of any director or director nominee to our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directors to be appointed to each committee of the Board;</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any stockholder proposals submitted to the Company pertaining to Board governance and director nominations;</w:t>
      </w:r>
    </w:p>
    <w:p>
      <w:pPr>
        <w:spacing w:after="0" w:line="53"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changes to our Corporate Governance Guidelines;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Board self-evaluations;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the Board concerning the Company’s corporate responsibility and sustainability efforts, including the impact of environmental and social issues on the Company; and</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such other functions as are assigned to the Nominating and Corporate Governance Committee by the Board.</w:t>
      </w:r>
    </w:p>
    <w:p>
      <w:pPr>
        <w:spacing w:after="0" w:line="94"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of the current members of the Nominating and Corporate Governance Committee is independent under applicable Nasdaq and SEC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Investment Committee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Investment Committee of our Board met four times in 2023. The Board established an Investment Committee in 2021 to assist the Board in its oversight of the Company’s significant internal and external investments and related matters, such as capital sourcing and significant sales or dispositions of business. Our Investment Committee operates under a charter that satisfies the applicable standards of Nasdaq and is available on our website at https://ir.atni.com/. The functions of the Investment Committee include:</w:t>
      </w:r>
    </w:p>
    <w:p>
      <w:pPr>
        <w:spacing w:after="0" w:line="75" w:lineRule="exact"/>
        <w:rPr>
          <w:sz w:val="20"/>
          <w:szCs w:val="20"/>
          <w:color w:val="auto"/>
        </w:rPr>
      </w:pPr>
    </w:p>
    <w:p>
      <w:pPr>
        <w:ind w:left="1800" w:right="8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capital plan, including capital allocation, funding, and capital expenditures;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material changes to the Company’s capital structure, including proposed capital and debt issuances and redemptions;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the Board, reviewing proposed Company credit facilities, letters of credit, borrowings and guarantees requiring Board approval;</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financial aspects of significant proposed transactions requiring Board approval such as mergers, acquisitions, joint ventures, divestitures and strategic investments;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action regarding stock splits and stock repurchases, to be recommended to the full Board;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other tasks or functions as may be delegated to or requested of the Investment Committee by the Board.</w:t>
      </w:r>
    </w:p>
    <w:p>
      <w:pPr>
        <w:spacing w:after="0" w:line="81"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Board has determined that the current members of the Investment Committee, other than Mr. Prior, are independent under applicable Nasdaq and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PricewaterhouseCoopers LLP has audited our financial statements since 2002. Our Audit Committee has appointed PricewaterhouseCoopers LLP to be our independent auditor for 2024 and we are asking stockholders to ratify this appointment in Proposal 3. The services provided by PricewaterhouseCoopers LLP in 2024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Auditor Fees and Services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aggregate fees for professional services rendered to us by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PricewaterhouseCoopers LLP for the years ended December 31, 2023 and 2022 (in thousands):</w:t>
      </w:r>
    </w:p>
    <w:p>
      <w:pPr>
        <w:spacing w:after="0" w:line="9"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80" w:type="dxa"/>
            <w:vAlign w:val="bottom"/>
            <w:gridSpan w:val="7"/>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43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5540" w:type="dxa"/>
            <w:vAlign w:val="bottom"/>
            <w:gridSpan w:val="6"/>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 ​​$4,698​​ ​​$4,699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450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4500" w:type="dxa"/>
            <w:vAlign w:val="bottom"/>
            <w:gridSpan w:val="2"/>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4500" w:type="dxa"/>
            <w:vAlign w:val="bottom"/>
            <w:gridSpan w:val="2"/>
          </w:tcPr>
          <w:p>
            <w:pPr>
              <w:ind w:left="41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92</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31"/>
                <w:szCs w:val="3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43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5540" w:type="dxa"/>
            <w:vAlign w:val="bottom"/>
            <w:gridSpan w:val="6"/>
            <w:shd w:val="clear" w:color="auto" w:fill="CCEEFF"/>
          </w:tcPr>
          <w:p>
            <w:pPr>
              <w:ind w:left="41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4,920</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4,711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431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-959485</wp:posOffset>
            </wp:positionV>
            <wp:extent cx="44234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97" w:lineRule="exact"/>
        <w:rPr>
          <w:sz w:val="20"/>
          <w:szCs w:val="20"/>
          <w:color w:val="auto"/>
        </w:rPr>
      </w:pPr>
    </w:p>
    <w:p>
      <w:pPr>
        <w:ind w:left="1980" w:right="539" w:hanging="360"/>
        <w:spacing w:after="0" w:line="263"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for the audits of our consolidated financial statements and audit of certain subsidiaries. Fees also include the audit of the opening balance sheet and related purchase accounting associated with our acquisition of Sacred Wind Enterprises in 2022.</w:t>
      </w:r>
    </w:p>
    <w:p>
      <w:pPr>
        <w:spacing w:after="0" w:line="251" w:lineRule="exact"/>
        <w:rPr>
          <w:rFonts w:ascii="Times New Roman" w:cs="Times New Roman" w:eastAsia="Times New Roman" w:hAnsi="Times New Roman"/>
          <w:sz w:val="18"/>
          <w:szCs w:val="18"/>
          <w:color w:val="auto"/>
        </w:rPr>
      </w:pPr>
    </w:p>
    <w:p>
      <w:pPr>
        <w:ind w:left="1980" w:right="459" w:hanging="360"/>
        <w:spacing w:after="0" w:line="266"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assurance related services that are reasonably related to the performance of the audit including one-off and discrete transactions, and review of various documents filed with the SEC in 2023.</w:t>
      </w:r>
    </w:p>
    <w:p>
      <w:pPr>
        <w:spacing w:after="0" w:line="4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fees for tax compliance and consulting services.</w:t>
      </w:r>
    </w:p>
    <w:p>
      <w:pPr>
        <w:spacing w:after="0" w:line="76"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all products and services other than the services reported in (1) and (2) above and includes fees for access to online technical accounting and reporting research software applications, compensation surveys, and other permissible advisory services.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its written charter, our Audit Committee pre-approves all audit and permissible non-audit services, including the scope of contemplated services and the related fees that are to be performed by PricewaterhouseCoopers LLP, our independent auditor.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members of the Audit Committee of the Board of Directors of ATN International, Inc., we have reviewed and discussed with management the audited financial statements of the Company as of and for the year ended December 31, 2023.</w:t>
      </w:r>
    </w:p>
    <w:p>
      <w:pPr>
        <w:spacing w:after="0" w:line="10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the independent registered public accountants the matters required to be discussed by Statement of Auditing Standard No. 1301.</w:t>
      </w:r>
    </w:p>
    <w:p>
      <w:pPr>
        <w:spacing w:after="0" w:line="81"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received from PricewaterhouseCoopers LLP the written disclosures and letter required by applicable requirements of the Public Company Accounting Oversight Board regarding their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59"/>
        <w:spacing w:after="0" w:line="266" w:lineRule="auto"/>
        <w:rPr>
          <w:sz w:val="20"/>
          <w:szCs w:val="20"/>
          <w:color w:val="auto"/>
        </w:rPr>
      </w:pPr>
      <w:r>
        <w:rPr>
          <w:rFonts w:ascii="Times New Roman" w:cs="Times New Roman" w:eastAsia="Times New Roman" w:hAnsi="Times New Roman"/>
          <w:sz w:val="18"/>
          <w:szCs w:val="18"/>
          <w:color w:val="auto"/>
        </w:rPr>
        <w:t>communications with the Audit Committee concerning independence, discussed PricewaterhouseCoopers LLP’s independence with PricewaterhouseCoopers LLP and satisfied itself as to PricewaterhouseCoopers LLP’s independence.</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have also concluded that the provision of services by PricewaterhouseCoopers LLP not related to the audit of the financial statements referred to above and to the reviews of the interim financial statements included in our Quarterly Reports on Form 10-Q for the quarters ended March 31, 2023, June 30, 2023 and September 30, 2023 was compatible with maintaining the independence of PricewaterhouseCoopers LLP.</w:t>
      </w:r>
    </w:p>
    <w:p>
      <w:pPr>
        <w:spacing w:after="0" w:line="112"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Audit Committee</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Pamela F. Lenehan,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Bernard J. Bulkin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Derek G. Hudson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April 29, 2024.</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9"/>
                <w:szCs w:val="19"/>
                <w:color w:val="auto"/>
              </w:rPr>
            </w:pPr>
          </w:p>
        </w:tc>
        <w:tc>
          <w:tcPr>
            <w:tcW w:w="4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Chairman</w:t>
            </w:r>
          </w:p>
        </w:tc>
        <w:tc>
          <w:tcPr>
            <w:tcW w:w="40" w:type="dxa"/>
            <w:vAlign w:val="bottom"/>
          </w:tcPr>
          <w:p>
            <w:pPr>
              <w:spacing w:after="0"/>
              <w:rPr>
                <w:sz w:val="21"/>
                <w:szCs w:val="21"/>
                <w:color w:val="auto"/>
              </w:rPr>
            </w:pP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54</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38</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Corporate Development</w:t>
            </w:r>
          </w:p>
        </w:tc>
        <w:tc>
          <w:tcPr>
            <w:tcW w:w="40" w:type="dxa"/>
            <w:vAlign w:val="bottom"/>
          </w:tcPr>
          <w:p>
            <w:pPr>
              <w:spacing w:after="0"/>
              <w:rPr>
                <w:sz w:val="22"/>
                <w:szCs w:val="22"/>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12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Prior. </w:t>
      </w:r>
      <w:r>
        <w:rPr>
          <w:rFonts w:ascii="Times New Roman" w:cs="Times New Roman" w:eastAsia="Times New Roman" w:hAnsi="Times New Roman"/>
          <w:sz w:val="18"/>
          <w:szCs w:val="18"/>
          <w:color w:val="auto"/>
        </w:rPr>
        <w:t>Mr. Prior’s biography appears in the section entitled “Director and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and Qualifications” herein.</w:t>
      </w:r>
    </w:p>
    <w:p>
      <w:pPr>
        <w:spacing w:after="0" w:line="8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Brad W. Martin </w:t>
      </w:r>
      <w:r>
        <w:rPr>
          <w:rFonts w:ascii="Times New Roman" w:cs="Times New Roman" w:eastAsia="Times New Roman" w:hAnsi="Times New Roman"/>
          <w:sz w:val="18"/>
          <w:szCs w:val="18"/>
          <w:color w:val="auto"/>
        </w:rPr>
        <w:t>is our Chief Executive Officer and a member of our Board of Directors. Mr. Martin had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our Chief Operating Officer since April 2018 prior to becoming our Chief Executive Officer and a member of our Board of Directors in January 2024. Prior to joining us in 2018, he previously served as Chief Operating Officer for Senet Inc., a leading “low power wide area” network (LPWAN) operator and global service provider. From 2013 through 2015, Brad served as Senior Vice President and Chief Quality Officer with Extreme Networks, a global leader in software-driven networking solutions for Enterprise and Service Provider customers. Between 2008 and 2013, he served as Vice President of Engineering Operations and Quality with Siemens Enterprise Communications and Enterasys Networks, delivering voice and data networking hardware and software solutions to global enterprises.</w:t>
      </w:r>
    </w:p>
    <w:p>
      <w:pPr>
        <w:spacing w:after="0" w:line="107"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Carlos R. Doglioli </w:t>
      </w:r>
      <w:r>
        <w:rPr>
          <w:rFonts w:ascii="Times New Roman" w:cs="Times New Roman" w:eastAsia="Times New Roman" w:hAnsi="Times New Roman"/>
          <w:sz w:val="18"/>
          <w:szCs w:val="18"/>
          <w:color w:val="auto"/>
        </w:rPr>
        <w:t>is our Chief Financial Officer. Mr. Doglioli brings significant telecom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having served as the Chief Financial Officer of Centennial Towers, a developer, owner, and operator of wireless communication towers in Latin America since 2014, and from 2004 to 2007 at MetroRED Mexico,</w:t>
      </w:r>
    </w:p>
    <w:p>
      <w:pPr>
        <w:ind w:left="1260" w:right="479"/>
        <w:spacing w:after="0" w:line="253" w:lineRule="auto"/>
        <w:tabs>
          <w:tab w:leader="none" w:pos="13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integrated communications provider that owned and operated state-of-the-art high-capacity fiber optic communications focused on large and medium size corporate clients, ISPs, Internet-content providers, and telecommunications carriers in Mexico City. Previously, Mr. Doglioli served in multiple senior finance roles for portfolio companies of Devonshire Investors (the private equity group of Fidelity Investments), including CFO of Backyard Farms and Managing Director of Finance of J. Robert Scott.</w:t>
      </w:r>
    </w:p>
    <w:p>
      <w:pPr>
        <w:spacing w:after="0" w:line="11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M. Mabey </w:t>
      </w:r>
      <w:r>
        <w:rPr>
          <w:rFonts w:ascii="Times New Roman" w:cs="Times New Roman" w:eastAsia="Times New Roman" w:hAnsi="Times New Roman"/>
          <w:sz w:val="18"/>
          <w:szCs w:val="18"/>
          <w:color w:val="auto"/>
        </w:rPr>
        <w:t>is our Senior Vice President, General Counsel and Secretary. Ms. Mabey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w:t>
      </w:r>
    </w:p>
    <w:p>
      <w:pPr>
        <w:spacing w:after="0" w:line="115"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M. Leon </w:t>
      </w:r>
      <w:r>
        <w:rPr>
          <w:rFonts w:ascii="Times New Roman" w:cs="Times New Roman" w:eastAsia="Times New Roman" w:hAnsi="Times New Roman"/>
          <w:sz w:val="18"/>
          <w:szCs w:val="18"/>
          <w:color w:val="auto"/>
        </w:rPr>
        <w:t>is our Senior Vice President of Corporate Development. He joined the Company in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brings over fifteen years of investing and acquistion experience to the team. Prior to joining ATN,</w:t>
      </w:r>
    </w:p>
    <w:p>
      <w:pPr>
        <w:spacing w:after="0" w:line="1"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Mr. Leon worked in Corporate Strategy &amp; Development for Nuance Communications, a publicly traded software company focused on speech recognition and machine learning, where he executed over $1 billion in acquisitions in the healthcare, mobile, and enterprise software verticals. Mr. Leon started his career at Stonebridge Associates, a boutique investment bank in Boston advising clients in technology, medical device, and consumer products verticals.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2023, as well as the other individuals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below.</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4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1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 core principle of our compensation philosophy to date is that a successful compensation program requires the application of judgment and subjective determinations of individual performance. With respect to our annual cash bonus opportunity, while we do assign an indicative weight to individual and general Company performance in determining an executive officer’s compensation, our Compensation Committee considers a number of factors in addition to these measures and we do not apply a strictly formulaic or mathematical approach to our compensation program.</w:t>
      </w:r>
    </w:p>
    <w:p>
      <w:pPr>
        <w:spacing w:after="0" w:line="112" w:lineRule="exact"/>
        <w:rPr>
          <w:sz w:val="20"/>
          <w:szCs w:val="20"/>
          <w:color w:val="auto"/>
        </w:rPr>
      </w:pPr>
    </w:p>
    <w:p>
      <w:pPr>
        <w:ind w:left="1260" w:right="539" w:firstLine="360"/>
        <w:spacing w:after="0" w:line="241" w:lineRule="auto"/>
        <w:rPr>
          <w:sz w:val="20"/>
          <w:szCs w:val="20"/>
          <w:color w:val="auto"/>
        </w:rPr>
      </w:pPr>
      <w:r>
        <w:rPr>
          <w:rFonts w:ascii="Times New Roman" w:cs="Times New Roman" w:eastAsia="Times New Roman" w:hAnsi="Times New Roman"/>
          <w:sz w:val="18"/>
          <w:szCs w:val="18"/>
          <w:color w:val="auto"/>
        </w:rPr>
        <w:t>The Compensation Committee does take into consideration certain financial and operational goals and metrics in determining annual cash performance bonus payments and seeks to link executive compensation actually paid to the Company’s actual performance. For bonus payments awarded to executive officers for 2023 performance, the Compensation Committee focused primarily on annual financial performance as compared to (i) the prior year, (ii) management goals and (iii) the Company’s guidance provided to the market. Key financial metrics examined included revenue, Adjusted EBITDA, Adjusted EBITDA margin and capital expenditures, with the committee considering Adjusted EBITDA performance to be the most important. The Committee also looked at other factors outside the financial results for the year, such as increases in high-speed data subscribers, high-speed data homes passed, and mobile subscribers, the refinancing of the Company’s main loan facility and certain multi-year strategic initiatives. The Compensation Committee seeks to align the metrics it reviews and considers with respect to compensation awards with those that the Board believes should lead to a sustainable increase in stockholder value.</w:t>
      </w:r>
    </w:p>
    <w:p>
      <w:pPr>
        <w:spacing w:after="0" w:line="12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In determining annual equity grants, the Compensation Committee looks at a number of factors including an executive’s compensation history, individual and Company performance, and internal and external equity pay levels (using the Company’s peer group listed below). Historically, even in years of financial metric outperformance, the Committee has set executive equity and “total” (all​ cash and equity compensation) compensation between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peers. For example, in recent years, the total compensation of the Company’s Chief Executive Officer has been at or below the 25th percentile of peers.</w:t>
      </w:r>
    </w:p>
    <w:p>
      <w:pPr>
        <w:spacing w:after="0" w:line="133"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2021, after reviewing the practices of the Company’s peers and the broader market, the Compensation Committee decided to introduce performance-vested stock units as an element of long-term incentive compensation for executive officers. At the same time, the Compensation Committee decided to reduce awards of strictly time-vested restricted stock units—both in absolute terms and as a relative portion of an executive’s total compensation potential, and split equity awards equally between time-vested restricted stock units and performance-vested stock units. The Compensation Committee believes that this change results in better alignment between executive compensation and stockholder returns and with a three-year “cliff” vesting period for the performance-vested stock units, does not encourage undue risk taking or a short-term planning horizon.</w:t>
      </w:r>
    </w:p>
    <w:p>
      <w:pPr>
        <w:spacing w:after="0" w:line="32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For 2023, the Compensation Committee took the same approach, and accordingly, equity grants to executive officers made in March 2024 for 2023 performance were split equally between time-vested restricted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stock units and performance-vested stock units. A description of the terms of the restricted stock units and performance-vested stock units can be found in the “</w:t>
      </w:r>
      <w:r>
        <w:rPr>
          <w:rFonts w:ascii="Times New Roman" w:cs="Times New Roman" w:eastAsia="Times New Roman" w:hAnsi="Times New Roman"/>
          <w:sz w:val="18"/>
          <w:szCs w:val="18"/>
          <w:i w:val="1"/>
          <w:iCs w:val="1"/>
          <w:color w:val="auto"/>
        </w:rPr>
        <w:t>Annual Cash and Equity Bonuses—Annual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discussion on page 34 and relating to all long-term equity grants can be found in the “</w:t>
      </w:r>
      <w:r>
        <w:rPr>
          <w:rFonts w:ascii="Times New Roman" w:cs="Times New Roman" w:eastAsia="Times New Roman" w:hAnsi="Times New Roman"/>
          <w:sz w:val="18"/>
          <w:szCs w:val="18"/>
          <w:i w:val="1"/>
          <w:iCs w:val="1"/>
          <w:color w:val="auto"/>
        </w:rPr>
        <w:t>Grants of Plan-Based Awards</w:t>
      </w:r>
      <w:r>
        <w:rPr>
          <w:rFonts w:ascii="Times New Roman" w:cs="Times New Roman" w:eastAsia="Times New Roman" w:hAnsi="Times New Roman"/>
          <w:sz w:val="18"/>
          <w:szCs w:val="18"/>
          <w:color w:val="auto"/>
        </w:rPr>
        <w:t>” table located on page 40 of this Proxy Statement.</w:t>
      </w:r>
    </w:p>
    <w:p>
      <w:pPr>
        <w:spacing w:after="0" w:line="11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In determining annual changes to an executive’s base salary, excluding promotions, the Compensation Committee primarily looks at changes in the cost of living, but also examines peer group data, generally targeting the 25th to 50th percentile for base salary and cash bonus potential. In 2023, consistent with broader efforts to maintain control of costs at the Company, the Compensation Committee approved raises for the executive officers at or around 2.9%, excluding Brad Martin, who was promoted to Chief Executive Officer and received a 36.5% increase in his base salary in connection with the promotion.</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 and protecting stockholder interests.</w:t>
      </w:r>
    </w:p>
    <w:p>
      <w:pPr>
        <w:spacing w:after="0" w:line="325"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For 2023, in response to new rules issued by the Securities and Exchange Commission, the Compensation Committee also introduced compensation recoupment tools into the Company’s compensation program by adopting two compensation recoupment or “clawback” policies that are applicable to named executive officers and certain other executives of the Company. These changes were approved by the entire Board and, serve to even more closely align the Company’s actual financial performance to the compensation of its executives. A description of the terms of the Company’s clawback policies can be found in the “</w:t>
      </w:r>
      <w:r>
        <w:rPr>
          <w:rFonts w:ascii="Times New Roman" w:cs="Times New Roman" w:eastAsia="Times New Roman" w:hAnsi="Times New Roman"/>
          <w:sz w:val="18"/>
          <w:szCs w:val="18"/>
          <w:i w:val="1"/>
          <w:iCs w:val="1"/>
          <w:color w:val="auto"/>
        </w:rPr>
        <w:t>Executive Compensation Recoupment Program</w:t>
      </w:r>
      <w:r>
        <w:rPr>
          <w:rFonts w:ascii="Times New Roman" w:cs="Times New Roman" w:eastAsia="Times New Roman" w:hAnsi="Times New Roman"/>
          <w:sz w:val="18"/>
          <w:szCs w:val="18"/>
          <w:color w:val="auto"/>
        </w:rPr>
        <w:t>” discussion on page 37 of this Proxy Statement.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Our Compensation Committee has retained the advisory services of Compensia, a national executive compensation consulting firm. For the past seven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2023, as it typically does every year, the Compensation Committee asked Compensia to (i) provide information on total direct compensation—including components of salary, bonus and equity with respect to the Company’s peer group, (ii) to give advice on changes to the peer group, and (iii) to review with the Compensation Committee any recent or pending changes to the rules and public company and peer trends on executive compensation, including feedback from the broader investor community on executive compensation practices. In 2023, Compensia also provided advice and support to the Compensation Committee with respect to its new equity compensation plan and in setting pay levels for its newly promoted Chief Executive Officer, its newly hired Chief Financial Officer, and the newly created position of Executive Chairman.</w:t>
      </w:r>
    </w:p>
    <w:p>
      <w:pPr>
        <w:spacing w:after="0" w:line="32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w:t>
      </w:r>
    </w:p>
    <w:p>
      <w:pPr>
        <w:spacing w:after="0" w:line="162"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Generally, we seek to offer executive compensation that is reasonably competitive with telecommunications companies of a similar size. Defining a relevant “peer group” for us has been historically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0" w:lineRule="auto"/>
        <w:rPr>
          <w:sz w:val="20"/>
          <w:szCs w:val="20"/>
          <w:color w:val="auto"/>
        </w:rPr>
      </w:pPr>
      <w:r>
        <w:rPr>
          <w:rFonts w:ascii="Times New Roman" w:cs="Times New Roman" w:eastAsia="Times New Roman" w:hAnsi="Times New Roman"/>
          <w:sz w:val="18"/>
          <w:szCs w:val="18"/>
          <w:color w:val="auto"/>
        </w:rPr>
        <w:t>difficult because we have the complexity and geographic diversity of large multi-national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w:t>
      </w:r>
    </w:p>
    <w:p>
      <w:pPr>
        <w:spacing w:after="0" w:line="105"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2023, our Compensation Committee referred to the executive compensation paid at the following group of companies: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8x8</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Consolidated Communications</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Liberty Latin America</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Bandwidth Inc.</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Echostar</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Ooma</w:t>
            </w: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Brightcove</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Edgio</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Ribbon Communications</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Cable One</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Gogo</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Shenandoah Telecommunications</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Charge Enterprises</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IDT</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ViaSat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Cogent Communications</w:t>
            </w:r>
          </w:p>
        </w:tc>
        <w:tc>
          <w:tcPr>
            <w:tcW w:w="3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KORE Group</w:t>
            </w:r>
          </w:p>
        </w:tc>
        <w:tc>
          <w:tcPr>
            <w:tcW w:w="2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Wide Open West</w:t>
            </w:r>
          </w:p>
        </w:tc>
      </w:tr>
    </w:tbl>
    <w:p>
      <w:pPr>
        <w:spacing w:after="0" w:line="14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Compensation Committee believes that these companies provide it with helpful indicators of competitive executive compensation levels and pay mix because, as a group, they had the following characteristics that are similar to ours: (1) they are primarily telecommunications companies; (2) several of them have both wireless and wireline operations; (3) several of them are of similar size to the Company in terms of market capitalization, revenue, or number of employees; and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Our Compensation Committee regards comparisons of us to these companies as informational reference points only—as such, we did not seek to establish any firm benchmark in reference to these companies or to require changes in our executive compensation to match changes in those companies’ compensation.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Chief Executive Officer in Compensation Decisions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Executive Chairman,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i w:val="1"/>
          <w:iCs w:val="1"/>
          <w:color w:val="auto"/>
        </w:rPr>
        <w:t>Compensation Policies and Practices Highlights</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Compensation based on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0287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-119380</wp:posOffset>
            </wp:positionV>
            <wp:extent cx="102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70" w:lineRule="exact"/>
        <w:rPr>
          <w:sz w:val="20"/>
          <w:szCs w:val="20"/>
          <w:color w:val="auto"/>
        </w:rPr>
      </w:pPr>
    </w:p>
    <w:p>
      <w:pPr>
        <w:ind w:left="1700" w:right="400"/>
        <w:spacing w:after="0" w:line="282" w:lineRule="auto"/>
        <w:rPr>
          <w:sz w:val="20"/>
          <w:szCs w:val="20"/>
          <w:color w:val="auto"/>
        </w:rPr>
      </w:pPr>
      <w:r>
        <w:rPr>
          <w:rFonts w:ascii="Times New Roman" w:cs="Times New Roman" w:eastAsia="Times New Roman" w:hAnsi="Times New Roman"/>
          <w:sz w:val="18"/>
          <w:szCs w:val="18"/>
          <w:color w:val="auto"/>
        </w:rPr>
        <w:t>Long-Term equity incentives vesting over multi-year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-288290</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-288290</wp:posOffset>
            </wp:positionV>
            <wp:extent cx="10287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p>
    <w:p>
      <w:pPr>
        <w:ind w:left="1700" w:right="300"/>
        <w:spacing w:after="0" w:line="282" w:lineRule="auto"/>
        <w:rPr>
          <w:sz w:val="20"/>
          <w:szCs w:val="20"/>
          <w:color w:val="auto"/>
        </w:rPr>
      </w:pPr>
      <w:r>
        <w:rPr>
          <w:rFonts w:ascii="Times New Roman" w:cs="Times New Roman" w:eastAsia="Times New Roman" w:hAnsi="Times New Roman"/>
          <w:sz w:val="18"/>
          <w:szCs w:val="18"/>
          <w:color w:val="auto"/>
        </w:rPr>
        <w:t>Stock Ownership Guidelines for NEOs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-288290</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-288290</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Clawback policy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10287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-110490</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3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Equity incentives aligned to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10287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-110490</wp:posOffset>
            </wp:positionV>
            <wp:extent cx="10287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special health or welfare plans</w:t>
      </w:r>
    </w:p>
    <w:p>
      <w:pPr>
        <w:spacing w:after="0" w:line="90" w:lineRule="exact"/>
        <w:rPr>
          <w:sz w:val="20"/>
          <w:szCs w:val="20"/>
          <w:color w:val="auto"/>
        </w:rPr>
      </w:pPr>
    </w:p>
    <w:p>
      <w:pPr>
        <w:ind w:right="419"/>
        <w:spacing w:after="0" w:line="282" w:lineRule="auto"/>
        <w:rPr>
          <w:sz w:val="20"/>
          <w:szCs w:val="20"/>
          <w:color w:val="auto"/>
        </w:rPr>
      </w:pPr>
      <w:r>
        <w:rPr>
          <w:rFonts w:ascii="Times New Roman" w:cs="Times New Roman" w:eastAsia="Times New Roman" w:hAnsi="Times New Roman"/>
          <w:sz w:val="18"/>
          <w:szCs w:val="18"/>
          <w:color w:val="auto"/>
        </w:rPr>
        <w:t>No single-trigger acceleration of compensation in a change of control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guaranteed incentive compensation</w:t>
      </w:r>
    </w:p>
    <w:p>
      <w:pPr>
        <w:spacing w:after="0" w:line="320" w:lineRule="exact"/>
        <w:rPr>
          <w:sz w:val="20"/>
          <w:szCs w:val="20"/>
          <w:color w:val="auto"/>
        </w:rPr>
      </w:pPr>
    </w:p>
    <w:p>
      <w:pPr>
        <w:ind w:right="919"/>
        <w:spacing w:after="0" w:line="282" w:lineRule="auto"/>
        <w:rPr>
          <w:sz w:val="20"/>
          <w:szCs w:val="20"/>
          <w:color w:val="auto"/>
        </w:rPr>
      </w:pPr>
      <w:r>
        <w:rPr>
          <w:rFonts w:ascii="Times New Roman" w:cs="Times New Roman" w:eastAsia="Times New Roman" w:hAnsi="Times New Roman"/>
          <w:sz w:val="18"/>
          <w:szCs w:val="18"/>
          <w:color w:val="auto"/>
        </w:rPr>
        <w:t>Hedging of Company shares and options trading prohibited</w:t>
      </w:r>
    </w:p>
    <w:p>
      <w:pPr>
        <w:spacing w:after="0" w:line="40"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No liberal recycling of vested Company shares repurchased from plan participants for payment of taxes</w:t>
      </w:r>
    </w:p>
    <w:p>
      <w:pPr>
        <w:spacing w:after="0" w:line="200" w:lineRule="exact"/>
        <w:rPr>
          <w:sz w:val="20"/>
          <w:szCs w:val="20"/>
          <w:color w:val="auto"/>
        </w:rPr>
      </w:pPr>
    </w:p>
    <w:p>
      <w:pPr>
        <w:sectPr>
          <w:pgSz w:w="11900" w:h="16838" w:orient="portrait"/>
          <w:cols w:equalWidth="0" w:num="2">
            <w:col w:w="5240" w:space="660"/>
            <w:col w:w="3979"/>
          </w:cols>
          <w:pgMar w:left="580" w:top="97" w:right="1440" w:bottom="1440" w:gutter="0" w:footer="0" w:header="0"/>
          <w:type w:val="continuous"/>
        </w:sectPr>
      </w:pPr>
    </w:p>
    <w:p>
      <w:pPr>
        <w:spacing w:after="0" w:line="1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executive compensation program is focused on three separate elements:</w:t>
      </w:r>
    </w:p>
    <w:p>
      <w:pPr>
        <w:spacing w:after="0" w:line="104"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14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When communicating our compensation program to current and prospective executives, the Company has focused on the combination of these three elements. Other than as described below, our Compensation Committee does not have any specific policies or targets for the allocation or “pay mix” of these compensation elements.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seek to set the base salary of each executive at a level that is competitive, taking into account the overall compensation history of the particular executive and our other executives and the base salaries paid by similarly situated companies for such roles.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 -based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w:t>
      </w:r>
    </w:p>
    <w:p>
      <w:pPr>
        <w:spacing w:after="0" w:line="11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Below is a chart showing the base salary rates for 2023 and 2024 for our named executive officers, in comparison to those in effect in 2022. For 2023, the Compensation Committee decided to provide basic cost-of-living increases for all executive officers. For 2024, the Compensation Committee adjusted each of Mr. Prior and Mr. Martin’s base salaries with their changes in role to Executive Chairman and Chief Executive Officer, respectively, and provided cost-of-living increases for Ms. Mabey and Mr. Leon.</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Annualized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Change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Change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2024(1)</w:t>
            </w:r>
          </w:p>
        </w:tc>
        <w:tc>
          <w:tcPr>
            <w:tcW w:w="22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2023-2024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2023(1)</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2022-2023</w:t>
            </w: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2022(1)</w:t>
            </w:r>
          </w:p>
        </w:tc>
      </w:tr>
      <w:tr>
        <w:trPr>
          <w:trHeight w:val="23"/>
        </w:trPr>
        <w:tc>
          <w:tcPr>
            <w:tcW w:w="3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Prior(2)</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​$525,000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​$693,232</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​$674,000</w:t>
            </w: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W. Martin(3)</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​$525,000</w:t>
            </w:r>
          </w:p>
        </w:tc>
        <w:tc>
          <w:tcPr>
            <w:tcW w:w="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36.5%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​$384,578</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​$374,000</w:t>
            </w:r>
          </w:p>
        </w:tc>
      </w:tr>
      <w:tr>
        <w:trPr>
          <w:trHeight w:val="25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 Benincasa(4)</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​$420,000</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N/A</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​$419,539</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​$408,000</w:t>
            </w: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​$344,000</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​$333,655</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​$325,000</w:t>
            </w:r>
          </w:p>
        </w:tc>
      </w:tr>
      <w:tr>
        <w:trPr>
          <w:trHeight w:val="27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​$264,710</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​$256,731</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-831215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-831215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-831215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3337560</wp:posOffset>
            </wp:positionH>
            <wp:positionV relativeFrom="paragraph">
              <wp:posOffset>-831215</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-831215</wp:posOffset>
            </wp:positionV>
            <wp:extent cx="137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620" w:right="879" w:hanging="360"/>
        <w:spacing w:after="0" w:line="281"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annualized rates of base salary and may differ slightly from amounts actually received and as reported in Summary Compensation Table.</w:t>
      </w:r>
    </w:p>
    <w:p>
      <w:pPr>
        <w:spacing w:after="0" w:line="1" w:lineRule="exact"/>
        <w:rPr>
          <w:rFonts w:ascii="Times New Roman" w:cs="Times New Roman" w:eastAsia="Times New Roman" w:hAnsi="Times New Roman"/>
          <w:sz w:val="18"/>
          <w:szCs w:val="18"/>
          <w:color w:val="auto"/>
        </w:rPr>
      </w:pPr>
    </w:p>
    <w:p>
      <w:pPr>
        <w:ind w:left="1620" w:right="699" w:hanging="360"/>
        <w:spacing w:after="0" w:line="273"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Prior served as Chief Executive Officer through December 31, 2023, and his salary for the 2024 year is compensation for his role as Executive Chairman.</w:t>
      </w:r>
    </w:p>
    <w:p>
      <w:pPr>
        <w:spacing w:after="0" w:line="1" w:lineRule="exact"/>
        <w:rPr>
          <w:rFonts w:ascii="Times New Roman" w:cs="Times New Roman" w:eastAsia="Times New Roman" w:hAnsi="Times New Roman"/>
          <w:sz w:val="18"/>
          <w:szCs w:val="18"/>
          <w:color w:val="auto"/>
        </w:rPr>
      </w:pPr>
    </w:p>
    <w:p>
      <w:pPr>
        <w:ind w:left="1620" w:right="419" w:hanging="360"/>
        <w:spacing w:after="0" w:line="281"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served as Chief Operating Officer through December 31, 2023, and became Chief Executive Officer on January 1, 2024.</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Benincasa served as Chief Financial Officer through March 17, 2024.</w:t>
      </w:r>
    </w:p>
    <w:p>
      <w:pPr>
        <w:spacing w:after="0" w:line="167" w:lineRule="exact"/>
        <w:rPr>
          <w:rFonts w:ascii="Times New Roman" w:cs="Times New Roman" w:eastAsia="Times New Roman" w:hAnsi="Times New Roman"/>
          <w:sz w:val="18"/>
          <w:szCs w:val="18"/>
          <w:color w:val="auto"/>
        </w:rPr>
      </w:pPr>
    </w:p>
    <w:p>
      <w:pPr>
        <w:ind w:left="1620" w:right="5779"/>
        <w:spacing w:after="0" w:line="4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Cash and Equity Bonuses </w:t>
      </w:r>
      <w:r>
        <w:rPr>
          <w:rFonts w:ascii="Times New Roman" w:cs="Times New Roman" w:eastAsia="Times New Roman" w:hAnsi="Times New Roman"/>
          <w:sz w:val="18"/>
          <w:szCs w:val="18"/>
          <w:i w:val="1"/>
          <w:iCs w:val="1"/>
          <w:color w:val="auto"/>
        </w:rPr>
        <w:t>Annual Cash Bonus</w:t>
      </w: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believe that a substantial bonus opportunity, as measured as a percentage of the executive’s base salary, motivates executive performance because it makes a significant amount of the executive’s overall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10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For 2023 and 2024, the annual bonus opportunity for each of our named executive officers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Annual Bonus</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 Annual Bonus</w:t>
            </w:r>
          </w:p>
        </w:tc>
        <w:tc>
          <w:tcPr>
            <w:tcW w:w="4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Opportunity Expressed</w:t>
            </w: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Opportunity Expressed</w:t>
            </w:r>
          </w:p>
        </w:tc>
        <w:tc>
          <w:tcPr>
            <w:tcW w:w="40" w:type="dxa"/>
            <w:vAlign w:val="bottom"/>
          </w:tcPr>
          <w:p>
            <w:pPr>
              <w:spacing w:after="0"/>
              <w:rPr>
                <w:sz w:val="14"/>
                <w:szCs w:val="14"/>
                <w:color w:val="auto"/>
              </w:rPr>
            </w:pP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 of Base Salary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 of Base Salary</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3"/>
                <w:szCs w:val="23"/>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3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Prior served as Chief Executive Officer through December 31, 2023, and his salary for the 2024 year is compensation for his role as Executive Chairman. As CEO, Mr. Prior was eligible for a bonus for the year ended December 31, 2023, but is not eligible for a cash bonus as Executive Chairman.</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served as Chief Operating Officer through December 31, 2023, and became Chief Executive Officer on January 1, 2024.</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Benincasa served as Chief Financial Officer through March 17, 2024.</w:t>
      </w:r>
    </w:p>
    <w:p>
      <w:pPr>
        <w:spacing w:after="0" w:line="14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2023 was based on a review of a number of factors that are each assigned a recommended weight for each executive, which varies based on the roles and duties of each individual. In general, the Compensation Committee believes that annual bonuses should be tied to overall Company performance such as financial and operating performance and significant strategic developments (as assessed by the Compensation Committee), particularly for the most senior members of our management team, such as our Chief Executive Officer, Chief Financial Officer, and former Chief Operating Officer.</w:t>
      </w:r>
    </w:p>
    <w:p>
      <w:pPr>
        <w:spacing w:after="0" w:line="127"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Our corporate performance has historically been reviewed by reference to year-over-year consolidated Company performance and our Compensation Committee takes note of additional significant overall Company achievements or weaknesses which may or may not have impacted or been reflected in the Company’s financial or operational results. For 2023, the recommended weight assigned to each performance factor varied according to the role of each of our executive officers, and generally fell into the following ranges: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Factor</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Range</w:t>
            </w:r>
          </w:p>
        </w:tc>
        <w:tc>
          <w:tcPr>
            <w:tcW w:w="434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Company Performance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Accomplishment of Company-wide goals for the year.</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These included financial performance such as revenue,</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and Adjusted EBITDA, key performance indicators like</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subscriber levels and specific Company objectives for a</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given year.</w:t>
            </w: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Specific Individual Accomplishments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Individual accomplishments related to personal goals and</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key strategic and operational priorities, such as</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implementing productivity improvements in a particular</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department, completing major network projects,</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strengthening operational teams, mitigating certain risks</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and winning government support for major priorities.</w:t>
            </w: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General Individual Performance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General assessment of the individual’s work performance</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through the year, including leadership, talent</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contribution to Company culture</w:t>
            </w:r>
          </w:p>
        </w:tc>
      </w:tr>
    </w:tbl>
    <w:p>
      <w:pPr>
        <w:spacing w:after="0" w:line="14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While these weight ranges are presented to the Compensation Committee by our Chief Executive Officer as a guide in connection with his assessment of our executives’ performance during the year, actual bonus awards are subject to the Compensation Committee’s discretion to increase, decrease, or disregard such amount or weight range for each performance metric based on the Compensation Committee’s review of each individual’s performance and relevant job responsibilities. For the Chief Executive Officer, the Committee generally gives higher weight to Company performance than the foregoing range indicates.</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Typically, the Company has paid bonuses at levels at or below the target opportunity with the Compensation Committee treating the target bonus opportunity percentage as more of a ceiling in most years. For 2023, we paid the annual bonuses to our named executive officers described under the column entitled “Non-Equity Incentive Plan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for the reasons described below.</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Michael Prior, our Chief Executive Officer through December 31, 2023, was paid an annual bonus of $694,000, representing 100% of his 2023 annual target bonus opportunity. In determining the annual bonus and annual equity award for the Chief Executive Officer, the Compensation Committee considered a number of factors, including: (i) actual performance against the Company’s financial plan and against the prior year,</w:t>
      </w:r>
    </w:p>
    <w:p>
      <w:pPr>
        <w:spacing w:after="0" w:line="2" w:lineRule="exact"/>
        <w:rPr>
          <w:sz w:val="20"/>
          <w:szCs w:val="20"/>
          <w:color w:val="auto"/>
        </w:rPr>
      </w:pPr>
    </w:p>
    <w:p>
      <w:pPr>
        <w:ind w:left="1260" w:right="459"/>
        <w:spacing w:after="0" w:line="241" w:lineRule="auto"/>
        <w:tabs>
          <w:tab w:leader="none" w:pos="15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made on the Company’s three year strategy of fiber and other network upgrades and expansions, (iii) growth in high speed data and mobile subscribers, (iv) the award of a number of government subsidies to support network expansion to targeting under-served communities in the Company’s US operating areas, and (v) and other key achievements such as the re-financing of the Company’s main credit facility. For 2023, for the then-Chief Executive Officer and Chief Financial Officer, the Committee also took into consideration the work around ensuring a successful transition of their roles to their respective successors.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Justin Benincasa, our Chief Financial Officer through March 17, 2024, was paid an annual bonus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$315,000 or 100% of his 2023 annual target bonus opportunity. The Compensation Committee noted, among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things, in recognizing his performance for the 2023 year: (i) the successful re-financing of debt</w:t>
      </w:r>
    </w:p>
    <w:p>
      <w:pPr>
        <w:ind w:left="1260"/>
        <w:spacing w:after="0"/>
        <w:rPr>
          <w:sz w:val="20"/>
          <w:szCs w:val="20"/>
          <w:color w:val="auto"/>
        </w:rPr>
      </w:pPr>
      <w:r>
        <w:rPr>
          <w:rFonts w:ascii="Times New Roman" w:cs="Times New Roman" w:eastAsia="Times New Roman" w:hAnsi="Times New Roman"/>
          <w:sz w:val="18"/>
          <w:szCs w:val="18"/>
          <w:color w:val="auto"/>
        </w:rPr>
        <w:t>facilities and (ii) his work towards certain cost reduction actions at the Company.</w:t>
      </w:r>
    </w:p>
    <w:p>
      <w:pPr>
        <w:spacing w:after="0" w:line="12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Brad Martin, our Chief Operating Officer through December 31, 2023 and Chief Executive Officer effective January 1, 2024, was paid an annual bonus of $288,750, or 100% of his annual bonus opportunity for 2023 in his role of Chief Operating Officer. Among other things, the Compensation Committee considered: (i) his operational leadership of the execution of several major projects, (ii) his role in ensuring leadership transitions at several critical subsidiaries, and (iii) his increased responsibilities in the year in transitioning to his upcoming role as Chief Executive Officer.</w:t>
      </w:r>
    </w:p>
    <w:p>
      <w:pPr>
        <w:spacing w:after="0" w:line="9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Mary Mabey, our Senior Vice President and General Counsel, was paid an annual bonus of $172,545, or 86% of her 2023 annual target bonus opportunity, reflecting her work leading internal and external legal teams on a number of major initiatives including strategic integration, oversight and closure of large commercial contracts, and also took into consideration certain other matters not optimally executed.</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Justin Leon, Senior Vice President of Corporate Development, was paid $126,701, or 99% of his 2023 annual target bonus opportunity, reflecting his leadership on the execution on internal strategic and financial objectives.</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Equity Awards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Under our 2023 Plan, we may grant stock options, restricted stock and other equity awards to our directors, consultants and employees, including our named executive officers. Awards made under the 2023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2023 Plan. Our Chief Executive Officer also has authority to make limited grants under the 2023 Plan to employees of the Company.</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to annual equity awards to our officers, from time to time we may grant significant equity compensation in connection with the hiring of named executive officers. For new hires, the awards typically are made at the next regularly scheduled Compensation Committee meeting following the hire or promotion. In March 2024, Mr. Martin’s annual equity award was increased to $1,461,322 in connection with his promotion to Chief Executive Officer in January 2024.</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general, we have awarded restricted stock and stock options with time-based vesting schedules of four years, and, in the case of vested stock options, having an exercise period of 10 years while employed by the Company. Since 2013, the majority of the equity awards granted by the Compensation Committee have been in the form of restricted stock, restricted stock units, and performance stock units and the Compensation Committee has not granted option awards to our named executive officers during that period.</w:t>
      </w:r>
    </w:p>
    <w:p>
      <w:pPr>
        <w:spacing w:after="0" w:line="110"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In keeping with its practice initiated in 2021, the equity compensation awarded to each executive officer by the Compensation Committee in March 2024 was composed of half performance-vested stock units (based on target level of performance) and half restricted stock units. As in the past, the restricted stock units vest ratably over four years on each anniversary of the grant date. The performance-vested stock units vest after the end of the three- 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terms of our performance-vested stock unit award agreement, the Company issued a target number of performance-vested stock units on March 12, 2024, with the actual number of performance-vested stock units earned to be determined by comparing the Company’s total stockholder return (“TSR”) over a three-year period ending March 12, 2027 to the total shareholder return of the Russell 2000 Index for the same period. The relative performance is calculated based on the average closing prices for the 40-day trading period immediately preceding and including each of the first and last days of the three-year performance period ending on March 12, 2027.</w:t>
      </w:r>
    </w:p>
    <w:p>
      <w:pPr>
        <w:spacing w:after="0" w:line="10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actual number of shares to be issued upon vesting of the performance-vested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outperformance. Subject to requirements relating to continued employment with the Company through the last day of the performance period ending on March 12, 2027, and to special vesting provisions in case of a change of control, death, disability or retirement, the shares will be delivered on the date (which will be no later than March 12, 2028) that the Compensation Committee makes the determination of the Company’s performance relative to the Russell 2000 Index.</w:t>
      </w:r>
    </w:p>
    <w:p>
      <w:pPr>
        <w:spacing w:after="0" w:line="127"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awarding equity grants, the Compensation Committee typically reviews and approves an award based on the estimated grant date value of the award, and then determines the actual number of shares underlying such award based on the then-current share price. In keeping with its practice adopted in 2020, after noting the fairly wide swings in share prices that occurred in the weeks leading up to the equity award</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determination and similar movements in previous years, the Compensation Committee determined the number of restricted stock units (“RSUs”) and performance-vested stock units (“PSUs”) to award each recipient by reference to the average closing price for the Company’s common stock for the 20 trading days up to and including the Friday in advance of the Compensation Committee’s meeting during the subsequent week. For grants made on March 12, 2024 for 2023 performance, this amount was $34.53 per share, and for grants made on March 7, 2023 for 2022 performance, this amount was $45.13 per share. The Compensation Committee believes that this practice is a fair manner of dealing with the positive or negative impact of short term movements in the Company’s share price.</w:t>
      </w:r>
    </w:p>
    <w:p>
      <w:pPr>
        <w:spacing w:after="0" w:line="11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total number of equity compensation awards and value of the awards, utilizing the 20-trading day average per share, for grants made in each of the 2024 and 2023 years to named executive officers, is set forth below. While the number of PSUs below was determined utilizing the 20-trading day average per share price referenced above, the actual grant date value of such PSUs is determined based on a Monte Carlo simulation, due to its performance vesting requirements.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40" w:type="dxa"/>
            <w:vAlign w:val="bottom"/>
          </w:tcPr>
          <w:p>
            <w:pPr>
              <w:spacing w:after="0"/>
              <w:rPr>
                <w:sz w:val="14"/>
                <w:szCs w:val="14"/>
                <w:color w:val="auto"/>
              </w:rPr>
            </w:pPr>
          </w:p>
        </w:tc>
        <w:tc>
          <w:tcPr>
            <w:tcW w:w="72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PSU</w:t>
            </w:r>
          </w:p>
        </w:tc>
        <w:tc>
          <w:tcPr>
            <w:tcW w:w="100" w:type="dxa"/>
            <w:vAlign w:val="bottom"/>
          </w:tcPr>
          <w:p>
            <w:pPr>
              <w:spacing w:after="0"/>
              <w:rPr>
                <w:sz w:val="14"/>
                <w:szCs w:val="14"/>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20" w:type="dxa"/>
            <w:vAlign w:val="bottom"/>
          </w:tcPr>
          <w:p>
            <w:pPr>
              <w:spacing w:after="0"/>
              <w:rPr>
                <w:sz w:val="14"/>
                <w:szCs w:val="14"/>
                <w:color w:val="auto"/>
              </w:rPr>
            </w:pPr>
          </w:p>
        </w:tc>
        <w:tc>
          <w:tcPr>
            <w:tcW w:w="90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6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PSU Awards</w:t>
            </w:r>
          </w:p>
        </w:tc>
      </w:t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RSU Awards</w:t>
            </w:r>
          </w:p>
        </w:tc>
        <w:tc>
          <w:tcPr>
            <w:tcW w:w="86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(at target)</w:t>
            </w:r>
          </w:p>
        </w:tc>
        <w:tc>
          <w:tcPr>
            <w:tcW w:w="10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6"/>
              </w:rPr>
              <w:t>(at target)</w:t>
            </w:r>
          </w:p>
        </w:tc>
      </w:tr>
      <w:tr>
        <w:trPr>
          <w:trHeight w:val="190"/>
        </w:trPr>
        <w:tc>
          <w:tcPr>
            <w:tcW w:w="1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6"/>
                <w:szCs w:val="16"/>
                <w:color w:val="auto"/>
              </w:rPr>
            </w:pPr>
          </w:p>
        </w:tc>
        <w:tc>
          <w:tcPr>
            <w:tcW w:w="4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1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21,720</w:t>
            </w: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$706,986</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21,720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59" w:lineRule="exact"/>
              <w:rPr>
                <w:sz w:val="20"/>
                <w:szCs w:val="20"/>
                <w:color w:val="auto"/>
              </w:rPr>
            </w:pPr>
            <w:r>
              <w:rPr>
                <w:rFonts w:ascii="Times New Roman" w:cs="Times New Roman" w:eastAsia="Times New Roman" w:hAnsi="Times New Roman"/>
                <w:sz w:val="16"/>
                <w:szCs w:val="16"/>
                <w:color w:val="auto"/>
                <w:w w:val="82"/>
              </w:rPr>
              <w:t>​</w:t>
            </w:r>
            <w:r>
              <w:rPr>
                <w:rFonts w:ascii="Times New Roman" w:cs="Times New Roman" w:eastAsia="Times New Roman" w:hAnsi="Times New Roman"/>
                <w:sz w:val="29"/>
                <w:szCs w:val="29"/>
                <w:color w:val="auto"/>
                <w:w w:val="82"/>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754,336</w:t>
            </w:r>
          </w:p>
        </w:tc>
      </w:tr>
      <w:tr>
        <w:trPr>
          <w:trHeight w:val="302"/>
        </w:trPr>
        <w:tc>
          <w:tcPr>
            <w:tcW w:w="19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2023</w:t>
            </w: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22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25,000</w:t>
            </w:r>
          </w:p>
        </w:tc>
        <w:tc>
          <w:tcPr>
            <w:tcW w:w="1020" w:type="dxa"/>
            <w:vAlign w:val="bottom"/>
            <w:gridSpan w:val="3"/>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 xml:space="preserve">$998,500 </w:t>
            </w:r>
            <w:r>
              <w:rPr>
                <w:rFonts w:ascii="Times New Roman" w:cs="Times New Roman" w:eastAsia="Times New Roman" w:hAnsi="Times New Roman"/>
                <w:sz w:val="34"/>
                <w:szCs w:val="34"/>
                <w:color w:val="auto"/>
                <w:vertAlign w:val="superscript"/>
                <w:shd w:val="clear" w:color="auto" w:fill="CCEEFF"/>
              </w:rPr>
              <w:t>​</w:t>
            </w:r>
          </w:p>
        </w:tc>
        <w:tc>
          <w:tcPr>
            <w:tcW w:w="860" w:type="dxa"/>
            <w:vAlign w:val="bottom"/>
            <w:gridSpan w:val="3"/>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 xml:space="preserve">25,000 </w:t>
            </w:r>
            <w:r>
              <w:rPr>
                <w:rFonts w:ascii="Times New Roman" w:cs="Times New Roman" w:eastAsia="Times New Roman" w:hAnsi="Times New Roman"/>
                <w:sz w:val="34"/>
                <w:szCs w:val="34"/>
                <w:color w:val="auto"/>
                <w:vertAlign w:val="superscript"/>
                <w:shd w:val="clear" w:color="auto" w:fill="CCEEFF"/>
              </w:rPr>
              <w:t>​</w:t>
            </w:r>
          </w:p>
        </w:tc>
        <w:tc>
          <w:tcPr>
            <w:tcW w:w="820" w:type="dxa"/>
            <w:vAlign w:val="bottom"/>
            <w:gridSpan w:val="2"/>
            <w:shd w:val="clear" w:color="auto" w:fill="CCEEFF"/>
          </w:tcPr>
          <w:p>
            <w:pPr>
              <w:jc w:val="right"/>
              <w:spacing w:after="0" w:line="302" w:lineRule="exact"/>
              <w:rPr>
                <w:sz w:val="20"/>
                <w:szCs w:val="20"/>
                <w:color w:val="auto"/>
              </w:rPr>
            </w:pPr>
            <w:r>
              <w:rPr>
                <w:rFonts w:ascii="Times New Roman" w:cs="Times New Roman" w:eastAsia="Times New Roman" w:hAnsi="Times New Roman"/>
                <w:sz w:val="34"/>
                <w:szCs w:val="34"/>
                <w:color w:val="auto"/>
                <w:w w:val="98"/>
                <w:vertAlign w:val="superscript"/>
                <w:shd w:val="clear" w:color="auto" w:fill="CCEEFF"/>
              </w:rPr>
              <w:t>​</w:t>
            </w:r>
            <w:r>
              <w:rPr>
                <w:rFonts w:ascii="Times New Roman" w:cs="Times New Roman" w:eastAsia="Times New Roman" w:hAnsi="Times New Roman"/>
                <w:sz w:val="18"/>
                <w:szCs w:val="18"/>
                <w:color w:val="auto"/>
                <w:w w:val="98"/>
                <w:shd w:val="clear" w:color="auto" w:fill="CCEEFF"/>
              </w:rPr>
              <w:t>$1,127,500</w:t>
            </w:r>
          </w:p>
        </w:tc>
      </w:tr>
      <w:tr>
        <w:trPr>
          <w:trHeight w:val="26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W. Martin(2)</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3"/>
                <w:szCs w:val="23"/>
                <w:color w:val="auto"/>
              </w:rPr>
            </w:pPr>
          </w:p>
        </w:tc>
        <w:tc>
          <w:tcPr>
            <w:tcW w:w="740" w:type="dxa"/>
            <w:vAlign w:val="bottom"/>
            <w:gridSpan w:val="3"/>
          </w:tcPr>
          <w:p>
            <w:pPr>
              <w:jc w:val="right"/>
              <w:ind w:right="2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21,720</w:t>
            </w:r>
          </w:p>
        </w:tc>
        <w:tc>
          <w:tcPr>
            <w:tcW w:w="1020" w:type="dxa"/>
            <w:vAlign w:val="bottom"/>
            <w:gridSpan w:val="3"/>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$706,986 </w:t>
            </w:r>
            <w:r>
              <w:rPr>
                <w:rFonts w:ascii="Times New Roman" w:cs="Times New Roman" w:eastAsia="Times New Roman" w:hAnsi="Times New Roman"/>
                <w:sz w:val="30"/>
                <w:szCs w:val="30"/>
                <w:color w:val="auto"/>
                <w:vertAlign w:val="superscript"/>
              </w:rPr>
              <w:t>​</w:t>
            </w:r>
          </w:p>
        </w:tc>
        <w:tc>
          <w:tcPr>
            <w:tcW w:w="860" w:type="dxa"/>
            <w:vAlign w:val="bottom"/>
            <w:gridSpan w:val="3"/>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21,720 </w:t>
            </w:r>
            <w:r>
              <w:rPr>
                <w:rFonts w:ascii="Times New Roman" w:cs="Times New Roman" w:eastAsia="Times New Roman" w:hAnsi="Times New Roman"/>
                <w:sz w:val="30"/>
                <w:szCs w:val="30"/>
                <w:color w:val="auto"/>
                <w:vertAlign w:val="superscript"/>
              </w:rPr>
              <w:t>​</w:t>
            </w:r>
          </w:p>
        </w:tc>
        <w:tc>
          <w:tcPr>
            <w:tcW w:w="100" w:type="dxa"/>
            <w:vAlign w:val="bottom"/>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754,336</w:t>
            </w:r>
          </w:p>
        </w:tc>
      </w:tr>
      <w:tr>
        <w:trPr>
          <w:trHeight w:val="302"/>
        </w:trPr>
        <w:tc>
          <w:tcPr>
            <w:tcW w:w="1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4"/>
                <w:szCs w:val="24"/>
                <w:color w:val="auto"/>
              </w:rPr>
            </w:pPr>
          </w:p>
        </w:tc>
        <w:tc>
          <w:tcPr>
            <w:tcW w:w="740" w:type="dxa"/>
            <w:vAlign w:val="bottom"/>
            <w:gridSpan w:val="3"/>
          </w:tcPr>
          <w:p>
            <w:pPr>
              <w:jc w:val="right"/>
              <w:ind w:right="2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11,000</w:t>
            </w:r>
          </w:p>
        </w:tc>
        <w:tc>
          <w:tcPr>
            <w:tcW w:w="102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$439,340 </w:t>
            </w:r>
            <w:r>
              <w:rPr>
                <w:rFonts w:ascii="Times New Roman" w:cs="Times New Roman" w:eastAsia="Times New Roman" w:hAnsi="Times New Roman"/>
                <w:sz w:val="34"/>
                <w:szCs w:val="34"/>
                <w:color w:val="auto"/>
                <w:vertAlign w:val="superscript"/>
              </w:rPr>
              <w:t>​</w:t>
            </w:r>
          </w:p>
        </w:tc>
        <w:tc>
          <w:tcPr>
            <w:tcW w:w="86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11,000 </w:t>
            </w:r>
            <w:r>
              <w:rPr>
                <w:rFonts w:ascii="Times New Roman" w:cs="Times New Roman" w:eastAsia="Times New Roman" w:hAnsi="Times New Roman"/>
                <w:sz w:val="34"/>
                <w:szCs w:val="34"/>
                <w:color w:val="auto"/>
                <w:vertAlign w:val="superscript"/>
              </w:rPr>
              <w:t>​</w:t>
            </w:r>
          </w:p>
        </w:tc>
        <w:tc>
          <w:tcPr>
            <w:tcW w:w="100" w:type="dxa"/>
            <w:vAlign w:val="bottom"/>
          </w:tcPr>
          <w:p>
            <w:pPr>
              <w:spacing w:after="0" w:line="302" w:lineRule="exact"/>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4"/>
                <w:szCs w:val="34"/>
                <w:color w:val="auto"/>
                <w:w w:val="70"/>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496,100</w:t>
            </w:r>
          </w:p>
        </w:tc>
      </w:tr>
      <w:tr>
        <w:trPr>
          <w:trHeight w:val="26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 Benincasa(3)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2"/>
        </w:trPr>
        <w:tc>
          <w:tcPr>
            <w:tcW w:w="19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2023</w:t>
            </w: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22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11,000</w:t>
            </w:r>
          </w:p>
        </w:tc>
        <w:tc>
          <w:tcPr>
            <w:tcW w:w="1020" w:type="dxa"/>
            <w:vAlign w:val="bottom"/>
            <w:gridSpan w:val="3"/>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 xml:space="preserve">$439,340 </w:t>
            </w:r>
            <w:r>
              <w:rPr>
                <w:rFonts w:ascii="Times New Roman" w:cs="Times New Roman" w:eastAsia="Times New Roman" w:hAnsi="Times New Roman"/>
                <w:sz w:val="34"/>
                <w:szCs w:val="34"/>
                <w:color w:val="auto"/>
                <w:vertAlign w:val="superscript"/>
                <w:shd w:val="clear" w:color="auto" w:fill="CCEEFF"/>
              </w:rPr>
              <w:t>​</w:t>
            </w:r>
          </w:p>
        </w:tc>
        <w:tc>
          <w:tcPr>
            <w:tcW w:w="860" w:type="dxa"/>
            <w:vAlign w:val="bottom"/>
            <w:gridSpan w:val="3"/>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 xml:space="preserve">11,000 </w:t>
            </w:r>
            <w:r>
              <w:rPr>
                <w:rFonts w:ascii="Times New Roman" w:cs="Times New Roman" w:eastAsia="Times New Roman" w:hAnsi="Times New Roman"/>
                <w:sz w:val="34"/>
                <w:szCs w:val="34"/>
                <w:color w:val="auto"/>
                <w:vertAlign w:val="superscript"/>
                <w:shd w:val="clear" w:color="auto" w:fill="CCEEFF"/>
              </w:rPr>
              <w:t>​</w:t>
            </w:r>
          </w:p>
        </w:tc>
        <w:tc>
          <w:tcPr>
            <w:tcW w:w="100" w:type="dxa"/>
            <w:vAlign w:val="bottom"/>
            <w:shd w:val="clear" w:color="auto" w:fill="CCEEFF"/>
          </w:tcPr>
          <w:p>
            <w:pPr>
              <w:spacing w:after="0" w:line="302" w:lineRule="exact"/>
              <w:rPr>
                <w:sz w:val="20"/>
                <w:szCs w:val="20"/>
                <w:color w:val="auto"/>
              </w:rPr>
            </w:pPr>
            <w:r>
              <w:rPr>
                <w:rFonts w:ascii="Times New Roman" w:cs="Times New Roman" w:eastAsia="Times New Roman" w:hAnsi="Times New Roman"/>
                <w:sz w:val="18"/>
                <w:szCs w:val="18"/>
                <w:color w:val="auto"/>
                <w:w w:val="70"/>
                <w:shd w:val="clear" w:color="auto" w:fill="CCEEFF"/>
              </w:rPr>
              <w:t>​</w:t>
            </w:r>
            <w:r>
              <w:rPr>
                <w:rFonts w:ascii="Times New Roman" w:cs="Times New Roman" w:eastAsia="Times New Roman" w:hAnsi="Times New Roman"/>
                <w:sz w:val="34"/>
                <w:szCs w:val="34"/>
                <w:color w:val="auto"/>
                <w:w w:val="70"/>
                <w:vertAlign w:val="subscript"/>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496,100</w:t>
            </w:r>
          </w:p>
        </w:tc>
      </w:tr>
      <w:tr>
        <w:trPr>
          <w:trHeight w:val="26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3"/>
                <w:szCs w:val="23"/>
                <w:color w:val="auto"/>
              </w:rPr>
            </w:pPr>
          </w:p>
        </w:tc>
        <w:tc>
          <w:tcPr>
            <w:tcW w:w="740" w:type="dxa"/>
            <w:vAlign w:val="bottom"/>
            <w:gridSpan w:val="3"/>
          </w:tcPr>
          <w:p>
            <w:pPr>
              <w:jc w:val="right"/>
              <w:ind w:right="2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10,140</w:t>
            </w:r>
          </w:p>
        </w:tc>
        <w:tc>
          <w:tcPr>
            <w:tcW w:w="1020" w:type="dxa"/>
            <w:vAlign w:val="bottom"/>
            <w:gridSpan w:val="3"/>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$330,057 </w:t>
            </w:r>
            <w:r>
              <w:rPr>
                <w:rFonts w:ascii="Times New Roman" w:cs="Times New Roman" w:eastAsia="Times New Roman" w:hAnsi="Times New Roman"/>
                <w:sz w:val="30"/>
                <w:szCs w:val="30"/>
                <w:color w:val="auto"/>
                <w:vertAlign w:val="superscript"/>
              </w:rPr>
              <w:t>​</w:t>
            </w:r>
          </w:p>
        </w:tc>
        <w:tc>
          <w:tcPr>
            <w:tcW w:w="860" w:type="dxa"/>
            <w:vAlign w:val="bottom"/>
            <w:gridSpan w:val="3"/>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10,140 </w:t>
            </w:r>
            <w:r>
              <w:rPr>
                <w:rFonts w:ascii="Times New Roman" w:cs="Times New Roman" w:eastAsia="Times New Roman" w:hAnsi="Times New Roman"/>
                <w:sz w:val="30"/>
                <w:szCs w:val="30"/>
                <w:color w:val="auto"/>
                <w:vertAlign w:val="superscript"/>
              </w:rPr>
              <w:t>​</w:t>
            </w:r>
          </w:p>
        </w:tc>
        <w:tc>
          <w:tcPr>
            <w:tcW w:w="100" w:type="dxa"/>
            <w:vAlign w:val="bottom"/>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352,162</w:t>
            </w:r>
          </w:p>
        </w:tc>
      </w:tr>
      <w:tr>
        <w:trPr>
          <w:trHeight w:val="302"/>
        </w:trPr>
        <w:tc>
          <w:tcPr>
            <w:tcW w:w="1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4"/>
                <w:szCs w:val="24"/>
                <w:color w:val="auto"/>
              </w:rPr>
            </w:pPr>
          </w:p>
        </w:tc>
        <w:tc>
          <w:tcPr>
            <w:tcW w:w="740" w:type="dxa"/>
            <w:vAlign w:val="bottom"/>
            <w:gridSpan w:val="3"/>
          </w:tcPr>
          <w:p>
            <w:pPr>
              <w:jc w:val="right"/>
              <w:ind w:right="2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6,600</w:t>
            </w:r>
          </w:p>
        </w:tc>
        <w:tc>
          <w:tcPr>
            <w:tcW w:w="102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$263,600 </w:t>
            </w:r>
            <w:r>
              <w:rPr>
                <w:rFonts w:ascii="Times New Roman" w:cs="Times New Roman" w:eastAsia="Times New Roman" w:hAnsi="Times New Roman"/>
                <w:sz w:val="34"/>
                <w:szCs w:val="34"/>
                <w:color w:val="auto"/>
                <w:vertAlign w:val="superscript"/>
              </w:rPr>
              <w:t>​</w:t>
            </w:r>
          </w:p>
        </w:tc>
        <w:tc>
          <w:tcPr>
            <w:tcW w:w="86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6,600 </w:t>
            </w:r>
            <w:r>
              <w:rPr>
                <w:rFonts w:ascii="Times New Roman" w:cs="Times New Roman" w:eastAsia="Times New Roman" w:hAnsi="Times New Roman"/>
                <w:sz w:val="34"/>
                <w:szCs w:val="34"/>
                <w:color w:val="auto"/>
                <w:vertAlign w:val="superscript"/>
              </w:rPr>
              <w:t>​</w:t>
            </w:r>
          </w:p>
        </w:tc>
        <w:tc>
          <w:tcPr>
            <w:tcW w:w="100" w:type="dxa"/>
            <w:vAlign w:val="bottom"/>
          </w:tcPr>
          <w:p>
            <w:pPr>
              <w:spacing w:after="0" w:line="302" w:lineRule="exact"/>
              <w:rPr>
                <w:sz w:val="20"/>
                <w:szCs w:val="20"/>
                <w:color w:val="auto"/>
              </w:rPr>
            </w:pPr>
            <w:r>
              <w:rPr>
                <w:rFonts w:ascii="Times New Roman" w:cs="Times New Roman" w:eastAsia="Times New Roman" w:hAnsi="Times New Roman"/>
                <w:sz w:val="34"/>
                <w:szCs w:val="34"/>
                <w:color w:val="auto"/>
                <w:w w:val="88"/>
                <w:vertAlign w:val="superscript"/>
              </w:rPr>
              <w:t>​</w:t>
            </w: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297,660</w:t>
            </w:r>
          </w:p>
        </w:tc>
      </w:tr>
      <w:tr>
        <w:trPr>
          <w:trHeight w:val="265"/>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shd w:val="clear" w:color="auto" w:fill="CCEEFF"/>
          </w:tcPr>
          <w:p>
            <w:pPr>
              <w:spacing w:after="0"/>
              <w:rPr>
                <w:sz w:val="23"/>
                <w:szCs w:val="23"/>
                <w:color w:val="auto"/>
              </w:rPr>
            </w:pPr>
          </w:p>
        </w:tc>
        <w:tc>
          <w:tcPr>
            <w:tcW w:w="740" w:type="dxa"/>
            <w:vAlign w:val="bottom"/>
            <w:gridSpan w:val="3"/>
            <w:shd w:val="clear" w:color="auto" w:fill="CCEEFF"/>
          </w:tcPr>
          <w:p>
            <w:pPr>
              <w:jc w:val="right"/>
              <w:ind w:right="2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8,692</w:t>
            </w:r>
          </w:p>
        </w:tc>
        <w:tc>
          <w:tcPr>
            <w:tcW w:w="1020" w:type="dxa"/>
            <w:vAlign w:val="bottom"/>
            <w:gridSpan w:val="3"/>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$282,925 </w:t>
            </w:r>
            <w:r>
              <w:rPr>
                <w:rFonts w:ascii="Times New Roman" w:cs="Times New Roman" w:eastAsia="Times New Roman" w:hAnsi="Times New Roman"/>
                <w:sz w:val="30"/>
                <w:szCs w:val="30"/>
                <w:color w:val="auto"/>
                <w:vertAlign w:val="superscript"/>
              </w:rPr>
              <w:t>​</w:t>
            </w:r>
          </w:p>
        </w:tc>
        <w:tc>
          <w:tcPr>
            <w:tcW w:w="860" w:type="dxa"/>
            <w:vAlign w:val="bottom"/>
            <w:gridSpan w:val="3"/>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8,692 </w:t>
            </w:r>
            <w:r>
              <w:rPr>
                <w:rFonts w:ascii="Times New Roman" w:cs="Times New Roman" w:eastAsia="Times New Roman" w:hAnsi="Times New Roman"/>
                <w:sz w:val="30"/>
                <w:szCs w:val="30"/>
                <w:color w:val="auto"/>
                <w:vertAlign w:val="superscript"/>
              </w:rPr>
              <w:t>​</w:t>
            </w:r>
          </w:p>
        </w:tc>
        <w:tc>
          <w:tcPr>
            <w:tcW w:w="10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300,135</w:t>
            </w:r>
          </w:p>
        </w:tc>
      </w:tr>
      <w:tr>
        <w:trPr>
          <w:trHeight w:val="369"/>
        </w:trPr>
        <w:tc>
          <w:tcPr>
            <w:tcW w:w="19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22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5,500</w:t>
            </w:r>
          </w:p>
        </w:tc>
        <w:tc>
          <w:tcPr>
            <w:tcW w:w="1020" w:type="dxa"/>
            <w:vAlign w:val="bottom"/>
            <w:gridSpan w:val="3"/>
            <w:shd w:val="clear" w:color="auto" w:fill="CCEEFF"/>
          </w:tcPr>
          <w:p>
            <w:pPr>
              <w:jc w:val="right"/>
              <w:ind w:right="9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$219,670 </w:t>
            </w:r>
            <w:r>
              <w:rPr>
                <w:rFonts w:ascii="Times New Roman" w:cs="Times New Roman" w:eastAsia="Times New Roman" w:hAnsi="Times New Roman"/>
                <w:sz w:val="35"/>
                <w:szCs w:val="35"/>
                <w:color w:val="auto"/>
                <w:vertAlign w:val="superscript"/>
              </w:rPr>
              <w:t>​</w:t>
            </w:r>
          </w:p>
        </w:tc>
        <w:tc>
          <w:tcPr>
            <w:tcW w:w="860" w:type="dxa"/>
            <w:vAlign w:val="bottom"/>
            <w:gridSpan w:val="3"/>
            <w:shd w:val="clear" w:color="auto" w:fill="CCEEFF"/>
          </w:tcPr>
          <w:p>
            <w:pPr>
              <w:jc w:val="right"/>
              <w:ind w:right="9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5,500 </w:t>
            </w:r>
            <w:r>
              <w:rPr>
                <w:rFonts w:ascii="Times New Roman" w:cs="Times New Roman" w:eastAsia="Times New Roman" w:hAnsi="Times New Roman"/>
                <w:sz w:val="35"/>
                <w:szCs w:val="35"/>
                <w:color w:val="auto"/>
                <w:vertAlign w:val="superscript"/>
              </w:rPr>
              <w:t>​</w:t>
            </w:r>
          </w:p>
        </w:tc>
        <w:tc>
          <w:tcPr>
            <w:tcW w:w="100" w:type="dxa"/>
            <w:vAlign w:val="bottom"/>
            <w:shd w:val="clear" w:color="auto" w:fill="CCEEFF"/>
          </w:tcPr>
          <w:p>
            <w:pPr>
              <w:spacing w:after="0" w:line="369" w:lineRule="exact"/>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4"/>
                <w:szCs w:val="34"/>
                <w:color w:val="auto"/>
                <w:w w:val="70"/>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248,050</w:t>
            </w:r>
          </w:p>
        </w:tc>
      </w:tr>
      <w:tr>
        <w:trPr>
          <w:trHeight w:val="216"/>
        </w:trPr>
        <w:tc>
          <w:tcPr>
            <w:tcW w:w="1940" w:type="dxa"/>
            <w:vAlign w:val="bottom"/>
            <w:tcBorders>
              <w:bottom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-1996440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-1996440</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-1996440</wp:posOffset>
            </wp:positionV>
            <wp:extent cx="3488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7" w:lineRule="exact"/>
        <w:rPr>
          <w:sz w:val="20"/>
          <w:szCs w:val="20"/>
          <w:color w:val="auto"/>
        </w:rPr>
      </w:pPr>
    </w:p>
    <w:p>
      <w:pPr>
        <w:ind w:left="1620" w:right="499" w:hanging="360"/>
        <w:spacing w:after="0" w:line="28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Prior served as Chief Executive Officer through December 31, 2023, and effective January 1, 2024 became Executive Chairman.</w:t>
      </w:r>
    </w:p>
    <w:p>
      <w:pPr>
        <w:spacing w:after="0" w:line="1" w:lineRule="exact"/>
        <w:rPr>
          <w:rFonts w:ascii="Times New Roman" w:cs="Times New Roman" w:eastAsia="Times New Roman" w:hAnsi="Times New Roman"/>
          <w:sz w:val="18"/>
          <w:szCs w:val="18"/>
          <w:color w:val="auto"/>
        </w:rPr>
      </w:pPr>
    </w:p>
    <w:p>
      <w:pPr>
        <w:ind w:left="1620" w:right="419" w:hanging="360"/>
        <w:spacing w:after="0" w:line="28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served as Chief Operating Officer through December 31, 2023, and became Chief Executive Officer on January 1, 2024.</w:t>
      </w:r>
    </w:p>
    <w:p>
      <w:pPr>
        <w:spacing w:after="0" w:line="1"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Benincasa served as Chief Financial Officer through March 17, 2024 and did not receive an equity award in 2024.</w:t>
      </w:r>
    </w:p>
    <w:p>
      <w:pPr>
        <w:spacing w:after="0" w:line="8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approving the annual cash bonus and equity incentive awards, the Compensation Committee assesses the risks associated with the adoption of these awards, including the performance measures and goals for the awards, and concluded that the equity awards described above would not be likely to encourage excessive risk taking, as the restricted stock unit awards typically vest ratably over a period of four years and the performance-vested stock unit awards have a cliff vesting period of three years. While the Compensation Committee believes it is an important policy of the Board to seek to keep the aggregate shares underlying outstanding stock options, unvested restricted stock, unvested restricted stock units, and unvested performance -vested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Retirement, Benefits and Other Arrangements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2008, we adopted a deferred compensation plan for our then-existing executives. This plan is intended to provide retirement income to certain of our executives, including some of our named executive officers (who were executives at the time the plan was adopted). Following Mr. Benincasa’s retirement in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 xml:space="preserve">March 2024, Mr. Prior is the only named executive officer who is a participant in this deferred compensation plan. The plan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on behalf of the executive. In addition to these quarterly credits, although we have historically not done so, we may make additional credits in our sole discretion. See the description of the deferred compensation plan under the caption </w:t>
      </w:r>
      <w:r>
        <w:rPr>
          <w:rFonts w:ascii="Times New Roman" w:cs="Times New Roman" w:eastAsia="Times New Roman" w:hAnsi="Times New Roman"/>
          <w:sz w:val="18"/>
          <w:szCs w:val="18"/>
          <w:i w:val="1"/>
          <w:iCs w:val="1"/>
          <w:color w:val="auto"/>
        </w:rPr>
        <w:t xml:space="preserve">Non-Qualified Deferred Compensation Plan </w:t>
      </w:r>
      <w:r>
        <w:rPr>
          <w:rFonts w:ascii="Times New Roman" w:cs="Times New Roman" w:eastAsia="Times New Roman" w:hAnsi="Times New Roman"/>
          <w:sz w:val="18"/>
          <w:szCs w:val="18"/>
          <w:color w:val="auto"/>
        </w:rPr>
        <w:t>for additional information regarding the deferred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Executives hired after 2008 do not participate in this plan. Except for this plan, our named executive officers currently do not receive any benefits, including retirement, medical and dental, life and disability insurance, that are not also available to all of our employees.</w:t>
      </w:r>
    </w:p>
    <w:p>
      <w:pPr>
        <w:spacing w:after="0" w:line="343"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terms of our PSU agreements provide for continued vesting following the eligible retirement of a participant. To qualify for this continued vesting of any PSU grant, a participant must retire no earlier than six months following the date of PSU grant, must be at least 55 years of age, and must have provided at least ten years of service to the Company. In connection with his retirement in March 2024, Mr. Benincasa is eligible to continue to receive continued vesting of his PSU grants made in March 2022 and March 2023, which are scheduled to vest, respectively, in March 2025 and March 2026.</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Severance Agreements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In March 2023, we entered into amended executive agreements with each of our named executive officers that provide severance benefits, and in January 2024, Mr. Martin entered into an amended executive agreement with respect to his promotion to Chief Executive Officer.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one and a half times his or her base salary) and (ii) COBRA continuation coverage at a rate equal to the rate paid by active employees during the twelve months following the termination (eighteen months in the case of the Chief Executive Officer). In the event of a termination by the Company without “cause” or by the executive for “good reason” within the period commencing three months prior to and ending or twelve months (eighteen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for the twelve months following the termination (eighteen months in the case of the Chief Executive Officer), and (iv) the immediate vesting of all restricted stock, restricted stock units, performance-vested stock units or stock options held by such executive.</w:t>
      </w: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w:t>
      </w:r>
    </w:p>
    <w:p>
      <w:pPr>
        <w:sectPr>
          <w:pgSz w:w="11900" w:h="16838" w:orient="portrait"/>
          <w:cols w:equalWidth="0" w:num="1">
            <w:col w:w="9879"/>
          </w:cols>
          <w:pgMar w:left="580" w:top="97" w:right="1440" w:bottom="1440" w:gutter="0" w:footer="0" w:header="0"/>
        </w:sectPr>
      </w:pPr>
    </w:p>
    <w:p>
      <w:pPr>
        <w:spacing w:after="0" w:line="1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23056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other Executive Officers</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Non-Executive Directors</w:t>
      </w:r>
    </w:p>
    <w:p>
      <w:pPr>
        <w:spacing w:after="0" w:line="20" w:lineRule="exact"/>
        <w:rPr>
          <w:sz w:val="20"/>
          <w:szCs w:val="20"/>
          <w:color w:val="auto"/>
        </w:rPr>
      </w:pPr>
      <w:r>
        <w:rPr>
          <w:sz w:val="20"/>
          <w:szCs w:val="20"/>
          <w:color w:val="auto"/>
        </w:rPr>
        <w:br w:type="column"/>
      </w:r>
    </w:p>
    <w:p>
      <w:pPr>
        <w:ind w:left="109" w:hanging="109"/>
        <w:spacing w:after="0"/>
        <w:tabs>
          <w:tab w:leader="none" w:pos="109" w:val="left"/>
        </w:tabs>
        <w:numPr>
          <w:ilvl w:val="0"/>
          <w:numId w:val="3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Individual Guideline Level</w:t>
      </w:r>
    </w:p>
    <w:p>
      <w:pPr>
        <w:spacing w:after="0" w:line="49" w:lineRule="exact"/>
        <w:rPr>
          <w:rFonts w:ascii="Times New Roman" w:cs="Times New Roman" w:eastAsia="Times New Roman" w:hAnsi="Times New Roman"/>
          <w:sz w:val="29"/>
          <w:szCs w:val="29"/>
          <w:b w:val="1"/>
          <w:bCs w:val="1"/>
          <w:color w:val="auto"/>
          <w:vertAlign w:val="subscript"/>
        </w:rPr>
      </w:pPr>
    </w:p>
    <w:p>
      <w:pPr>
        <w:ind w:left="109" w:hanging="109"/>
        <w:spacing w:after="0" w:line="181" w:lineRule="auto"/>
        <w:tabs>
          <w:tab w:leader="none" w:pos="109" w:val="left"/>
        </w:tabs>
        <w:numPr>
          <w:ilvl w:val="0"/>
          <w:numId w:val="3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5x annual base salary</w:t>
      </w:r>
    </w:p>
    <w:p>
      <w:pPr>
        <w:ind w:left="109" w:hanging="109"/>
        <w:spacing w:after="0" w:line="181" w:lineRule="auto"/>
        <w:tabs>
          <w:tab w:leader="none" w:pos="109" w:val="left"/>
        </w:tabs>
        <w:numPr>
          <w:ilvl w:val="0"/>
          <w:numId w:val="3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2x annual base salary</w:t>
      </w:r>
    </w:p>
    <w:p>
      <w:pPr>
        <w:ind w:left="109" w:hanging="109"/>
        <w:spacing w:after="0" w:line="232" w:lineRule="auto"/>
        <w:tabs>
          <w:tab w:leader="none" w:pos="109" w:val="left"/>
        </w:tabs>
        <w:numPr>
          <w:ilvl w:val="0"/>
          <w:numId w:val="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2x annual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-597535</wp:posOffset>
            </wp:positionV>
            <wp:extent cx="230568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4" w:lineRule="exact"/>
        <w:rPr>
          <w:sz w:val="20"/>
          <w:szCs w:val="20"/>
          <w:color w:val="auto"/>
        </w:rPr>
      </w:pPr>
    </w:p>
    <w:p>
      <w:pPr>
        <w:sectPr>
          <w:pgSz w:w="11900" w:h="16838" w:orient="portrait"/>
          <w:cols w:equalWidth="0" w:num="3">
            <w:col w:w="4531" w:space="720"/>
            <w:col w:w="3129" w:space="720"/>
            <w:col w:w="779"/>
          </w:cols>
          <w:pgMar w:left="580" w:top="97"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“Target dollar value” generally is based on the number of (i) shares of common stock and (ii) aggregate vested shares of restricted stock units and performance-vested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performance-vested stock units, or unexercised stock options. The value is computed as of the last trading day of each fiscal year, based on the closing price of our common stock as reported on Nasdaq, rounded to the nearest 100 shares.</w:t>
      </w:r>
    </w:p>
    <w:p>
      <w:pPr>
        <w:spacing w:after="0" w:line="337"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Unless and until an executive officer or non-executive director has satisfied his or her applicable guideline level (and absent a waiver from the Compensation Committee),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stock options, stock appreciation rights) or (ii) satisfy any immediate withholding taxes arising in connection with the exercise, vesting or payment of an equity award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stock options, stock appreciation rights, restricted stock units, restricted stock).</w:t>
      </w:r>
    </w:p>
    <w:p>
      <w:pPr>
        <w:spacing w:after="0" w:line="327"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All of our executive officers and directors were in compliance with the policy as of December 31, 2023, however, Messrs. Doglioli, Hudson, Leon and Martin, and Mses. Henry, Jacobs and Mabey have not yet reached the ownership guideline.</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Executive Compensation Recoupment Program</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2023, the Company adopted two compensation recoupment policies applicable to all of our executive officers and certain other employees of the Company. The first policy, applicable only to executive officers (the “Executive Clawback Policy”), requires that, in the event the Company is required to prepare a Restatement (as defined in the Executive Clawback Policy), any excess incentive-based compensation that is received by an executive officer for the purposes of the Executive Clawback Policy during the three-year look back period and was based on erroneously reported achievement of a financial metric received be subject to recoupment. The Executive Clawback Policy is designed to satisfy applicable Nasdaq requirements and is attached as an exhibit to our Annual Report on Form 10-K.</w:t>
      </w:r>
    </w:p>
    <w:p>
      <w:pPr>
        <w:spacing w:after="0" w:line="111"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second policy (the “Officer Clawback Policy”), applicable to both executive and certain non-executive officers (as determined from time to time by the Compensation Committee), provides that the Committee may require the recoupment of any excess incentive-based compensation received by a covered individual during the three-year look-back in the event that the Company is required to prepare a Restatement (as defined in the Officer Clawback Policy) and the Committee determines that the covered individual engaged in misconduct related to the Restatement. In addition, the Officer Clawback Policy provides that any additional cash (which does not include salary payments) or equity compensation (including both time-based and performance-based equity awards) received by an executive or non-executive officer may be subject to recoupment, if in the determination of the Compensation Committee, such individual engaged in certain misconduct that is materially adverse to the financial condition, operations or reputation of the Company.</w:t>
      </w:r>
    </w:p>
    <w:p>
      <w:pPr>
        <w:spacing w:after="0" w:line="343"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Each Clawback Policy is intended to supplement, but not limit or constrain, any statutory or regulatory right or obligation of the Company to recover compensation from its employees (including, without limitation,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the requirements of the Sarbanes-Oxley Act of 2002 and Section 16(b) of the Securities Exchange Act of 1934, as amended (the “Exchange Act”)).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“Say on Pay” Advisory Approval of Executive Compensation</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At our 2023 Annual Meeting, stockholders voted on a non-binding and advisory basis, and the Board elected, to hold an advisory vote of stockholders to approve the compensation of our named executive officers annually, a change from the previous cadence of every three-years. At our 2023 Annual Meeting, the last Annual Meeting at which our stockholders voted on our named executive officer compensation, more than 95% of the shares present, or represented by proxy, and entitled to vote at the 2023 Annual Meeting approved our named executive officer compensation. While the approval in 2023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 This year, in recognition of the advisory vote of stockholders requesting an increased frequency of the “Say on Pay” vote, the Board is again requesting that stockholders vote, on an advisory basis, to approve the compensation of our named executive officers.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Compensation Committee</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Richard J. Ganong,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V. Henry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Patricia A. Jacobs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62" w:lineRule="exact"/>
        <w:rPr>
          <w:sz w:val="20"/>
          <w:szCs w:val="20"/>
          <w:color w:val="auto"/>
        </w:rPr>
      </w:pPr>
    </w:p>
    <w:p>
      <w:pPr>
        <w:jc w:val="both"/>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The table below summarizes the total compensation paid to, or earned by, each of our named executive officers for each of fiscal years ended December 31, 2023, 2022 and 2021. Each named executive officer is listed along with such person’s title as of December 31, 2023.</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80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20" w:type="dxa"/>
            <w:vAlign w:val="bottom"/>
            <w:shd w:val="clear" w:color="auto" w:fill="000000"/>
          </w:tcPr>
          <w:p>
            <w:pPr>
              <w:spacing w:after="0" w:line="20" w:lineRule="exact"/>
              <w:rPr>
                <w:sz w:val="1"/>
                <w:szCs w:val="1"/>
                <w:color w:val="auto"/>
              </w:rPr>
            </w:pPr>
          </w:p>
        </w:tc>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Prior(3)</w:t>
            </w:r>
          </w:p>
        </w:tc>
        <w:tc>
          <w:tcPr>
            <w:tcW w:w="100" w:type="dxa"/>
            <w:vAlign w:val="bottom"/>
            <w:vMerge w:val="continue"/>
          </w:tcPr>
          <w:p>
            <w:pPr>
              <w:spacing w:after="0"/>
              <w:rPr>
                <w:sz w:val="23"/>
                <w:szCs w:val="23"/>
                <w:color w:val="auto"/>
              </w:rPr>
            </w:pPr>
          </w:p>
        </w:tc>
        <w:tc>
          <w:tcPr>
            <w:tcW w:w="500" w:type="dxa"/>
            <w:vAlign w:val="bottom"/>
            <w:tcBorders>
              <w:bottom w:val="single" w:sz="8" w:color="CCEEFF"/>
              <w:right w:val="single" w:sz="8" w:color="CCEEFF"/>
            </w:tcBorders>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2023</w:t>
            </w:r>
          </w:p>
        </w:tc>
        <w:tc>
          <w:tcPr>
            <w:tcW w:w="800" w:type="dxa"/>
            <w:vAlign w:val="bottom"/>
            <w:tcBorders>
              <w:bottom w:val="single" w:sz="8" w:color="CCEEFF"/>
              <w:right w:val="single" w:sz="8" w:color="CCEEFF"/>
            </w:tcBorders>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693,232</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2,126,000</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$694,000</w:t>
            </w:r>
          </w:p>
        </w:tc>
        <w:tc>
          <w:tcPr>
            <w:tcW w:w="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68,659</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3,581,890</w:t>
            </w:r>
          </w:p>
        </w:tc>
        <w:tc>
          <w:tcPr>
            <w:tcW w:w="0" w:type="dxa"/>
            <w:vAlign w:val="bottom"/>
          </w:tcPr>
          <w:p>
            <w:pPr>
              <w:spacing w:after="0"/>
              <w:rPr>
                <w:sz w:val="1"/>
                <w:szCs w:val="1"/>
                <w:color w:val="auto"/>
              </w:rPr>
            </w:pPr>
          </w:p>
        </w:tc>
      </w:tr>
      <w:tr>
        <w:trPr>
          <w:trHeight w:val="203"/>
        </w:trPr>
        <w:tc>
          <w:tcPr>
            <w:tcW w:w="2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Chairman, Chief Executive</w:t>
            </w:r>
          </w:p>
        </w:tc>
        <w:tc>
          <w:tcPr>
            <w:tcW w:w="100" w:type="dxa"/>
            <w:vAlign w:val="bottom"/>
          </w:tcPr>
          <w:p>
            <w:pPr>
              <w:spacing w:after="0"/>
              <w:rPr>
                <w:sz w:val="17"/>
                <w:szCs w:val="17"/>
                <w:color w:val="auto"/>
              </w:rPr>
            </w:pPr>
          </w:p>
        </w:tc>
        <w:tc>
          <w:tcPr>
            <w:tcW w:w="50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2022</w:t>
            </w:r>
          </w:p>
        </w:tc>
        <w:tc>
          <w:tcPr>
            <w:tcW w:w="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4"/>
                <w:szCs w:val="14"/>
                <w:color w:val="auto"/>
              </w:rPr>
              <w:t>674,000</w:t>
            </w:r>
          </w:p>
        </w:tc>
        <w:tc>
          <w:tcPr>
            <w:tcW w:w="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1,852,208</w:t>
            </w:r>
          </w:p>
        </w:tc>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640,000</w:t>
            </w:r>
          </w:p>
        </w:tc>
        <w:tc>
          <w:tcPr>
            <w:tcW w:w="22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65,520</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3,231,728</w:t>
            </w:r>
          </w:p>
        </w:tc>
        <w:tc>
          <w:tcPr>
            <w:tcW w:w="0" w:type="dxa"/>
            <w:vAlign w:val="bottom"/>
          </w:tcPr>
          <w:p>
            <w:pPr>
              <w:spacing w:after="0"/>
              <w:rPr>
                <w:sz w:val="1"/>
                <w:szCs w:val="1"/>
                <w:color w:val="auto"/>
              </w:rPr>
            </w:pPr>
          </w:p>
        </w:tc>
      </w:tr>
      <w:tr>
        <w:trPr>
          <w:trHeight w:val="23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President</w:t>
            </w:r>
          </w:p>
        </w:tc>
        <w:tc>
          <w:tcPr>
            <w:tcW w:w="100" w:type="dxa"/>
            <w:vAlign w:val="bottom"/>
          </w:tcPr>
          <w:p>
            <w:pPr>
              <w:spacing w:after="0"/>
              <w:rPr>
                <w:sz w:val="20"/>
                <w:szCs w:val="20"/>
                <w:color w:val="auto"/>
              </w:rPr>
            </w:pPr>
          </w:p>
        </w:tc>
        <w:tc>
          <w:tcPr>
            <w:tcW w:w="500" w:type="dxa"/>
            <w:vAlign w:val="bottom"/>
            <w:gridSpan w:val="2"/>
            <w:vMerge w:val="restart"/>
          </w:tcPr>
          <w:p>
            <w:pPr>
              <w:jc w:val="right"/>
              <w:ind w:right="2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2021</w:t>
            </w:r>
          </w:p>
        </w:tc>
        <w:tc>
          <w:tcPr>
            <w:tcW w:w="800" w:type="dxa"/>
            <w:vAlign w:val="bottom"/>
            <w:gridSpan w:val="2"/>
            <w:vMerge w:val="restart"/>
          </w:tcPr>
          <w:p>
            <w:pPr>
              <w:ind w:left="20"/>
              <w:spacing w:after="0" w:line="30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661,000</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ind w:right="220"/>
              <w:spacing w:after="0" w:line="306"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2,132,370</w:t>
            </w:r>
          </w:p>
        </w:tc>
        <w:tc>
          <w:tcPr>
            <w:tcW w:w="880" w:type="dxa"/>
            <w:vAlign w:val="bottom"/>
            <w:vMerge w:val="restart"/>
          </w:tcPr>
          <w:p>
            <w:pPr>
              <w:jc w:val="center"/>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522,000</w:t>
            </w: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center"/>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64,480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line="306"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3,379,850</w:t>
            </w:r>
          </w:p>
        </w:tc>
        <w:tc>
          <w:tcPr>
            <w:tcW w:w="0" w:type="dxa"/>
            <w:vAlign w:val="bottom"/>
          </w:tcPr>
          <w:p>
            <w:pPr>
              <w:spacing w:after="0"/>
              <w:rPr>
                <w:sz w:val="1"/>
                <w:szCs w:val="1"/>
                <w:color w:val="auto"/>
              </w:rPr>
            </w:pPr>
          </w:p>
        </w:tc>
      </w:tr>
      <w:tr>
        <w:trPr>
          <w:trHeight w:val="6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Benincasa(4)</w:t>
            </w:r>
          </w:p>
        </w:tc>
        <w:tc>
          <w:tcPr>
            <w:tcW w:w="600" w:type="dxa"/>
            <w:vAlign w:val="bottom"/>
            <w:gridSpan w:val="3"/>
          </w:tcPr>
          <w:p>
            <w:pPr>
              <w:jc w:val="right"/>
              <w:ind w:righ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2023</w:t>
            </w:r>
          </w:p>
        </w:tc>
        <w:tc>
          <w:tcPr>
            <w:tcW w:w="800" w:type="dxa"/>
            <w:vAlign w:val="bottom"/>
            <w:gridSpan w:val="2"/>
          </w:tcPr>
          <w:p>
            <w:pPr>
              <w:ind w:lef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419,589</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935,440</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315,000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46,763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1,716,742</w:t>
            </w:r>
          </w:p>
        </w:tc>
        <w:tc>
          <w:tcPr>
            <w:tcW w:w="0" w:type="dxa"/>
            <w:vAlign w:val="bottom"/>
          </w:tcPr>
          <w:p>
            <w:pPr>
              <w:spacing w:after="0"/>
              <w:rPr>
                <w:sz w:val="1"/>
                <w:szCs w:val="1"/>
                <w:color w:val="auto"/>
              </w:rPr>
            </w:pPr>
          </w:p>
        </w:tc>
      </w:tr>
      <w:tr>
        <w:trPr>
          <w:trHeight w:val="285"/>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 w:type="dxa"/>
            <w:vAlign w:val="bottom"/>
          </w:tcPr>
          <w:p>
            <w:pPr>
              <w:spacing w:after="0"/>
              <w:rPr>
                <w:sz w:val="24"/>
                <w:szCs w:val="24"/>
                <w:color w:val="auto"/>
              </w:rPr>
            </w:pPr>
          </w:p>
        </w:tc>
        <w:tc>
          <w:tcPr>
            <w:tcW w:w="500" w:type="dxa"/>
            <w:vAlign w:val="bottom"/>
            <w:gridSpan w:val="2"/>
          </w:tcPr>
          <w:p>
            <w:pPr>
              <w:jc w:val="right"/>
              <w:ind w:right="20"/>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2022</w:t>
            </w:r>
          </w:p>
        </w:tc>
        <w:tc>
          <w:tcPr>
            <w:tcW w:w="800" w:type="dxa"/>
            <w:vAlign w:val="bottom"/>
            <w:gridSpan w:val="2"/>
          </w:tcPr>
          <w:p>
            <w:pPr>
              <w:ind w:left="20"/>
              <w:spacing w:after="0" w:line="285"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408,000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923,945</w:t>
            </w:r>
          </w:p>
        </w:tc>
        <w:tc>
          <w:tcPr>
            <w:tcW w:w="880" w:type="dxa"/>
            <w:vAlign w:val="bottom"/>
          </w:tcPr>
          <w:p>
            <w:pPr>
              <w:jc w:val="center"/>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290,000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44,240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5"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1,666,185</w:t>
            </w:r>
          </w:p>
        </w:tc>
        <w:tc>
          <w:tcPr>
            <w:tcW w:w="0" w:type="dxa"/>
            <w:vAlign w:val="bottom"/>
          </w:tcPr>
          <w:p>
            <w:pPr>
              <w:spacing w:after="0"/>
              <w:rPr>
                <w:sz w:val="1"/>
                <w:szCs w:val="1"/>
                <w:color w:val="auto"/>
              </w:rPr>
            </w:pPr>
          </w:p>
        </w:tc>
      </w:tr>
      <w:tr>
        <w:trPr>
          <w:trHeight w:val="30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2021</w:t>
            </w:r>
          </w:p>
        </w:tc>
        <w:tc>
          <w:tcPr>
            <w:tcW w:w="800" w:type="dxa"/>
            <w:vAlign w:val="bottom"/>
            <w:gridSpan w:val="2"/>
          </w:tcPr>
          <w:p>
            <w:pPr>
              <w:ind w:left="20"/>
              <w:spacing w:after="0" w:line="302" w:lineRule="exact"/>
              <w:rPr>
                <w:sz w:val="20"/>
                <w:szCs w:val="20"/>
                <w:color w:val="auto"/>
              </w:rPr>
            </w:pPr>
            <w:r>
              <w:rPr>
                <w:rFonts w:ascii="Times New Roman" w:cs="Times New Roman" w:eastAsia="Times New Roman" w:hAnsi="Times New Roman"/>
                <w:sz w:val="34"/>
                <w:szCs w:val="34"/>
                <w:color w:val="auto"/>
                <w:vertAlign w:val="superscript"/>
              </w:rPr>
              <w:t>​ ​​</w:t>
            </w:r>
            <w:r>
              <w:rPr>
                <w:rFonts w:ascii="Times New Roman" w:cs="Times New Roman" w:eastAsia="Times New Roman" w:hAnsi="Times New Roman"/>
                <w:sz w:val="18"/>
                <w:szCs w:val="18"/>
                <w:color w:val="auto"/>
              </w:rPr>
              <w:t>398,000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892,620</w:t>
            </w:r>
          </w:p>
        </w:tc>
        <w:tc>
          <w:tcPr>
            <w:tcW w:w="880" w:type="dxa"/>
            <w:vAlign w:val="bottom"/>
          </w:tcPr>
          <w:p>
            <w:pPr>
              <w:jc w:val="cente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252,000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43,040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302" w:lineRule="exact"/>
              <w:rPr>
                <w:sz w:val="20"/>
                <w:szCs w:val="20"/>
                <w:color w:val="auto"/>
              </w:rPr>
            </w:pPr>
            <w:r>
              <w:rPr>
                <w:rFonts w:ascii="Times New Roman" w:cs="Times New Roman" w:eastAsia="Times New Roman" w:hAnsi="Times New Roman"/>
                <w:sz w:val="34"/>
                <w:szCs w:val="34"/>
                <w:color w:val="auto"/>
                <w:w w:val="99"/>
                <w:vertAlign w:val="superscript"/>
              </w:rPr>
              <w:t>​</w:t>
            </w:r>
            <w:r>
              <w:rPr>
                <w:rFonts w:ascii="Times New Roman" w:cs="Times New Roman" w:eastAsia="Times New Roman" w:hAnsi="Times New Roman"/>
                <w:sz w:val="18"/>
                <w:szCs w:val="18"/>
                <w:color w:val="auto"/>
                <w:w w:val="99"/>
              </w:rPr>
              <w:t>1,585,660</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2023</w:t>
            </w:r>
          </w:p>
        </w:tc>
        <w:tc>
          <w:tcPr>
            <w:tcW w:w="800" w:type="dxa"/>
            <w:vAlign w:val="bottom"/>
            <w:tcBorders>
              <w:bottom w:val="single" w:sz="8" w:color="CCEEFF"/>
              <w:right w:val="single" w:sz="8" w:color="CCEEFF"/>
            </w:tcBorders>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384,578</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935,440</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288,750</w:t>
            </w:r>
          </w:p>
        </w:tc>
        <w:tc>
          <w:tcPr>
            <w:tcW w:w="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13,200</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1,621,968</w:t>
            </w:r>
          </w:p>
        </w:tc>
        <w:tc>
          <w:tcPr>
            <w:tcW w:w="0" w:type="dxa"/>
            <w:vAlign w:val="bottom"/>
          </w:tcPr>
          <w:p>
            <w:pPr>
              <w:spacing w:after="0"/>
              <w:rPr>
                <w:sz w:val="1"/>
                <w:szCs w:val="1"/>
                <w:color w:val="auto"/>
              </w:rPr>
            </w:pPr>
          </w:p>
        </w:tc>
      </w:tr>
      <w:tr>
        <w:trPr>
          <w:trHeight w:val="238"/>
        </w:trPr>
        <w:tc>
          <w:tcPr>
            <w:tcW w:w="2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tcPr>
          <w:p>
            <w:pPr>
              <w:spacing w:after="0"/>
              <w:rPr>
                <w:sz w:val="20"/>
                <w:szCs w:val="20"/>
                <w:color w:val="auto"/>
              </w:rPr>
            </w:pPr>
          </w:p>
        </w:tc>
        <w:tc>
          <w:tcPr>
            <w:tcW w:w="500" w:type="dxa"/>
            <w:vAlign w:val="bottom"/>
            <w:gridSpan w:val="2"/>
          </w:tcPr>
          <w:p>
            <w:pPr>
              <w:jc w:val="right"/>
              <w:ind w:right="2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2022</w:t>
            </w:r>
          </w:p>
        </w:tc>
        <w:tc>
          <w:tcPr>
            <w:tcW w:w="80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374,000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923,945</w:t>
            </w:r>
          </w:p>
        </w:tc>
        <w:tc>
          <w:tcPr>
            <w:tcW w:w="8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267,000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12,200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1,577,145</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2021</w:t>
            </w:r>
          </w:p>
        </w:tc>
        <w:tc>
          <w:tcPr>
            <w:tcW w:w="8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365,000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826,500</w:t>
            </w:r>
          </w:p>
        </w:tc>
        <w:tc>
          <w:tcPr>
            <w:tcW w:w="8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232,000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11,600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1,435,100</w:t>
            </w:r>
          </w:p>
        </w:tc>
        <w:tc>
          <w:tcPr>
            <w:tcW w:w="0" w:type="dxa"/>
            <w:vAlign w:val="bottom"/>
          </w:tcPr>
          <w:p>
            <w:pPr>
              <w:spacing w:after="0"/>
              <w:rPr>
                <w:sz w:val="1"/>
                <w:szCs w:val="1"/>
                <w:color w:val="auto"/>
              </w:rPr>
            </w:pPr>
          </w:p>
        </w:tc>
      </w:t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600" w:type="dxa"/>
            <w:vAlign w:val="bottom"/>
            <w:gridSpan w:val="3"/>
          </w:tcPr>
          <w:p>
            <w:pPr>
              <w:jc w:val="right"/>
              <w:ind w:righ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2023</w:t>
            </w:r>
          </w:p>
        </w:tc>
        <w:tc>
          <w:tcPr>
            <w:tcW w:w="800" w:type="dxa"/>
            <w:vAlign w:val="bottom"/>
            <w:gridSpan w:val="2"/>
          </w:tcPr>
          <w:p>
            <w:pPr>
              <w:ind w:lef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333,655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561,264</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172,545</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12,565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1,080,029</w:t>
            </w:r>
          </w:p>
        </w:tc>
        <w:tc>
          <w:tcPr>
            <w:tcW w:w="0" w:type="dxa"/>
            <w:vAlign w:val="bottom"/>
          </w:tcPr>
          <w:p>
            <w:pPr>
              <w:spacing w:after="0"/>
              <w:rPr>
                <w:sz w:val="1"/>
                <w:szCs w:val="1"/>
                <w:color w:val="auto"/>
              </w:rPr>
            </w:pPr>
          </w:p>
        </w:tc>
      </w:tr>
      <w:tr>
        <w:trPr>
          <w:trHeight w:val="250"/>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00" w:type="dxa"/>
            <w:vAlign w:val="bottom"/>
          </w:tcPr>
          <w:p>
            <w:pPr>
              <w:spacing w:after="0"/>
              <w:rPr>
                <w:sz w:val="21"/>
                <w:szCs w:val="21"/>
                <w:color w:val="auto"/>
              </w:rPr>
            </w:pPr>
          </w:p>
        </w:tc>
        <w:tc>
          <w:tcPr>
            <w:tcW w:w="500" w:type="dxa"/>
            <w:vAlign w:val="bottom"/>
            <w:gridSpan w:val="2"/>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2022</w:t>
            </w:r>
          </w:p>
        </w:tc>
        <w:tc>
          <w:tcPr>
            <w:tcW w:w="8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325,000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682,165</w:t>
            </w:r>
          </w:p>
        </w:tc>
        <w:tc>
          <w:tcPr>
            <w:tcW w:w="88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150,000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12,200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1,169,365</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General Counsel and</w:t>
            </w:r>
          </w:p>
        </w:tc>
        <w:tc>
          <w:tcPr>
            <w:tcW w:w="100" w:type="dxa"/>
            <w:vAlign w:val="bottom"/>
          </w:tcPr>
          <w:p>
            <w:pPr>
              <w:spacing w:after="0"/>
              <w:rPr>
                <w:sz w:val="15"/>
                <w:szCs w:val="15"/>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​​285,000</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528,960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120,000</w:t>
            </w: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9,822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943,782</w:t>
            </w:r>
          </w:p>
        </w:tc>
        <w:tc>
          <w:tcPr>
            <w:tcW w:w="0" w:type="dxa"/>
            <w:vAlign w:val="bottom"/>
          </w:tcPr>
          <w:p>
            <w:pPr>
              <w:spacing w:after="0"/>
              <w:rPr>
                <w:sz w:val="1"/>
                <w:szCs w:val="1"/>
                <w:color w:val="auto"/>
              </w:rPr>
            </w:pPr>
          </w:p>
        </w:tc>
      </w:tr>
      <w:tr>
        <w:trPr>
          <w:trHeight w:val="128"/>
        </w:trPr>
        <w:tc>
          <w:tcPr>
            <w:tcW w:w="27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Justin M. Leon (5)</w:t>
            </w:r>
          </w:p>
        </w:tc>
        <w:tc>
          <w:tcPr>
            <w:tcW w:w="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2023</w:t>
            </w:r>
          </w:p>
        </w:tc>
        <w:tc>
          <w:tcPr>
            <w:tcW w:w="800" w:type="dxa"/>
            <w:vAlign w:val="bottom"/>
            <w:tcBorders>
              <w:bottom w:val="single" w:sz="8" w:color="CCEEFF"/>
              <w:right w:val="single" w:sz="8" w:color="CCEEFF"/>
            </w:tcBorders>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256,731</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467,720</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126,701</w:t>
            </w:r>
          </w:p>
        </w:tc>
        <w:tc>
          <w:tcPr>
            <w:tcW w:w="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10,099</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861,251</w:t>
            </w:r>
          </w:p>
        </w:tc>
        <w:tc>
          <w:tcPr>
            <w:tcW w:w="0" w:type="dxa"/>
            <w:vAlign w:val="bottom"/>
          </w:tcPr>
          <w:p>
            <w:pPr>
              <w:spacing w:after="0"/>
              <w:rPr>
                <w:sz w:val="1"/>
                <w:szCs w:val="1"/>
                <w:color w:val="auto"/>
              </w:rPr>
            </w:pPr>
          </w:p>
        </w:tc>
      </w:tr>
      <w:tr>
        <w:trPr>
          <w:trHeight w:val="189"/>
        </w:trPr>
        <w:tc>
          <w:tcPr>
            <w:tcW w:w="2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Senior Vice President,</w:t>
            </w:r>
          </w:p>
        </w:tc>
        <w:tc>
          <w:tcPr>
            <w:tcW w:w="100" w:type="dxa"/>
            <w:vAlign w:val="bottom"/>
          </w:tcPr>
          <w:p>
            <w:pPr>
              <w:spacing w:after="0"/>
              <w:rPr>
                <w:sz w:val="16"/>
                <w:szCs w:val="16"/>
                <w:color w:val="auto"/>
              </w:rPr>
            </w:pPr>
          </w:p>
        </w:tc>
        <w:tc>
          <w:tcPr>
            <w:tcW w:w="5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​​2022</w:t>
            </w:r>
          </w:p>
        </w:tc>
        <w:tc>
          <w:tcPr>
            <w:tcW w:w="8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 ​​250,000</w:t>
            </w:r>
          </w:p>
        </w:tc>
        <w:tc>
          <w:tcPr>
            <w:tcW w:w="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492,195</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125,000</w:t>
            </w:r>
          </w:p>
        </w:tc>
        <w:tc>
          <w:tcPr>
            <w:tcW w:w="2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 9,700</w:t>
            </w:r>
          </w:p>
        </w:tc>
        <w:tc>
          <w:tcPr>
            <w:tcW w:w="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876,895</w:t>
            </w:r>
          </w:p>
        </w:tc>
        <w:tc>
          <w:tcPr>
            <w:tcW w:w="0" w:type="dxa"/>
            <w:vAlign w:val="bottom"/>
          </w:tcPr>
          <w:p>
            <w:pPr>
              <w:spacing w:after="0"/>
              <w:rPr>
                <w:sz w:val="1"/>
                <w:szCs w:val="1"/>
                <w:color w:val="auto"/>
              </w:rPr>
            </w:pPr>
          </w:p>
        </w:tc>
      </w:tr>
      <w:tr>
        <w:trPr>
          <w:trHeight w:val="236"/>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Development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-2661285</wp:posOffset>
            </wp:positionV>
            <wp:extent cx="5212080" cy="28714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287147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1620" w:right="419" w:hanging="360"/>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value, presented in accordance with FASB ASC Topic 718. The amounts in this column do not include restricted stock unit grants made on March 7, 2023, for 2022 achievements.</w:t>
      </w:r>
    </w:p>
    <w:p>
      <w:pPr>
        <w:spacing w:after="0" w:line="5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matching contributions made by the Company to each of the named executive officers pursuant to the ATN International, Inc. 401(k) Plan and contributions made by us to a non-qualified deferred compensation plan for all three years for Messrs. Prior and Benincasa.</w:t>
      </w:r>
    </w:p>
    <w:p>
      <w:pPr>
        <w:spacing w:after="0" w:line="10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such amounts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Contributions to</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401(K)</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220" w:type="dxa"/>
            <w:vAlign w:val="bottom"/>
          </w:tcPr>
          <w:p>
            <w:pPr>
              <w:spacing w:after="0"/>
              <w:rPr>
                <w:sz w:val="14"/>
                <w:szCs w:val="14"/>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20" w:type="dxa"/>
            <w:vAlign w:val="bottom"/>
          </w:tcPr>
          <w:p>
            <w:pPr>
              <w:spacing w:after="0"/>
              <w:rPr>
                <w:sz w:val="18"/>
                <w:szCs w:val="18"/>
                <w:color w:val="auto"/>
              </w:rPr>
            </w:pPr>
          </w:p>
        </w:tc>
        <w:tc>
          <w:tcPr>
            <w:tcW w:w="70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w:t>
            </w:r>
          </w:p>
        </w:tc>
      </w:tr>
      <w:tr>
        <w:trPr>
          <w:trHeight w:val="20"/>
        </w:trPr>
        <w:tc>
          <w:tcPr>
            <w:tcW w:w="30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55,459</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​​68,659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1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33,563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​​46,763​</w:t>
            </w:r>
          </w:p>
        </w:tc>
      </w:tr>
      <w:tr>
        <w:trPr>
          <w:trHeight w:val="257"/>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​​13,200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66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​​12,565​</w:t>
            </w:r>
          </w:p>
        </w:tc>
      </w:tr>
      <w:tr>
        <w:trPr>
          <w:trHeight w:val="27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66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-830580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36429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 w:lineRule="exact"/>
        <w:rPr>
          <w:sz w:val="20"/>
          <w:szCs w:val="20"/>
          <w:color w:val="auto"/>
        </w:rPr>
      </w:pPr>
    </w:p>
    <w:p>
      <w:pPr>
        <w:ind w:left="1620" w:right="6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2024, Mr. Prior stepped down from his role as Chief Executive Officer and now serves as Executive Chairman.</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Benincasa retired on March 17, 2024.</w:t>
      </w:r>
    </w:p>
    <w:p>
      <w:pPr>
        <w:spacing w:after="0" w:line="10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Leon was named an executive officer of the Company in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during the fiscal year ended December 31, 2023:</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Estimated Future</w:t>
            </w:r>
          </w:p>
        </w:tc>
        <w:tc>
          <w:tcPr>
            <w:tcW w:w="6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Payouts Under</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Awards:</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Non-Equity</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Number</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Grant Date</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Incentive Plan Awards</w:t>
            </w:r>
          </w:p>
        </w:tc>
        <w:tc>
          <w:tcPr>
            <w:tcW w:w="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Borders>
              <w:bottom w:val="single" w:sz="8" w:color="auto"/>
            </w:tcBorders>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of 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Grant</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Threshold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2"/>
              </w:rPr>
              <w:t>Target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6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of 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5"/>
              </w:rPr>
              <w:t>of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800" w:type="dxa"/>
            <w:vAlign w:val="bottom"/>
          </w:tcPr>
          <w:p>
            <w:pPr>
              <w:ind w:left="440"/>
              <w:spacing w:after="0"/>
              <w:rPr>
                <w:sz w:val="20"/>
                <w:szCs w:val="20"/>
                <w:color w:val="auto"/>
              </w:rPr>
            </w:pPr>
            <w:r>
              <w:rPr>
                <w:rFonts w:ascii="Times New Roman" w:cs="Times New Roman" w:eastAsia="Times New Roman" w:hAnsi="Times New Roman"/>
                <w:sz w:val="15"/>
                <w:szCs w:val="15"/>
                <w:b w:val="1"/>
                <w:bCs w:val="1"/>
                <w:color w:val="auto"/>
              </w:rPr>
              <w:t>Type of Award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7"/>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Cash Bonus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bscript"/>
              </w:rPr>
              <w:t>—</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694,000</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Stock Units(2)</w:t>
            </w:r>
          </w:p>
        </w:tc>
        <w:tc>
          <w:tcPr>
            <w:tcW w:w="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25,000</w:t>
            </w:r>
          </w:p>
        </w:tc>
        <w:tc>
          <w:tcPr>
            <w:tcW w:w="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998,500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7"/>
        </w:trPr>
        <w:tc>
          <w:tcPr>
            <w:tcW w:w="1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 Stock Units(3)</w:t>
            </w: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25,000</w:t>
            </w:r>
          </w:p>
        </w:tc>
        <w:tc>
          <w:tcPr>
            <w:tcW w:w="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right w:val="single" w:sz="8" w:color="CCEEFF"/>
            </w:tcBorders>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1,127,500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Annual Cash Bonus</w:t>
            </w:r>
          </w:p>
        </w:tc>
        <w:tc>
          <w:tcPr>
            <w:tcW w:w="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line="22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gridSpan w:val="5"/>
          </w:tcPr>
          <w:p>
            <w:pPr>
              <w:jc w:val="right"/>
              <w:ind w:right="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315,000</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Units(2)</w:t>
            </w:r>
          </w:p>
        </w:tc>
        <w:tc>
          <w:tcPr>
            <w:tcW w:w="60" w:type="dxa"/>
            <w:vAlign w:val="bottom"/>
          </w:tcPr>
          <w:p>
            <w:pPr>
              <w:spacing w:after="0"/>
              <w:rPr>
                <w:sz w:val="22"/>
                <w:szCs w:val="22"/>
                <w:color w:val="auto"/>
              </w:rPr>
            </w:pPr>
          </w:p>
        </w:tc>
        <w:tc>
          <w:tcPr>
            <w:tcW w:w="6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22"/>
                <w:szCs w:val="22"/>
                <w:color w:val="auto"/>
              </w:rPr>
            </w:pPr>
          </w:p>
        </w:tc>
        <w:tc>
          <w:tcPr>
            <w:tcW w:w="620" w:type="dxa"/>
            <w:vAlign w:val="bottom"/>
            <w:gridSpan w:val="2"/>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11,000</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439,340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Performance Stock Units(3)</w:t>
            </w:r>
          </w:p>
        </w:tc>
        <w:tc>
          <w:tcPr>
            <w:tcW w:w="60" w:type="dxa"/>
            <w:vAlign w:val="bottom"/>
          </w:tcPr>
          <w:p>
            <w:pPr>
              <w:spacing w:after="0"/>
              <w:rPr>
                <w:sz w:val="22"/>
                <w:szCs w:val="22"/>
                <w:color w:val="auto"/>
              </w:rPr>
            </w:pPr>
          </w:p>
        </w:tc>
        <w:tc>
          <w:tcPr>
            <w:tcW w:w="6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22"/>
                <w:szCs w:val="22"/>
                <w:color w:val="auto"/>
              </w:rPr>
            </w:pPr>
          </w:p>
        </w:tc>
        <w:tc>
          <w:tcPr>
            <w:tcW w:w="620" w:type="dxa"/>
            <w:vAlign w:val="bottom"/>
            <w:gridSpan w:val="2"/>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11,000</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496,100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2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Brad W. Martin</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Cash Bonus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center"/>
              <w:spacing w:after="0" w:line="22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gridSpan w:val="5"/>
            <w:shd w:val="clear" w:color="auto" w:fill="CCEEFF"/>
          </w:tcPr>
          <w:p>
            <w:pPr>
              <w:jc w:val="right"/>
              <w:ind w:right="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288,750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Stock Units(2)</w:t>
            </w:r>
          </w:p>
        </w:tc>
        <w:tc>
          <w:tcPr>
            <w:tcW w:w="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11,000</w:t>
            </w:r>
          </w:p>
        </w:tc>
        <w:tc>
          <w:tcPr>
            <w:tcW w:w="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439,340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67"/>
        </w:trPr>
        <w:tc>
          <w:tcPr>
            <w:tcW w:w="19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 Stock Units(3)</w:t>
            </w: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11,000</w:t>
            </w:r>
          </w:p>
        </w:tc>
        <w:tc>
          <w:tcPr>
            <w:tcW w:w="80" w:type="dxa"/>
            <w:vAlign w:val="bottom"/>
            <w:tcBorders>
              <w:bottom w:val="single" w:sz="8" w:color="CCEEFF"/>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496,100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2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Mary M. Mabey</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Annual Cash Bonus</w:t>
            </w:r>
          </w:p>
        </w:tc>
        <w:tc>
          <w:tcPr>
            <w:tcW w:w="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center"/>
              <w:spacing w:after="0" w:line="22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gridSpan w:val="5"/>
          </w:tcPr>
          <w:p>
            <w:pPr>
              <w:jc w:val="right"/>
              <w:ind w:right="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200,400</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Restricted Stock Units(2)</w:t>
            </w:r>
          </w:p>
        </w:tc>
        <w:tc>
          <w:tcPr>
            <w:tcW w:w="60" w:type="dxa"/>
            <w:vAlign w:val="bottom"/>
          </w:tcPr>
          <w:p>
            <w:pPr>
              <w:spacing w:after="0"/>
              <w:rPr>
                <w:sz w:val="22"/>
                <w:szCs w:val="22"/>
                <w:color w:val="auto"/>
              </w:rPr>
            </w:pPr>
          </w:p>
        </w:tc>
        <w:tc>
          <w:tcPr>
            <w:tcW w:w="6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22"/>
                <w:szCs w:val="22"/>
                <w:color w:val="auto"/>
              </w:rPr>
            </w:pPr>
          </w:p>
        </w:tc>
        <w:tc>
          <w:tcPr>
            <w:tcW w:w="620" w:type="dxa"/>
            <w:vAlign w:val="bottom"/>
            <w:gridSpan w:val="2"/>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6,600</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263,600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Performance Stock Units(3)</w:t>
            </w:r>
          </w:p>
        </w:tc>
        <w:tc>
          <w:tcPr>
            <w:tcW w:w="60" w:type="dxa"/>
            <w:vAlign w:val="bottom"/>
          </w:tcPr>
          <w:p>
            <w:pPr>
              <w:spacing w:after="0"/>
              <w:rPr>
                <w:sz w:val="22"/>
                <w:szCs w:val="22"/>
                <w:color w:val="auto"/>
              </w:rPr>
            </w:pPr>
          </w:p>
        </w:tc>
        <w:tc>
          <w:tcPr>
            <w:tcW w:w="62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tcPr>
          <w:p>
            <w:pPr>
              <w:spacing w:after="0"/>
              <w:rPr>
                <w:sz w:val="22"/>
                <w:szCs w:val="22"/>
                <w:color w:val="auto"/>
              </w:rPr>
            </w:pPr>
          </w:p>
        </w:tc>
        <w:tc>
          <w:tcPr>
            <w:tcW w:w="620" w:type="dxa"/>
            <w:vAlign w:val="bottom"/>
            <w:gridSpan w:val="2"/>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6,600</w:t>
            </w:r>
          </w:p>
        </w:tc>
        <w:tc>
          <w:tcPr>
            <w:tcW w:w="80" w:type="dxa"/>
            <w:vAlign w:val="bottom"/>
            <w:gridSpan w:val="2"/>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297,660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26"/>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Justin M. Leon</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Annual Cash Bonus</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center"/>
              <w:spacing w:after="0" w:line="22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40" w:type="dxa"/>
            <w:vAlign w:val="bottom"/>
            <w:gridSpan w:val="5"/>
            <w:shd w:val="clear" w:color="auto" w:fill="CCEEFF"/>
          </w:tcPr>
          <w:p>
            <w:pPr>
              <w:jc w:val="right"/>
              <w:ind w:right="40"/>
              <w:spacing w:after="0" w:line="226"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128,500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Stock Units(2)</w:t>
            </w:r>
          </w:p>
        </w:tc>
        <w:tc>
          <w:tcPr>
            <w:tcW w:w="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3/7/2023</w:t>
            </w:r>
          </w:p>
        </w:tc>
        <w:tc>
          <w:tcPr>
            <w:tcW w:w="660" w:type="dxa"/>
            <w:vAlign w:val="bottom"/>
            <w:shd w:val="clear" w:color="auto" w:fill="CCEEFF"/>
          </w:tcPr>
          <w:p>
            <w:pPr>
              <w:jc w:val="center"/>
              <w:spacing w:after="0" w:line="256" w:lineRule="exact"/>
              <w:rPr>
                <w:sz w:val="20"/>
                <w:szCs w:val="20"/>
                <w:color w:val="auto"/>
              </w:rPr>
            </w:pPr>
            <w:r>
              <w:rPr>
                <w:rFonts w:ascii="Times New Roman" w:cs="Times New Roman" w:eastAsia="Times New Roman" w:hAnsi="Times New Roman"/>
                <w:sz w:val="15"/>
                <w:szCs w:val="15"/>
                <w:color w:val="auto"/>
                <w:w w:val="92"/>
              </w:rPr>
              <w:t>​</w:t>
            </w:r>
            <w:r>
              <w:rPr>
                <w:rFonts w:ascii="Times New Roman" w:cs="Times New Roman" w:eastAsia="Times New Roman" w:hAnsi="Times New Roman"/>
                <w:sz w:val="29"/>
                <w:szCs w:val="29"/>
                <w:color w:val="auto"/>
                <w:w w:val="92"/>
                <w:vertAlign w:val="subscript"/>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5,500</w:t>
            </w:r>
          </w:p>
        </w:tc>
        <w:tc>
          <w:tcPr>
            <w:tcW w:w="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219,670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5"/>
        </w:trPr>
        <w:tc>
          <w:tcPr>
            <w:tcW w:w="1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Performance Stock Units(3)</w:t>
            </w:r>
          </w:p>
        </w:tc>
        <w:tc>
          <w:tcPr>
            <w:tcW w:w="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3/7/2023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89"/>
              </w:rPr>
              <w:t>​</w:t>
            </w:r>
            <w:r>
              <w:rPr>
                <w:rFonts w:ascii="Times New Roman" w:cs="Times New Roman" w:eastAsia="Times New Roman" w:hAnsi="Times New Roman"/>
                <w:sz w:val="30"/>
                <w:szCs w:val="30"/>
                <w:color w:val="auto"/>
                <w:w w:val="89"/>
                <w:vertAlign w:val="subscript"/>
              </w:rPr>
              <w:t>—</w:t>
            </w: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5,500</w:t>
            </w:r>
          </w:p>
        </w:tc>
        <w:tc>
          <w:tcPr>
            <w:tcW w:w="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248,050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-2656840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-2656840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-2656840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-2656840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-2656840</wp:posOffset>
            </wp:positionV>
            <wp:extent cx="342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-2656840</wp:posOffset>
            </wp:positionV>
            <wp:extent cx="342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-2656840</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10" w:lineRule="exact"/>
        <w:rPr>
          <w:sz w:val="20"/>
          <w:szCs w:val="20"/>
          <w:color w:val="auto"/>
        </w:rPr>
      </w:pPr>
    </w:p>
    <w:p>
      <w:pPr>
        <w:ind w:left="1620" w:right="759"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threshold or maximum payouts established under the Company’s non-equity incentive plan.</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vest ratably on March 7, 2024, March 7, 2025, March 6, 2026 and March 7, 2027.</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vest on March 6, 2026.</w:t>
      </w:r>
    </w:p>
    <w:p>
      <w:pPr>
        <w:spacing w:after="0" w:line="90"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this column reflect the grant date fair value of awards determined as set forth in footnotes 1 and 2 to our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2023</w:t>
      </w:r>
    </w:p>
    <w:p>
      <w:pPr>
        <w:spacing w:after="0" w:line="162" w:lineRule="exact"/>
        <w:rPr>
          <w:sz w:val="20"/>
          <w:szCs w:val="20"/>
          <w:color w:val="auto"/>
        </w:rPr>
      </w:pPr>
    </w:p>
    <w:p>
      <w:pPr>
        <w:ind w:left="1260" w:right="1099" w:firstLine="360"/>
        <w:spacing w:after="0" w:line="297"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that were outstanding as of December 31, 2023.</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460" w:type="dxa"/>
            <w:vAlign w:val="bottom"/>
          </w:tcPr>
          <w:p>
            <w:pPr>
              <w:spacing w:after="0"/>
              <w:rPr>
                <w:sz w:val="19"/>
                <w:szCs w:val="19"/>
                <w:color w:val="auto"/>
              </w:rPr>
            </w:pPr>
          </w:p>
        </w:tc>
        <w:tc>
          <w:tcPr>
            <w:tcW w:w="30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71"/>
        </w:trPr>
        <w:tc>
          <w:tcPr>
            <w:tcW w:w="2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4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Market Value of</w:t>
            </w:r>
          </w:p>
        </w:tc>
      </w:tr>
      <w:tr>
        <w:trPr>
          <w:trHeight w:val="162"/>
        </w:trPr>
        <w:tc>
          <w:tcPr>
            <w:tcW w:w="2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of Stock That Have</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Shares of Stock That</w:t>
            </w:r>
          </w:p>
        </w:tc>
      </w:tr>
      <w:tr>
        <w:trPr>
          <w:trHeight w:val="190"/>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40" w:type="dxa"/>
            <w:vAlign w:val="bottom"/>
          </w:tcPr>
          <w:p>
            <w:pPr>
              <w:jc w:val="center"/>
              <w:ind w:left="1768"/>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Not Vested (#)</w:t>
            </w:r>
          </w:p>
        </w:tc>
        <w:tc>
          <w:tcPr>
            <w:tcW w:w="14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6"/>
              </w:rPr>
              <w:t>Have Not Vested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14605</wp:posOffset>
            </wp:positionV>
            <wp:extent cx="2486025"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86025" cy="1968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283"/>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20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83"/>
        </w:trPr>
        <w:tc>
          <w:tcPr>
            <w:tcW w:w="4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3/11/2020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84"/>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7"/>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3/11/2020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7"/>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4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70"/>
        </w:trPr>
        <w:tc>
          <w:tcPr>
            <w:tcW w:w="4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83"/>
        </w:trPr>
        <w:tc>
          <w:tcPr>
            <w:tcW w:w="4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3/11/2020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83"/>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3/7/2023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3/25/2022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3/9/2021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3/11/2020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1080" w:type="dxa"/>
            <w:vAlign w:val="bottom"/>
            <w:tcBorders>
              <w:top w:val="single" w:sz="8" w:color="auto"/>
            </w:tcBorders>
            <w:gridSpan w:val="2"/>
          </w:tcPr>
          <w:p>
            <w:pPr>
              <w:jc w:val="right"/>
              <w:ind w:right="42"/>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25,000</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auto"/>
            </w:tcBorders>
          </w:tcPr>
          <w:p>
            <w:pPr>
              <w:spacing w:after="0"/>
              <w:rPr>
                <w:sz w:val="24"/>
                <w:szCs w:val="24"/>
                <w:color w:val="auto"/>
              </w:rPr>
            </w:pP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974,250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25,000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1,020,750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16,087</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626,910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21,450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1,049,120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2"/>
        </w:trPr>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238"/>
        </w:trPr>
        <w:tc>
          <w:tcPr>
            <w:tcW w:w="1080" w:type="dxa"/>
            <w:vAlign w:val="bottom"/>
            <w:gridSpan w:val="2"/>
            <w:shd w:val="clear" w:color="auto" w:fill="CCEEFF"/>
          </w:tcPr>
          <w:p>
            <w:pPr>
              <w:jc w:val="right"/>
              <w:ind w:right="42"/>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9,675</w:t>
            </w:r>
            <w:r>
              <w:rPr>
                <w:rFonts w:ascii="Times New Roman" w:cs="Times New Roman" w:eastAsia="Times New Roman" w:hAnsi="Times New Roman"/>
                <w:sz w:val="19"/>
                <w:szCs w:val="19"/>
                <w:color w:val="auto"/>
                <w:vertAlign w:val="superscript"/>
              </w:rPr>
              <w:t>(1)</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377,035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19,350</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(2)</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727,367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2"/>
        </w:trPr>
        <w:tc>
          <w:tcPr>
            <w:tcW w:w="840" w:type="dxa"/>
            <w:vAlign w:val="bottom"/>
            <w:tcBorders>
              <w:bottom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6,812</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265,464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65"/>
        </w:trPr>
        <w:tc>
          <w:tcPr>
            <w:tcW w:w="840" w:type="dxa"/>
            <w:vAlign w:val="bottom"/>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11,000</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428,670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11,000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449,130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8,025</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312,734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10,700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523,337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4,050</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157,829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8,100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304,479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2,662</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103,738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97"/>
        </w:trPr>
        <w:tc>
          <w:tcPr>
            <w:tcW w:w="1080" w:type="dxa"/>
            <w:vAlign w:val="bottom"/>
            <w:gridSpan w:val="2"/>
          </w:tcPr>
          <w:p>
            <w:pPr>
              <w:jc w:val="right"/>
              <w:ind w:right="42"/>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11,000</w:t>
            </w:r>
            <w:r>
              <w:rPr>
                <w:rFonts w:ascii="Times New Roman" w:cs="Times New Roman" w:eastAsia="Times New Roman" w:hAnsi="Times New Roman"/>
                <w:sz w:val="22"/>
                <w:szCs w:val="22"/>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428,670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11,000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449,130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8,025</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312,734</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10,700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523,337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32"/>
        </w:trPr>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238"/>
        </w:trPr>
        <w:tc>
          <w:tcPr>
            <w:tcW w:w="1080" w:type="dxa"/>
            <w:vAlign w:val="bottom"/>
            <w:gridSpan w:val="2"/>
            <w:shd w:val="clear" w:color="auto" w:fill="CCEEFF"/>
          </w:tcPr>
          <w:p>
            <w:pPr>
              <w:jc w:val="right"/>
              <w:ind w:right="42"/>
              <w:spacing w:after="0" w:line="239"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bscript"/>
              </w:rPr>
              <w:t>3,750</w:t>
            </w:r>
            <w:r>
              <w:rPr>
                <w:rFonts w:ascii="Times New Roman" w:cs="Times New Roman" w:eastAsia="Times New Roman" w:hAnsi="Times New Roman"/>
                <w:sz w:val="19"/>
                <w:szCs w:val="19"/>
                <w:color w:val="auto"/>
                <w:vertAlign w:val="superscript"/>
              </w:rPr>
              <w:t>(1)</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146,138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7,500</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(2)</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281,925</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82"/>
        </w:trPr>
        <w:tc>
          <w:tcPr>
            <w:tcW w:w="840" w:type="dxa"/>
            <w:vAlign w:val="bottom"/>
            <w:tcBorders>
              <w:bottom w:val="single" w:sz="8" w:color="CCEEFF"/>
            </w:tcBorders>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1,915</w:t>
            </w: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74,628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65"/>
        </w:trPr>
        <w:tc>
          <w:tcPr>
            <w:tcW w:w="840" w:type="dxa"/>
            <w:vAlign w:val="bottom"/>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6,600</w:t>
            </w: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257,202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6,600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269,478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5,925</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230,897</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7,900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386,389</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2,400</w:t>
            </w:r>
            <w:r>
              <w:rPr>
                <w:rFonts w:ascii="Times New Roman" w:cs="Times New Roman" w:eastAsia="Times New Roman" w:hAnsi="Times New Roman"/>
                <w:sz w:val="21"/>
                <w:szCs w:val="21"/>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93,528</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10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4,800</w:t>
            </w:r>
            <w:r>
              <w:rPr>
                <w:rFonts w:ascii="Times New Roman" w:cs="Times New Roman" w:eastAsia="Times New Roman" w:hAnsi="Times New Roman"/>
                <w:sz w:val="21"/>
                <w:szCs w:val="21"/>
                <w:color w:val="auto"/>
                <w:vertAlign w:val="superscript"/>
              </w:rPr>
              <w:t>(2)</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180,432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90"/>
        </w:trPr>
        <w:tc>
          <w:tcPr>
            <w:tcW w:w="1080" w:type="dxa"/>
            <w:vAlign w:val="bottom"/>
            <w:gridSpan w:val="2"/>
          </w:tcPr>
          <w:p>
            <w:pPr>
              <w:jc w:val="right"/>
              <w:ind w:right="42"/>
              <w:spacing w:after="0" w:line="290"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bscript"/>
              </w:rPr>
              <w:t>1,600</w:t>
            </w:r>
            <w:r>
              <w:rPr>
                <w:rFonts w:ascii="Times New Roman" w:cs="Times New Roman" w:eastAsia="Times New Roman" w:hAnsi="Times New Roman"/>
                <w:sz w:val="22"/>
                <w:szCs w:val="22"/>
                <w:color w:val="auto"/>
                <w:vertAlign w:val="superscript"/>
              </w:rPr>
              <w:t>(1)</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62,352</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-4672330</wp:posOffset>
            </wp:positionV>
            <wp:extent cx="2348865"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48865" cy="51435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-2426335</wp:posOffset>
            </wp:positionV>
            <wp:extent cx="2417445" cy="702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17445" cy="7029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60" w:space="0"/>
            <w:col w:w="31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7"/>
        </w:trPr>
        <w:tc>
          <w:tcPr>
            <w:tcW w:w="445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3/7/2023</w:t>
            </w:r>
          </w:p>
        </w:tc>
        <w:tc>
          <w:tcPr>
            <w:tcW w:w="1165" w:type="dxa"/>
            <w:vAlign w:val="bottom"/>
            <w:gridSpan w:val="2"/>
            <w:shd w:val="clear" w:color="auto" w:fill="CCEEFF"/>
          </w:tcPr>
          <w:p>
            <w:pPr>
              <w:jc w:val="right"/>
              <w:ind w:right="42"/>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bscript"/>
              </w:rPr>
              <w:t>5,500</w:t>
            </w:r>
            <w:r>
              <w:rPr>
                <w:rFonts w:ascii="Times New Roman" w:cs="Times New Roman" w:eastAsia="Times New Roman" w:hAnsi="Times New Roman"/>
                <w:sz w:val="11"/>
                <w:szCs w:val="11"/>
                <w:color w:val="auto"/>
              </w:rPr>
              <w:t>(1)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214,335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shd w:val="clear" w:color="auto" w:fill="CCEEFF"/>
          </w:tcPr>
          <w:p>
            <w:pPr>
              <w:spacing w:after="0"/>
              <w:rPr>
                <w:sz w:val="23"/>
                <w:szCs w:val="23"/>
                <w:color w:val="auto"/>
              </w:rPr>
            </w:pPr>
          </w:p>
        </w:tc>
        <w:tc>
          <w:tcPr>
            <w:tcW w:w="2510" w:type="dxa"/>
            <w:vAlign w:val="bottom"/>
            <w:shd w:val="clear" w:color="auto" w:fill="CCEEFF"/>
          </w:tcPr>
          <w:p>
            <w:pPr>
              <w:spacing w:after="0"/>
              <w:rPr>
                <w:sz w:val="23"/>
                <w:szCs w:val="23"/>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3/7/2023</w:t>
            </w:r>
          </w:p>
        </w:tc>
        <w:tc>
          <w:tcPr>
            <w:tcW w:w="1165"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5,500</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224,565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shd w:val="clear" w:color="auto" w:fill="CCEEFF"/>
          </w:tcPr>
          <w:p>
            <w:pPr>
              <w:spacing w:after="0"/>
              <w:rPr>
                <w:sz w:val="23"/>
                <w:szCs w:val="23"/>
                <w:color w:val="auto"/>
              </w:rPr>
            </w:pPr>
          </w:p>
        </w:tc>
        <w:tc>
          <w:tcPr>
            <w:tcW w:w="2510" w:type="dxa"/>
            <w:vAlign w:val="bottom"/>
            <w:shd w:val="clear" w:color="auto" w:fill="CCEEFF"/>
          </w:tcPr>
          <w:p>
            <w:pPr>
              <w:spacing w:after="0"/>
              <w:rPr>
                <w:sz w:val="23"/>
                <w:szCs w:val="23"/>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3/25/2022</w:t>
            </w:r>
          </w:p>
        </w:tc>
        <w:tc>
          <w:tcPr>
            <w:tcW w:w="1165"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4,275</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166,597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shd w:val="clear" w:color="auto" w:fill="CCEEFF"/>
          </w:tcPr>
          <w:p>
            <w:pPr>
              <w:spacing w:after="0"/>
              <w:rPr>
                <w:sz w:val="23"/>
                <w:szCs w:val="23"/>
                <w:color w:val="auto"/>
              </w:rPr>
            </w:pPr>
          </w:p>
        </w:tc>
        <w:tc>
          <w:tcPr>
            <w:tcW w:w="2510" w:type="dxa"/>
            <w:vAlign w:val="bottom"/>
            <w:shd w:val="clear" w:color="auto" w:fill="CCEEFF"/>
          </w:tcPr>
          <w:p>
            <w:pPr>
              <w:spacing w:after="0"/>
              <w:rPr>
                <w:sz w:val="23"/>
                <w:szCs w:val="23"/>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3/25/2022</w:t>
            </w:r>
          </w:p>
        </w:tc>
        <w:tc>
          <w:tcPr>
            <w:tcW w:w="1165"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5,700</w:t>
            </w:r>
            <w:r>
              <w:rPr>
                <w:rFonts w:ascii="Times New Roman" w:cs="Times New Roman" w:eastAsia="Times New Roman" w:hAnsi="Times New Roman"/>
                <w:sz w:val="21"/>
                <w:szCs w:val="21"/>
                <w:color w:val="auto"/>
                <w:vertAlign w:val="superscript"/>
              </w:rPr>
              <w:t>(2)</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278,787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shd w:val="clear" w:color="auto" w:fill="CCEEFF"/>
          </w:tcPr>
          <w:p>
            <w:pPr>
              <w:spacing w:after="0"/>
              <w:rPr>
                <w:sz w:val="23"/>
                <w:szCs w:val="23"/>
                <w:color w:val="auto"/>
              </w:rPr>
            </w:pPr>
          </w:p>
        </w:tc>
        <w:tc>
          <w:tcPr>
            <w:tcW w:w="2510" w:type="dxa"/>
            <w:vAlign w:val="bottom"/>
            <w:shd w:val="clear" w:color="auto" w:fill="CCEEFF"/>
          </w:tcPr>
          <w:p>
            <w:pPr>
              <w:spacing w:after="0"/>
              <w:rPr>
                <w:sz w:val="23"/>
                <w:szCs w:val="23"/>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3/9/2021</w:t>
            </w:r>
          </w:p>
        </w:tc>
        <w:tc>
          <w:tcPr>
            <w:tcW w:w="1165"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1,625</w:t>
            </w:r>
            <w:r>
              <w:rPr>
                <w:rFonts w:ascii="Times New Roman" w:cs="Times New Roman" w:eastAsia="Times New Roman" w:hAnsi="Times New Roman"/>
                <w:sz w:val="21"/>
                <w:szCs w:val="21"/>
                <w:color w:val="auto"/>
                <w:vertAlign w:val="superscript"/>
              </w:rPr>
              <w:t>(1)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63,326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shd w:val="clear" w:color="auto" w:fill="CCEEFF"/>
          </w:tcPr>
          <w:p>
            <w:pPr>
              <w:spacing w:after="0"/>
              <w:rPr>
                <w:sz w:val="23"/>
                <w:szCs w:val="23"/>
                <w:color w:val="auto"/>
              </w:rPr>
            </w:pPr>
          </w:p>
        </w:tc>
        <w:tc>
          <w:tcPr>
            <w:tcW w:w="2510" w:type="dxa"/>
            <w:vAlign w:val="bottom"/>
            <w:shd w:val="clear" w:color="auto" w:fill="CCEEFF"/>
          </w:tcPr>
          <w:p>
            <w:pPr>
              <w:spacing w:after="0"/>
              <w:rPr>
                <w:sz w:val="23"/>
                <w:szCs w:val="23"/>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3/9/2021</w:t>
            </w:r>
          </w:p>
        </w:tc>
        <w:tc>
          <w:tcPr>
            <w:tcW w:w="925"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3,250</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(2)</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122,168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69"/>
        </w:trPr>
        <w:tc>
          <w:tcPr>
            <w:tcW w:w="1940" w:type="dxa"/>
            <w:vAlign w:val="bottom"/>
            <w:shd w:val="clear" w:color="auto" w:fill="CCEEFF"/>
          </w:tcPr>
          <w:p>
            <w:pPr>
              <w:spacing w:after="0"/>
              <w:rPr>
                <w:sz w:val="24"/>
                <w:szCs w:val="24"/>
                <w:color w:val="auto"/>
              </w:rPr>
            </w:pPr>
          </w:p>
        </w:tc>
        <w:tc>
          <w:tcPr>
            <w:tcW w:w="2510" w:type="dxa"/>
            <w:vAlign w:val="bottom"/>
            <w:shd w:val="clear" w:color="auto" w:fill="CCEEFF"/>
          </w:tcPr>
          <w:p>
            <w:pPr>
              <w:spacing w:after="0"/>
              <w:rPr>
                <w:sz w:val="24"/>
                <w:szCs w:val="24"/>
                <w:color w:val="auto"/>
              </w:rPr>
            </w:pPr>
          </w:p>
        </w:tc>
        <w:tc>
          <w:tcPr>
            <w:tcW w:w="965" w:type="dxa"/>
            <w:vAlign w:val="bottom"/>
            <w:shd w:val="clear" w:color="auto" w:fill="CCEEFF"/>
          </w:tcPr>
          <w:p>
            <w:pPr>
              <w:ind w:left="50"/>
              <w:spacing w:after="0"/>
              <w:rPr>
                <w:sz w:val="20"/>
                <w:szCs w:val="20"/>
                <w:color w:val="auto"/>
              </w:rPr>
            </w:pPr>
            <w:r>
              <w:rPr>
                <w:rFonts w:ascii="Times New Roman" w:cs="Times New Roman" w:eastAsia="Times New Roman" w:hAnsi="Times New Roman"/>
                <w:sz w:val="18"/>
                <w:szCs w:val="18"/>
                <w:color w:val="auto"/>
              </w:rPr>
              <w:t>3/11/2020</w:t>
            </w:r>
          </w:p>
        </w:tc>
        <w:tc>
          <w:tcPr>
            <w:tcW w:w="925" w:type="dxa"/>
            <w:vAlign w:val="bottom"/>
            <w:shd w:val="clear" w:color="auto" w:fill="CCEEFF"/>
          </w:tcPr>
          <w:p>
            <w:pPr>
              <w:jc w:val="right"/>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550</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(1)</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21,434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40" w:type="dxa"/>
            <w:vAlign w:val="bottom"/>
            <w:tcBorders>
              <w:bottom w:val="single" w:sz="8" w:color="auto"/>
            </w:tcBorders>
          </w:tcPr>
          <w:p>
            <w:pPr>
              <w:spacing w:after="0"/>
              <w:rPr>
                <w:sz w:val="19"/>
                <w:szCs w:val="19"/>
                <w:color w:val="auto"/>
              </w:rPr>
            </w:pPr>
          </w:p>
        </w:tc>
        <w:tc>
          <w:tcPr>
            <w:tcW w:w="2510" w:type="dxa"/>
            <w:vAlign w:val="bottom"/>
          </w:tcPr>
          <w:p>
            <w:pPr>
              <w:spacing w:after="0"/>
              <w:rPr>
                <w:sz w:val="19"/>
                <w:szCs w:val="19"/>
                <w:color w:val="auto"/>
              </w:rPr>
            </w:pPr>
          </w:p>
        </w:tc>
        <w:tc>
          <w:tcPr>
            <w:tcW w:w="965" w:type="dxa"/>
            <w:vAlign w:val="bottom"/>
          </w:tcPr>
          <w:p>
            <w:pPr>
              <w:spacing w:after="0"/>
              <w:rPr>
                <w:sz w:val="19"/>
                <w:szCs w:val="19"/>
                <w:color w:val="auto"/>
              </w:rPr>
            </w:pPr>
          </w:p>
        </w:tc>
        <w:tc>
          <w:tcPr>
            <w:tcW w:w="925"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57" w:lineRule="exact"/>
        <w:rPr>
          <w:sz w:val="20"/>
          <w:szCs w:val="20"/>
          <w:color w:val="auto"/>
        </w:rPr>
      </w:pPr>
    </w:p>
    <w:p>
      <w:pPr>
        <w:ind w:left="1620" w:right="79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Grants vest 25% annually commencing one year from the date of grant. Valued at $38.97 per share, the closing price of our stock on December 31, 2023.</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hanging="360"/>
        <w:spacing w:after="0" w:line="263"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performance stock units. Grants vest 100% on the third anniversary of the grant date. Fair value, using a Monte Carlo simulation, for the March 7, 2023, March 25, 2022 and March 9, 2021 grants were $40.83 per share, $48.91 per share, and $37.59 per share, respectively, as of December 31, 2022.</w:t>
      </w: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6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with respect to our named executive officers regarding all restricted stock that vested during 2023.</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Acquired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4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on Vesting</w:t>
            </w:r>
          </w:p>
        </w:tc>
        <w:tc>
          <w:tcPr>
            <w:tcW w:w="40" w:type="dxa"/>
            <w:vAlign w:val="bottom"/>
          </w:tcPr>
          <w:p>
            <w:pPr>
              <w:spacing w:after="0"/>
              <w:rPr>
                <w:sz w:val="14"/>
                <w:szCs w:val="14"/>
                <w:color w:val="auto"/>
              </w:rPr>
            </w:pPr>
          </w:p>
        </w:tc>
      </w:tr>
      <w:tr>
        <w:trPr>
          <w:trHeight w:val="190"/>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0" w:type="dxa"/>
            <w:vAlign w:val="bottom"/>
          </w:tcPr>
          <w:p>
            <w:pPr>
              <w:spacing w:after="0"/>
              <w:rPr>
                <w:sz w:val="16"/>
                <w:szCs w:val="16"/>
                <w:color w:val="auto"/>
              </w:rPr>
            </w:pPr>
          </w:p>
        </w:tc>
      </w:tr>
      <w:tr>
        <w:trPr>
          <w:trHeight w:val="23"/>
        </w:trPr>
        <w:tc>
          <w:tcPr>
            <w:tcW w:w="5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​23,263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​931,064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9,788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​391,094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7,890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​314,604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6,150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​245,261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3,287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​130,564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-831215</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-831215</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559" w:hanging="360"/>
        <w:spacing w:after="0" w:line="282"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market value of the shares based on the closing price of our common stock on the vesting date.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left="1260" w:right="499" w:firstLine="360"/>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regarding our equity compensation plans as of December 31, 2023:</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security holders(1):</w:t>
      </w:r>
    </w:p>
    <w:p>
      <w:pPr>
        <w:spacing w:after="0" w:line="2" w:lineRule="exact"/>
        <w:rPr>
          <w:sz w:val="20"/>
          <w:szCs w:val="20"/>
          <w:color w:val="auto"/>
        </w:rPr>
      </w:pPr>
    </w:p>
    <w:p>
      <w:pPr>
        <w:ind w:left="1440" w:right="36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6"/>
                <w:szCs w:val="16"/>
                <w:color w:val="auto"/>
              </w:rPr>
            </w:pPr>
          </w:p>
        </w:tc>
      </w:tr>
      <w:tr>
        <w:trPr>
          <w:trHeight w:val="215"/>
        </w:trPr>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60" w:type="dxa"/>
            <w:vAlign w:val="bottom"/>
          </w:tcPr>
          <w:p>
            <w:pPr>
              <w:spacing w:after="0"/>
              <w:rPr>
                <w:sz w:val="18"/>
                <w:szCs w:val="18"/>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be Issued Upon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 Plans</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60" w:type="dxa"/>
            <w:vAlign w:val="bottom"/>
          </w:tcPr>
          <w:p>
            <w:pPr>
              <w:spacing w:after="0"/>
              <w:rPr>
                <w:sz w:val="14"/>
                <w:szCs w:val="14"/>
                <w:color w:val="auto"/>
              </w:rPr>
            </w:pPr>
          </w:p>
        </w:tc>
      </w:tr>
      <w:tr>
        <w:trPr>
          <w:trHeight w:val="19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Rights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reflected in column(a))</w:t>
            </w:r>
          </w:p>
        </w:tc>
        <w:tc>
          <w:tcPr>
            <w:tcW w:w="60" w:type="dxa"/>
            <w:vAlign w:val="bottom"/>
          </w:tcPr>
          <w:p>
            <w:pPr>
              <w:spacing w:after="0"/>
              <w:rPr>
                <w:sz w:val="16"/>
                <w:szCs w:val="16"/>
                <w:color w:val="auto"/>
              </w:rPr>
            </w:pPr>
          </w:p>
        </w:tc>
      </w:tr>
      <w:tr>
        <w:trPr>
          <w:trHeight w:val="23"/>
        </w:trPr>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​442,834(2)</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​1,411,190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2"/>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​1,411,190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-179705</wp:posOffset>
            </wp:positionV>
            <wp:extent cx="52120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-788035</wp:posOffset>
            </wp:positionV>
            <wp:extent cx="521208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340"/>
            <w:col w:w="4619"/>
          </w:cols>
          <w:pgMar w:left="580" w:top="97" w:right="1440" w:bottom="1440" w:gutter="0" w:footer="0" w:header="0"/>
          <w:type w:val="continuous"/>
        </w:sectPr>
      </w:pPr>
    </w:p>
    <w:p>
      <w:pPr>
        <w:spacing w:after="0" w:line="133" w:lineRule="exact"/>
        <w:rPr>
          <w:sz w:val="20"/>
          <w:szCs w:val="20"/>
          <w:color w:val="auto"/>
        </w:rPr>
      </w:pPr>
    </w:p>
    <w:p>
      <w:pPr>
        <w:ind w:left="1620" w:right="459" w:hanging="360"/>
        <w:spacing w:after="0" w:line="255"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2023, we established the ATN International, Inc. 2023 Equity Incentive Plan (the “2023 Equity Plan”) and reserved 1,432,070 shares for the grant of restricted stock units, performance stock units and stock options and awards of shares of Common Stock that are not subject to restrictions or forfeiture. The 2023 Equity Incentive Plan replaced the previously approved ATN International, Inc. 2008 Equity Incentive Plan (the “2008 Equity Plan”). No additional grants are made under the 2008 Equity Plan following the effective date of the 2023 Equity Plan. Outstanding grants under the 2008 Equity Plan continue in effect according to their terms.</w:t>
      </w:r>
    </w:p>
    <w:p>
      <w:pPr>
        <w:spacing w:after="0" w:line="26" w:lineRule="exact"/>
        <w:rPr>
          <w:rFonts w:ascii="Times New Roman" w:cs="Times New Roman" w:eastAsia="Times New Roman" w:hAnsi="Times New Roman"/>
          <w:sz w:val="18"/>
          <w:szCs w:val="18"/>
          <w:color w:val="auto"/>
        </w:rPr>
      </w:pPr>
    </w:p>
    <w:p>
      <w:pPr>
        <w:ind w:left="1620" w:right="639" w:hanging="360"/>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284,284 shares of our common stock subject to outstanding restricted stock unit (“RSU”) awards and 158,550 shares of our common stock subject to outstanding performance stock unit (“PSU”) awards (assuming the maximum number of PSUs will vest) granted under the 2023 Equity Plan and the 2008 Equity Plan.</w:t>
      </w:r>
    </w:p>
    <w:p>
      <w:pPr>
        <w:spacing w:after="0" w:line="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excludes RSU and PSU awards as they have no exercise price.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contributions by us to our deferred compensation plan for fiscal year 2023.</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Last</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Fiscal</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6"/>
              </w:rPr>
              <w:t>Year End</w:t>
            </w:r>
          </w:p>
        </w:tc>
      </w:tr>
      <w:tr>
        <w:trPr>
          <w:trHeight w:val="190"/>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r>
      <w:tr>
        <w:trPr>
          <w:trHeight w:val="25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​55,459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​208,665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​1,311,463</w:t>
            </w:r>
          </w:p>
        </w:tc>
      </w:tr>
      <w:tr>
        <w:trPr>
          <w:trHeight w:val="25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D. Benincasa</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​33,563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81,149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690,657</w:t>
            </w:r>
          </w:p>
        </w:tc>
      </w:tr>
      <w:tr>
        <w:trPr>
          <w:trHeight w:val="257"/>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Martin(2)</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Mabey(2)</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Leon(2)</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-830580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-830580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-830580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-830580</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-830580</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839" w:hanging="360"/>
        <w:spacing w:after="0" w:line="282"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this column are reported for fiscal 2023 in the “All Other Compensation” column of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Ms. Mabey and Mr. Leon are not participants in our deferred compensation plan.</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2023, the last business day of our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6"/>
              </w:rPr>
              <w:t>Salary &amp;</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Vesting of</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Vesting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3"/>
              </w:rPr>
              <w:t>Other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Acceleration of</w:t>
            </w:r>
          </w:p>
        </w:tc>
        <w:tc>
          <w:tcPr>
            <w:tcW w:w="80" w:type="dxa"/>
            <w:vAlign w:val="bottom"/>
          </w:tcPr>
          <w:p>
            <w:pPr>
              <w:spacing w:after="0"/>
              <w:rPr>
                <w:sz w:val="15"/>
                <w:szCs w:val="15"/>
                <w:color w:val="auto"/>
              </w:rPr>
            </w:pPr>
          </w:p>
        </w:tc>
        <w:tc>
          <w:tcPr>
            <w:tcW w:w="168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Restricted  Performance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Named Executive</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Event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COBRA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5"/>
                <w:szCs w:val="15"/>
                <w:b w:val="1"/>
                <w:bCs w:val="1"/>
                <w:color w:val="auto"/>
                <w:w w:val="92"/>
              </w:rPr>
              <w:t>Vesting of</w:t>
            </w: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Stock Unit</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Stock Unit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Officer</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vMerge w:val="continue"/>
          </w:tcPr>
          <w:p>
            <w:pPr>
              <w:spacing w:after="0"/>
              <w:rPr>
                <w:sz w:val="19"/>
                <w:szCs w:val="19"/>
                <w:color w:val="auto"/>
              </w:rPr>
            </w:pPr>
          </w:p>
        </w:tc>
        <w:tc>
          <w:tcPr>
            <w:tcW w:w="3500" w:type="dxa"/>
            <w:vAlign w:val="bottom"/>
            <w:gridSpan w:val="13"/>
          </w:tcPr>
          <w:p>
            <w:pPr>
              <w:ind w:left="20"/>
              <w:spacing w:after="0"/>
              <w:rPr>
                <w:sz w:val="20"/>
                <w:szCs w:val="20"/>
                <w:color w:val="auto"/>
              </w:rPr>
            </w:pPr>
            <w:r>
              <w:rPr>
                <w:rFonts w:ascii="Times New Roman" w:cs="Times New Roman" w:eastAsia="Times New Roman" w:hAnsi="Times New Roman"/>
                <w:sz w:val="15"/>
                <w:szCs w:val="15"/>
                <w:b w:val="1"/>
                <w:bCs w:val="1"/>
                <w:color w:val="auto"/>
              </w:rPr>
              <w:t>​​Payment(1) ​​ Benefits ​​Certain Equity ​​ Awards(2) ​​</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Awards(3)</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92"/>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80" w:type="dxa"/>
            <w:vAlign w:val="bottom"/>
            <w:vMerge w:val="continue"/>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80" w:type="dxa"/>
            <w:vAlign w:val="bottom"/>
            <w:vMerge w:val="continue"/>
          </w:tcPr>
          <w:p>
            <w:pPr>
              <w:spacing w:after="0"/>
              <w:rPr>
                <w:sz w:val="16"/>
                <w:szCs w:val="16"/>
                <w:color w:val="auto"/>
              </w:rPr>
            </w:pPr>
          </w:p>
        </w:tc>
        <w:tc>
          <w:tcPr>
            <w:tcW w:w="780" w:type="dxa"/>
            <w:vAlign w:val="bottom"/>
            <w:gridSpan w:val="2"/>
          </w:tcPr>
          <w:p>
            <w:pPr>
              <w:jc w:val="right"/>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$2,352,463</w:t>
            </w:r>
          </w:p>
        </w:tc>
        <w:tc>
          <w:tcPr>
            <w:tcW w:w="80" w:type="dxa"/>
            <w:vAlign w:val="bottom"/>
            <w:vMerge w:val="continue"/>
          </w:tcPr>
          <w:p>
            <w:pPr>
              <w:spacing w:after="0"/>
              <w:rPr>
                <w:sz w:val="16"/>
                <w:szCs w:val="16"/>
                <w:color w:val="auto"/>
              </w:rPr>
            </w:pPr>
          </w:p>
        </w:tc>
        <w:tc>
          <w:tcPr>
            <w:tcW w:w="140" w:type="dxa"/>
            <w:vAlign w:val="bottom"/>
          </w:tcPr>
          <w:p>
            <w:pPr>
              <w:ind w:left="40"/>
              <w:spacing w:after="0" w:line="19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37,123</w:t>
            </w: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51"/>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N/A</w:t>
            </w:r>
          </w:p>
        </w:tc>
        <w:tc>
          <w:tcPr>
            <w:tcW w:w="240" w:type="dxa"/>
            <w:vAlign w:val="bottom"/>
            <w:gridSpan w:val="2"/>
          </w:tcPr>
          <w:p>
            <w:pPr>
              <w:spacing w:after="0" w:line="19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vMerge w:val="continue"/>
          </w:tcPr>
          <w:p>
            <w:pPr>
              <w:spacing w:after="0"/>
              <w:rPr>
                <w:sz w:val="16"/>
                <w:szCs w:val="16"/>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6"/>
                <w:szCs w:val="16"/>
                <w:color w:val="auto"/>
              </w:rPr>
            </w:pPr>
          </w:p>
        </w:tc>
        <w:tc>
          <w:tcPr>
            <w:tcW w:w="140" w:type="dxa"/>
            <w:vAlign w:val="bottom"/>
          </w:tcPr>
          <w:p>
            <w:pPr>
              <w:ind w:left="40"/>
              <w:spacing w:after="0" w:line="192"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2"/>
                <w:szCs w:val="22"/>
                <w:color w:val="auto"/>
                <w:vertAlign w:val="sub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2,389,586</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8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3,393,463</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37,123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900" w:type="dxa"/>
            <w:vAlign w:val="bottom"/>
            <w:gridSpan w:val="4"/>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2,243,659</w:t>
            </w:r>
            <w:r>
              <w:rPr>
                <w:rFonts w:ascii="Times New Roman" w:cs="Times New Roman" w:eastAsia="Times New Roman" w:hAnsi="Times New Roman"/>
                <w:sz w:val="25"/>
                <w:szCs w:val="25"/>
                <w:color w:val="auto"/>
                <w:vertAlign w:val="superscript"/>
              </w:rPr>
              <w:t>​​​</w:t>
            </w:r>
          </w:p>
        </w:tc>
        <w:tc>
          <w:tcPr>
            <w:tcW w:w="8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2,797,236</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8,471,481</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Justin D.</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1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Benincasa(4)</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 Without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1,110,657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23,999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5"/>
                <w:szCs w:val="15"/>
                <w:color w:val="auto"/>
              </w:rPr>
              <w:t>N/A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1,134,656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8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1,425,657</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23,999</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900" w:type="dxa"/>
            <w:vAlign w:val="bottom"/>
            <w:gridSpan w:val="4"/>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 1,002,971</w:t>
            </w:r>
            <w:r>
              <w:rPr>
                <w:rFonts w:ascii="Times New Roman" w:cs="Times New Roman" w:eastAsia="Times New Roman" w:hAnsi="Times New Roman"/>
                <w:sz w:val="25"/>
                <w:szCs w:val="25"/>
                <w:color w:val="auto"/>
                <w:vertAlign w:val="superscript"/>
              </w:rPr>
              <w:t>​​​</w:t>
            </w:r>
          </w:p>
        </w:tc>
        <w:tc>
          <w:tcPr>
            <w:tcW w:w="8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1,276,946</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3,729,573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Brad W. Martin(5)</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385,000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33,422</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ind w:right="51"/>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418,422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673,750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33,422</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962,169</w:t>
            </w:r>
            <w:r>
              <w:rPr>
                <w:rFonts w:ascii="Times New Roman" w:cs="Times New Roman" w:eastAsia="Times New Roman" w:hAnsi="Times New Roman"/>
                <w:sz w:val="25"/>
                <w:szCs w:val="25"/>
                <w:color w:val="auto"/>
                <w:vertAlign w:val="superscript"/>
              </w:rPr>
              <w:t>​​​</w:t>
            </w:r>
          </w:p>
        </w:tc>
        <w:tc>
          <w:tcPr>
            <w:tcW w:w="8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1,254,392</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2,923,734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Mary M. Mabey</w:t>
            </w:r>
          </w:p>
        </w:tc>
        <w:tc>
          <w:tcPr>
            <w:tcW w:w="158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334,000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32,841</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ind w:right="51"/>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366,841</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534,400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32,841</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643,979</w:t>
            </w:r>
            <w:r>
              <w:rPr>
                <w:rFonts w:ascii="Times New Roman" w:cs="Times New Roman" w:eastAsia="Times New Roman" w:hAnsi="Times New Roman"/>
                <w:sz w:val="25"/>
                <w:szCs w:val="25"/>
                <w:color w:val="auto"/>
                <w:vertAlign w:val="superscript"/>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836,299</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2,047,519</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auto"/>
              </w:rPr>
              <w:t>Justin M. Leon</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257,000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33,091</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center"/>
              <w:ind w:right="51"/>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290,091</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385,500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33,091</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465,692</w:t>
            </w:r>
            <w:r>
              <w:rPr>
                <w:rFonts w:ascii="Times New Roman" w:cs="Times New Roman" w:eastAsia="Times New Roman" w:hAnsi="Times New Roman"/>
                <w:sz w:val="25"/>
                <w:szCs w:val="25"/>
                <w:color w:val="auto"/>
                <w:vertAlign w:val="superscript"/>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625,520</w:t>
            </w:r>
          </w:p>
        </w:tc>
        <w:tc>
          <w:tcPr>
            <w:tcW w:w="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1,509,802</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-1888490</wp:posOffset>
            </wp:positionV>
            <wp:extent cx="5212080" cy="634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6343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-619760</wp:posOffset>
            </wp:positionV>
            <wp:extent cx="5212080" cy="685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6858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-3286125</wp:posOffset>
            </wp:positionV>
            <wp:extent cx="5212080" cy="643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643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219075</wp:posOffset>
            </wp:positionV>
            <wp:extent cx="12344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20" w:right="1059"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under our Non-Qualified Deferred Compensation Plan for Messrs. Prior and Benincasa not triggered by any severance arrangement and payable to the employee upon any termination or resignation of employment.</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$38.97 per share, the closing price of our common stock on December 31, 2023.</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as of December 31, 2023, using a Monte Carlo simulation.</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Benincasa retired effective March 17, 2024.</w:t>
      </w:r>
    </w:p>
    <w:p>
      <w:pPr>
        <w:spacing w:after="0" w:line="63" w:lineRule="exact"/>
        <w:rPr>
          <w:rFonts w:ascii="Times New Roman" w:cs="Times New Roman" w:eastAsia="Times New Roman" w:hAnsi="Times New Roman"/>
          <w:sz w:val="18"/>
          <w:szCs w:val="18"/>
          <w:color w:val="auto"/>
        </w:rPr>
      </w:pPr>
    </w:p>
    <w:p>
      <w:pPr>
        <w:ind w:left="1620" w:right="759"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2024, Mr. Martin was promoted to Chief Executive Officer and the payment amounts related to potential termination or change in control were increased in accordance with the Company’s standard form of severance agreement for the CEO role.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rules adopted pursuant to the Dodd-Frank Act, we have included in this Proxy Statement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reasonable estimate of the Chief Executive Officer to median employee pay ratio for 2023 annual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We identified the median employee based on 2023 taxable wages for all individuals,</w:t>
      </w:r>
    </w:p>
    <w:p>
      <w:pPr>
        <w:ind w:left="1260"/>
        <w:spacing w:after="0" w:line="234" w:lineRule="auto"/>
        <w:rPr>
          <w:sz w:val="20"/>
          <w:szCs w:val="20"/>
          <w:color w:val="auto"/>
        </w:rPr>
      </w:pPr>
      <w:r>
        <w:rPr>
          <w:rFonts w:ascii="Times New Roman" w:cs="Times New Roman" w:eastAsia="Times New Roman" w:hAnsi="Times New Roman"/>
          <w:sz w:val="18"/>
          <w:szCs w:val="18"/>
          <w:color w:val="auto"/>
        </w:rPr>
        <w:t>excluding our then-Chief Executive Officer, Mr. Michael Prior, employed by us on December 31, 2023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(whether employed on a full-time, part-time, or seasonal basis). For such employees, we annualized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for any full-time employees not employed for the entire 2023 fiscal year, but not for any part-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time employees. Other than as set forth above, we did not make any assumptions, adjustments, or estimates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respect to taxable wages. After identifying the median employee, we calculated annual total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for such employee using the same methodology we use for our named executive officers 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set forth in the 2023 Summary Compensation Table set forth elsewhere in this Proxy Statement. The annual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compensation of our median employee for 2023 was approximately $64,114. As disclosed in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Summary Compensation Table, our Chief Executive Officer’s annual total compensation for 2023 was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$3,581,890. Based on the foregoing, our estimate of the ratio of the annual total compensation of our Chief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Officer to the median of the annual total compensation of all other employees was approximately</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56:1.</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foregoing calculation reflects employees located in all of the Company’s operating jurisdictions. At year end, we had approximately 1,025 employees in the United States and the United States Virgin Islands, and approximately 1,300 employees internationally, principally in Bermuda, the Cayman Islands, and Guyana, with employees and contractors in Guyana accounting for over half of our employees outside of the United States. For purposes of this calculation, we excluded four non-US employees in Canada, as they represent less than 5% of our employee population. Our estimate, using the same compensation measure of taxable wages, of the ratio of the annual total compensation of our Chief Executive Officer to the median of the annual total compensation of our United States employees (excluding the Chief Executive Officer) is 37:1.</w:t>
      </w:r>
    </w:p>
    <w:p>
      <w:pPr>
        <w:spacing w:after="0" w:line="340"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w:t>
      </w:r>
    </w:p>
    <w:p>
      <w:pPr>
        <w:spacing w:after="0" w:line="205"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6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GDP per capita </w:t>
            </w:r>
            <w:r>
              <w:rPr>
                <w:rFonts w:ascii="Times New Roman" w:cs="Times New Roman" w:eastAsia="Times New Roman" w:hAnsi="Times New Roman"/>
                <w:sz w:val="28"/>
                <w:szCs w:val="28"/>
                <w:b w:val="1"/>
                <w:bCs w:val="1"/>
                <w:color w:val="auto"/>
                <w:vertAlign w:val="subscript"/>
              </w:rPr>
              <w:t>​</w:t>
            </w:r>
          </w:p>
        </w:tc>
      </w:tr>
      <w:tr>
        <w:trPr>
          <w:trHeight w:val="25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4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​$81,200</w:t>
            </w: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2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​$71,400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Guyana</w:t>
            </w:r>
          </w:p>
        </w:tc>
        <w:tc>
          <w:tcPr>
            <w:tcW w:w="24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​$35,600</w:t>
            </w:r>
          </w:p>
        </w:tc>
        <w:tc>
          <w:tcPr>
            <w:tcW w:w="1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244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4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​$64,600</w:t>
            </w:r>
          </w:p>
        </w:tc>
        <w:tc>
          <w:tcPr>
            <w:tcW w:w="10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-831215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SEC has adopted rules (as required by the Dodd-Frank Act) requiring disclosure of the relationship between the executive compensation actually paid and the financial performance of the Company. The below table outlines, in addition to the amounts listed in the Company’s Summary Compensation Table, the total Compensation Actually Paid (CAP) for the principal executive officer (CEO), which is the Company’s Chief Executive Officer, and the average of the total compensation actually paid for the Non-CEO Named Executive Officers (NEOs), which are the Company’s Chief Financial Officer, Chief Operating Officer, SVP and General Counsel, and SVP—Corporate Development, for the year as indicated. Additionally, the table includes the Company-Selected Measure of Adjusted EBITDA, as defined and described in more detail below.</w:t>
      </w:r>
    </w:p>
    <w:p>
      <w:pPr>
        <w:spacing w:after="0" w:line="3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7"/>
        </w:trPr>
        <w:tc>
          <w:tcPr>
            <w:tcW w:w="46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9"/>
                <w:szCs w:val="19"/>
                <w:color w:val="auto"/>
              </w:rPr>
            </w:pPr>
          </w:p>
        </w:tc>
        <w:tc>
          <w:tcPr>
            <w:tcW w:w="1780" w:type="dxa"/>
            <w:vAlign w:val="bottom"/>
            <w:gridSpan w:val="5"/>
          </w:tcPr>
          <w:p>
            <w:pP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$100 Investment Based On:</w:t>
            </w:r>
          </w:p>
        </w:tc>
        <w:tc>
          <w:tcPr>
            <w:tcW w:w="10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71"/>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4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Peer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Selected</w:t>
            </w:r>
          </w:p>
        </w:tc>
        <w:tc>
          <w:tcPr>
            <w:tcW w:w="4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4"/>
                <w:szCs w:val="14"/>
                <w:color w:val="auto"/>
              </w:rPr>
            </w:pPr>
          </w:p>
        </w:tc>
        <w:tc>
          <w:tcPr>
            <w:tcW w:w="104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Measure:</w:t>
            </w:r>
          </w:p>
        </w:tc>
        <w:tc>
          <w:tcPr>
            <w:tcW w:w="4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4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Non-CEO</w:t>
            </w: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Paid to Non-CEO</w:t>
            </w: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40" w:type="dxa"/>
            <w:vAlign w:val="bottom"/>
          </w:tcPr>
          <w:p>
            <w:pPr>
              <w:spacing w:after="0"/>
              <w:rPr>
                <w:sz w:val="14"/>
                <w:szCs w:val="14"/>
                <w:color w:val="auto"/>
              </w:rPr>
            </w:pPr>
          </w:p>
        </w:tc>
      </w:tr>
      <w:tr>
        <w:trPr>
          <w:trHeight w:val="227"/>
        </w:trPr>
        <w:tc>
          <w:tcPr>
            <w:tcW w:w="620" w:type="dxa"/>
            <w:vAlign w:val="bottom"/>
            <w:gridSpan w:val="3"/>
          </w:tcPr>
          <w:p>
            <w:pPr>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Year(a) </w:t>
            </w:r>
            <w:r>
              <w:rPr>
                <w:rFonts w:ascii="Times New Roman" w:cs="Times New Roman" w:eastAsia="Times New Roman" w:hAnsi="Times New Roman"/>
                <w:sz w:val="26"/>
                <w:szCs w:val="26"/>
                <w:b w:val="1"/>
                <w:bCs w:val="1"/>
                <w:color w:val="auto"/>
                <w:vertAlign w:val="subscript"/>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CEO(b)</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CEO(c)</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NEOs(d)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NEOs(c)(e)</w:t>
            </w:r>
          </w:p>
        </w:tc>
        <w:tc>
          <w:tcPr>
            <w:tcW w:w="178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Return ($)(f)  Return ($)(g)</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$000’s)</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$000’s)(h)</w:t>
            </w:r>
          </w:p>
        </w:tc>
        <w:tc>
          <w:tcPr>
            <w:tcW w:w="40" w:type="dxa"/>
            <w:vAlign w:val="bottom"/>
          </w:tcPr>
          <w:p>
            <w:pPr>
              <w:spacing w:after="0"/>
              <w:rPr>
                <w:sz w:val="19"/>
                <w:szCs w:val="19"/>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ind w:left="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3,581,890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2,736,645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ind w:left="1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1,319,997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956,198</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75.35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64.83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ind w:left="2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(18,754)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189,451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3,231,728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3,169,382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1,322,398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1,365,456</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85.56</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68.80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(7,583)</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172,688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3,379,850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2,516,463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1,097,723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855,318</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CCEEFF"/>
            </w:tcBorders>
            <w:shd w:val="clear" w:color="auto" w:fill="CCEEFF"/>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74.18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112.20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ind w:left="2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(20,809)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135,628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38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2020</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2,653,940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1,644,678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1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908,400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666,894</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76.38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109.42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20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(708)</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126,615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-687070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-687070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-687070</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-687070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-687070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-687070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-687070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5437505</wp:posOffset>
            </wp:positionH>
            <wp:positionV relativeFrom="paragraph">
              <wp:posOffset>-687070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75565</wp:posOffset>
            </wp:positionV>
            <wp:extent cx="12344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6"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is from January 1—December 31 of the indicated year.</w:t>
      </w:r>
    </w:p>
    <w:p>
      <w:pPr>
        <w:spacing w:after="0" w:line="10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CEO through 2023, Mr. Prior, in the Summary Compensation Table (SCT) for fiscal years 2023, 2022, 2021, and 2020.</w:t>
      </w:r>
    </w:p>
    <w:p>
      <w:pPr>
        <w:spacing w:after="0" w:line="40" w:lineRule="exact"/>
        <w:rPr>
          <w:rFonts w:ascii="Times New Roman" w:cs="Times New Roman" w:eastAsia="Times New Roman" w:hAnsi="Times New Roman"/>
          <w:sz w:val="18"/>
          <w:szCs w:val="18"/>
          <w:color w:val="auto"/>
        </w:rPr>
      </w:pPr>
    </w:p>
    <w:p>
      <w:pPr>
        <w:ind w:left="1620" w:right="499" w:hanging="360"/>
        <w:spacing w:after="0" w:line="25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amounts do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reflect the actual amounts of compensation paid to or received by our CEO or other NEOs during the applicable year, but rather are “Compensation Actually Paid” as such term is defined under applicable SEC rules. The amounts include the year-end value of equity awards granted during the reported year and the change in the value of equity awards, granted in previous years, that were unvested at the end of the prior year, measured through the date the awards vested or were forfeited, or through the end of the reported fiscal year.</w:t>
      </w:r>
    </w:p>
    <w:p>
      <w:pPr>
        <w:spacing w:after="0" w:line="65" w:lineRule="exact"/>
        <w:rPr>
          <w:rFonts w:ascii="Times New Roman" w:cs="Times New Roman" w:eastAsia="Times New Roman" w:hAnsi="Times New Roman"/>
          <w:sz w:val="18"/>
          <w:szCs w:val="18"/>
          <w:color w:val="auto"/>
        </w:rPr>
      </w:pPr>
    </w:p>
    <w:p>
      <w:pPr>
        <w:ind w:left="1620" w:right="51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and 2022, reflects compensation information for Messrs. Benincasa, Martin, and Leon, and Ms. Mabey. For 2021 and 2020, reflects compensation information for Messrs. Benincasa, Martin, and Kreisher, and Ms. Mabey.</w:t>
      </w:r>
    </w:p>
    <w:p>
      <w:pPr>
        <w:spacing w:after="0" w:line="40" w:lineRule="exact"/>
        <w:rPr>
          <w:rFonts w:ascii="Times New Roman" w:cs="Times New Roman" w:eastAsia="Times New Roman" w:hAnsi="Times New Roman"/>
          <w:sz w:val="18"/>
          <w:szCs w:val="18"/>
          <w:color w:val="auto"/>
        </w:rPr>
      </w:pPr>
    </w:p>
    <w:p>
      <w:pPr>
        <w:ind w:left="1620" w:right="659" w:hanging="360"/>
        <w:spacing w:after="0" w:line="257"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and 2022, reflects compensation information for Messrs. Benincasa, Martin, and Leon, and Ms. Mabey. For 2021 and 2020, reflects compensation information for Messrs. Benincasa, Martin, Ms. Mabey and for William F. Kreisher, the Company’s former SVP, Corporate Development.</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Kreisher ceased serving as an executive officer on January 15, 2021.</w:t>
      </w:r>
    </w:p>
    <w:p>
      <w:pPr>
        <w:spacing w:after="0" w:line="85"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cumulative total shareholder return as if $100 was invested in Company common stock on December 31, 2019 measured through the end of the applicable year.</w:t>
      </w:r>
    </w:p>
    <w:p>
      <w:pPr>
        <w:spacing w:after="0" w:line="40"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cumulative total shareholder return as if $100 was invested in the Nasdaq Small Cap Telecommunications Services index on December 31, 2019 measured through the end of the applicable year.</w:t>
      </w:r>
    </w:p>
    <w:p>
      <w:pPr>
        <w:spacing w:after="0" w:line="54"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more closely align with similar calculations presented by companies in its industry, beginning in 2023, the Company excluded non-cash stock-based compensation in its adjustment to derive Adjusted EBITDA. Prior periods have been restated to confirm to this definition change.</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(from last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(from last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vMerge w:val="restart"/>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w w:val="97"/>
              </w:rPr>
              <w:t>Add: Year</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day of prior</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day of prior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5"/>
              </w:rPr>
              <w:t>year to last</w:t>
            </w:r>
          </w:p>
        </w:tc>
        <w:tc>
          <w:tcPr>
            <w:tcW w:w="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 to last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rPr>
              <w:t>End Equity</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day of</w:t>
            </w:r>
          </w:p>
        </w:tc>
        <w:tc>
          <w:tcPr>
            <w:tcW w:w="140" w:type="dxa"/>
            <w:vAlign w:val="bottom"/>
          </w:tcPr>
          <w:p>
            <w:pPr>
              <w:spacing w:after="0"/>
              <w:rPr>
                <w:sz w:val="15"/>
                <w:szCs w:val="15"/>
                <w:color w:val="auto"/>
              </w:rPr>
            </w:pPr>
          </w:p>
        </w:tc>
        <w:tc>
          <w:tcPr>
            <w:tcW w:w="6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5"/>
              </w:rPr>
              <w:t>day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15"/>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35"/>
              <w:spacing w:after="0" w:line="162" w:lineRule="exact"/>
              <w:rPr>
                <w:sz w:val="20"/>
                <w:szCs w:val="20"/>
                <w:color w:val="auto"/>
              </w:rPr>
            </w:pPr>
            <w:r>
              <w:rPr>
                <w:rFonts w:ascii="Times New Roman" w:cs="Times New Roman" w:eastAsia="Times New Roman" w:hAnsi="Times New Roman"/>
                <w:sz w:val="15"/>
                <w:szCs w:val="15"/>
                <w:b w:val="1"/>
                <w:bCs w:val="1"/>
                <w:color w:val="auto"/>
                <w:w w:val="98"/>
              </w:rPr>
              <w:t>of awards</w:t>
            </w:r>
          </w:p>
        </w:tc>
        <w:tc>
          <w:tcPr>
            <w:tcW w:w="90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6"/>
              </w:rPr>
              <w:t>year) in</w:t>
            </w:r>
          </w:p>
        </w:tc>
        <w:tc>
          <w:tcPr>
            <w:tcW w:w="7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6"/>
              </w:rPr>
              <w:t>year) 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35"/>
              <w:spacing w:after="0"/>
              <w:rPr>
                <w:sz w:val="20"/>
                <w:szCs w:val="20"/>
                <w:color w:val="auto"/>
              </w:rPr>
            </w:pPr>
            <w:r>
              <w:rPr>
                <w:rFonts w:ascii="Times New Roman" w:cs="Times New Roman" w:eastAsia="Times New Roman" w:hAnsi="Times New Roman"/>
                <w:sz w:val="15"/>
                <w:szCs w:val="15"/>
                <w:b w:val="1"/>
                <w:bCs w:val="1"/>
                <w:color w:val="auto"/>
                <w:w w:val="99"/>
              </w:rPr>
              <w:t>granted</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Value of</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Summary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35"/>
              <w:spacing w:after="0"/>
              <w:rPr>
                <w:sz w:val="20"/>
                <w:szCs w:val="20"/>
                <w:color w:val="auto"/>
              </w:rPr>
            </w:pPr>
            <w:r>
              <w:rPr>
                <w:rFonts w:ascii="Times New Roman" w:cs="Times New Roman" w:eastAsia="Times New Roman" w:hAnsi="Times New Roman"/>
                <w:sz w:val="15"/>
                <w:szCs w:val="15"/>
                <w:b w:val="1"/>
                <w:bCs w:val="1"/>
                <w:color w:val="auto"/>
                <w:w w:val="98"/>
              </w:rPr>
              <w:t>during the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Prior</w:t>
            </w:r>
          </w:p>
        </w:tc>
        <w:tc>
          <w:tcPr>
            <w:tcW w:w="140" w:type="dxa"/>
            <w:vAlign w:val="bottom"/>
          </w:tcPr>
          <w:p>
            <w:pPr>
              <w:spacing w:after="0"/>
              <w:rPr>
                <w:sz w:val="15"/>
                <w:szCs w:val="15"/>
                <w:color w:val="auto"/>
              </w:rPr>
            </w:pPr>
          </w:p>
        </w:tc>
        <w:tc>
          <w:tcPr>
            <w:tcW w:w="6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6"/>
              </w:rPr>
              <w:t>Vested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Compensation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5"/>
              </w:rPr>
              <w:t>Less: Stock</w:t>
            </w:r>
          </w:p>
        </w:tc>
        <w:tc>
          <w:tcPr>
            <w:tcW w:w="100" w:type="dxa"/>
            <w:vAlign w:val="bottom"/>
          </w:tcPr>
          <w:p>
            <w:pPr>
              <w:spacing w:after="0"/>
              <w:rPr>
                <w:sz w:val="14"/>
                <w:szCs w:val="14"/>
                <w:color w:val="auto"/>
              </w:rPr>
            </w:pPr>
          </w:p>
        </w:tc>
        <w:tc>
          <w:tcPr>
            <w:tcW w:w="780" w:type="dxa"/>
            <w:vAlign w:val="bottom"/>
            <w:gridSpan w:val="2"/>
          </w:tcPr>
          <w:p>
            <w:pPr>
              <w:jc w:val="center"/>
              <w:ind w:right="235"/>
              <w:spacing w:after="0" w:line="162" w:lineRule="exact"/>
              <w:rPr>
                <w:sz w:val="20"/>
                <w:szCs w:val="20"/>
                <w:color w:val="auto"/>
              </w:rPr>
            </w:pPr>
            <w:r>
              <w:rPr>
                <w:rFonts w:ascii="Times New Roman" w:cs="Times New Roman" w:eastAsia="Times New Roman" w:hAnsi="Times New Roman"/>
                <w:sz w:val="15"/>
                <w:szCs w:val="15"/>
                <w:b w:val="1"/>
                <w:bCs w:val="1"/>
                <w:color w:val="auto"/>
                <w:w w:val="96"/>
              </w:rPr>
              <w:t>reported</w:t>
            </w:r>
          </w:p>
        </w:tc>
        <w:tc>
          <w:tcPr>
            <w:tcW w:w="9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140" w:type="dxa"/>
            <w:vAlign w:val="bottom"/>
          </w:tcPr>
          <w:p>
            <w:pPr>
              <w:spacing w:after="0"/>
              <w:rPr>
                <w:sz w:val="14"/>
                <w:szCs w:val="14"/>
                <w:color w:val="auto"/>
              </w:rPr>
            </w:pPr>
          </w:p>
        </w:tc>
        <w:tc>
          <w:tcPr>
            <w:tcW w:w="62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5"/>
              </w:rPr>
              <w:t>Actually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Table 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00" w:type="dxa"/>
            <w:vAlign w:val="bottom"/>
          </w:tcPr>
          <w:p>
            <w:pPr>
              <w:spacing w:after="0"/>
              <w:rPr>
                <w:sz w:val="18"/>
                <w:szCs w:val="18"/>
                <w:color w:val="auto"/>
              </w:rPr>
            </w:pPr>
          </w:p>
        </w:tc>
        <w:tc>
          <w:tcPr>
            <w:tcW w:w="780" w:type="dxa"/>
            <w:vAlign w:val="bottom"/>
            <w:gridSpan w:val="2"/>
          </w:tcPr>
          <w:p>
            <w:pPr>
              <w:jc w:val="center"/>
              <w:ind w:right="195"/>
              <w:spacing w:after="0"/>
              <w:rPr>
                <w:sz w:val="20"/>
                <w:szCs w:val="20"/>
                <w:color w:val="auto"/>
              </w:rPr>
            </w:pPr>
            <w:r>
              <w:rPr>
                <w:rFonts w:ascii="Times New Roman" w:cs="Times New Roman" w:eastAsia="Times New Roman" w:hAnsi="Times New Roman"/>
                <w:sz w:val="15"/>
                <w:szCs w:val="15"/>
                <w:b w:val="1"/>
                <w:bCs w:val="1"/>
                <w:color w:val="auto"/>
                <w:w w:val="91"/>
              </w:rPr>
              <w:t>year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140" w:type="dxa"/>
            <w:vAlign w:val="bottom"/>
          </w:tcPr>
          <w:p>
            <w:pPr>
              <w:spacing w:after="0"/>
              <w:rPr>
                <w:sz w:val="18"/>
                <w:szCs w:val="18"/>
                <w:color w:val="auto"/>
              </w:rPr>
            </w:pPr>
          </w:p>
        </w:tc>
        <w:tc>
          <w:tcPr>
            <w:tcW w:w="62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Paid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920" w:type="dxa"/>
            <w:vAlign w:val="bottom"/>
            <w:shd w:val="clear" w:color="auto" w:fill="CCEEFF"/>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3,581,890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c>
          <w:tcPr>
            <w:tcW w:w="7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(2,126,000)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ind w:left="6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1,995,000</w:t>
            </w:r>
          </w:p>
        </w:tc>
        <w:tc>
          <w:tcPr>
            <w:tcW w:w="1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
                <w:szCs w:val="1"/>
                <w:color w:val="auto"/>
                <w:w w:val="4294942296"/>
              </w:rPr>
              <w:t>​</w:t>
            </w:r>
          </w:p>
        </w:tc>
        <w:tc>
          <w:tcPr>
            <w:tcW w:w="900" w:type="dxa"/>
            <w:vAlign w:val="bottom"/>
            <w:gridSpan w:val="2"/>
            <w:shd w:val="clear" w:color="auto" w:fill="CCEEFF"/>
          </w:tcPr>
          <w:p>
            <w:pPr>
              <w:ind w:left="10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(591,262) </w:t>
            </w:r>
            <w:r>
              <w:rPr>
                <w:rFonts w:ascii="Times New Roman" w:cs="Times New Roman" w:eastAsia="Times New Roman" w:hAnsi="Times New Roman"/>
                <w:sz w:val="25"/>
                <w:szCs w:val="25"/>
                <w:color w:val="auto"/>
                <w:vertAlign w:val="superscript"/>
              </w:rPr>
              <w:t>​</w:t>
            </w:r>
          </w:p>
        </w:tc>
        <w:tc>
          <w:tcPr>
            <w:tcW w:w="880" w:type="dxa"/>
            <w:vAlign w:val="bottom"/>
            <w:gridSpan w:val="4"/>
            <w:shd w:val="clear" w:color="auto" w:fill="CCEEFF"/>
          </w:tcPr>
          <w:p>
            <w:pPr>
              <w:jc w:val="right"/>
              <w:ind w:right="8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(122,983) </w:t>
            </w:r>
            <w:r>
              <w:rPr>
                <w:rFonts w:ascii="Times New Roman" w:cs="Times New Roman" w:eastAsia="Times New Roman" w:hAnsi="Times New Roman"/>
                <w:sz w:val="25"/>
                <w:szCs w:val="25"/>
                <w:color w:val="auto"/>
                <w:vertAlign w:val="superscript"/>
              </w:rPr>
              <w:t>​</w:t>
            </w:r>
          </w:p>
        </w:tc>
        <w:tc>
          <w:tcPr>
            <w:tcW w:w="940" w:type="dxa"/>
            <w:vAlign w:val="bottom"/>
            <w:tcBorders>
              <w:right w:val="single" w:sz="8" w:color="CCEEFF"/>
            </w:tcBorders>
            <w:shd w:val="clear" w:color="auto" w:fill="CCEEFF"/>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2,736,645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NEOs(1)</w:t>
            </w:r>
          </w:p>
        </w:tc>
        <w:tc>
          <w:tcPr>
            <w:tcW w:w="92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1,319,997</w:t>
            </w:r>
          </w:p>
        </w:tc>
        <w:tc>
          <w:tcPr>
            <w:tcW w:w="1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(724,966)</w:t>
            </w:r>
            <w:r>
              <w:rPr>
                <w:rFonts w:ascii="Times New Roman" w:cs="Times New Roman" w:eastAsia="Times New Roman" w:hAnsi="Times New Roman"/>
                <w:sz w:val="29"/>
                <w:szCs w:val="29"/>
                <w:color w:val="auto"/>
                <w:vertAlign w:val="superscript"/>
              </w:rPr>
              <w:t>​</w:t>
            </w: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gridSpan w:val="2"/>
            <w:shd w:val="clear" w:color="auto" w:fill="CCEEFF"/>
          </w:tcPr>
          <w:p>
            <w:pPr>
              <w:jc w:val="right"/>
              <w:ind w:right="75"/>
              <w:spacing w:after="0" w:line="256" w:lineRule="exact"/>
              <w:rPr>
                <w:sz w:val="20"/>
                <w:szCs w:val="20"/>
                <w:color w:val="auto"/>
              </w:rPr>
            </w:pPr>
            <w:r>
              <w:rPr>
                <w:rFonts w:ascii="Times New Roman" w:cs="Times New Roman" w:eastAsia="Times New Roman" w:hAnsi="Times New Roman"/>
                <w:sz w:val="15"/>
                <w:szCs w:val="15"/>
                <w:color w:val="auto"/>
              </w:rPr>
              <w:t xml:space="preserve">680,295 </w:t>
            </w:r>
            <w:r>
              <w:rPr>
                <w:rFonts w:ascii="Times New Roman" w:cs="Times New Roman" w:eastAsia="Times New Roman" w:hAnsi="Times New Roman"/>
                <w:sz w:val="29"/>
                <w:szCs w:val="29"/>
                <w:color w:val="auto"/>
                <w:vertAlign w:val="superscript"/>
              </w:rPr>
              <w:t>​</w:t>
            </w:r>
          </w:p>
        </w:tc>
        <w:tc>
          <w:tcPr>
            <w:tcW w:w="900" w:type="dxa"/>
            <w:vAlign w:val="bottom"/>
            <w:tcBorders>
              <w:bottom w:val="single" w:sz="8" w:color="CCEEFF"/>
            </w:tcBorders>
            <w:gridSpan w:val="2"/>
            <w:shd w:val="clear" w:color="auto" w:fill="CCEEFF"/>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(172,072) </w:t>
            </w:r>
            <w:r>
              <w:rPr>
                <w:rFonts w:ascii="Times New Roman" w:cs="Times New Roman" w:eastAsia="Times New Roman" w:hAnsi="Times New Roman"/>
                <w:sz w:val="29"/>
                <w:szCs w:val="29"/>
                <w:color w:val="auto"/>
                <w:vertAlign w:val="superscript"/>
              </w:rPr>
              <w:t>​</w:t>
            </w:r>
          </w:p>
        </w:tc>
        <w:tc>
          <w:tcPr>
            <w:tcW w:w="880" w:type="dxa"/>
            <w:vAlign w:val="bottom"/>
            <w:tcBorders>
              <w:bottom w:val="single" w:sz="8" w:color="CCEEFF"/>
            </w:tcBorders>
            <w:gridSpan w:val="4"/>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(147,057) </w:t>
            </w:r>
            <w:r>
              <w:rPr>
                <w:rFonts w:ascii="Times New Roman" w:cs="Times New Roman" w:eastAsia="Times New Roman" w:hAnsi="Times New Roman"/>
                <w:sz w:val="29"/>
                <w:szCs w:val="29"/>
                <w:color w:val="auto"/>
                <w:vertAlign w:val="superscript"/>
              </w:rPr>
              <w:t>​</w:t>
            </w:r>
          </w:p>
        </w:tc>
        <w:tc>
          <w:tcPr>
            <w:tcW w:w="940" w:type="dxa"/>
            <w:vAlign w:val="bottom"/>
            <w:tcBorders>
              <w:bottom w:val="single" w:sz="8" w:color="CCEEFF"/>
              <w:right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956,198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1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CEO</w:t>
            </w:r>
          </w:p>
        </w:tc>
        <w:tc>
          <w:tcPr>
            <w:tcW w:w="92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3,231,728</w:t>
            </w:r>
          </w:p>
        </w:tc>
        <w:tc>
          <w:tcPr>
            <w:tcW w:w="14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(1,852,208)</w:t>
            </w:r>
            <w:r>
              <w:rPr>
                <w:rFonts w:ascii="Times New Roman" w:cs="Times New Roman" w:eastAsia="Times New Roman" w:hAnsi="Times New Roman"/>
                <w:sz w:val="26"/>
                <w:szCs w:val="26"/>
                <w:color w:val="auto"/>
                <w:vertAlign w:val="superscript"/>
              </w:rPr>
              <w:t>​</w:t>
            </w:r>
          </w:p>
        </w:tc>
        <w:tc>
          <w:tcPr>
            <w:tcW w:w="880" w:type="dxa"/>
            <w:vAlign w:val="bottom"/>
            <w:gridSpan w:val="3"/>
          </w:tcPr>
          <w:p>
            <w:pPr>
              <w:jc w:val="right"/>
              <w:ind w:right="75"/>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2,254,395 </w:t>
            </w:r>
            <w:r>
              <w:rPr>
                <w:rFonts w:ascii="Times New Roman" w:cs="Times New Roman" w:eastAsia="Times New Roman" w:hAnsi="Times New Roman"/>
                <w:sz w:val="26"/>
                <w:szCs w:val="26"/>
                <w:color w:val="auto"/>
                <w:vertAlign w:val="superscript"/>
              </w:rPr>
              <w:t>​</w:t>
            </w:r>
          </w:p>
        </w:tc>
        <w:tc>
          <w:tcPr>
            <w:tcW w:w="900" w:type="dxa"/>
            <w:vAlign w:val="bottom"/>
            <w:gridSpan w:val="2"/>
          </w:tcPr>
          <w:p>
            <w:pPr>
              <w:ind w:left="10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(338,571) </w:t>
            </w:r>
            <w:r>
              <w:rPr>
                <w:rFonts w:ascii="Times New Roman" w:cs="Times New Roman" w:eastAsia="Times New Roman" w:hAnsi="Times New Roman"/>
                <w:sz w:val="26"/>
                <w:szCs w:val="26"/>
                <w:color w:val="auto"/>
                <w:vertAlign w:val="superscript"/>
              </w:rPr>
              <w:t>​</w:t>
            </w:r>
          </w:p>
        </w:tc>
        <w:tc>
          <w:tcPr>
            <w:tcW w:w="880" w:type="dxa"/>
            <w:vAlign w:val="bottom"/>
            <w:gridSpan w:val="4"/>
          </w:tcPr>
          <w:p>
            <w:pPr>
              <w:jc w:val="right"/>
              <w:ind w:right="8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(125,963) </w:t>
            </w:r>
            <w:r>
              <w:rPr>
                <w:rFonts w:ascii="Times New Roman" w:cs="Times New Roman" w:eastAsia="Times New Roman" w:hAnsi="Times New Roman"/>
                <w:sz w:val="26"/>
                <w:szCs w:val="26"/>
                <w:color w:val="auto"/>
                <w:vertAlign w:val="superscript"/>
              </w:rPr>
              <w:t>​</w:t>
            </w:r>
          </w:p>
        </w:tc>
        <w:tc>
          <w:tcPr>
            <w:tcW w:w="94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3,169,382</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NEOs(1)</w:t>
            </w:r>
          </w:p>
        </w:tc>
        <w:tc>
          <w:tcPr>
            <w:tcW w:w="9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1,322,398</w:t>
            </w:r>
          </w:p>
        </w:tc>
        <w:tc>
          <w:tcPr>
            <w:tcW w:w="14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(755,563)</w:t>
            </w:r>
            <w:r>
              <w:rPr>
                <w:rFonts w:ascii="Times New Roman" w:cs="Times New Roman" w:eastAsia="Times New Roman" w:hAnsi="Times New Roman"/>
                <w:sz w:val="29"/>
                <w:szCs w:val="29"/>
                <w:color w:val="auto"/>
                <w:vertAlign w:val="super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75"/>
              <w:spacing w:after="0" w:line="256" w:lineRule="exact"/>
              <w:rPr>
                <w:sz w:val="20"/>
                <w:szCs w:val="20"/>
                <w:color w:val="auto"/>
              </w:rPr>
            </w:pPr>
            <w:r>
              <w:rPr>
                <w:rFonts w:ascii="Times New Roman" w:cs="Times New Roman" w:eastAsia="Times New Roman" w:hAnsi="Times New Roman"/>
                <w:sz w:val="15"/>
                <w:szCs w:val="15"/>
                <w:color w:val="auto"/>
              </w:rPr>
              <w:t xml:space="preserve">919,625 </w:t>
            </w:r>
            <w:r>
              <w:rPr>
                <w:rFonts w:ascii="Times New Roman" w:cs="Times New Roman" w:eastAsia="Times New Roman" w:hAnsi="Times New Roman"/>
                <w:sz w:val="29"/>
                <w:szCs w:val="29"/>
                <w:color w:val="auto"/>
                <w:vertAlign w:val="superscript"/>
              </w:rPr>
              <w:t>​</w:t>
            </w:r>
          </w:p>
        </w:tc>
        <w:tc>
          <w:tcPr>
            <w:tcW w:w="900" w:type="dxa"/>
            <w:vAlign w:val="bottom"/>
            <w:gridSpan w:val="2"/>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(93,459) </w:t>
            </w:r>
            <w:r>
              <w:rPr>
                <w:rFonts w:ascii="Times New Roman" w:cs="Times New Roman" w:eastAsia="Times New Roman" w:hAnsi="Times New Roman"/>
                <w:sz w:val="29"/>
                <w:szCs w:val="29"/>
                <w:color w:val="auto"/>
                <w:vertAlign w:val="superscript"/>
              </w:rPr>
              <w:t>​</w:t>
            </w:r>
          </w:p>
        </w:tc>
        <w:tc>
          <w:tcPr>
            <w:tcW w:w="880" w:type="dxa"/>
            <w:vAlign w:val="bottom"/>
            <w:gridSpan w:val="4"/>
          </w:tcPr>
          <w:p>
            <w:pPr>
              <w:jc w:val="right"/>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(27,545) </w:t>
            </w:r>
            <w:r>
              <w:rPr>
                <w:rFonts w:ascii="Times New Roman" w:cs="Times New Roman" w:eastAsia="Times New Roman" w:hAnsi="Times New Roman"/>
                <w:sz w:val="29"/>
                <w:szCs w:val="29"/>
                <w:color w:val="auto"/>
                <w:vertAlign w:val="superscript"/>
              </w:rPr>
              <w:t>​</w:t>
            </w:r>
          </w:p>
        </w:tc>
        <w:tc>
          <w:tcPr>
            <w:tcW w:w="9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1,365,456</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2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2021</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920" w:type="dxa"/>
            <w:vAlign w:val="bottom"/>
            <w:shd w:val="clear" w:color="auto" w:fill="CCEEFF"/>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3,379,850</w:t>
            </w:r>
          </w:p>
        </w:tc>
        <w:tc>
          <w:tcPr>
            <w:tcW w:w="1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(2,132,370)</w:t>
            </w:r>
            <w:r>
              <w:rPr>
                <w:rFonts w:ascii="Times New Roman" w:cs="Times New Roman" w:eastAsia="Times New Roman" w:hAnsi="Times New Roman"/>
                <w:sz w:val="26"/>
                <w:szCs w:val="26"/>
                <w:color w:val="auto"/>
                <w:vertAlign w:val="superscript"/>
              </w:rPr>
              <w:t>​</w:t>
            </w:r>
          </w:p>
        </w:tc>
        <w:tc>
          <w:tcPr>
            <w:tcW w:w="880" w:type="dxa"/>
            <w:vAlign w:val="bottom"/>
            <w:gridSpan w:val="3"/>
            <w:shd w:val="clear" w:color="auto" w:fill="CCEEFF"/>
          </w:tcPr>
          <w:p>
            <w:pPr>
              <w:jc w:val="right"/>
              <w:ind w:right="75"/>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1,605,470 </w:t>
            </w:r>
            <w:r>
              <w:rPr>
                <w:rFonts w:ascii="Times New Roman" w:cs="Times New Roman" w:eastAsia="Times New Roman" w:hAnsi="Times New Roman"/>
                <w:sz w:val="26"/>
                <w:szCs w:val="26"/>
                <w:color w:val="auto"/>
                <w:vertAlign w:val="superscript"/>
              </w:rPr>
              <w:t>​</w:t>
            </w:r>
          </w:p>
        </w:tc>
        <w:tc>
          <w:tcPr>
            <w:tcW w:w="900" w:type="dxa"/>
            <w:vAlign w:val="bottom"/>
            <w:gridSpan w:val="2"/>
            <w:shd w:val="clear" w:color="auto" w:fill="CCEEFF"/>
          </w:tcPr>
          <w:p>
            <w:pPr>
              <w:ind w:left="10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(581,545) </w:t>
            </w:r>
            <w:r>
              <w:rPr>
                <w:rFonts w:ascii="Times New Roman" w:cs="Times New Roman" w:eastAsia="Times New Roman" w:hAnsi="Times New Roman"/>
                <w:sz w:val="26"/>
                <w:szCs w:val="26"/>
                <w:color w:val="auto"/>
                <w:vertAlign w:val="superscript"/>
              </w:rPr>
              <w:t>​</w:t>
            </w:r>
          </w:p>
        </w:tc>
        <w:tc>
          <w:tcPr>
            <w:tcW w:w="760" w:type="dxa"/>
            <w:vAlign w:val="bottom"/>
            <w:gridSpan w:val="2"/>
            <w:shd w:val="clear" w:color="auto" w:fill="CCEEFF"/>
          </w:tcPr>
          <w:p>
            <w:pPr>
              <w:jc w:val="right"/>
              <w:ind w:right="24"/>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245,058</w:t>
            </w:r>
          </w:p>
        </w:tc>
        <w:tc>
          <w:tcPr>
            <w:tcW w:w="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shd w:val="clear" w:color="auto" w:fill="CCEEFF"/>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2,516,463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NEOs(1)</w:t>
            </w:r>
          </w:p>
        </w:tc>
        <w:tc>
          <w:tcPr>
            <w:tcW w:w="92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1,097,723</w:t>
            </w:r>
          </w:p>
        </w:tc>
        <w:tc>
          <w:tcPr>
            <w:tcW w:w="14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(597,951)</w:t>
            </w:r>
            <w:r>
              <w:rPr>
                <w:rFonts w:ascii="Times New Roman" w:cs="Times New Roman" w:eastAsia="Times New Roman" w:hAnsi="Times New Roman"/>
                <w:sz w:val="29"/>
                <w:szCs w:val="29"/>
                <w:color w:val="auto"/>
                <w:vertAlign w:val="superscript"/>
              </w:rPr>
              <w:t>​</w:t>
            </w: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gridSpan w:val="2"/>
            <w:shd w:val="clear" w:color="auto" w:fill="CCEEFF"/>
          </w:tcPr>
          <w:p>
            <w:pPr>
              <w:jc w:val="right"/>
              <w:ind w:right="75"/>
              <w:spacing w:after="0" w:line="256" w:lineRule="exact"/>
              <w:rPr>
                <w:sz w:val="20"/>
                <w:szCs w:val="20"/>
                <w:color w:val="auto"/>
              </w:rPr>
            </w:pPr>
            <w:r>
              <w:rPr>
                <w:rFonts w:ascii="Times New Roman" w:cs="Times New Roman" w:eastAsia="Times New Roman" w:hAnsi="Times New Roman"/>
                <w:sz w:val="15"/>
                <w:szCs w:val="15"/>
                <w:color w:val="auto"/>
              </w:rPr>
              <w:t xml:space="preserve">451,611 </w:t>
            </w:r>
            <w:r>
              <w:rPr>
                <w:rFonts w:ascii="Times New Roman" w:cs="Times New Roman" w:eastAsia="Times New Roman" w:hAnsi="Times New Roman"/>
                <w:sz w:val="29"/>
                <w:szCs w:val="29"/>
                <w:color w:val="auto"/>
                <w:vertAlign w:val="superscript"/>
              </w:rPr>
              <w:t>​</w:t>
            </w:r>
          </w:p>
        </w:tc>
        <w:tc>
          <w:tcPr>
            <w:tcW w:w="900" w:type="dxa"/>
            <w:vAlign w:val="bottom"/>
            <w:tcBorders>
              <w:bottom w:val="single" w:sz="8" w:color="CCEEFF"/>
            </w:tcBorders>
            <w:gridSpan w:val="2"/>
            <w:shd w:val="clear" w:color="auto" w:fill="CCEEFF"/>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(154,914) </w:t>
            </w:r>
            <w:r>
              <w:rPr>
                <w:rFonts w:ascii="Times New Roman" w:cs="Times New Roman" w:eastAsia="Times New Roman" w:hAnsi="Times New Roman"/>
                <w:sz w:val="29"/>
                <w:szCs w:val="29"/>
                <w:color w:val="auto"/>
                <w:vertAlign w:val="superscript"/>
              </w:rPr>
              <w:t>​</w:t>
            </w: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58,849</w:t>
            </w:r>
          </w:p>
        </w:tc>
        <w:tc>
          <w:tcPr>
            <w:tcW w:w="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right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855,318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2020</w:t>
            </w:r>
          </w:p>
        </w:tc>
        <w:tc>
          <w:tcPr>
            <w:tcW w:w="1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CEO</w:t>
            </w:r>
          </w:p>
        </w:tc>
        <w:tc>
          <w:tcPr>
            <w:tcW w:w="92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2,653,940</w:t>
            </w:r>
          </w:p>
        </w:tc>
        <w:tc>
          <w:tcPr>
            <w:tcW w:w="14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(1,405,555)</w:t>
            </w:r>
            <w:r>
              <w:rPr>
                <w:rFonts w:ascii="Times New Roman" w:cs="Times New Roman" w:eastAsia="Times New Roman" w:hAnsi="Times New Roman"/>
                <w:sz w:val="26"/>
                <w:szCs w:val="26"/>
                <w:color w:val="auto"/>
                <w:vertAlign w:val="superscript"/>
              </w:rPr>
              <w:t>​</w:t>
            </w:r>
          </w:p>
        </w:tc>
        <w:tc>
          <w:tcPr>
            <w:tcW w:w="880" w:type="dxa"/>
            <w:vAlign w:val="bottom"/>
            <w:gridSpan w:val="3"/>
          </w:tcPr>
          <w:p>
            <w:pPr>
              <w:jc w:val="right"/>
              <w:ind w:right="75"/>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1,137,960 </w:t>
            </w:r>
            <w:r>
              <w:rPr>
                <w:rFonts w:ascii="Times New Roman" w:cs="Times New Roman" w:eastAsia="Times New Roman" w:hAnsi="Times New Roman"/>
                <w:sz w:val="26"/>
                <w:szCs w:val="26"/>
                <w:color w:val="auto"/>
                <w:vertAlign w:val="superscript"/>
              </w:rPr>
              <w:t>​</w:t>
            </w:r>
          </w:p>
        </w:tc>
        <w:tc>
          <w:tcPr>
            <w:tcW w:w="900" w:type="dxa"/>
            <w:vAlign w:val="bottom"/>
            <w:gridSpan w:val="2"/>
          </w:tcPr>
          <w:p>
            <w:pPr>
              <w:ind w:left="10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(677,183) </w:t>
            </w:r>
            <w:r>
              <w:rPr>
                <w:rFonts w:ascii="Times New Roman" w:cs="Times New Roman" w:eastAsia="Times New Roman" w:hAnsi="Times New Roman"/>
                <w:sz w:val="26"/>
                <w:szCs w:val="26"/>
                <w:color w:val="auto"/>
                <w:vertAlign w:val="superscript"/>
              </w:rPr>
              <w:t>​</w:t>
            </w:r>
          </w:p>
        </w:tc>
        <w:tc>
          <w:tcPr>
            <w:tcW w:w="880" w:type="dxa"/>
            <w:vAlign w:val="bottom"/>
            <w:gridSpan w:val="4"/>
          </w:tcPr>
          <w:p>
            <w:pPr>
              <w:jc w:val="right"/>
              <w:ind w:right="8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(64,484) </w:t>
            </w:r>
            <w:r>
              <w:rPr>
                <w:rFonts w:ascii="Times New Roman" w:cs="Times New Roman" w:eastAsia="Times New Roman" w:hAnsi="Times New Roman"/>
                <w:sz w:val="26"/>
                <w:szCs w:val="26"/>
                <w:color w:val="auto"/>
                <w:vertAlign w:val="superscript"/>
              </w:rPr>
              <w:t>​</w:t>
            </w:r>
          </w:p>
        </w:tc>
        <w:tc>
          <w:tcPr>
            <w:tcW w:w="94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1,644,678</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03"/>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NEOs(1)</w:t>
            </w:r>
          </w:p>
        </w:tc>
        <w:tc>
          <w:tcPr>
            <w:tcW w:w="920" w:type="dxa"/>
            <w:vAlign w:val="bottom"/>
          </w:tcPr>
          <w:p>
            <w:pPr>
              <w:jc w:val="cente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908,400</w:t>
            </w:r>
          </w:p>
        </w:tc>
        <w:tc>
          <w:tcPr>
            <w:tcW w:w="14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(403,908)</w:t>
            </w:r>
            <w:r>
              <w:rPr>
                <w:rFonts w:ascii="Times New Roman" w:cs="Times New Roman" w:eastAsia="Times New Roman" w:hAnsi="Times New Roman"/>
                <w:sz w:val="30"/>
                <w:szCs w:val="30"/>
                <w:color w:val="auto"/>
                <w:vertAlign w:val="super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 xml:space="preserve">326,354 </w:t>
            </w:r>
            <w:r>
              <w:rPr>
                <w:rFonts w:ascii="Times New Roman" w:cs="Times New Roman" w:eastAsia="Times New Roman" w:hAnsi="Times New Roman"/>
                <w:sz w:val="30"/>
                <w:szCs w:val="30"/>
                <w:color w:val="auto"/>
                <w:vertAlign w:val="superscript"/>
              </w:rPr>
              <w:t>​</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(155,763) </w:t>
            </w:r>
            <w:r>
              <w:rPr>
                <w:rFonts w:ascii="Times New Roman" w:cs="Times New Roman" w:eastAsia="Times New Roman" w:hAnsi="Times New Roman"/>
                <w:sz w:val="30"/>
                <w:szCs w:val="30"/>
                <w:color w:val="auto"/>
                <w:vertAlign w:val="super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 xml:space="preserve">(8,189) </w:t>
            </w:r>
            <w:r>
              <w:rPr>
                <w:rFonts w:ascii="Times New Roman" w:cs="Times New Roman" w:eastAsia="Times New Roman" w:hAnsi="Times New Roman"/>
                <w:sz w:val="30"/>
                <w:szCs w:val="30"/>
                <w:color w:val="auto"/>
                <w:vertAlign w:val="superscript"/>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666,894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-1384300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-1384300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-1384300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-1384300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-1384300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-1384300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-1384300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140970</wp:posOffset>
            </wp:positionV>
            <wp:extent cx="12344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The dollar amounts shown are average amounts for all NEOs other than the CEO.</w:t>
      </w:r>
    </w:p>
    <w:p>
      <w:pPr>
        <w:spacing w:after="0" w:line="144"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The Board currently considers Adjusted EBITDA to be the most important financial performance measure used to link CAP of the CEO and Non-CEO NEOs to Company performance. The Company had historically defined Adjusted EBITDA as operating income (loss) before depreciation and amortization expense, transaction-related charges, one-time impairment or special charges and the gain (loss) on disposition of assets. In order to more closely align with similar calculations presented by companies in its industry, beginning with its 2023 financial results, the Company has also excluded non-cash stock-based compensation in its adjustment to derive Adjusted EBITDA and, as such, has restated its adjusted EBITDA for 2022 and 2021. The Company regularly reports on this metric to investors in its quarterly earnings releases and believes that the inclusion of these non-GAAP financial measures (and the associated reconciliations to the nearest GAAP financial measures) helps investors gain a meaningful understanding of the Company’s core operating results and enhances the usefulness of comparing such performance with prior periods. Accordingly, the Board considers Adjusted EBITDA as the best measure to track both Company performance as well as align executive compensation to such performance.</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Tabular List of Important Financial Performance Measures</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to Adjusted EBITDA, the various metrics and other factors that the Compensation Committee considers in making executive compensation awards on an annual basis are described yearly in greater detail in “Executive Compensation—Compensation Discussion and Analysis.” The items listed below represent the most important measures the Company is currently using to link executive compensation actually paid to the Company’s actual performance, particularly cash bonus payment awards:</w:t>
      </w:r>
    </w:p>
    <w:p>
      <w:pPr>
        <w:spacing w:after="0" w:line="12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High speed data subscribers</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International mobile subscribers</w:t>
      </w:r>
    </w:p>
    <w:p>
      <w:pPr>
        <w:spacing w:after="0" w:line="153"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color w:val="auto"/>
        </w:rPr>
        <w:t>The following charts illustrate the relationship between Compensation Actually Paid and (i) the Company’s Adjusted EBITDA, the Company-Selected Measure, (ii) net income (loss) and (iii) the cumulative total shareholder return of the Company and of the Nasdaq Small Cap Telecommunications Services index.</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569595</wp:posOffset>
            </wp:positionV>
            <wp:extent cx="4663440" cy="6240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63440" cy="62407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544195</wp:posOffset>
            </wp:positionV>
            <wp:extent cx="4637405" cy="3214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37405" cy="32143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1260" w:firstLine="360"/>
        <w:spacing w:after="0" w:line="250" w:lineRule="auto"/>
        <w:rPr>
          <w:sz w:val="20"/>
          <w:szCs w:val="20"/>
          <w:color w:val="auto"/>
        </w:rPr>
      </w:pPr>
      <w:r>
        <w:rPr>
          <w:rFonts w:ascii="Times New Roman" w:cs="Times New Roman" w:eastAsia="Times New Roman" w:hAnsi="Times New Roman"/>
          <w:sz w:val="18"/>
          <w:szCs w:val="18"/>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 and our director compensation is at approximately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2023 Director Compensation Table</w:t>
      </w:r>
    </w:p>
    <w:p>
      <w:pPr>
        <w:spacing w:after="0" w:line="162" w:lineRule="exact"/>
        <w:rPr>
          <w:sz w:val="20"/>
          <w:szCs w:val="20"/>
          <w:color w:val="auto"/>
        </w:rPr>
      </w:pPr>
    </w:p>
    <w:p>
      <w:pPr>
        <w:ind w:left="1260" w:right="1300" w:firstLine="360"/>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paid to, or earned by, our non-employee directors for the fiscal year ended December 31, 2023. Mr. Michael Prior, our Chairman and Chief Executive Officer during 2023, does not receive any compensation for his Board service beyond the compensation he received as Chief Executive Officer and now receives as Executive Chairman of the Company.</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4"/>
                <w:szCs w:val="14"/>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in 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J. Bulkin</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​125,000(2)​</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​258,673</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G. Hudson</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70,000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​203,673</w:t>
            </w:r>
          </w:p>
        </w:tc>
      </w:tr>
      <w:tr>
        <w:trPr>
          <w:trHeight w:val="257"/>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Ganong</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 75,000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​208,673</w:t>
            </w:r>
          </w:p>
        </w:tc>
      </w:tr>
      <w:tr>
        <w:trPr>
          <w:trHeight w:val="25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V. Henry</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72,500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​206,173</w:t>
            </w:r>
          </w:p>
        </w:tc>
      </w:tr>
      <w:tr>
        <w:trPr>
          <w:trHeight w:val="27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F. Lenehan</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 77,000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​210,673</w:t>
            </w:r>
          </w:p>
        </w:tc>
      </w:tr>
      <w:tr>
        <w:trPr>
          <w:trHeight w:val="29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A. Jacobs</w:t>
            </w: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 61,500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​133,673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​195,173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-1019810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-1019810</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-1019810</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1340" w:hanging="360"/>
        <w:spacing w:after="0" w:line="258"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 calculated in accordance with FASB ASC Topic 718, of awards granted pursuant to our Non-Employee Directors Compensation Policy and our 2008 Equity Plan. Actual shares issued based on the average closing price for the Company’s common stock for the 20 trading days up to and including June 6, 2023. This had the effect of making the dollar value of the stock award higher than the $130,000 retainer as described below.</w:t>
      </w:r>
    </w:p>
    <w:p>
      <w:pPr>
        <w:spacing w:after="0" w:line="34" w:lineRule="exact"/>
        <w:rPr>
          <w:rFonts w:ascii="Times New Roman" w:cs="Times New Roman" w:eastAsia="Times New Roman" w:hAnsi="Times New Roman"/>
          <w:sz w:val="18"/>
          <w:szCs w:val="18"/>
          <w:color w:val="auto"/>
        </w:rPr>
      </w:pPr>
    </w:p>
    <w:p>
      <w:pPr>
        <w:ind w:left="1620" w:right="1800"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 paid for Dr. Bulkin’s service as shareholder director of the Company’s minority investment in a renewable energy business operating under the “Vibrant” name in India.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Retainers</w:t>
      </w:r>
    </w:p>
    <w:p>
      <w:pPr>
        <w:spacing w:after="0" w:line="162" w:lineRule="exact"/>
        <w:rPr>
          <w:sz w:val="20"/>
          <w:szCs w:val="20"/>
          <w:color w:val="auto"/>
        </w:rPr>
      </w:pPr>
    </w:p>
    <w:p>
      <w:pPr>
        <w:ind w:left="1260" w:right="1260" w:firstLine="360"/>
        <w:spacing w:after="0" w:line="252" w:lineRule="auto"/>
        <w:rPr>
          <w:sz w:val="20"/>
          <w:szCs w:val="20"/>
          <w:color w:val="auto"/>
        </w:rPr>
      </w:pPr>
      <w:r>
        <w:rPr>
          <w:rFonts w:ascii="Times New Roman" w:cs="Times New Roman" w:eastAsia="Times New Roman" w:hAnsi="Times New Roman"/>
          <w:sz w:val="18"/>
          <w:szCs w:val="18"/>
          <w:color w:val="auto"/>
        </w:rPr>
        <w:t>For the fiscal year ended December 31, 2023, our non-employee directors received an annual retainer of $180,000 (consisting of $50,000 in cash and approximately $130,000 in stock). After noting the fairly wide swings in share prices that can occur in the weeks leading up to the equity award determination, the Compensation Committee determined the number of shares to award each non-employee director by reference to the average closing price for the Company’s common stock for the 20 trading days up to and including June 6, 2023. The Compensation Committee believes that this practice is a fair approach to deal with the positive or negative impact of short term movements in the Company’s share price. In addition to these retainers, our Lead Independent Director also received an additional annual cash retainer of $25,000 and independent members of Committees of our Board received additional annual cash payments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3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Fees Earned or Paid in Cash </w:t>
            </w:r>
            <w:r>
              <w:rPr>
                <w:rFonts w:ascii="Times New Roman" w:cs="Times New Roman" w:eastAsia="Times New Roman" w:hAnsi="Times New Roman"/>
                <w:sz w:val="28"/>
                <w:szCs w:val="28"/>
                <w:b w:val="1"/>
                <w:bCs w:val="1"/>
                <w:color w:val="auto"/>
                <w:vertAlign w:val="subscript"/>
              </w:rPr>
              <w:t>​</w:t>
            </w:r>
          </w:p>
        </w:tc>
      </w:tr>
      <w:tr>
        <w:trPr>
          <w:trHeight w:val="250"/>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24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Chair</w:t>
            </w:r>
          </w:p>
        </w:tc>
        <w:tc>
          <w:tcPr>
            <w:tcW w:w="920" w:type="dxa"/>
            <w:vAlign w:val="bottom"/>
            <w:tcBorders>
              <w:top w:val="single" w:sz="8" w:color="auto"/>
            </w:tcBorders>
            <w:gridSpan w:val="2"/>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Members</w:t>
            </w:r>
          </w:p>
        </w:tc>
        <w:tc>
          <w:tcPr>
            <w:tcW w:w="40" w:type="dxa"/>
            <w:vAlign w:val="bottom"/>
            <w:tcBorders>
              <w:top w:val="single" w:sz="8" w:color="auto"/>
            </w:tcBorders>
          </w:tcPr>
          <w:p>
            <w:pPr>
              <w:spacing w:after="0"/>
              <w:rPr>
                <w:sz w:val="21"/>
                <w:szCs w:val="2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20" w:type="dxa"/>
            <w:vAlign w:val="bottom"/>
            <w:tcBorders>
              <w:left w:val="single" w:sz="8" w:color="auto"/>
            </w:tcBorders>
          </w:tcPr>
          <w:p>
            <w:pPr>
              <w:spacing w:after="0" w:line="20" w:lineRule="exact"/>
              <w:rPr>
                <w:sz w:val="1"/>
                <w:szCs w:val="1"/>
                <w:color w:val="auto"/>
              </w:rPr>
            </w:pPr>
          </w:p>
        </w:tc>
      </w:tr>
      <w:tr>
        <w:trPr>
          <w:trHeight w:val="236"/>
        </w:trPr>
        <w:tc>
          <w:tcPr>
            <w:tcW w:w="16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2240" w:type="dxa"/>
            <w:vAlign w:val="bottom"/>
            <w:shd w:val="clear" w:color="auto" w:fill="CCEEFF"/>
          </w:tcPr>
          <w:p>
            <w:pPr>
              <w:spacing w:after="0"/>
              <w:rPr>
                <w:sz w:val="20"/>
                <w:szCs w:val="20"/>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9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​$10,000</w:t>
            </w: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Compensation</w:t>
            </w:r>
          </w:p>
        </w:tc>
        <w:tc>
          <w:tcPr>
            <w:tcW w:w="224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 ​$ 7,500</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62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224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9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 ​$10,000</w:t>
            </w:r>
          </w:p>
        </w:tc>
        <w:tc>
          <w:tcPr>
            <w:tcW w:w="40" w:type="dxa"/>
            <w:vAlign w:val="bottom"/>
            <w:shd w:val="clear" w:color="auto" w:fill="CCEEFF"/>
          </w:tcPr>
          <w:p>
            <w:pPr>
              <w:spacing w:after="0"/>
              <w:rPr>
                <w:sz w:val="21"/>
                <w:szCs w:val="21"/>
                <w:color w:val="auto"/>
              </w:rPr>
            </w:pPr>
          </w:p>
        </w:tc>
        <w:tc>
          <w:tcPr>
            <w:tcW w:w="162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24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​$10,000</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 ​$ 4,000</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80"/>
        </w:trPr>
        <w:tc>
          <w:tcPr>
            <w:tcW w:w="1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40" w:type="dxa"/>
            <w:vAlign w:val="bottom"/>
          </w:tcPr>
          <w:p>
            <w:pPr>
              <w:jc w:val="right"/>
              <w:ind w:right="1639"/>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-1285240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-1285240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Related Person Transactions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2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did not have any related person transactions requiring disclosure under Regulation S-K Item 404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Sustainability, Governance and Community Involvement</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Our website contains information about the Company’s efforts with respect to sustainability, social responsibility and our commitment to ethics in addition to investor information. You can view that information by visiting https://www.atni.com/.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We recognize that the first step of our community support efforts rests in the investment we make in one of our most valuable assets, our human capital. We seek to promote diversity, equity and inclusion across our workforce, and work to position all employees to succeed. Our annual employee engagement survey provides employees with the opportunity to share confidential feedback and this information drives our long-term plans to improve our work culture. Focus areas for engagement include skills development, and manager performance.</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working diligently to improve the way technology is used in the diverse communities we serve. We believe a critical element of our success is our local management and staff who are a reflection of the diverse talent available in the communities that we serve. Across our core businesses in all our markets, approximately 40% of senior management and 40% of middle management are women.</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Human Rights</w:t>
      </w:r>
    </w:p>
    <w:p>
      <w:pPr>
        <w:spacing w:after="0" w:line="148"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We believe in respect for human rights as a foundational principle. As an international telecommunications service provider, we strive to respect and promote human rights in all the markets in which we do business. Our Human and Labor Rights Policy is guided by the international human rights principles encompassed by The International Bill of Human Rights and the International Labor Organization’s 1998 Declaration on Fundamental Principles and Rights at Work. This policy applies to all entities that we own or in which we hold a majority interest.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for 2025 Annual Meeting</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All suggestions from stockholders are given careful attention. Proposals intended for consideration at next year’s annual meeting of stockholders, including proposals for director nominee candidates, should be sent to ATN International, Inc.; Attn: Secretary, 500 Cummings Center, Suite 2450, Beverly, MA 01915. To be considered for inclusion in our proxy materials for that meeting pursuant to Rule 14a-8 of the Exchange Act, such proposals must be received by us by December 27, 2024, and must comply with certain rules and regulations promulgated by the SEC. A stockholder who wishes to make a proposal at the 2025 annual meeting, but does not wish to have the proposal included in the proxy statement for that meeting, must give notice of the proposal to us no later than March 12, 2025, in order for the notice to be considered timely under Rule 14a-4(c)(1) of the Exchange Act.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w:t>
      </w:r>
    </w:p>
    <w:p>
      <w:pPr>
        <w:spacing w:after="0" w:line="3"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 and Other SEC Filings</w:t>
      </w:r>
    </w:p>
    <w:p>
      <w:pPr>
        <w:spacing w:after="0" w:line="162"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and Current Reports on Form 8-K are available on our website at https://ir.atni.com/. These filings and other SEC filings, including our Proxy Statement, are also available on the SEC’s website at www.sec.gov.</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our Annual Letter to Stockholders and Annual Report on Form 10-K for the fiscal year ended December 31, 2023, and letters from our Chairman and Chief Executive Officer are also available for viewing, printing and downloading at www.proxyvote.com. To view these materials, please have your control number(s) available that appear on your proxy card.</w:t>
      </w:r>
    </w:p>
    <w:p>
      <w:pPr>
        <w:spacing w:after="0" w:line="108" w:lineRule="exact"/>
        <w:rPr>
          <w:sz w:val="20"/>
          <w:szCs w:val="20"/>
          <w:color w:val="auto"/>
        </w:rPr>
      </w:pPr>
    </w:p>
    <w:p>
      <w:pPr>
        <w:jc w:val="both"/>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A copy of these filings, including our Annual Letter to Stockholders and our Annual Report on Form 10-K for the fiscal year ended December 31, 2023 (excluding exhibits), may be obtained, at no cost, by writing to ATN International, Inc., Attn: Secretary, 500 Cummings Center, Suite 2450, Beverly, MA 01915.</w:t>
      </w:r>
    </w:p>
    <w:p>
      <w:pPr>
        <w:spacing w:after="0" w:line="89" w:lineRule="exact"/>
        <w:rPr>
          <w:sz w:val="20"/>
          <w:szCs w:val="20"/>
          <w:color w:val="auto"/>
        </w:rPr>
      </w:pPr>
    </w:p>
    <w:p>
      <w:pPr>
        <w:jc w:val="both"/>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Our Annual Letter to Stockholders, which is being mailed to stockholders with this Proxy Statement, is not incorporated into this Proxy Statement and is not deemed to be part of the proxy soliciting material.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-81280</wp:posOffset>
            </wp:positionV>
            <wp:extent cx="6574790" cy="8512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74790" cy="8512175"/>
                    </a:xfrm>
                    <a:prstGeom prst="rect">
                      <a:avLst/>
                    </a:prstGeom>
                    <a:noFill/>
                  </pic:spPr>
                </pic:pic>
              </a:graphicData>
            </a:graphic>
          </wp:anchor>
        </w:drawing>
      </w:r>
    </w:p>
    <w:p>
      <w:pPr>
        <w:sectPr>
          <w:pgSz w:w="11900" w:h="16838" w:orient="portrait"/>
          <w:cols w:equalWidth="0" w:num="1">
            <w:col w:w="10440"/>
          </w:cols>
          <w:pgMar w:left="580" w:top="97"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40"/>
          </w:cols>
          <w:pgMar w:left="580" w:top="97" w:right="87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12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885126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Roman"/>
      <w:start w:val="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a"/>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lowerRoman"/>
      <w:start w:val="2"/>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2"/>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2024-04-29T13:59:40Z</dcterms:created>
  <dcterms:modified xsi:type="dcterms:W3CDTF">2024-04-29T13:59:40Z</dcterms:modified>
</cp:coreProperties>
</file>