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60" w:space="720"/>
            <w:col w:w="348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May 11, 2026, the registrant had outstanding 15,380,853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2026</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600" w:type="dxa"/>
            <w:vAlign w:val="bottom"/>
            <w:gridSpan w:val="6"/>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March 31, 2026 and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w:t>
            </w:r>
          </w:p>
        </w:tc>
        <w:tc>
          <w:tcPr>
            <w:tcW w:w="9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40" w:type="dxa"/>
            <w:vAlign w:val="bottom"/>
            <w:tcBorders>
              <w:bottom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Ended</w:t>
            </w:r>
          </w:p>
        </w:tc>
        <w:tc>
          <w:tcPr>
            <w:tcW w:w="14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w:t>
            </w:r>
          </w:p>
        </w:tc>
        <w:tc>
          <w:tcPr>
            <w:tcW w:w="546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Months Ended March31, 2026 and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w:t>
            </w:r>
          </w:p>
        </w:tc>
        <w:tc>
          <w:tcPr>
            <w:tcW w:w="9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2026</w:t>
            </w: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52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960" w:type="dxa"/>
            <w:vAlign w:val="bottom"/>
            <w:tcBorders>
              <w:left w:val="single" w:sz="8" w:color="0000EE"/>
            </w:tcBorders>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2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72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682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3"/>
        </w:trPr>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(or the “Report”) contains forward-looking statements relating to, among other matters, the Company’s future financial performance, business goals and objectives, and results of operations,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the impact of cost savings initiatives and the retention of and future growth of our subscriber base; (2) our ability to complete the pending Tower Portfolio Transaction (as defined below) and realize the anticipated benefits thereof; (3) our reliance on a limited number of key suppliers and vendors for timely supply of equipment and services relating to our network infrastructure; (4) our ability to satisfy the needs and demands of our major carrier customers; (5) our ability to realize expansion plans for our fiber markets; (6) the adequacy and expansion capabilities of our network capacity and customer service system to support our customer growth; (7) our ability to efficiently and cost-effectively upgrade our networks and information technology platforms to address rapid and significant technological changes in the telecommunications industry; (8) continued access to capital and credit markets on terms we deem favorable; (9) government subsidy program availability and regulation of the our businesses, which may impact the our telecommunications licenses, our revenues and operating costs; (10); the impact (if any) of geopolitical instability and US military presence in the Caribbean; (11) our ability to successfully transition our US Telecom business away from wholesale mobility to other carrier and consumer-based services; (12) ongoing risk of an economic downturn, political, geopolitical and other risks and opportunities impacting our operations, including those resulting from changes and uncertainties related to trade policies or tariff regulations, financial market volatility and disruption, uncertain economic conditions in the US and abroad, inflationary concerns, and other macroeconomic headwinds including increased costs and supply chain disruptions; (13) management transitions, and the loss of, or an inability to recruit skilled personnel in our various jurisdictions, including key members of management; (14) our ability to find investment or acquisition or disposition opportunities that fit our strategic goals; (15) the occurrence of weather events and natural catastrophes and our ability to secure the appropriate level of insurance coverage and the impact of such events on the timing of project implementation and corresponding revenue; and (16)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2025, filed with the Securities and Exchange Commission (“SEC”) on March 16, 2026,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228"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20" w:type="dxa"/>
            <w:vAlign w:val="bottom"/>
          </w:tcPr>
          <w:p>
            <w:pPr>
              <w:ind w:left="68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gridSpan w:val="3"/>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top w:val="single" w:sz="8" w:color="CCEEFF"/>
            </w:tcBorders>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108,831</w:t>
            </w:r>
          </w:p>
        </w:tc>
        <w:tc>
          <w:tcPr>
            <w:tcW w:w="2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$16.8 million and $15.5 million, respectively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Government grant receivables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37,464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55,376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335,125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327,876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954,823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991,767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105,486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92,206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 held for sale, net of current portion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103,497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1,674,653</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1,673,254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shd w:val="clear" w:color="auto" w:fill="CCEEFF"/>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21,623</w:t>
            </w:r>
          </w:p>
        </w:tc>
        <w:tc>
          <w:tcPr>
            <w:tcW w:w="2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177,506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Liabilities held for sale</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276,895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263,099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held for sale, net of current portion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548,537</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549,321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1,040,663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1,032,454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73,414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88,415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86,821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18,259,703 and 18,061,239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respectively, 15,380,853 and 15,257,391 shares outstanding, respectively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2,878,850 and 2,803,848 shares, respectively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(105,046)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221,936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300,744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433,579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444,292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111,996</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545,575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1,674,653</w:t>
            </w:r>
          </w:p>
        </w:tc>
        <w:tc>
          <w:tcPr>
            <w:tcW w:w="140" w:type="dxa"/>
            <w:vAlign w:val="bottom"/>
            <w:gridSpan w:val="2"/>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left="60" w:right="59"/>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FOR THE THREE MONTHS ENDED MARCH 31, 2026 AND 2025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6280" w:type="dxa"/>
            <w:vAlign w:val="bottom"/>
          </w:tcPr>
          <w:p>
            <w:pPr>
              <w:spacing w:after="0"/>
              <w:rPr>
                <w:sz w:val="13"/>
                <w:szCs w:val="13"/>
                <w:color w:val="auto"/>
              </w:rPr>
            </w:pPr>
          </w:p>
        </w:tc>
        <w:tc>
          <w:tcPr>
            <w:tcW w:w="3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gridSpan w:val="3"/>
          </w:tcPr>
          <w:p>
            <w:pPr>
              <w:jc w:val="right"/>
              <w:ind w:right="17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2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Communication services</w:t>
            </w:r>
          </w:p>
        </w:tc>
        <w:tc>
          <w:tcPr>
            <w:tcW w:w="5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178,458</w:t>
            </w:r>
          </w:p>
        </w:tc>
        <w:tc>
          <w:tcPr>
            <w:tcW w:w="360" w:type="dxa"/>
            <w:vAlign w:val="bottom"/>
            <w:gridSpan w:val="3"/>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174,031</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179,294</w:t>
            </w:r>
          </w:p>
        </w:tc>
        <w:tc>
          <w:tcPr>
            <w:tcW w:w="0" w:type="dxa"/>
            <w:vAlign w:val="bottom"/>
          </w:tcPr>
          <w:p>
            <w:pPr>
              <w:spacing w:after="0"/>
              <w:rPr>
                <w:sz w:val="1"/>
                <w:szCs w:val="1"/>
                <w:color w:val="auto"/>
              </w:rPr>
            </w:pPr>
          </w:p>
        </w:tc>
      </w:tr>
      <w:tr>
        <w:trPr>
          <w:trHeight w:val="142"/>
        </w:trPr>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14"/>
                <w:szCs w:val="14"/>
                <w:i w:val="1"/>
                <w:iCs w:val="1"/>
                <w:color w:val="auto"/>
              </w:rPr>
              <w:t>(excluding depreciation and amortization unless otherwise indicated)</w:t>
            </w: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77,426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78,224</w:t>
            </w: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56,176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55,228</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and reorganization expenses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34,527</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disposition of assets, transfers and contingent consideration</w:t>
            </w: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170,529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176,627</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2,667</w:t>
            </w:r>
          </w:p>
        </w:tc>
        <w:tc>
          <w:tcPr>
            <w:tcW w:w="0" w:type="dxa"/>
            <w:vAlign w:val="bottom"/>
          </w:tcPr>
          <w:p>
            <w:pPr>
              <w:spacing w:after="0"/>
              <w:rPr>
                <w:sz w:val="1"/>
                <w:szCs w:val="1"/>
                <w:color w:val="auto"/>
              </w:rPr>
            </w:pPr>
          </w:p>
        </w:tc>
      </w:tr>
      <w:tr>
        <w:trPr>
          <w:trHeight w:val="142"/>
        </w:trPr>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EXPENSE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(14,246)</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(11,579)</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(11,387)</w:t>
            </w:r>
          </w:p>
        </w:tc>
        <w:tc>
          <w:tcPr>
            <w:tcW w:w="0" w:type="dxa"/>
            <w:vAlign w:val="bottom"/>
          </w:tcPr>
          <w:p>
            <w:pPr>
              <w:spacing w:after="0"/>
              <w:rPr>
                <w:sz w:val="1"/>
                <w:szCs w:val="1"/>
                <w:color w:val="auto"/>
              </w:rPr>
            </w:pPr>
          </w:p>
        </w:tc>
      </w:tr>
      <w:tr>
        <w:trPr>
          <w:trHeight w:val="126"/>
        </w:trPr>
        <w:tc>
          <w:tcPr>
            <w:tcW w:w="62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interests, net of tax expense of $0.1 million and $(0.2) million,</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ATTRIBUTABLE TO ATN INTERNATIONAL, INC. STOCKHOLDERS</w:t>
            </w:r>
          </w:p>
        </w:tc>
        <w:tc>
          <w:tcPr>
            <w:tcW w:w="3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(2,797)</w:t>
            </w:r>
          </w:p>
        </w:tc>
        <w:tc>
          <w:tcPr>
            <w:tcW w:w="160" w:type="dxa"/>
            <w:vAlign w:val="bottom"/>
            <w:tcBorders>
              <w:bottom w:val="single" w:sz="8" w:color="CCEEFF"/>
            </w:tcBorders>
            <w:gridSpan w:val="2"/>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(8,928)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 PER WEIGHTED AVERAGE SHARE ATTRIBUTABLE TO ATN</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2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INTERNATIONAL, INC. STOCKHOLDERS: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50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360" w:type="dxa"/>
            <w:vAlign w:val="bottom"/>
            <w:gridSpan w:val="3"/>
            <w:shd w:val="clear" w:color="auto" w:fill="CCEEFF"/>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8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(0.29)</w:t>
            </w:r>
          </w:p>
        </w:tc>
        <w:tc>
          <w:tcPr>
            <w:tcW w:w="160" w:type="dxa"/>
            <w:vAlign w:val="bottom"/>
            <w:tcBorders>
              <w:bottom w:val="single" w:sz="8" w:color="CCEEFF"/>
            </w:tcBorders>
            <w:gridSpan w:val="2"/>
            <w:vMerge w:val="continue"/>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15,283</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15,131</w:t>
            </w:r>
          </w:p>
        </w:tc>
        <w:tc>
          <w:tcPr>
            <w:tcW w:w="0" w:type="dxa"/>
            <w:vAlign w:val="bottom"/>
          </w:tcPr>
          <w:p>
            <w:pPr>
              <w:spacing w:after="0"/>
              <w:rPr>
                <w:sz w:val="1"/>
                <w:szCs w:val="1"/>
                <w:color w:val="auto"/>
              </w:rPr>
            </w:pPr>
          </w:p>
        </w:tc>
      </w:tr>
      <w:tr>
        <w:trPr>
          <w:trHeight w:val="129"/>
        </w:trPr>
        <w:tc>
          <w:tcPr>
            <w:tcW w:w="628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15,283</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15,131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0.275</w:t>
            </w:r>
          </w:p>
        </w:tc>
        <w:tc>
          <w:tcPr>
            <w:tcW w:w="160" w:type="dxa"/>
            <w:vAlign w:val="bottom"/>
            <w:gridSpan w:val="2"/>
            <w:vMerge w:val="continue"/>
          </w:tcPr>
          <w:p>
            <w:pPr>
              <w:spacing w:after="0"/>
              <w:rPr>
                <w:sz w:val="11"/>
                <w:szCs w:val="11"/>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derivatives, net of tax expense of $0</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9"/>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09"/>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ATN International, Inc.</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r>
      <w:tr>
        <w:trPr>
          <w:trHeight w:val="20"/>
        </w:trPr>
        <w:tc>
          <w:tcPr>
            <w:tcW w:w="5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r>
      <w:tr>
        <w:trPr>
          <w:trHeight w:val="116"/>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1"/>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80" w:type="dxa"/>
            <w:vAlign w:val="bottom"/>
          </w:tcPr>
          <w:p>
            <w:pPr>
              <w:spacing w:after="0"/>
              <w:rPr>
                <w:sz w:val="10"/>
                <w:szCs w:val="10"/>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36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660" w:type="dxa"/>
            <w:vAlign w:val="bottom"/>
            <w:tcBorders>
              <w:right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(103,183)$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220,156</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312,407</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444,292</w:t>
            </w:r>
          </w:p>
        </w:tc>
        <w:tc>
          <w:tcPr>
            <w:tcW w:w="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109,687</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553,979</w:t>
            </w:r>
          </w:p>
        </w:tc>
      </w:tr>
      <w:tr>
        <w:trPr>
          <w:trHeight w:val="128"/>
        </w:trPr>
        <w:tc>
          <w:tcPr>
            <w:tcW w:w="366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198,464 shares of common stock</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11"/>
                <w:szCs w:val="11"/>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75,002 shares of common stock</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(1,863)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(1,863)</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(1,863)</w:t>
            </w:r>
          </w:p>
        </w:tc>
      </w:tr>
      <w:tr>
        <w:trPr>
          <w:trHeight w:val="148"/>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1,780</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1,935</w:t>
            </w:r>
          </w:p>
        </w:tc>
      </w:tr>
      <w:tr>
        <w:trPr>
          <w:trHeight w:val="149"/>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($0.275 per common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(4,229)</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(4,229)</w:t>
            </w:r>
          </w:p>
        </w:tc>
      </w:tr>
      <w:tr>
        <w:trPr>
          <w:trHeight w:val="148"/>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noncontrolling interests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(1,594)</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(1,594)</w:t>
            </w:r>
          </w:p>
        </w:tc>
      </w:tr>
      <w:tr>
        <w:trPr>
          <w:trHeight w:val="148"/>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(3,043)</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(3,043)</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3,043</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(2,797)</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(2,797)</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(3,474)</w:t>
            </w:r>
          </w:p>
        </w:tc>
      </w:tr>
      <w:tr>
        <w:trPr>
          <w:trHeight w:val="148"/>
        </w:trPr>
        <w:tc>
          <w:tcPr>
            <w:tcW w:w="36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w:t>
            </w:r>
          </w:p>
        </w:tc>
      </w:tr>
      <w:tr>
        <w:trPr>
          <w:trHeight w:val="128"/>
        </w:trPr>
        <w:tc>
          <w:tcPr>
            <w:tcW w:w="3660" w:type="dxa"/>
            <w:vAlign w:val="bottom"/>
            <w:tcBorders>
              <w:bottom w:val="single" w:sz="8" w:color="CCEEFF"/>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loss</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(2,797)</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1,031</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(677)</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(2,443)</w:t>
            </w:r>
          </w:p>
        </w:tc>
      </w:tr>
      <w:tr>
        <w:trPr>
          <w:trHeight w:val="115"/>
        </w:trPr>
        <w:tc>
          <w:tcPr>
            <w:tcW w:w="3660" w:type="dxa"/>
            <w:vAlign w:val="bottom"/>
            <w:tcBorders>
              <w:bottom w:val="single" w:sz="8" w:color="CCEEFF"/>
              <w:right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March 31, 2026</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(105,046)$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221,936</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300,744</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15,762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433,579</w:t>
            </w:r>
          </w:p>
        </w:tc>
        <w:tc>
          <w:tcPr>
            <w:tcW w:w="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111,996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545,575</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02"/>
        </w:trPr>
        <w:tc>
          <w:tcPr>
            <w:tcW w:w="36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149"/>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(102,413)$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212,759</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368,191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10,777</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489,493</w:t>
            </w:r>
          </w:p>
        </w:tc>
        <w:tc>
          <w:tcPr>
            <w:tcW w:w="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105,958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595,451</w:t>
            </w:r>
          </w:p>
        </w:tc>
      </w:tr>
      <w:tr>
        <w:trPr>
          <w:trHeight w:val="128"/>
        </w:trPr>
        <w:tc>
          <w:tcPr>
            <w:tcW w:w="366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138,013 common units</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1"/>
                <w:szCs w:val="11"/>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35,699 shares of common stock</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(730)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w:t>
            </w:r>
          </w:p>
        </w:tc>
      </w:tr>
      <w:tr>
        <w:trPr>
          <w:trHeight w:val="148"/>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1,904</w:t>
            </w:r>
          </w:p>
        </w:tc>
      </w:tr>
      <w:tr>
        <w:trPr>
          <w:trHeight w:val="149"/>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($0.24 per common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r>
      <w:tr>
        <w:trPr>
          <w:trHeight w:val="148"/>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noncontrolling interests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r>
      <w:tr>
        <w:trPr>
          <w:trHeight w:val="149"/>
        </w:trPr>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(3,425)</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(3,425)</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3,631</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w:t>
            </w:r>
          </w:p>
        </w:tc>
      </w:tr>
      <w:tr>
        <w:trPr>
          <w:trHeight w:val="148"/>
        </w:trPr>
        <w:tc>
          <w:tcPr>
            <w:tcW w:w="3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8"/>
        </w:trPr>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(11,387)</w:t>
            </w:r>
          </w:p>
        </w:tc>
      </w:tr>
      <w:tr>
        <w:trPr>
          <w:trHeight w:val="149"/>
        </w:trPr>
        <w:tc>
          <w:tcPr>
            <w:tcW w:w="36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r>
      <w:tr>
        <w:trPr>
          <w:trHeight w:val="128"/>
        </w:trPr>
        <w:tc>
          <w:tcPr>
            <w:tcW w:w="3660" w:type="dxa"/>
            <w:vAlign w:val="bottom"/>
            <w:tcBorders>
              <w:bottom w:val="single" w:sz="8" w:color="CCEEFF"/>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loss</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(8,497)</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9"/>
              </w:rPr>
              <w:t>(10,956)</w:t>
            </w:r>
          </w:p>
        </w:tc>
      </w:tr>
      <w:tr>
        <w:trPr>
          <w:trHeight w:val="115"/>
        </w:trPr>
        <w:tc>
          <w:tcPr>
            <w:tcW w:w="3660" w:type="dxa"/>
            <w:vAlign w:val="bottom"/>
            <w:tcBorders>
              <w:bottom w:val="single" w:sz="8" w:color="CCEEFF"/>
              <w:right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March 31, 2025</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(103,143)$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214,362</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350,728</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473,335</w:t>
            </w:r>
          </w:p>
        </w:tc>
        <w:tc>
          <w:tcPr>
            <w:tcW w:w="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107,385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580,720</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THREE MONTHS ENDED MARCH 31, 2026 AND 2025</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For Three Months Ended March 31,</w:t>
            </w:r>
          </w:p>
        </w:tc>
      </w:tr>
      <w:tr>
        <w:trPr>
          <w:trHeight w:val="115"/>
        </w:trPr>
        <w:tc>
          <w:tcPr>
            <w:tcW w:w="5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gridSpan w:val="2"/>
          </w:tcPr>
          <w:p>
            <w:pPr>
              <w:jc w:val="right"/>
              <w:ind w:right="177"/>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28"/>
        </w:trPr>
        <w:tc>
          <w:tcPr>
            <w:tcW w:w="5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(3,474)</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(11,387)</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31,156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34,527</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496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1,226</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2,156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1,854</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719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716</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Loss on disposition of assets, transfers and contingent consideration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782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750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1,935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1,905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(1,239)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(2,520)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Loss on investments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2,620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 and government grant receivables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(8,849)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(2,440)</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2,213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1,015</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4,729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2,223</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(4,564)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6,004</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and advance payments and deposits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4,150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2,567</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(2,229)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1,501</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10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(820)</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(2,040)</w:t>
            </w:r>
          </w:p>
        </w:tc>
      </w:tr>
      <w:tr>
        <w:trPr>
          <w:trHeight w:val="128"/>
        </w:trPr>
        <w:tc>
          <w:tcPr>
            <w:tcW w:w="576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29,781</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35,905</w:t>
            </w: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(21,017)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(20,832)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(13,528)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(22,445)</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13,299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17,281</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729</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10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500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141</w:t>
            </w:r>
          </w:p>
        </w:tc>
      </w:tr>
      <w:tr>
        <w:trPr>
          <w:trHeight w:val="128"/>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0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(20,760)</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(25,140)</w:t>
            </w:r>
          </w:p>
        </w:tc>
      </w:tr>
      <w:tr>
        <w:trPr>
          <w:trHeight w:val="129"/>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(4,196)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(3,627)</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(187)</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(494)</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(2,499)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(1,653)</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26,600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13,000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(19,750)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(7,000)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(2,242)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(2,030)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(1,863)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(44)</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Funds payable and amounts due to customers</w:t>
            </w:r>
          </w:p>
        </w:tc>
        <w:tc>
          <w:tcPr>
            <w:tcW w:w="10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1,675</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10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(2,685)</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(2,750)</w:t>
            </w:r>
          </w:p>
        </w:tc>
      </w:tr>
      <w:tr>
        <w:trPr>
          <w:trHeight w:val="128"/>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6,336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8,015</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10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117,154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89,244</w:t>
            </w:r>
          </w:p>
        </w:tc>
      </w:tr>
      <w:tr>
        <w:trPr>
          <w:trHeight w:val="169"/>
        </w:trPr>
        <w:tc>
          <w:tcPr>
            <w:tcW w:w="57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123,490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97,259</w:t>
            </w:r>
          </w:p>
        </w:tc>
      </w:tr>
      <w:tr>
        <w:trPr>
          <w:trHeight w:val="115"/>
        </w:trPr>
        <w:tc>
          <w:tcPr>
            <w:tcW w:w="57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Supplemental cash flow information:</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Interest paid</w:t>
            </w:r>
          </w:p>
        </w:tc>
        <w:tc>
          <w:tcPr>
            <w:tcW w:w="11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8,850</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10,366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Taxes paid</w:t>
            </w:r>
          </w:p>
        </w:tc>
        <w:tc>
          <w:tcPr>
            <w:tcW w:w="11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1,096</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1,053</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declared, not paid</w:t>
            </w:r>
          </w:p>
        </w:tc>
        <w:tc>
          <w:tcPr>
            <w:tcW w:w="11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4,229</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3,652</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investing activity:</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Assets held for sale</w:t>
            </w:r>
          </w:p>
        </w:tc>
        <w:tc>
          <w:tcPr>
            <w:tcW w:w="11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47,913</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Liabilities held for sale</w:t>
            </w:r>
          </w:p>
        </w:tc>
        <w:tc>
          <w:tcPr>
            <w:tcW w:w="11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7,350</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1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17,890</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22,191</w:t>
            </w:r>
          </w:p>
        </w:tc>
      </w:tr>
      <w:tr>
        <w:trPr>
          <w:trHeight w:val="150"/>
        </w:trPr>
        <w:tc>
          <w:tcPr>
            <w:tcW w:w="57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160" w:type="dxa"/>
            <w:vAlign w:val="bottom"/>
            <w:gridSpan w:val="2"/>
          </w:tcPr>
          <w:p>
            <w:pPr>
              <w:jc w:val="right"/>
              <w:ind w:right="57"/>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8,246</w:t>
            </w: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13,970</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strategic focus on rural and remote markets in the United States (“US”), and internationally, including Bermuda and the Caribbean region.</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developed significant operational capabilities and resources that enhance the performance of its local market operations. The Company’s operating subsidiaries benefit from this shared expertise, which allows them to deliver improved service quality and achieve greater economies of scale than would typically be possible in the smaller markets the Company serves. The Company provides centralized management, technical, financial, regulatory, and marketing support to these operating subsidiaries and typically receive a management fee based on a percentage of their revenues. The intercompany fees are eliminated in the Company’s consolidated financial results.</w:t>
      </w:r>
    </w:p>
    <w:p>
      <w:pPr>
        <w:spacing w:after="0" w:line="22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cash generated from its operations to repay debt and increase liquidity, reinvest the Company’s network and service operations, fund capital expenditures, return value to stockholders through dividends or share repurchases, and to pursue strategic transactions. The Company continuously evaluates both domestic and international opportunities that align with its long-term goal of generating sustained excess operating cash flows.</w:t>
      </w:r>
    </w:p>
    <w:p>
      <w:pPr>
        <w:spacing w:after="0" w:line="22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reportable segments and geographic distribution of revenues and assets, please refer to Notes 1 and 13 of the Consolidated Financial Statements included in this Report.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2026, the Company offered the following services to its customers:</w:t>
      </w:r>
    </w:p>
    <w:p>
      <w:pPr>
        <w:spacing w:after="0" w:line="221" w:lineRule="exact"/>
        <w:rPr>
          <w:sz w:val="20"/>
          <w:szCs w:val="20"/>
          <w:color w:val="auto"/>
        </w:rPr>
      </w:pPr>
    </w:p>
    <w:p>
      <w:pPr>
        <w:jc w:val="both"/>
        <w:ind w:left="1220" w:right="15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 (“Fixed Services”)</w:t>
      </w:r>
      <w:r>
        <w:rPr>
          <w:rFonts w:ascii="Times New Roman" w:cs="Times New Roman" w:eastAsia="Times New Roman" w:hAnsi="Times New Roman"/>
          <w:sz w:val="18"/>
          <w:szCs w:val="18"/>
          <w:color w:val="auto"/>
        </w:rPr>
        <w:t>. The Company provides fixed data and voice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telecommunications services to business and consumer customers, including high-speed broadband and enterprise data solutions. In select markets, fixed services also include video offerings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5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 (“Carrier Services”)</w:t>
      </w:r>
      <w:r>
        <w:rPr>
          <w:rFonts w:ascii="Times New Roman" w:cs="Times New Roman" w:eastAsia="Times New Roman" w:hAnsi="Times New Roman"/>
          <w:sz w:val="18"/>
          <w:szCs w:val="18"/>
          <w:color w:val="auto"/>
        </w:rPr>
        <w:t>. The Company offers infrastructure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other telecommunications providers, including the leasing of critical network infrastructure such as towers and transport facilities, wholesale roaming, site maintenance and international long-distance services.</w:t>
      </w:r>
    </w:p>
    <w:p>
      <w:pPr>
        <w:spacing w:after="0" w:line="176" w:lineRule="exact"/>
        <w:rPr>
          <w:rFonts w:ascii="Times New Roman" w:cs="Times New Roman" w:eastAsia="Times New Roman" w:hAnsi="Times New Roman"/>
          <w:sz w:val="18"/>
          <w:szCs w:val="18"/>
          <w:color w:val="auto"/>
        </w:rPr>
      </w:pPr>
    </w:p>
    <w:p>
      <w:pPr>
        <w:jc w:val="both"/>
        <w:ind w:left="1220" w:right="159" w:hanging="319"/>
        <w:spacing w:after="0" w:line="268"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 (“Mobility Services”)</w:t>
      </w:r>
      <w:r>
        <w:rPr>
          <w:rFonts w:ascii="Times New Roman" w:cs="Times New Roman" w:eastAsia="Times New Roman" w:hAnsi="Times New Roman"/>
          <w:sz w:val="18"/>
          <w:szCs w:val="18"/>
          <w:color w:val="auto"/>
        </w:rPr>
        <w:t>. The Company offers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services over its wireless networks, including voice, messaging and data services along with related equipment, such as handsets, to both business and consumer customers.</w:t>
      </w:r>
    </w:p>
    <w:p>
      <w:pPr>
        <w:spacing w:after="0" w:line="170" w:lineRule="exact"/>
        <w:rPr>
          <w:rFonts w:ascii="Times New Roman" w:cs="Times New Roman" w:eastAsia="Times New Roman" w:hAnsi="Times New Roman"/>
          <w:sz w:val="18"/>
          <w:szCs w:val="18"/>
          <w:color w:val="auto"/>
        </w:rPr>
      </w:pPr>
    </w:p>
    <w:p>
      <w:pPr>
        <w:ind w:left="1220" w:right="219" w:hanging="319"/>
        <w:spacing w:after="0" w:line="291"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Managed Services</w:t>
      </w:r>
      <w:r>
        <w:rPr>
          <w:rFonts w:ascii="Times New Roman" w:cs="Times New Roman" w:eastAsia="Times New Roman" w:hAnsi="Times New Roman"/>
          <w:sz w:val="17"/>
          <w:szCs w:val="17"/>
          <w:color w:val="auto"/>
        </w:rPr>
        <w:t>. The Company delivers information technology solutions, including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application support and infrastructure services to complement its fixed telecommunications services in its existing markets for the purpose of supporting both enterprise and residential users.</w:t>
      </w:r>
    </w:p>
    <w:p>
      <w:pPr>
        <w:spacing w:after="0" w:line="15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the Company identified two operating segments to manage and review its operations, as well as to support investor presentations of its results. These operating segments are as follows:</w:t>
      </w:r>
    </w:p>
    <w:p>
      <w:pPr>
        <w:spacing w:after="0" w:line="158" w:lineRule="exact"/>
        <w:rPr>
          <w:sz w:val="20"/>
          <w:szCs w:val="20"/>
          <w:color w:val="auto"/>
        </w:rPr>
      </w:pPr>
    </w:p>
    <w:p>
      <w:pPr>
        <w:jc w:val="both"/>
        <w:ind w:left="1240" w:right="559" w:hanging="326"/>
        <w:spacing w:after="0" w:line="317"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International Telecom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Company’s international markets, it offers fixed, carrier, mobility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services to customers in Bermuda, the Cayman Islands, Guyana and the US Virgin Islands.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219" w:hanging="326"/>
        <w:spacing w:after="0" w:line="28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the Company offers fixed, carrier, and managed services to customers in Alaska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western US.</w:t>
      </w:r>
    </w:p>
    <w:p>
      <w:pPr>
        <w:spacing w:after="0" w:line="15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reported its revenue and the markets it served during the three months ended March 31, 2026:</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17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900" w:type="dxa"/>
            <w:vAlign w:val="bottom"/>
            <w:tcBorders>
              <w:top w:val="single" w:sz="8" w:color="auto"/>
              <w:bottom w:val="single" w:sz="8" w:color="auto"/>
              <w:right w:val="single" w:sz="8" w:color="auto"/>
            </w:tcBorders>
            <w:gridSpan w:val="2"/>
          </w:tcPr>
          <w:p>
            <w:pPr>
              <w:ind w:left="960"/>
              <w:spacing w:after="0"/>
              <w:rPr>
                <w:sz w:val="20"/>
                <w:szCs w:val="20"/>
                <w:color w:val="auto"/>
              </w:rPr>
            </w:pPr>
            <w:r>
              <w:rPr>
                <w:rFonts w:ascii="Times New Roman" w:cs="Times New Roman" w:eastAsia="Times New Roman" w:hAnsi="Times New Roman"/>
                <w:sz w:val="21"/>
                <w:szCs w:val="21"/>
                <w:b w:val="1"/>
                <w:bCs w:val="1"/>
                <w:color w:val="auto"/>
              </w:rPr>
              <w:t>International Telecom</w:t>
            </w:r>
          </w:p>
        </w:tc>
        <w:tc>
          <w:tcPr>
            <w:tcW w:w="1040" w:type="dxa"/>
            <w:vAlign w:val="bottom"/>
            <w:tcBorders>
              <w:top w:val="single" w:sz="8" w:color="auto"/>
              <w:bottom w:val="single" w:sz="8" w:color="auto"/>
            </w:tcBorders>
          </w:tcPr>
          <w:p>
            <w:pPr>
              <w:spacing w:after="0"/>
              <w:rPr>
                <w:sz w:val="22"/>
                <w:szCs w:val="22"/>
                <w:color w:val="auto"/>
              </w:rPr>
            </w:pPr>
          </w:p>
        </w:tc>
        <w:tc>
          <w:tcPr>
            <w:tcW w:w="22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US Telecom</w:t>
            </w:r>
          </w:p>
        </w:tc>
      </w:tr>
      <w:tr>
        <w:trPr>
          <w:trHeight w:val="142"/>
        </w:trPr>
        <w:tc>
          <w:tcPr>
            <w:tcW w:w="1760" w:type="dxa"/>
            <w:vAlign w:val="bottom"/>
            <w:tcBorders>
              <w:left w:val="single" w:sz="8" w:color="auto"/>
              <w:bottom w:val="single" w:sz="8" w:color="auto"/>
              <w:right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40" w:type="dxa"/>
            <w:vAlign w:val="bottom"/>
            <w:tcBorders>
              <w:bottom w:val="single" w:sz="8" w:color="auto"/>
              <w:right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60" w:type="dxa"/>
            <w:vAlign w:val="bottom"/>
            <w:tcBorders>
              <w:bottom w:val="single" w:sz="8" w:color="auto"/>
              <w:right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04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2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76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Mobility Services</w:t>
            </w:r>
          </w:p>
        </w:tc>
        <w:tc>
          <w:tcPr>
            <w:tcW w:w="20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 US</w:t>
            </w:r>
          </w:p>
        </w:tc>
        <w:tc>
          <w:tcPr>
            <w:tcW w:w="18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460" w:type="dxa"/>
            <w:vAlign w:val="bottom"/>
            <w:tcBorders>
              <w:right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US (rural markets)</w:t>
            </w:r>
          </w:p>
        </w:tc>
        <w:tc>
          <w:tcPr>
            <w:tcW w:w="1800" w:type="dxa"/>
            <w:vAlign w:val="bottom"/>
            <w:tcBorders>
              <w:right w:val="single" w:sz="8" w:color="auto"/>
            </w:tcBorders>
            <w:shd w:val="clear" w:color="auto" w:fill="CCEEFF"/>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Brava</w:t>
            </w:r>
          </w:p>
        </w:tc>
        <w:tc>
          <w:tcPr>
            <w:tcW w:w="10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191"/>
        </w:trPr>
        <w:tc>
          <w:tcPr>
            <w:tcW w:w="17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Fixed Services</w:t>
            </w:r>
          </w:p>
        </w:tc>
        <w:tc>
          <w:tcPr>
            <w:tcW w:w="20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Bermuda, Cayman Islands,</w:t>
            </w:r>
          </w:p>
        </w:tc>
        <w:tc>
          <w:tcPr>
            <w:tcW w:w="1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Guyana, US Virgin Islands</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NTUA Wireless, Sacred</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Wind Communications,</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Ethos Broadband,</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Deploycom</w:t>
            </w:r>
          </w:p>
        </w:tc>
      </w:tr>
      <w:tr>
        <w:trPr>
          <w:trHeight w:val="191"/>
        </w:trPr>
        <w:tc>
          <w:tcPr>
            <w:tcW w:w="176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Carrier Services</w:t>
            </w:r>
          </w:p>
        </w:tc>
        <w:tc>
          <w:tcPr>
            <w:tcW w:w="20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 US</w:t>
            </w:r>
          </w:p>
        </w:tc>
        <w:tc>
          <w:tcPr>
            <w:tcW w:w="18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right w:val="single" w:sz="8" w:color="auto"/>
            </w:tcBorders>
            <w:shd w:val="clear" w:color="auto" w:fill="CCEEFF"/>
          </w:tcPr>
          <w:p>
            <w:pPr>
              <w:spacing w:after="0"/>
              <w:rPr>
                <w:sz w:val="16"/>
                <w:szCs w:val="16"/>
                <w:color w:val="auto"/>
              </w:rPr>
            </w:pPr>
          </w:p>
        </w:tc>
        <w:tc>
          <w:tcPr>
            <w:tcW w:w="18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 Islands, Cayman</w:t>
            </w:r>
          </w:p>
        </w:tc>
        <w:tc>
          <w:tcPr>
            <w:tcW w:w="18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Essextel, Logic, Brava</w:t>
            </w:r>
          </w:p>
        </w:tc>
        <w:tc>
          <w:tcPr>
            <w:tcW w:w="10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16"/>
        </w:trPr>
        <w:tc>
          <w:tcPr>
            <w:tcW w:w="1760" w:type="dxa"/>
            <w:vAlign w:val="bottom"/>
            <w:tcBorders>
              <w:left w:val="single" w:sz="8" w:color="auto"/>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Islands</w:t>
            </w:r>
          </w:p>
        </w:tc>
        <w:tc>
          <w:tcPr>
            <w:tcW w:w="1860" w:type="dxa"/>
            <w:vAlign w:val="bottom"/>
            <w:tcBorders>
              <w:righ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040" w:type="dxa"/>
            <w:vAlign w:val="bottom"/>
            <w:tcBorders>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1"/>
        </w:trPr>
        <w:tc>
          <w:tcPr>
            <w:tcW w:w="17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Managed Services</w:t>
            </w:r>
          </w:p>
        </w:tc>
        <w:tc>
          <w:tcPr>
            <w:tcW w:w="20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Bermuda, Cayman Islands,</w:t>
            </w:r>
          </w:p>
        </w:tc>
        <w:tc>
          <w:tcPr>
            <w:tcW w:w="1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Virgin Islands, Guyana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Commnet</w:t>
            </w:r>
          </w:p>
        </w:tc>
      </w:tr>
    </w:tbl>
    <w:p>
      <w:pPr>
        <w:ind w:left="1040" w:right="139" w:hanging="315"/>
        <w:spacing w:after="0" w:line="253"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Company continued to unify branding across its networks, and the Company now sells Fixed and Mobility Services under the “One Communications” brand in Bermuda, Guyana and the US Virgin Islands. The Company refers to its business in Guyana as “OneGY” and its business in the US Virgin Islands as “OneVI” throughout this Report.</w:t>
      </w:r>
    </w:p>
    <w:p>
      <w:pPr>
        <w:spacing w:after="0" w:line="229"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reorganization expense</w:t>
      </w:r>
    </w:p>
    <w:p>
      <w:pPr>
        <w:spacing w:after="0" w:line="268"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Company engages in restructuring and reorganization activities from time to time. These activities are primarily reduction in force costs incurred to increase operational efficiency and improve the Company’s operating margins. The Company’s 2025 reorganization plan began in January 2025 and ended on December 31, 2025. As of December 31, 2025, the Company recorded $10.2 million of costs under the 2025 reorganization plan and of that amount $1.3 million was accrued and payable as of March 31, 2026.</w:t>
      </w:r>
    </w:p>
    <w:p>
      <w:pPr>
        <w:spacing w:after="0" w:line="22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Company’s 2026 reorganization plan began in January 2026. As of March, 31, 2026, the Company recorded $1.7 million of costs under the 2026 reorganization plan and of that amount $0.2 million was accrued and payable. A summary of the restructuring and reorganization costs is below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27"/>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99"/>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Consulting costs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0"/>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expects to incur $3 million to $4 million in reorganization costs in the first half of 2026.</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7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(“GAAP”). Results of interim periods may not be indicative of results for the full year. These condensed consolidated financial statements and related notes should be read in conjunction with the Company’s Annual Report on Form 10-K for the year ended December 31, 2025, filed with the SEC on March 16, 2026.</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0"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(Subtopic 350-40): Targeted Improvements to the Accounting for Internal-Use Software” (“ASU 2025-06”). ASU 2025-06 removes references to software development project stages and requires software cost capitalization when two criteria are met (i) management has authorized and committed to funding the project, and (ii) it is probable that the project will be completed and used as intended. ASU 2025-06 will be effective for annual reporting periods beginning after December 15, 2027. The Company is currently evaluating the impacts of its adoption.</w:t>
      </w:r>
    </w:p>
    <w:p>
      <w:pPr>
        <w:spacing w:after="0" w:line="21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“Measurement of Credit Losses for Accounts Receivable and Contract Assets” (“ASU 2025-05”), which provided a practical expedient for all entities to assume current conditions as of the balance sheet date will remain through the reasonable and supportable forecast period for eligible assets. Entities were required to adjust the historical data used in the estimation of credit losses to reflect current conditions. The Company prospectively adopted ASU 2025-05, effective January 1, 2026. The adoption of ASU 2025-05 did not have a material impact on its disclosures.</w:t>
      </w:r>
    </w:p>
    <w:p>
      <w:pPr>
        <w:spacing w:after="0" w:line="22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 Accounting for Government Grants Received by Business Entities” (“ASU 2025-10”), which provides specific authoritative guidance for recognition, measurement, and presentation of government grants. ASU 2025-10 is effective on a prospective or retrospective basis for annual reporting periods beginning after December 15, 2028, and interim reporting periods within those annual reporting periods. The standard allows for early adoption of these requirements, and the Company is currently evaluating the impacts of its adoption.</w:t>
      </w:r>
    </w:p>
    <w:p>
      <w:pPr>
        <w:spacing w:after="0" w:line="22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 Narrow-Scope Improvements” (“ASU 2025-11”), which provides additional guidance on disclosures that should be provided for interim reporting periods. ASU 2025-11 is effective on a prospective or retrospective basis for interim reporting periods within annual reporting periods beginning after December 15, 2027. The standard allows for early adoption of these requirements, and the Company is currently evaluating the impacts of its adoption.</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DISPOSITIONS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US Telecom</w:t>
      </w:r>
    </w:p>
    <w:p>
      <w:pPr>
        <w:spacing w:after="0" w:line="26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February 11, 2026, through certain Commnet subsidiaries, the Company entered into a Purchase and Sale Agreement (the “Transaction Agreement”) with EIP Holdings IV, LLC, an affiliate of Everest Infrastructure Partners, Inc. (“Everest”), to sell approximately 214 tower portfolio sites (representing the substantial majority of our Commnet tower portfolio and operations (the “Tower Portfolio”)) to Everest for up to $297 million in cash consideration, subject to certain adjustments and prorations (the “Tower Portfolio Transaction”).</w:t>
      </w:r>
    </w:p>
    <w:p>
      <w:pPr>
        <w:spacing w:after="0" w:line="22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Tower Portfolio Transaction may be completed in one or more closings. The Transaction Agreement sets forth certain conditions that must be satisfied prior to the conveyance of tower sites at a closing. During the period between signing and the initial closing, the parties will determine which tower sites within the Tower Portfolio have satisfied such conditions and are ready to be conveyed at the initial closing, which sites have not yet satisfied all such conditions but for which Everest is prepared to assume management pending satisfaction of such conditions, and which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sites are not yet constructed or are subject to other conditions that will continue to be managed by the Company until such conditions are satisfied.</w:t>
      </w:r>
    </w:p>
    <w:p>
      <w:pPr>
        <w:spacing w:after="0" w:line="20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will enter into, among other ancillary agreements, (i) a management agreement for certain sites, (ii) master lease agreements, pursuant to which the Company will lease the requisite ground, tower, or other space of the conveyed tower site for our continued use, and (iii) a preferred backhaul agreement whereby the Company will become the preferred backhaul provider with respect to the conveyed tower sites.</w:t>
      </w:r>
    </w:p>
    <w:p>
      <w:pPr>
        <w:spacing w:after="0" w:line="22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warranties, covenants, and indemnities by each of the parties, and requires the receipt of certain consents and approvals prior to a closing. The waiting period required under the Hart-Scott Rodino Act of 1976 with respect to the Tower Portfolio Transaction expired in early March 2026. If the Transaction Agreement is terminated under certain circumstances that are not the fault of the Company, it will receive a termination fee equal to approximately $14.9 million.</w:t>
      </w:r>
    </w:p>
    <w:p>
      <w:pPr>
        <w:spacing w:after="0" w:line="210"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expect the initial closing of the Tower Portfolio Transaction to occur in the second quarter of 2026, generating gross proceeds of approximately $250 million to $270 million. Subsequent closings, totaling approximately $27 million to $47 million, are anticipated to occur over the twelve months following the initial closing, subject to the achievement of specified construction and operational milestones at designated sites within the Tower Portfolio.</w:t>
      </w:r>
    </w:p>
    <w:p>
      <w:pPr>
        <w:spacing w:after="0" w:line="224"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now currently anticipates that approximately 40-55% of the amount of proceeds to be received at the initial closing will be subject to post-closing resolution, due to delays in obtaining ground lease assigning consents from government and tribal agencies, as well as other conditions being satisfied with respect to such sites.</w:t>
      </w:r>
    </w:p>
    <w:p>
      <w:pPr>
        <w:spacing w:after="0" w:line="21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recorded its Tower Portfolio assets and liabilities as held for sale. The assets and liabilities recorded as held for sale consist of the following (in thousands):</w:t>
      </w:r>
    </w:p>
    <w:p>
      <w:pPr>
        <w:spacing w:after="0" w:line="200" w:lineRule="exact"/>
        <w:rPr>
          <w:sz w:val="20"/>
          <w:szCs w:val="20"/>
          <w:color w:val="auto"/>
        </w:rPr>
      </w:pP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35"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33,431</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10"/>
        </w:trPr>
        <w:tc>
          <w:tcPr>
            <w:tcW w:w="20" w:type="dxa"/>
            <w:vAlign w:val="bottom"/>
          </w:tcPr>
          <w:p>
            <w:pPr>
              <w:spacing w:after="0"/>
              <w:rPr>
                <w:sz w:val="18"/>
                <w:szCs w:val="18"/>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Assets held for sale, net of current portion</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35"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excluding current portion</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held for sale, net of current portion</w:t>
            </w:r>
          </w:p>
        </w:tc>
        <w:tc>
          <w:tcPr>
            <w:tcW w:w="1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held for sale</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Other assets consist of contract assets recorded for lease contracts being transferred and other liabilities consist of asset retirement obligations for Tower Portfolio assets.</w:t>
      </w:r>
    </w:p>
    <w:p>
      <w:pPr>
        <w:spacing w:after="0" w:line="20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Upon completion of the initial closing of the Tower Portfolio Transaction, assuming all initial closing milestones are satisfied, the Company currently expects to recognize a gain ranging from $218 million to $238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before transaction related expenses and other related fees. The Company may recognize additional gains in subsequent closings as sale conditions are satisfied and Tower Portfolio assets are transferred.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w:t>
      </w:r>
    </w:p>
    <w:p>
      <w:pPr>
        <w:spacing w:after="0" w:line="268"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an agreement to sell its India solar investment. As a result of this transaction, the Company recorded its equity investment as held for sale at December 31, 2025. The transaction price was reduced in 2026 resulting in a $2.6 million impairment being recorded in other income (expense) during the three months ended March 31, 2026. The investment’s remaining book value of $8.6 million continues to be recorded as held for sale in the Company’s March 31, 2026 balance sheet.</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REVENUE RECOGNITION AND RECEIVABLES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revenue in accordance with the FASB’s Accounting Standard Codification (“ASC”) Topic 606, “Revenue Recognition” (“ASC 606”), from contracts with customers and ASC Topic 842, “Leases” (“ASC 842”), from lease agreements, as well as government grants. Lease revenue recognized under ASC 842 is disclosed in Note 5 and government support revenue is disclosed in Note 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consisted of the following for the periods presented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tcPr>
          <w:p>
            <w:pPr>
              <w:ind w:left="5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7"/>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80" w:type="dxa"/>
            <w:vAlign w:val="bottom"/>
            <w:gridSpan w:val="2"/>
            <w:vMerge w:val="continue"/>
          </w:tcPr>
          <w:p>
            <w:pPr>
              <w:spacing w:after="0"/>
              <w:rPr>
                <w:sz w:val="15"/>
                <w:szCs w:val="15"/>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4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162,856</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167,948</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1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40" w:type="dxa"/>
            <w:vAlign w:val="bottom"/>
          </w:tcPr>
          <w:p>
            <w:pPr>
              <w:ind w:left="5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80" w:type="dxa"/>
            <w:vAlign w:val="bottom"/>
            <w:gridSpan w:val="2"/>
            <w:vMerge w:val="continue"/>
          </w:tcPr>
          <w:p>
            <w:pPr>
              <w:spacing w:after="0"/>
              <w:rPr>
                <w:sz w:val="15"/>
                <w:szCs w:val="15"/>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4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158,221</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164,639</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0" w:type="dxa"/>
            <w:vAlign w:val="bottom"/>
          </w:tcPr>
          <w:p>
            <w:pPr>
              <w:spacing w:after="0"/>
              <w:rPr>
                <w:sz w:val="1"/>
                <w:szCs w:val="1"/>
                <w:color w:val="auto"/>
              </w:rPr>
            </w:pPr>
          </w:p>
        </w:tc>
      </w:tr>
      <w:tr>
        <w:trPr>
          <w:trHeight w:val="21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from CAF II and USF programs (each as defined below). Refer to Note 9.</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2.7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decrease in the Company’s net contract liability was due to the timing of customer prepayments, contract billings, and recognition of deferred revenue. During the three months ended March 31, 2026, the Company recognized revenue of $16.4 million related to its December 31, 2025 contract liability and amortized $1.2 million of the December 31, 2025 contract asset to revenue. During the three months ended March 31, 2025, the Company recognized revenue of $18.3 million related to its December 31, 2024 contract liability and amortized $1.1 million of the December 31, 2024 contract asset to revenue.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68"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March 31, 2026 and December 31, 2025 balance sheets include contract acquisition costs of $10.8 million and $11.2 million, respectively, in other assets. During the three months ended March 31, 2026 and March 31, 2025, the Company amortized $1.7 million and $1.8 million, respectively, of contract acquisition costs.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5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$546 million at March 31, 2026. The Company expects to satisfy approximately 48% of the remaining performance obligations and recognize the transaction price within 24 months and approximately $60 million annually from 2028 through 2032. The Company omits performance obligations associated with a contract with a duration of one year or less and variable consideration under the right to invoice or wholly unsatisfied performance obligation practical expedients from this disclosure.</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6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6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had gross accounts receivables of $103.1 million and $96.2 million as of March 31, 2026 and December 31, 2025, respectively. The Company also recorded allowances for credit losses against these receivables of $16.8 million and $15.5 million as of March 31, 2026 and December 31, 2025, respectively.</w:t>
      </w:r>
    </w:p>
    <w:p>
      <w:pPr>
        <w:spacing w:after="0" w:line="21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the Company also recorded a receivable under the Network Build and Maintenance Agreement with AT&amp;T Mobility, LLC (“AT&amp;T”) that was subsequently amended in May 2026 (the “FirstNet Agreement”) totaling $41.7 million as of March 31, 2026, of which $9.4 million was current and $32.3 million was long-term, and had a receivable under that same agreement of $43.9 million as of December 31, 2025, of which $8.8 million was current and $35.1 million was long-term. As of March 31, 2026, the Company had recorded $37.5 million of receivables under certain government support agreements, which included $22.0 million under the Replace and Remove Program (as defined below) and $15.5 million related to the Company’s participation in other government support programs. As of December 31, 2025, the Company had recorded $45.1 million of receivables under certain government support agreements, which included $31.9 million under the Replace and Remove Program and $13.3 million under the Company’s participation in other government support programs (refer to Note 9).</w:t>
      </w:r>
    </w:p>
    <w:p>
      <w:pPr>
        <w:spacing w:after="0" w:line="200" w:lineRule="exact"/>
        <w:rPr>
          <w:sz w:val="20"/>
          <w:szCs w:val="20"/>
          <w:color w:val="auto"/>
        </w:rPr>
      </w:pPr>
    </w:p>
    <w:p>
      <w:pPr>
        <w:spacing w:after="0" w:line="251"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monitors receivables through the use of historical operating data adjusted for the expectation of future performance as appropriate. Activity in the allowance for credit losses is below (in thousands):</w:t>
      </w:r>
    </w:p>
    <w:p>
      <w:pPr>
        <w:spacing w:after="0" w:line="236"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08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9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March 31,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(3) and ten (10) years, some of which include additional renewal options.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firstLine="648"/>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paid $5.4 million and $6.3 million, respectively, for operating lease liabilities. During the three months ended March 31, 2026 and 2025, the Company recorded $3.3 million and $5.2 million, respectively, of operating lease liabilities arising from right of use assets.</w:t>
      </w:r>
    </w:p>
    <w:p>
      <w:pPr>
        <w:spacing w:after="0" w:line="19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March 31, 2026, finance leases with a net book value of $23.6 million were included in fixed assets, net. During the three months ended March 31, 2026, the Company paid $0.2 million of financing cash flows and $0.1 million of operating cash flows for finance lease liabilities. During the three months ended March 31, 2025, the Company paid $0.5 million of financing cash flows and $0.1 million of operating cash flows for finance lease liabilities. At March 31, 2026, finance leases had a lease liability of $3.7 million, of which $0.7 million was current.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2025, finance leases with a net book value of $24.2 million were included in fixed assets, net.</w:t>
      </w:r>
    </w:p>
    <w:p>
      <w:pPr>
        <w:spacing w:after="0" w:line="26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March 31, 2026 and December 31, 2025 are set forth in the table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92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March 31, 2026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85,320</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did not have any material operating or finance leases that had not yet commenced.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three months ended March 31, 2026 and 2025, the Company recorded $2.5 million and $2.0 million, respectively, of lease income from agreements for which the Company is the lessor. Lease income is classified as Carrier Services revenue in the statement of operations.</w:t>
      </w:r>
    </w:p>
    <w:p>
      <w:pPr>
        <w:spacing w:after="0" w:line="22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124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6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USE OF ESTIMATES</w:t>
      </w:r>
    </w:p>
    <w:p>
      <w:pPr>
        <w:spacing w:after="0" w:line="256"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dates of the financial statements and the reported amounts of revenue and expenses during the reporting periods. The Company bases its estimates on historical experience and on various other assumptions that it believes are reasonable under the circumstances. The most significant estimates relate to revenue recognition, goodwill and long-lived intangible assets, income taxes, and contingencies. Actual results could differ significantly from those estimates.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FAIR VALUE MEASUREMENTS AND INVESTMENTS</w:t>
      </w:r>
    </w:p>
    <w:p>
      <w:pPr>
        <w:spacing w:after="0" w:line="27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03"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that requires an entity to maximize the use of observable inputs and minimize the use of unobservable inputs when measuring fair value. The guidance describes three levels of inputs that may be used to measure fair value:</w:t>
      </w:r>
    </w:p>
    <w:p>
      <w:pPr>
        <w:spacing w:after="0" w:line="189" w:lineRule="exact"/>
        <w:rPr>
          <w:sz w:val="20"/>
          <w:szCs w:val="20"/>
          <w:color w:val="auto"/>
        </w:rPr>
      </w:pPr>
    </w:p>
    <w:p>
      <w:pPr>
        <w:ind w:left="1980" w:right="1679" w:hanging="634"/>
        <w:spacing w:after="0" w:line="25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3" w:lineRule="exact"/>
        <w:rPr>
          <w:sz w:val="20"/>
          <w:szCs w:val="20"/>
          <w:color w:val="auto"/>
        </w:rPr>
      </w:pPr>
    </w:p>
    <w:p>
      <w:pPr>
        <w:ind w:left="1980" w:right="1739" w:hanging="634"/>
        <w:spacing w:after="0" w:line="255"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 w:lineRule="exact"/>
        <w:rPr>
          <w:sz w:val="20"/>
          <w:szCs w:val="20"/>
          <w:color w:val="auto"/>
        </w:rPr>
      </w:pPr>
    </w:p>
    <w:p>
      <w:pPr>
        <w:ind w:left="1980" w:right="1659"/>
        <w:spacing w:after="0" w:line="252" w:lineRule="auto"/>
        <w:rPr>
          <w:sz w:val="20"/>
          <w:szCs w:val="20"/>
          <w:color w:val="auto"/>
        </w:rPr>
      </w:pPr>
      <w:r>
        <w:rPr>
          <w:rFonts w:ascii="Times New Roman" w:cs="Times New Roman" w:eastAsia="Times New Roman" w:hAnsi="Times New Roman"/>
          <w:sz w:val="18"/>
          <w:szCs w:val="18"/>
          <w:color w:val="auto"/>
        </w:rPr>
        <w:t>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00" w:lineRule="exact"/>
        <w:rPr>
          <w:sz w:val="20"/>
          <w:szCs w:val="20"/>
          <w:color w:val="auto"/>
        </w:rPr>
      </w:pPr>
    </w:p>
    <w:p>
      <w:pPr>
        <w:spacing w:after="0" w:line="206"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are summarized as follows (in thousands):</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 (1)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Alloy contingent consideration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Alaska Communications redeemable 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units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 common units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assets and liabilities measured at fair</w:t>
            </w:r>
          </w:p>
        </w:tc>
        <w:tc>
          <w:tcPr>
            <w:tcW w:w="8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(24,861)</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0" w:type="dxa"/>
            <w:vAlign w:val="bottom"/>
          </w:tcPr>
          <w:p>
            <w:pPr>
              <w:spacing w:after="0"/>
              <w:rPr>
                <w:sz w:val="1"/>
                <w:szCs w:val="1"/>
                <w:color w:val="auto"/>
              </w:rPr>
            </w:pP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4"/>
          </w:tcPr>
          <w:p>
            <w:pPr>
              <w:jc w:val="center"/>
              <w:ind w:right="51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 (1)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Alloy contingent consideration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Alaska Communications redeemable 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units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 common units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assets and liabilities measured at fair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0" w:type="dxa"/>
            <w:vAlign w:val="bottom"/>
          </w:tcPr>
          <w:p>
            <w:pPr>
              <w:spacing w:after="0"/>
              <w:rPr>
                <w:sz w:val="1"/>
                <w:szCs w:val="1"/>
                <w:color w:val="auto"/>
              </w:rPr>
            </w:pP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9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redeemable common units in Alloy, Inc. (“Alloy”), the parent company of the Company’s operations in the western US.</w:t>
      </w:r>
    </w:p>
    <w:p>
      <w:pPr>
        <w:ind w:left="720" w:right="33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related to 2022 acquisition of Sacred Wind. Amounts are payable in 2026, 2027 and 2028.</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redeemable common units in Alaska Communications.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holds investments in equity securities consisting of noncontrolling investments in privately held companies. Historically, the investments are accounted for using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As of March 31, 2026, the Company’s investments were all accounted for under the measurement alternative for investments without a readily determinable value. A roll forward of the investments is set forth below (in thousands):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2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 and March 31, 2025</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and assets held for sale on the consolidated balance sheets.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70"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The Company issued redeemable common units, and warrants to purchase additional common units, in a subsidiary of the Company in conjunction with its acquisition of Alaska Communications. The Company also issued redeemable common units in the parent company of the Company’s operations in the southwestern US, Alloy, in connection with its acquisition of Sacred Wind in 2022. The common units are carried at the higher of historical cost or fair value and the warrants to purchase common units are recorded at fair value in the Company’s financial statements. The instruments are redeemable at the option of the holder, beginning in November 2026 with respect to Alloy and with respect to Alaska Communications, at the earlier of its qualifying initial public offering or July 2028.</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Alaska Communications common units was zero at both March 31, 2026 and December 31, 2025. The fair value of the warrants to purchase the Alaska Communications common units was zero at both March 31, 2026 and December 31, 2025. The Alloy common units were carried at a fair value of $15.0 million at both March 31, 2026 and December 31, 2025, which exceeded its the historical cost of $10.1 million at both March 31, 2026 and December 31, 2025. The Company calculates the fair value of the instruments using a combination of market and discounted cash flows approaches with Level 3 inputs.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70"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80"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long-term debt is estimated using Level 2 inputs. At March 31, 2026, the fair value of long-term debt, including the current portion, was $576.3 million and its book value was $570.2 million. At December 31, 2025, the fair value of long-term debt, including the current portion, was $572.3 million and its book value was $565.2 million.</w:t>
      </w:r>
    </w:p>
    <w:p>
      <w:pPr>
        <w:spacing w:after="0" w:line="18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customer receivable credit facility is estimated using Level 2 inputs. At March 31, 2026, the fair value of the customer receivable credit facility, including the current portion, was $37.0 million and its book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value was $37.4 million. At December 31, 2025, the fair value of the customer receivable credit facility, including the current portion, was $39.2 million and its book value was $39.6 million.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5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July 13, 2023, the Company, along with certain of its subsidiaries as guarantors, entered into a Credit Agreement (as may be amended from time to time, the “2023 CoBank Credit Agreement”) with CoBank, ACB (“CoBank”) and a syndicate of other lenders (the “2023 CoBank Credit Facility”). On July 10, 2024, the Company amended the 2023 CoBank Credit Agreement to add certain subsidiaries as guarantors and to provide further flexibility in order to accept certain grant and government program obligations.</w:t>
      </w:r>
    </w:p>
    <w:p>
      <w:pPr>
        <w:spacing w:after="0" w:line="22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w:t>
      </w:r>
    </w:p>
    <w:p>
      <w:pPr>
        <w:spacing w:after="0" w:line="220"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76" w:lineRule="exact"/>
        <w:rPr>
          <w:sz w:val="20"/>
          <w:szCs w:val="20"/>
          <w:color w:val="auto"/>
        </w:rPr>
      </w:pPr>
    </w:p>
    <w:tbl>
      <w:tblPr>
        <w:tblLayout w:type="fixed"/>
        <w:tblInd w:w="730" w:type="dxa"/>
        <w:tblCellMar>
          <w:top w:w="0" w:type="dxa"/>
          <w:left w:w="0" w:type="dxa"/>
          <w:bottom w:w="0" w:type="dxa"/>
          <w:right w:w="0" w:type="dxa"/>
        </w:tblCellMar>
      </w:tblPr>
      <w:tr>
        <w:trPr>
          <w:trHeight w:val="283"/>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30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the Company’s option, either (i) the secured overnight financing rate (“SOFR”) as administered by the Federal Reserve Bank of New York plus an applicable margin ranging between 2.00% to 3.75% for the 2023 CoBank Term Loan and 1.75% to 3.50% for the 2023 CoBank Revolving Loan or (ii) a base rate plus an applicable margin ranging from 1.00% to 2.75% for the 2023 CoBank Term Loan and 0.75% to 2.50% for the 2023 CoBank Revolving Loan. Swingline loans bear interest at the base rate plus the applicable margin for base rate loans. The applicable margin is determined based on the Total Net Leverage Ratio (as defined in the 2023 CoBank Credit Agreement). The Company will also pay a fee ranging from 0.25% to 0.50% on the average daily unused portion of the 2023 CoBank Credit Facility over each calendar quarter.</w:t>
      </w:r>
    </w:p>
    <w:p>
      <w:pPr>
        <w:spacing w:after="0" w:line="21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of 3.25 to 1.0, measured quarterly,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$4.5 million of fees associated with the 2023 CoBank Credit Facility, which are being amortized over the life of the debt and $2.3 million were unamortized as of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$119.4 million outstanding under the 2023 CoBank Term Loan and $55.5 million under the 2023 CoBank Revolving Loan. As of that date, the Company had $114.5 million of availability under the 2023 CoBank Revolving Loan. The Company was in compliance with all financial covenants as of March 31, 2026.</w:t>
      </w:r>
    </w:p>
    <w:p>
      <w:pPr>
        <w:spacing w:after="0" w:line="22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Tower Portfolio Transaction, on February 11, 2026, the Company entered into a Consent Agreement (the “Consent”) with CoBank, as Administrative Agent, and the Lenders and Voting Participants (constituting Required Lenders (as defined in the 2023 CoBank Credit Agreement)) party thereto, in connection with the 2023 CoBank Credit Agreement. Pursuant to the terms of the Consent, CoBank and the other Lenders and Voting Participants (constituting Required Lenders) party thereto consented to: (i) the consummation of the Tower Portfolio Transaction; (ii) the distributions of the Net Cash Proceeds (as defined in the 2023 CoBank Credit Agreement) from the Tower Portfolio Transaction to the Company and the minority shareholders of the Commnet Parties; (iii) the Net Cash Proceeds received from the Tower Portfolio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working capital and general corporate purposes. The Consent further provides for the release of the Liens (as defined in the 2023 CoBank Credit Agreement) on the assets being sold in connection with the Tower Portfolio Transaction.</w:t>
      </w:r>
    </w:p>
    <w:p>
      <w:pPr>
        <w:spacing w:after="0" w:line="22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 two-year, forward starting one-month floating to fixed SOFR interest rate swap agreement. The swap was effective November 13, 2023 in a non-amortizing notional amount of $50.0 million, had a fixed SOFR rate of 4.90% and matured on November 13, 2025.</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March 31, 2026, $38.9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5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August 29, 2024, Alaska Communications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spacing w:after="0" w:line="224"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March 31, 2026, $300.0 million was outstanding under the 2024 Alaska Term Facility.</w:t>
      </w:r>
    </w:p>
    <w:p>
      <w:pPr>
        <w:spacing w:after="0" w:line="205"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March 31, 2026, $21.5 million was outstanding under the 2024 Alaska Revolving Facility and $0.6 million of letters of credit were issued. As a result, $67.9 million was available under the 2024 Alaska Revolving Facility as of March 31, 2026.</w:t>
      </w:r>
    </w:p>
    <w:p>
      <w:pPr>
        <w:spacing w:after="0" w:line="210"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Alaska Communications meeting certain conditions.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the 2024 Alaska Credit Facility, the Company incurred $6.9 million of fees and rolled over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 million of fees for the 2022 Alaska Credit Facility to be amortized over the life of the debt. As of March 31, 2026,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had $6.2 million of unamortized fees, which are being amortized over the life of the debt, associated with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Alaska Credit Facility.</w:t>
      </w:r>
    </w:p>
    <w:p>
      <w:pPr>
        <w:spacing w:after="0" w:line="2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equal to, at the Company’s option, either (i) SOFR plus an applicable margin ranging between 3.00% to 4.50% or (ii) a base rate plus an applicable margin ranging from 2.00% to 3.50%. Swingline loans bear interest at the base rate plus the applicable margin for base rate loans. The Company also pays a fee ranging from 0.25% to 0.40% on the average daily unused portion of the 2024 Alaska Credit Facility over each calendar quarter.</w:t>
      </w:r>
    </w:p>
    <w:p>
      <w:pPr>
        <w:spacing w:after="0" w:line="22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Alaska Communications may prepay all revolving loans under the 2024 Alaska Revolving Facility at any time without premium or penalty, subject to certain notice requirements and balance restrictions.</w:t>
      </w:r>
    </w:p>
    <w:p>
      <w:pPr>
        <w:spacing w:after="0" w:line="21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Alaska Communications is required to maintain financial ratios,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 The 2024 Alaska Credit Agreement contains usual and customary affirmative and negative covenants of the parties for credit facilities of this type or as otherwise deemed appropriate by the administrative agent, subject to customary exceptions and materiality standards. As of March 31, 2026, Alaska Communications was in compliance with all financial covenants.</w:t>
      </w:r>
    </w:p>
    <w:p>
      <w:pPr>
        <w:spacing w:after="0" w:line="230"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 (as defined in the 2024 Alaska Credit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7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one-month floating to fixed SOFR interest rate swap agreements. The total non-amortizing notional amount of the agreements is $200 million, with fixed SOFR rates of 4.8695% and 4.8980%. These swap agreements matured on June 30, 2025.</w:t>
      </w:r>
    </w:p>
    <w:p>
      <w:pPr>
        <w:spacing w:after="0" w:line="216"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On September 26, 2025, Alaska Communications entered into four forward starting one-month floating to fixed SOFR interest rate swap agreements. The total non-amortizing notional amount of the four agreements was $200 million, with fixed SOFR rates ranging from 3.43% to 3.45% and have a maturity date of September 30, 2027. The swap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agreements had a fair value of $0.5 million and $(0.5) million as of March 31, 2026 and December 31, 2025, respectively.</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(the “Receivables Credit Facility”).</w:t>
      </w:r>
    </w:p>
    <w:p>
      <w:pPr>
        <w:spacing w:after="0" w:line="18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provided for a senior secured delayed draw term loan in an aggregate principal amount of up to $75.0 million with the proceeds used to acquire certain receivables from Commnet Wireless. The receivables financed and sold under the secured Receivables Credit Facility relate to the obligations of AT&amp;T under the FirstNet Agreement.</w:t>
      </w:r>
    </w:p>
    <w:p>
      <w:pPr>
        <w:spacing w:after="0" w:line="22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 There were no further extensions of the draw period.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ranging from 3.21% to 7.13%.</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Commnet Wireless had $37.6 million outstanding, of which $8.9 million was classified as being current and $28.7 million as long-term on the Company’s balance sheet under the Receivables Credit Facility. Commnet Wireless capitalized $0.8 million in fees associated with the Receivables Credit Facility, which are being amortized over the life of the debt and $0.3 million were unamortized as of March 31, 2026.</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56"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spacing w:after="0" w:line="20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200" w:lineRule="exact"/>
        <w:rPr>
          <w:sz w:val="20"/>
          <w:szCs w:val="20"/>
          <w:color w:val="auto"/>
        </w:rPr>
      </w:pPr>
    </w:p>
    <w:p>
      <w:pPr>
        <w:spacing w:after="0" w:line="248"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30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Amounts borrowed under the 2025 IDB Credit Facilities bear interest at a rate equal to SOFR plus an applicable margin of 2.4% for the 2025 IDB Revolving Facility and 3.0% for the 2025 IDB Term Loan. In the case of the 2025 IDB Term Loan, there is a prepayment fee equal to 1.0% until the first anniversary from the effective date, 0.5% until the second anniversary from the effective date, and 0.0% thereafter.</w:t>
      </w:r>
    </w:p>
    <w:p>
      <w:pPr>
        <w:spacing w:after="0" w:line="20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(each as defined in the 2025 IDB Credit Agreement), as well as customary representations, warranties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1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$2.0 million was outstanding under the 2025 IDB Revolving Facility and there were no outstanding borrowings under the 2025 IDB Term loan as of that date. As of March 31, 2026, OneGY was in compliance with all financial covenants.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Company’s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spacing w:after="0" w:line="228"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March 31, 2026, the Company was in compliance with that corrective action plan.</w:t>
      </w:r>
    </w:p>
    <w:p>
      <w:pPr>
        <w:spacing w:after="0" w:line="20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$20.5 million was outstanding under the Sacred Wind Term Debt. Of that amount, $3.6 million was current and $16.9 million was long term.</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USVI Debt</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entered into a loan agreement (the “OneVI Debt Agreement”) for a $60.0 million loan (the “OneVI Debt”) with National Cooperative Services Corporation (“NCSC”) on July 1, 2016.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“OneVI Net Leverage Ratio”). This covenant is tested on an annual basis at the end of each fiscal year. Interest is paid quarterly at a fixed rate of 4.0% per annum and principal repayment was not required until maturity on July 1, 2026. Prepayment of amounts under the OneVI Debt Agreement are subject to a fee under certain circumstances. The debt is secured by certain assets of the OneVI subsidiaries and is guaranteed by the Company.</w:t>
      </w:r>
    </w:p>
    <w:p>
      <w:pPr>
        <w:spacing w:after="0" w:line="21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$60.0 million of the OneVI Debt remained outstanding. Of that amount, $3.4 million was current and $56.6 million was long term.</w:t>
      </w:r>
    </w:p>
    <w:p>
      <w:pPr>
        <w:spacing w:after="0" w:line="20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On May 5, 2022, the OneVI Net Leverage Ratio was amended to 7.0 to 1.0 through the maturity date of July 1, 2026. The OneVI Net Leverage Ratio is tested annually, and the Company was in compliance with the OneVI Net Leverage Ratio as of December 31, 2025.</w:t>
      </w:r>
    </w:p>
    <w:p>
      <w:pPr>
        <w:spacing w:after="0" w:line="216"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On November 5, 2025, the Company and certain of its subsidiaries (the “OneVI Borrowers”) amended the OneVI Debt Agreement (the “OneVI Debt Amendment”) to extend the maturity date of the OneVI Debt from July 1, 2026 to July 1, 2035 (the “Extended Maturity Date”). The OneVI Debt Amendment further provides that the OneVI Debt will continue to accrue interest at the current fixed 4.0% rate through June 30, 2026 and, beginning on July 1, 2026,</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NCSC will offer, at the Borrowers’ option, a forward fixed rate or variable rate of interest for the remainder of the term of the OneVI Debt through the Extended Maturity Date. If the OneVI Borrowers elect the variable rate, the variable rate will be NCSC’s standard variable rate of interest for long-term loans and subject to change monthly, and the OneVI Borrowers will have the option to convert all or a portion of principal outstanding as of the date specified in the Conversion Notice (as defined in the OneVI Debt Agreement), to NCSC’s standard fixed interest rates for long-term loans at any time thereafter without a fee.</w:t>
      </w:r>
    </w:p>
    <w:p>
      <w:pPr>
        <w:spacing w:after="0" w:line="228"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Additionally, the OneVI Debt Amendment provides that the OneVI Debt will continue to require interest-only payments at the current rate through June 30, 2026; beginning on July 1, 2026, the OneVI Debt will be subject to a quarterly repayment schedule.</w:t>
      </w:r>
    </w:p>
    <w:p>
      <w:pPr>
        <w:spacing w:after="0" w:line="200" w:lineRule="exact"/>
        <w:rPr>
          <w:sz w:val="20"/>
          <w:szCs w:val="20"/>
          <w:color w:val="auto"/>
        </w:rPr>
      </w:pPr>
    </w:p>
    <w:p>
      <w:pPr>
        <w:spacing w:after="0" w:line="244" w:lineRule="exact"/>
        <w:rPr>
          <w:sz w:val="20"/>
          <w:szCs w:val="20"/>
          <w:color w:val="auto"/>
        </w:rPr>
      </w:pPr>
    </w:p>
    <w:tbl>
      <w:tblPr>
        <w:tblLayout w:type="fixed"/>
        <w:tblInd w:w="970" w:type="dxa"/>
        <w:tblCellMar>
          <w:top w:w="0" w:type="dxa"/>
          <w:left w:w="0" w:type="dxa"/>
          <w:bottom w:w="0" w:type="dxa"/>
          <w:right w:w="0" w:type="dxa"/>
        </w:tblCellMar>
      </w:tblPr>
      <w:tr>
        <w:trPr>
          <w:trHeight w:val="237"/>
        </w:trPr>
        <w:tc>
          <w:tcPr>
            <w:tcW w:w="34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Dates</w:t>
            </w:r>
          </w:p>
        </w:tc>
        <w:tc>
          <w:tcPr>
            <w:tcW w:w="366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8"/>
              </w:rPr>
              <w:t>Annual Principal Repayment</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1-3</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4-6</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7-8</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9</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 The interest rate will be reset on the original loan maturity date of July 1, 2026.</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through December 31,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397,937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578,816</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r>
      <w:tr>
        <w:trPr>
          <w:trHeight w:val="21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570,160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37,405</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GOVERNMENT SUPPORT AND SPECTRUM MATTERS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but not limited to,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federal Universal Service Fund (“USF”) support under the Alaska Connect Fund (“ACF”). Beginning January 1, 2025, the Company expects to receive $25.6 million per year until December 31, 2028. Beginning in 2029 and continuing through 2034, the amount of ACF support will be determined by the Federal Communications Commission (“FCC”) staff taking into consideration broadband deployment funded through the Broadband Equity Access and Deployment Program;</w:t>
      </w:r>
    </w:p>
    <w:p>
      <w:pPr>
        <w:spacing w:after="0" w:line="102"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(“E-ACAM”) funding available to the Company’s operations in the western US, the Company expects to receive approximately $9 million annually through 2029 before gradually increasing to $13 million annually in 2038. This funding is subject to a requirement to deploy voice and broadband service at speeds of 100/20 Mbps to all required locations by the end of the calendar 2038;</w:t>
      </w:r>
    </w:p>
    <w:p>
      <w:pPr>
        <w:spacing w:after="0" w:line="11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$8.0 million per year in Connect America Fund II (“CAF II”) support in the rural southwest until July 2028;</w:t>
      </w:r>
    </w:p>
    <w:p>
      <w:pPr>
        <w:spacing w:after="0" w:line="80"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$5.5 million annually in the US Virgin Islands through December 31, 2025. In September 2025, the Company requested that the FCC extend such support for at least one additional year. As of the date of this Report, the FCC had not yet acted on this request and, as a result, the Company is currently not receiving this support. If the FCC grants the Company’s request, it may or may not extend the Company’s support on a retroactive basis from December 31, 2025; and</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state USF support in Alaska of approximately $2.5 million annually.</w:t>
      </w:r>
    </w:p>
    <w:p>
      <w:pPr>
        <w:spacing w:after="0" w:line="1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was in compliance in all material respects with its requirements associated with such funding.</w:t>
      </w:r>
    </w:p>
    <w:p>
      <w:pPr>
        <w:spacing w:after="0" w:line="202"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the FCC’s Rural Health Care Universal Service Support Mechanism (“RHC Program”). During the three months ended March 31, 2026 and 2025, the Company received $6.3 million and $4.4 million, respectively, related to RHC Program funding.</w:t>
      </w:r>
    </w:p>
    <w:p>
      <w:pPr>
        <w:spacing w:after="0" w:line="21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from the USF High Cost Program, including the CAF II, ACF, and E-ACAM programs, is recognized as revenue from government grants. Revenue from other programs is recognized in accordance with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18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-11430</wp:posOffset>
            </wp:positionV>
            <wp:extent cx="25634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13"/>
                <w:szCs w:val="13"/>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23"/>
                <w:szCs w:val="23"/>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upon completion of a project. Once these projects are constructed, the Company is obligated to provide service to the participants. The Company expects to meet all requirements associated with these grants. The Company is currently reviewing funding available under the BEAD grant program. A roll forward of the Company’s grant awards is below (in thousands).</w:t>
      </w: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December 31, 2025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98,826</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New grants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complete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Grants awarded, March 31, 2026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100,867</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The Company was identified as a sub recipient of grants under these programs totaling $239.0 million as of March 31, 2026.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March 31, 2026, the Company has received $37.7 million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funding under these programs and spent $40.4 million on construction obligations. These amounts are recorded as operating cash flows in the Company’s statement of cash flows.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the Company was approved to participate in the FCC’s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the Company’s eligible subsidiaries were initially allocated up to approximately $207 million to replace, remove and securely destroy such communications equipment and services in the Company’s networks in the western US and in the US Virgin Islands; however, in December 2024, this program was fully funded for an increased allocation to the Company of an aggregate amount of approximately $517 million. The Replace and Remove Program requires each of the Company’s participating subsidiaries to complete the project no later than a specified deadline, which was recently extended through early November 2026.</w:t>
      </w:r>
    </w:p>
    <w:p>
      <w:pPr>
        <w:spacing w:after="0" w:line="221"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transferred</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spend, March 31, 2026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192,171</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40,932</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(38,682)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reimbursements, March 31, 2026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(171,301)</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March 31,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(16,211)</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March 31,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At March 31, 2026, $14.5 million of the capital expenditures spent under the Replace and Remove Program were accrued and unpaid. Amounts identified as capital are recorded as investing cash flows and amounts identified as operating are recorded as operating cash flows in the Company’s statement of cash flows. During the three months ended March 31, 2026, the Company determined that reimbursement was not probable for $9.0 million of capital expenditures incurred under the Replace and Remove Program. As a result, the Company transferred $7.0 million to assets held for sale and the remaining $2.0 million to fixed assets. Except for this $9.0 million, the Company expects to be reimbursed, within the next twelve months, for all amounts spent.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68" w:lineRule="exact"/>
        <w:rPr>
          <w:sz w:val="20"/>
          <w:szCs w:val="20"/>
          <w:color w:val="auto"/>
        </w:rPr>
      </w:pPr>
    </w:p>
    <w:p>
      <w:pPr>
        <w:ind w:left="100" w:right="220" w:firstLine="648"/>
        <w:spacing w:after="0" w:line="272" w:lineRule="auto"/>
        <w:rPr>
          <w:sz w:val="20"/>
          <w:szCs w:val="20"/>
          <w:color w:val="auto"/>
        </w:rPr>
      </w:pPr>
      <w:r>
        <w:rPr>
          <w:rFonts w:ascii="Times New Roman" w:cs="Times New Roman" w:eastAsia="Times New Roman" w:hAnsi="Times New Roman"/>
          <w:sz w:val="17"/>
          <w:szCs w:val="17"/>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100" w:right="380"/>
        <w:spacing w:after="0" w:line="260" w:lineRule="auto"/>
        <w:rPr>
          <w:sz w:val="20"/>
          <w:szCs w:val="20"/>
          <w:color w:val="auto"/>
        </w:rPr>
      </w:pPr>
      <w:r>
        <w:rPr>
          <w:rFonts w:ascii="Times New Roman" w:cs="Times New Roman" w:eastAsia="Times New Roman" w:hAnsi="Times New Roman"/>
          <w:sz w:val="18"/>
          <w:szCs w:val="18"/>
          <w:color w:val="auto"/>
        </w:rPr>
        <w:t>are not determined for, or allocated separately to, the individual employer. This plan was not in endangered or in critical status during the plan year.</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ind w:left="100"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employees who meet certain eligibility criteria. The majority of the benefits under these plans are frozen and the plans no longer allow new participants to join.</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83"/>
        </w:trPr>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3"/>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5"/>
                <w:szCs w:val="15"/>
                <w:color w:val="auto"/>
              </w:rPr>
            </w:pPr>
          </w:p>
        </w:tc>
      </w:tr>
      <w:tr>
        <w:trPr>
          <w:trHeight w:val="117"/>
        </w:trPr>
        <w:tc>
          <w:tcPr>
            <w:tcW w:w="4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73"/>
        </w:trPr>
        <w:tc>
          <w:tcPr>
            <w:tcW w:w="40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00" w:type="dxa"/>
            <w:vAlign w:val="bottom"/>
            <w:tcBorders>
              <w:bottom w:val="single" w:sz="8" w:color="auto"/>
            </w:tcBorders>
          </w:tcPr>
          <w:p>
            <w:pPr>
              <w:spacing w:after="0"/>
              <w:rPr>
                <w:sz w:val="15"/>
                <w:szCs w:val="15"/>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tcPr>
          <w:p>
            <w:pPr>
              <w:jc w:val="right"/>
              <w:ind w:right="62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w:t>
            </w: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expense</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three months ended March 31, 2026 and 2025. However, the Company periodically evaluates whether to make discretionary contributions. The Company funds its postretirement benefit plans as claims are made and did not make contributions to its pension plans during the three months ended March 31, 2026 and 2025.</w: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ind w:left="100" w:right="100" w:firstLine="648"/>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impact of the enacted provisions in its financial statements for the three months ended, March 31, 2026, which were determined to be immaterial. The Company will continue to evaluate the impact of the OBBBA provisions effective in future years on the Company’s financial statements and related disclosures.</w:t>
      </w:r>
    </w:p>
    <w:p>
      <w:pPr>
        <w:spacing w:after="0" w:line="229" w:lineRule="exact"/>
        <w:rPr>
          <w:sz w:val="20"/>
          <w:szCs w:val="20"/>
          <w:color w:val="auto"/>
        </w:rPr>
      </w:pPr>
    </w:p>
    <w:p>
      <w:pPr>
        <w:ind w:left="100"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2026 and 2025 was (84.1%) and 1.7%, respectively.</w:t>
      </w:r>
    </w:p>
    <w:p>
      <w:pPr>
        <w:sectPr>
          <w:pgSz w:w="11900" w:h="16838" w:orient="portrait"/>
          <w:cols w:equalWidth="0" w:num="1">
            <w:col w:w="9100"/>
          </w:cols>
          <w:pgMar w:left="1400" w:top="513" w:right="13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expense of $1.6 million in relation to a pretax loss of $1.9 million for the three months ended March 31, 2026. The effective tax rate for the three months ended March 31, 2026 was primarily impacted by the following items: (i) the mix of income generated among the jurisdictions in which the Company operates,</w:t>
      </w:r>
    </w:p>
    <w:p>
      <w:pPr>
        <w:spacing w:after="0" w:line="2" w:lineRule="exact"/>
        <w:rPr>
          <w:sz w:val="20"/>
          <w:szCs w:val="20"/>
          <w:color w:val="auto"/>
        </w:rPr>
      </w:pPr>
    </w:p>
    <w:p>
      <w:pPr>
        <w:jc w:val="both"/>
        <w:ind w:left="60" w:right="479" w:hanging="10"/>
        <w:spacing w:after="0" w:line="253"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losses in Alaska and the US Virgin Islands due to valuation allowance positions placed on certain deferred tax assets that are not expected to be realized based on the weight of positive and negative evidence, and (iii) discrete expenses including $0.3 million for interest on prior years uncertain tax positions and $0.3 million in expense associated with stock option shortfalls.</w:t>
      </w:r>
    </w:p>
    <w:p>
      <w:pPr>
        <w:spacing w:after="0" w:line="229"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benefit of $0.2 million in relation to a pretax loss of $11.6 million for the three months ended March 31, 2025. The effective tax rate for the three months ended March 31, 2025 was primarily impacted by the following items: (i) the mix of income generated among the jurisdictions in which the Company operates,</w:t>
      </w:r>
    </w:p>
    <w:p>
      <w:pPr>
        <w:spacing w:after="0" w:line="2" w:lineRule="exact"/>
        <w:rPr>
          <w:sz w:val="20"/>
          <w:szCs w:val="20"/>
          <w:color w:val="auto"/>
        </w:rPr>
      </w:pPr>
    </w:p>
    <w:p>
      <w:pPr>
        <w:ind w:left="60" w:right="239" w:hanging="10"/>
        <w:spacing w:after="0" w:line="277" w:lineRule="auto"/>
        <w:tabs>
          <w:tab w:leader="none" w:pos="3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expense related to valuation allowances placed on certain deferred tax assets that are not expected to be realizable based on the weight of positive and negative evidence, and (iii) discrete expenses including $0.6 million for interest on prior years uncertain tax positions and $0.5 million in expense associated with shortfalls from share-based compensation.</w:t>
      </w:r>
    </w:p>
    <w:p>
      <w:pPr>
        <w:spacing w:after="0" w:line="20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 AND REDEEMABLE NONCONTROLLING INTERESTS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7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ATN International, Inc. stockholders- Basic</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ATN International, Inc. common stockholders- Basic</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(4,391)</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61"/>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1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or the estimated fair value of the common units.</w:t>
      </w:r>
    </w:p>
    <w:p>
      <w:pPr>
        <w:spacing w:after="0" w:line="21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July 2028.</w:t>
      </w:r>
    </w:p>
    <w:p>
      <w:pPr>
        <w:spacing w:after="0" w:line="19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allocated losses of $3.0 million and $3.6 million, respectively, to the redeemable common units representing their proportionate share of operating losses. The common units are carried at the higher of historical cost or fair value. The Alaska Communications common units were carried at a fair value of zero at both March 31, 2026 and December 31, 2025. The Alloy common units were carried at a fair value of $15.0 million, which was higher than the historical cost of $10.1 million at both March 31, 2026 and December 31, 2025.</w:t>
      </w:r>
    </w:p>
    <w:p>
      <w:pPr>
        <w:spacing w:after="0" w:line="214"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three months ended March 31, 2026 and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9"/>
                <w:szCs w:val="9"/>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980" w:type="dxa"/>
            <w:vAlign w:val="bottom"/>
          </w:tcPr>
          <w:p>
            <w:pPr>
              <w:spacing w:after="0"/>
              <w:rPr>
                <w:sz w:val="24"/>
                <w:szCs w:val="24"/>
                <w:color w:val="auto"/>
              </w:rPr>
            </w:pPr>
          </w:p>
        </w:tc>
        <w:tc>
          <w:tcPr>
            <w:tcW w:w="1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4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9"/>
                <w:szCs w:val="9"/>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7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the Company had the following two reportable and operating segments: (i) International Telecom and (ii) US Telecom.</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its financial data in evaluating the effectiveness of its operations and underlying business trends in a manner that is consistent with management’s evaluation of business performance. The Company’s chief operating decision maker is 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6"/>
                <w:szCs w:val="16"/>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r>
      <w:tr>
        <w:trPr>
          <w:trHeight w:val="210"/>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63,994</w:t>
            </w:r>
          </w:p>
        </w:tc>
      </w:tr>
      <w:tr>
        <w:trPr>
          <w:trHeight w:val="21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112,668</w:t>
            </w:r>
          </w:p>
        </w:tc>
      </w:tr>
      <w:tr>
        <w:trPr>
          <w:trHeight w:val="20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178,458</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09"/>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5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96,058</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182,219</w:t>
            </w:r>
          </w:p>
        </w:tc>
      </w:tr>
      <w:tr>
        <w:trPr>
          <w:trHeight w:val="196"/>
        </w:trPr>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77,426</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56,176</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170,529</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r>
      <w:tr>
        <w:trPr>
          <w:trHeight w:val="216"/>
        </w:trPr>
        <w:tc>
          <w:tcPr>
            <w:tcW w:w="4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6"/>
        </w:trPr>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5"/>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10"/>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47,737</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w:t>
            </w:r>
          </w:p>
        </w:tc>
      </w:tr>
      <w:tr>
        <w:trPr>
          <w:trHeight w:val="21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113,024</w:t>
            </w:r>
          </w:p>
        </w:tc>
      </w:tr>
      <w:tr>
        <w:trPr>
          <w:trHeight w:val="20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174,031</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4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r>
      <w:tr>
        <w:trPr>
          <w:trHeight w:val="197"/>
        </w:trPr>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198"/>
        </w:trPr>
        <w:tc>
          <w:tcPr>
            <w:tcW w:w="4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10"/>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3"/>
        </w:trPr>
        <w:tc>
          <w:tcPr>
            <w:tcW w:w="4360" w:type="dxa"/>
            <w:vAlign w:val="bottom"/>
          </w:tcPr>
          <w:p>
            <w:pPr>
              <w:spacing w:after="0"/>
              <w:rPr>
                <w:sz w:val="20"/>
                <w:szCs w:val="20"/>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20"/>
                <w:szCs w:val="20"/>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9"/>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bl>
    <w:p>
      <w:pPr>
        <w:spacing w:after="0" w:line="198" w:lineRule="exact"/>
        <w:rPr>
          <w:sz w:val="20"/>
          <w:szCs w:val="20"/>
          <w:color w:val="auto"/>
        </w:rPr>
      </w:pPr>
    </w:p>
    <w:p>
      <w:pPr>
        <w:ind w:left="1040" w:right="39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March 31, 2026 and December 31, 2025 consists of the following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436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90,904</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123,490</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335,125</w:t>
            </w: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954,823</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707,281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1,674,653</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276,895</w:t>
            </w: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570,160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79,165</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117,154</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327,876</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991,767</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1,673,254</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263,099</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565,167</w:t>
            </w:r>
          </w:p>
        </w:tc>
      </w:tr>
    </w:tbl>
    <w:p>
      <w:pPr>
        <w:spacing w:after="0" w:line="200" w:lineRule="exact"/>
        <w:rPr>
          <w:sz w:val="20"/>
          <w:szCs w:val="20"/>
          <w:color w:val="auto"/>
        </w:rPr>
      </w:pPr>
    </w:p>
    <w:p>
      <w:pPr>
        <w:spacing w:after="0" w:line="241"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spent $34.5 million and $43.3 million, respectively, on capital expenditures relating to its telecommunications networks and business support systems, of which $13.5 million and $22.4 million, respectively, are reimbursable under various government programs. The following notes the Company’s capital expenditures, by operating segment, for these periods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40" w:right="399" w:hanging="315"/>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except for the items discussed below, for which the Company is currently unable to predict the final outcome, the disposition of matters currently pending, individually or in the aggregate, will not have a material adverse effect on the Company’s financial position or results of operations.</w:t>
      </w:r>
    </w:p>
    <w:p>
      <w:pPr>
        <w:spacing w:after="0" w:line="21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Since 2006, the National Frequency Management Unit (now the TA,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requested further clarification on the subject of a revised spectrum fee methodology from the TA.</w:t>
      </w:r>
    </w:p>
    <w:p>
      <w:pPr>
        <w:spacing w:after="0" w:line="224"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OneGY has filed several lawsuits in the High Court of Guyana (the “High Court”)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as of the date of this Report, the Company cannot accurately predict when the consolidated suit will reach a court of final determination.</w:t>
      </w:r>
    </w:p>
    <w:p>
      <w:pPr>
        <w:spacing w:after="0" w:line="21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as of the date of this Report, only one remained pending for determination by the High Court.</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Regulatory Authority of Bermuda (the “RA”) is the primary regulator of the Company’s operations in Bermuda. On August 28, 2025, the RA completed a market review and determined that the Company has significant market power in certain broadband and mobile services. In connection therewith, the RA assessed, and the Company has initiated an appeal of, a series of ex-ante remedies that include wholesale obligations, price caps, and reporting obligations in addition to the ex post competition rules that generally apply. In October 2025, the Company was able to obtain a stay of implementation of these ex-ante remedies pending the Bermuda Supreme Court’s review of its appeal of the RA’s market review determination. The ex-ante remedies are burdensome and, if implemented, will require financial, operational, legal and regulatory resources to be allocated to ensure compliance.</w:t>
      </w:r>
    </w:p>
    <w:p>
      <w:pPr>
        <w:spacing w:after="0" w:line="23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With respect to all of the foregoing unresolved matters, the Company believes that some adverse outcome is probable and has accordingly accrued $17.4 million as of March 31, 2026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(this “MD&amp;A”) is intended to help the reader understand the Company, our operations and our present business environment. This MD&amp;A is provided as a supplement to — and should be read in conjunction with — our MD&amp;A for fiscal year 2025, which can be found in Part II, Item 7 of our Annual Report on Form 10-K for the year ended December 31, 2025.</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the following discussion and analysis of financial condition and results of operations are based upon our Consolidated Financial Statements and should be read in conjunction with these statements and notes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80" w:right="35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strategic focus on rural and remote markets in the US, and internationally, including Bermuda and the Caribbean region.</w:t>
      </w:r>
    </w:p>
    <w:p>
      <w:pPr>
        <w:spacing w:after="0" w:line="202" w:lineRule="exact"/>
        <w:rPr>
          <w:sz w:val="20"/>
          <w:szCs w:val="20"/>
          <w:color w:val="auto"/>
        </w:rPr>
      </w:pPr>
    </w:p>
    <w:p>
      <w:pPr>
        <w:ind w:left="80" w:right="279" w:firstLine="648"/>
        <w:spacing w:after="0" w:line="256" w:lineRule="auto"/>
        <w:rPr>
          <w:sz w:val="20"/>
          <w:szCs w:val="20"/>
          <w:color w:val="auto"/>
        </w:rPr>
      </w:pPr>
      <w:r>
        <w:rPr>
          <w:rFonts w:ascii="Times New Roman" w:cs="Times New Roman" w:eastAsia="Times New Roman" w:hAnsi="Times New Roman"/>
          <w:sz w:val="18"/>
          <w:szCs w:val="18"/>
          <w:color w:val="auto"/>
        </w:rPr>
        <w:t>We have developed significant operational capabilities and resources that enhance the performance of our local market operations. Our operating subsidiaries benefit from this shared expertise, which allows them to deliver improved service quality and achieve greater economies of scale than would typically be possible in the smaller markets we serve. We provide centralized management, technical, financial, regulatory, and marketing support to these operating subsidiaries and typically receive a management fee based on a percentage of their revenues. The intercompany fees are eliminated in our consolidated financial results.</w:t>
      </w:r>
    </w:p>
    <w:p>
      <w:pPr>
        <w:spacing w:after="0" w:line="214" w:lineRule="exact"/>
        <w:rPr>
          <w:sz w:val="20"/>
          <w:szCs w:val="20"/>
          <w:color w:val="auto"/>
        </w:rPr>
      </w:pPr>
    </w:p>
    <w:p>
      <w:pPr>
        <w:ind w:left="80" w:right="219" w:firstLine="648"/>
        <w:spacing w:after="0" w:line="261" w:lineRule="auto"/>
        <w:rPr>
          <w:sz w:val="20"/>
          <w:szCs w:val="20"/>
          <w:color w:val="auto"/>
        </w:rPr>
      </w:pPr>
      <w:r>
        <w:rPr>
          <w:rFonts w:ascii="Times New Roman" w:cs="Times New Roman" w:eastAsia="Times New Roman" w:hAnsi="Times New Roman"/>
          <w:sz w:val="18"/>
          <w:szCs w:val="18"/>
          <w:color w:val="auto"/>
        </w:rPr>
        <w:t>We use the cash generated from our operations to repay debt and increase liquidity, reinvest our network and service operations, fund capital expenditures, return value to stockholders through dividends or share repurchases, and to pursue strategic transactions. We continuously evaluate both domestic and international opportunities that align with our long-term goal of generating sustained excess operating cash flows.</w:t>
      </w:r>
    </w:p>
    <w:p>
      <w:pPr>
        <w:spacing w:after="0" w:line="220" w:lineRule="exact"/>
        <w:rPr>
          <w:sz w:val="20"/>
          <w:szCs w:val="20"/>
          <w:color w:val="auto"/>
        </w:rPr>
      </w:pPr>
    </w:p>
    <w:p>
      <w:pPr>
        <w:ind w:left="80" w:right="65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reportable segments and geographic distribution of revenues and assets, please refer to Notes 1 and 13 of the Consolidated Financial Statements included in this Report.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we offered the following services to our customers:</w:t>
      </w:r>
    </w:p>
    <w:p>
      <w:pPr>
        <w:spacing w:after="0" w:line="221" w:lineRule="exact"/>
        <w:rPr>
          <w:sz w:val="20"/>
          <w:szCs w:val="20"/>
          <w:color w:val="auto"/>
        </w:rPr>
      </w:pPr>
    </w:p>
    <w:p>
      <w:pPr>
        <w:ind w:left="1240" w:right="159" w:hanging="326"/>
        <w:spacing w:after="0" w:line="291"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Fixed Services</w:t>
      </w:r>
      <w:r>
        <w:rPr>
          <w:rFonts w:ascii="Times New Roman" w:cs="Times New Roman" w:eastAsia="Times New Roman" w:hAnsi="Times New Roman"/>
          <w:sz w:val="17"/>
          <w:szCs w:val="17"/>
          <w:color w:val="auto"/>
        </w:rPr>
        <w:t>. We provide fixed data and voice telecommunications services to business and consumer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customers, including high-speed broadband and enterprise data solutions. In select markets, fixed services also include video offerings and revenue derived from support under certain government programs.</w:t>
      </w:r>
    </w:p>
    <w:p>
      <w:pPr>
        <w:spacing w:after="0" w:line="152" w:lineRule="exact"/>
        <w:rPr>
          <w:rFonts w:ascii="Times New Roman" w:cs="Times New Roman" w:eastAsia="Times New Roman" w:hAnsi="Times New Roman"/>
          <w:sz w:val="17"/>
          <w:szCs w:val="17"/>
          <w:color w:val="auto"/>
        </w:rPr>
      </w:pPr>
    </w:p>
    <w:p>
      <w:pPr>
        <w:jc w:val="both"/>
        <w:ind w:left="1240" w:right="339" w:hanging="326"/>
        <w:spacing w:after="0" w:line="26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Services</w:t>
      </w:r>
      <w:r>
        <w:rPr>
          <w:rFonts w:ascii="Times New Roman" w:cs="Times New Roman" w:eastAsia="Times New Roman" w:hAnsi="Times New Roman"/>
          <w:sz w:val="18"/>
          <w:szCs w:val="18"/>
          <w:color w:val="auto"/>
        </w:rPr>
        <w:t>. We offer infrastructure services to other telecommunications providers,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leasing of critical network infrastructure such as towers and transport facilities, wholesale roaming, site maintenance and international long-distance services.</w:t>
      </w:r>
    </w:p>
    <w:p>
      <w:pPr>
        <w:spacing w:after="0" w:line="170" w:lineRule="exact"/>
        <w:rPr>
          <w:rFonts w:ascii="Times New Roman" w:cs="Times New Roman" w:eastAsia="Times New Roman" w:hAnsi="Times New Roman"/>
          <w:sz w:val="18"/>
          <w:szCs w:val="18"/>
          <w:color w:val="auto"/>
        </w:rPr>
      </w:pPr>
    </w:p>
    <w:p>
      <w:pPr>
        <w:ind w:left="1240" w:right="139" w:hanging="326"/>
        <w:spacing w:after="0" w:line="26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Mobility Services</w:t>
      </w:r>
      <w:r>
        <w:rPr>
          <w:rFonts w:ascii="Times New Roman" w:cs="Times New Roman" w:eastAsia="Times New Roman" w:hAnsi="Times New Roman"/>
          <w:sz w:val="18"/>
          <w:szCs w:val="18"/>
          <w:color w:val="auto"/>
        </w:rPr>
        <w:t>. We offer mobile communications services over our wireless networks, including voice,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messaging and data services along with related equipment, such as handsets, to both business and consumer customers.</w:t>
      </w:r>
    </w:p>
    <w:p>
      <w:pPr>
        <w:spacing w:after="0" w:line="170" w:lineRule="exact"/>
        <w:rPr>
          <w:rFonts w:ascii="Times New Roman" w:cs="Times New Roman" w:eastAsia="Times New Roman" w:hAnsi="Times New Roman"/>
          <w:sz w:val="18"/>
          <w:szCs w:val="18"/>
          <w:color w:val="auto"/>
        </w:rPr>
      </w:pPr>
    </w:p>
    <w:p>
      <w:pPr>
        <w:ind w:left="1240" w:right="339" w:hanging="326"/>
        <w:spacing w:after="0" w:line="26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deliver information technology solutions, including network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support and infrastructure services to complement our fixed telecommunications services in our existing markets for the purpose of supporting both enterprise and residential users.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we identified two operating segments to manage and review our operations, as well as to support investor presentations of our results. These operating segments are as follows:</w:t>
      </w:r>
    </w:p>
    <w:p>
      <w:pPr>
        <w:spacing w:after="0" w:line="158" w:lineRule="exact"/>
        <w:rPr>
          <w:sz w:val="20"/>
          <w:szCs w:val="20"/>
          <w:color w:val="auto"/>
        </w:rPr>
      </w:pPr>
    </w:p>
    <w:p>
      <w:pPr>
        <w:ind w:left="1240" w:right="159" w:hanging="326"/>
        <w:spacing w:after="0" w:line="28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carrier, mobility and managed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customers in Bermuda, the Cayman Islands, Guyana and the US Virgin Islands.</w:t>
      </w:r>
    </w:p>
    <w:p>
      <w:pPr>
        <w:spacing w:after="0" w:line="154" w:lineRule="exact"/>
        <w:rPr>
          <w:rFonts w:ascii="Times New Roman" w:cs="Times New Roman" w:eastAsia="Times New Roman" w:hAnsi="Times New Roman"/>
          <w:sz w:val="18"/>
          <w:szCs w:val="18"/>
          <w:color w:val="auto"/>
        </w:rPr>
      </w:pPr>
    </w:p>
    <w:p>
      <w:pPr>
        <w:ind w:left="1240" w:right="79" w:hanging="326"/>
        <w:spacing w:after="0" w:line="28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we offer fixed, carrier, and managed services to customers in Alaska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 US.</w:t>
      </w:r>
    </w:p>
    <w:p>
      <w:pPr>
        <w:spacing w:after="0" w:line="15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as of and for the three months ended March 31, 2026:</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257"/>
        </w:trPr>
        <w:tc>
          <w:tcPr>
            <w:tcW w:w="17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90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Times New Roman" w:cs="Times New Roman" w:eastAsia="Times New Roman" w:hAnsi="Times New Roman"/>
                <w:sz w:val="21"/>
                <w:szCs w:val="21"/>
                <w:b w:val="1"/>
                <w:bCs w:val="1"/>
                <w:color w:val="auto"/>
              </w:rPr>
              <w:t>International Telecom</w:t>
            </w:r>
          </w:p>
        </w:tc>
        <w:tc>
          <w:tcPr>
            <w:tcW w:w="102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US Telecom</w:t>
            </w:r>
          </w:p>
        </w:tc>
      </w:tr>
      <w:tr>
        <w:trPr>
          <w:trHeight w:val="142"/>
        </w:trPr>
        <w:tc>
          <w:tcPr>
            <w:tcW w:w="1760" w:type="dxa"/>
            <w:vAlign w:val="bottom"/>
            <w:tcBorders>
              <w:left w:val="single" w:sz="8" w:color="auto"/>
              <w:bottom w:val="single" w:sz="8" w:color="auto"/>
              <w:right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40" w:type="dxa"/>
            <w:vAlign w:val="bottom"/>
            <w:tcBorders>
              <w:bottom w:val="single" w:sz="8" w:color="auto"/>
              <w:right w:val="single" w:sz="8" w:color="auto"/>
            </w:tcBorders>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60" w:type="dxa"/>
            <w:vAlign w:val="bottom"/>
            <w:tcBorders>
              <w:bottom w:val="single" w:sz="8" w:color="auto"/>
              <w:right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02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4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76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Mobility Services</w:t>
            </w:r>
          </w:p>
        </w:tc>
        <w:tc>
          <w:tcPr>
            <w:tcW w:w="20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 US</w:t>
            </w:r>
          </w:p>
        </w:tc>
        <w:tc>
          <w:tcPr>
            <w:tcW w:w="18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460" w:type="dxa"/>
            <w:vAlign w:val="bottom"/>
            <w:tcBorders>
              <w:right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US (rural markets)</w:t>
            </w:r>
          </w:p>
        </w:tc>
        <w:tc>
          <w:tcPr>
            <w:tcW w:w="1800" w:type="dxa"/>
            <w:vAlign w:val="bottom"/>
            <w:tcBorders>
              <w:right w:val="single" w:sz="8" w:color="auto"/>
            </w:tcBorders>
            <w:shd w:val="clear" w:color="auto" w:fill="CCEEFF"/>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Brava</w:t>
            </w:r>
          </w:p>
        </w:tc>
        <w:tc>
          <w:tcPr>
            <w:tcW w:w="10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191"/>
        </w:trPr>
        <w:tc>
          <w:tcPr>
            <w:tcW w:w="17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Fixed Services</w:t>
            </w:r>
          </w:p>
        </w:tc>
        <w:tc>
          <w:tcPr>
            <w:tcW w:w="20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Bermuda, Cayman Islands,</w:t>
            </w:r>
          </w:p>
        </w:tc>
        <w:tc>
          <w:tcPr>
            <w:tcW w:w="1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Guyana, US Virgin Islands</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NTUA Wireless, Sacred</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Wind Communications,</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Ethos Broadband,</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Deploycom</w:t>
            </w:r>
          </w:p>
        </w:tc>
      </w:tr>
      <w:tr>
        <w:trPr>
          <w:trHeight w:val="191"/>
        </w:trPr>
        <w:tc>
          <w:tcPr>
            <w:tcW w:w="176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Carrier Services</w:t>
            </w:r>
          </w:p>
        </w:tc>
        <w:tc>
          <w:tcPr>
            <w:tcW w:w="20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 US</w:t>
            </w:r>
          </w:p>
        </w:tc>
        <w:tc>
          <w:tcPr>
            <w:tcW w:w="186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right w:val="single" w:sz="8" w:color="auto"/>
            </w:tcBorders>
            <w:shd w:val="clear" w:color="auto" w:fill="CCEEFF"/>
          </w:tcPr>
          <w:p>
            <w:pPr>
              <w:spacing w:after="0"/>
              <w:rPr>
                <w:sz w:val="16"/>
                <w:szCs w:val="16"/>
                <w:color w:val="auto"/>
              </w:rPr>
            </w:pPr>
          </w:p>
        </w:tc>
        <w:tc>
          <w:tcPr>
            <w:tcW w:w="180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 Islands, Cayman</w:t>
            </w:r>
          </w:p>
        </w:tc>
        <w:tc>
          <w:tcPr>
            <w:tcW w:w="18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Essextel, Logic, Brava</w:t>
            </w:r>
          </w:p>
        </w:tc>
        <w:tc>
          <w:tcPr>
            <w:tcW w:w="10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16"/>
        </w:trPr>
        <w:tc>
          <w:tcPr>
            <w:tcW w:w="1760" w:type="dxa"/>
            <w:vAlign w:val="bottom"/>
            <w:tcBorders>
              <w:left w:val="single" w:sz="8" w:color="auto"/>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Islands</w:t>
            </w:r>
          </w:p>
        </w:tc>
        <w:tc>
          <w:tcPr>
            <w:tcW w:w="1860" w:type="dxa"/>
            <w:vAlign w:val="bottom"/>
            <w:tcBorders>
              <w:right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7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040" w:type="dxa"/>
            <w:vAlign w:val="bottom"/>
            <w:tcBorders>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1"/>
        </w:trPr>
        <w:tc>
          <w:tcPr>
            <w:tcW w:w="17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Managed Services</w:t>
            </w:r>
          </w:p>
        </w:tc>
        <w:tc>
          <w:tcPr>
            <w:tcW w:w="20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Bermuda, Cayman Islands,</w:t>
            </w:r>
          </w:p>
        </w:tc>
        <w:tc>
          <w:tcPr>
            <w:tcW w:w="1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One Communications,</w:t>
            </w: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Virgin Islands, Guyana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Commnet</w:t>
            </w:r>
          </w:p>
        </w:tc>
      </w:tr>
    </w:tbl>
    <w:p>
      <w:pPr>
        <w:spacing w:after="0" w:line="90" w:lineRule="exact"/>
        <w:rPr>
          <w:sz w:val="20"/>
          <w:szCs w:val="20"/>
          <w:color w:val="auto"/>
        </w:rPr>
      </w:pPr>
    </w:p>
    <w:p>
      <w:pPr>
        <w:ind w:left="720" w:right="19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continued to unify branding across our networks, and we now sell Fixed and Mobility Services under the “One Communications” brand in Bermuda, Guyana and the US Virgin Islands. We refer to our business in Guyana as “OneGY” and we refer to our business in the US Virgin Islands as “OneVI” throughout this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Tower Portfolio Transaction</w:t>
      </w:r>
    </w:p>
    <w:p>
      <w:pPr>
        <w:spacing w:after="0" w:line="27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February 11, 2026, through certain Commnet subsidiaries, we entered into a Purchase and Sale Agreement (the “Transaction Agreement”) with EIP Holdings IV, LLC, an affiliate of Everest Infrastructure Partners, Inc. (“Everest”), to sell approximately 214 tower portfolio sites (representing the substantial majority of our Commnet tower portfolio and operations (the “Tower Portfolio”) to Everest for up to $297 million in cash consideration, subject to certain adjustments and prorations (the “Tower Portfolio Transaction”).</w:t>
      </w:r>
    </w:p>
    <w:p>
      <w:pPr>
        <w:spacing w:after="0" w:line="224"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The Tower Portfolio Transaction may be completed in one or more closings. The Transaction Agreement sets forth certain conditions that must be satisfied prior to the conveyance of tower sites at a closing. During the period between signing and the initial closing, the parties will determine which tower sites within the Tower Portfolio have satisfied such conditions and are ready to be conveyed at the initial closing, which sites have not yet satisfied all such conditions but for which Everest is prepared to assume management pending satisfaction of such conditions, and which sites are not yet constructed or are subject to other conditions that will continue to be managed by us until such conditions are satisfied.</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the initial closing, we will enter into, among other ancillary agreements, (i) a management agreement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certain sites, (ii) master lease agreements, pursuant to which we will lease the requisite ground, tower, or other space of the conveyed tower site for our continued use, and (iii) a preferred backhaul agreement whereby we will become the preferred backhaul provider with respect to the conveyed tower sites.</w:t>
      </w:r>
    </w:p>
    <w:p>
      <w:pPr>
        <w:spacing w:after="0" w:line="216"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warranties, covenants, and indemnities by each of the parties, and requires the receipt of certain consents and approvals prior to a closing. The waiting period required under the Hart-Scott Rodino Act of 1976 with respect to the Tower Portfolio Transaction expired in early March 2026. If the Transaction Agreement is terminated under certain circumstances that are not our fault, we will receive a termination fee equal to approximately $14.9 million.</w:t>
      </w:r>
    </w:p>
    <w:p>
      <w:pPr>
        <w:spacing w:after="0" w:line="224"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We continue to expect the initial closing of the Tower Portfolio Transaction to occur in the second quarter of 2026 generating gross proceeds of approximately $250 million to $270 million. Subsequent closings, totaling approximately $27 million to $47 million, are anticipated to occur over the twelve months following the initial closing, subject to the achievement of specified construction and operational milestones at designated sites within the Tower Portfolio.</w:t>
      </w:r>
    </w:p>
    <w:p>
      <w:pPr>
        <w:spacing w:after="0" w:line="191"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We now currently anticipate that approximately 45-55% of the amount of proceeds to be received at the initial closing will be subject to post-closing resolution, due to delays in obtaining ground lease assigning consents from government and tribal agencies, as well as other conditions being satisfied with respect to such sites.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with respect to our federal contributions and our receipts of universal service funding. To our knowledge, as of the date of this Report, we were in compliance with, in all material respects, applicable federal and state USF assessment and support requirements.</w:t>
      </w:r>
    </w:p>
    <w:p>
      <w:pPr>
        <w:spacing w:after="0" w:line="187"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USF High-Cost Support. </w:t>
      </w:r>
      <w:r>
        <w:rPr>
          <w:rFonts w:ascii="Times New Roman" w:cs="Times New Roman" w:eastAsia="Times New Roman" w:hAnsi="Times New Roman"/>
          <w:sz w:val="18"/>
          <w:szCs w:val="18"/>
          <w:color w:val="auto"/>
        </w:rPr>
        <w:t>The Federal Communications Commission’s (“FCC”) high-cost USF (or alternatives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p>
      <w:pPr>
        <w:spacing w:after="0" w:line="76" w:lineRule="exact"/>
        <w:rPr>
          <w:sz w:val="20"/>
          <w:szCs w:val="20"/>
          <w:color w:val="auto"/>
        </w:rPr>
      </w:pPr>
    </w:p>
    <w:p>
      <w:pPr>
        <w:ind w:left="1040" w:right="13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federal USF support under the Alaska Connect Fund (“ACF”). Beginning January 1, 2025, we began receiving $25.6 million per year and expect such annual funding to continue until December 31, 2028. Beginning in 2029 and continuing through 2034, the amount of ACF support we receive will be determined by the FCC staff taking into consideration broadband deployment funded through the Broadband Equity Access and Deployment Program;</w:t>
      </w:r>
    </w:p>
    <w:p>
      <w:pPr>
        <w:spacing w:after="0" w:line="102"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(“E-ACAM”) funding available to our operations in the western US, we are estimated to receive approximately $9 million annually through 2029 before gradually increasing to $13 million annually in 2038. This funding is subject to a requirement to deploy voice and broadband service at speeds of 100/20 Mbps to all required locations by the end of calendar year 2028;</w:t>
      </w:r>
    </w:p>
    <w:p>
      <w:pPr>
        <w:spacing w:after="0" w:line="102"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receive approximately $8 million per year in CAF II support in the rural southwest US until July 2028;</w:t>
      </w:r>
    </w:p>
    <w:p>
      <w:pPr>
        <w:spacing w:after="0" w:line="80" w:lineRule="exact"/>
        <w:rPr>
          <w:rFonts w:ascii="Times New Roman" w:cs="Times New Roman" w:eastAsia="Times New Roman" w:hAnsi="Times New Roman"/>
          <w:sz w:val="18"/>
          <w:szCs w:val="18"/>
          <w:color w:val="auto"/>
        </w:rPr>
      </w:pPr>
    </w:p>
    <w:p>
      <w:pPr>
        <w:jc w:val="both"/>
        <w:ind w:left="1040" w:right="319" w:hanging="315"/>
        <w:spacing w:after="0" w:line="312" w:lineRule="auto"/>
        <w:tabs>
          <w:tab w:leader="none" w:pos="1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received approximately $5.5 million annually in the US Virgin Islands through December 31, 2025. In September 2025, we requested that the FCC extend such support for at least one additional year. As of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239"/>
        <w:spacing w:after="0" w:line="266" w:lineRule="auto"/>
        <w:rPr>
          <w:sz w:val="20"/>
          <w:szCs w:val="20"/>
          <w:color w:val="auto"/>
        </w:rPr>
      </w:pPr>
      <w:r>
        <w:rPr>
          <w:rFonts w:ascii="Times New Roman" w:cs="Times New Roman" w:eastAsia="Times New Roman" w:hAnsi="Times New Roman"/>
          <w:sz w:val="18"/>
          <w:szCs w:val="18"/>
          <w:color w:val="auto"/>
        </w:rPr>
        <w:t>date of this Report, the FCC had not yet acted on this request and, as a result, the Company is currently not receiving this support. If the FCC grants our request, it may or may not extend our support on a retroactive basis from December 31, 2025; and</w:t>
      </w:r>
    </w:p>
    <w:p>
      <w:pPr>
        <w:spacing w:after="0" w:line="108"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state USF support in Alaska of approximately $2.5 million annually.</w:t>
      </w:r>
    </w:p>
    <w:p>
      <w:pPr>
        <w:spacing w:after="0" w:line="26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were in compliance in all material respects with requirements associated with such funding. If we fail to meet these obligations or require substantial additional capital expenditures to meet the obligations in a timely manner, our revenue, results of operations and liquidity may be materially adversely impacted.</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Once these projects are constructed, we are obligated to provide service to the participants. We expect to meet all requirements associated with these grants. As of March 31, 2026, we were awarded $100.9 million of construction grants that are pending completion.</w:t>
      </w:r>
    </w:p>
    <w:p>
      <w:pPr>
        <w:spacing w:after="0" w:line="183"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disbursed capital expenditures of $5.1 million under these programs and received reimbursement of $5.1 million. These cash flows are classified as investing activities in our statement of cash flows.</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We were identified as a sub recipient of grants under these programs totaling $239 million as of March 31, 2026. Through March 31, 2026, we received $37.7 million of funding under these programs and spent $40.4 million on construction obligations. These amounts are recorded as operating cash flows in the Company’s statement of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July 2022, we were approved to participate in the FCC’s Secure and Trusted Communications Network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recently extended through early November 2026.</w:t>
      </w:r>
    </w:p>
    <w:p>
      <w:pPr>
        <w:spacing w:after="0" w:line="194"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incurred total expenditures of $233.1 million related to this project, of which $8.4 million were incurred in 2026. Of these total expenditures, $192.2 million was classified as capital.</w:t>
      </w:r>
    </w:p>
    <w:p>
      <w:pPr>
        <w:spacing w:after="0" w:line="20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$14.5 million of capital expenditures was accrued and unpaid under the Replace and Remove Program. During the three months ended March 31, 2026, we received $9.3 million of reimbursement under the program, of which $1.1 million was classified as operating cash inflows and $8.2 million was classified as investing cash inflows in our statement of cash flows. During the three months ended March 31, 2026, we determined that reimbursement was not probable for $9.0 million of capital expenditures incurred under the Replace and Remove Program. As a result, we transferred $7.0 million to assets held for sale and the remaining $2.0 million to fixed assets. Except for this $9.0 million, the Company expects to be reimbursed, within the next twelve months, for all amounts spent.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7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the Company had the following two reportable and operating segments: (i) International Telecom and (ii) US Telecom.</w:t>
      </w:r>
    </w:p>
    <w:p>
      <w:pPr>
        <w:spacing w:after="0" w:line="20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March 31,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6"/>
                <w:szCs w:val="16"/>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r>
      <w:tr>
        <w:trPr>
          <w:trHeight w:val="210"/>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63,994</w:t>
            </w:r>
          </w:p>
        </w:tc>
      </w:tr>
      <w:tr>
        <w:trPr>
          <w:trHeight w:val="21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112,668</w:t>
            </w:r>
          </w:p>
        </w:tc>
      </w:tr>
      <w:tr>
        <w:trPr>
          <w:trHeight w:val="20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178,458</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5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96,058</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182,219</w:t>
            </w:r>
          </w:p>
        </w:tc>
      </w:tr>
      <w:tr>
        <w:trPr>
          <w:trHeight w:val="196"/>
        </w:trPr>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77,426</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56,176</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170,529</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r>
      <w:tr>
        <w:trPr>
          <w:trHeight w:val="216"/>
        </w:trPr>
        <w:tc>
          <w:tcPr>
            <w:tcW w:w="4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6"/>
        </w:trPr>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bl>
    <w:p>
      <w:pPr>
        <w:spacing w:after="0" w:line="198" w:lineRule="exact"/>
        <w:rPr>
          <w:sz w:val="20"/>
          <w:szCs w:val="20"/>
          <w:color w:val="auto"/>
        </w:rPr>
      </w:pPr>
    </w:p>
    <w:p>
      <w:pPr>
        <w:ind w:left="1040" w:right="3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09"/>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47,737</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w:t>
            </w:r>
          </w:p>
        </w:tc>
      </w:tr>
      <w:tr>
        <w:trPr>
          <w:trHeight w:val="20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113,024</w:t>
            </w:r>
          </w:p>
        </w:tc>
      </w:tr>
      <w:tr>
        <w:trPr>
          <w:trHeight w:val="20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10"/>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174,031</w:t>
            </w:r>
          </w:p>
        </w:tc>
      </w:tr>
      <w:tr>
        <w:trPr>
          <w:trHeight w:val="20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9"/>
        </w:trPr>
        <w:tc>
          <w:tcPr>
            <w:tcW w:w="4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5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r>
      <w:tr>
        <w:trPr>
          <w:trHeight w:val="196"/>
        </w:trPr>
        <w:tc>
          <w:tcPr>
            <w:tcW w:w="4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198"/>
        </w:trPr>
        <w:tc>
          <w:tcPr>
            <w:tcW w:w="4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0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8"/>
                <w:szCs w:val="18"/>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bl>
    <w:p>
      <w:pPr>
        <w:spacing w:after="0" w:line="198" w:lineRule="exact"/>
        <w:rPr>
          <w:sz w:val="20"/>
          <w:szCs w:val="20"/>
          <w:color w:val="auto"/>
        </w:rPr>
      </w:pPr>
    </w:p>
    <w:p>
      <w:pPr>
        <w:ind w:left="980" w:right="499" w:hanging="282"/>
        <w:spacing w:after="0" w:line="282" w:lineRule="auto"/>
        <w:tabs>
          <w:tab w:leader="none" w:pos="9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March 31, 2026 and 2025 is as follows:</w:t>
      </w:r>
    </w:p>
    <w:p>
      <w:pPr>
        <w:spacing w:after="0" w:line="223"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$1.6 million, or 1.7%,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$96.1 million from $94.5 million for the three months ended March 31, 2026 and 2025, respectively, primarily due to an increase in revenues from ancillary services, increases in Mobility Services revenues as a result of an increase in subscribers and increases in Carrier Services revenue as a result of increased roaming. These increases were partially offset by a reduction in revenue received from the FCC’s High-Cost Support Program in the US Virgin Islands, which was terminated on December 31, 2025.</w:t>
      </w:r>
    </w:p>
    <w:p>
      <w:pPr>
        <w:spacing w:after="0" w:line="18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decreased by $2.9 million, or 3.6%, to $76.8 million from $79.7 million for the three months ended March 31, 2026 and 2025, respectively. The net decrease was primarily the result of certain cost savings initiatives, including reorganizations and reductions in force, that were implemented in the current and previous periods as well as a decrease in depreciation and amortization expenses as a result of a reduction in capital expenditures in recent periods.</w:t>
      </w:r>
    </w:p>
    <w:p>
      <w:pPr>
        <w:spacing w:after="0" w:line="183"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increased $4.4 million, or 29.7%, to $19.2 million from $14.8 million for the three months ended March 31, 2026 and 2025, respectively.</w:t>
      </w:r>
    </w:p>
    <w:p>
      <w:pPr>
        <w:spacing w:after="0" w:line="16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increased by $1.4 million, or 1.7%, to $86.2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$84.8 million for the three months ended March 31, 2026 and 2025, respectively, primarily as a result of a $2.7 million increase in Carrier Services revenue due to the transition of legacy roaming arrangements to carrier service management contracts. Partially offsetting this increase was a decline in the construction revenue of $1.0 million as a result of a decrease in the number of sites completed in 2026 as compared to 2025.</w:t>
      </w:r>
    </w:p>
    <w:p>
      <w:pPr>
        <w:spacing w:after="0" w:line="18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US Telecom segment decreased $2.8 million, or 3.2%, to $84.4 million from $87.2 million for the three months ended March 31, 2026 and 2025, respectively, as a result of the impact of certain cost savings initiatives, including the reorganizations and reductions in force, that were implemented in the current and previous periods.</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increased to income of $1.7 million from a loss of $2.4 million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March 31, 2026 and 2025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178,458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174,031</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182,219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 on disposition of long-lived assets, transfers and contingent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170,529</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ATN</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3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3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Services Revenue. </w:t>
      </w:r>
      <w:r>
        <w:rPr>
          <w:rFonts w:ascii="Times New Roman" w:cs="Times New Roman" w:eastAsia="Times New Roman" w:hAnsi="Times New Roman"/>
          <w:sz w:val="18"/>
          <w:szCs w:val="18"/>
          <w:color w:val="auto"/>
        </w:rPr>
        <w:t>Our Mobility Services revenue consists of revenue generated within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Telecom segment by providing business and retail mobile voice and data services over our wireless networks, as well as through the sale and repair services of related equipment, such as handsets and other accessories, to our subscribers.</w:t>
      </w:r>
    </w:p>
    <w:p>
      <w:pPr>
        <w:spacing w:after="0" w:line="221"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Mobility Services revenue increased by $0.3 million, or 1.1%, to $26.4 million for the three months ended March 31, 2026 from $26.1 million for the three months ended March 31, 2025 as result of an increase in subscribers.</w:t>
      </w:r>
    </w:p>
    <w:p>
      <w:pPr>
        <w:spacing w:after="0" w:line="189"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Mobility Services revenue within our International Telecom may continue to increase as a result of our continued network upgrades, marketing efforts and conversion of our current subscriber base to higher margin prepaid and postpaid plans. Such increases may, however, be negatively impacted by increased competition and regulatory changes.</w:t>
      </w:r>
    </w:p>
    <w:p>
      <w:pPr>
        <w:spacing w:after="0" w:line="194"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Fixed Services Revenue. </w:t>
      </w:r>
      <w:r>
        <w:rPr>
          <w:rFonts w:ascii="Times New Roman" w:cs="Times New Roman" w:eastAsia="Times New Roman" w:hAnsi="Times New Roman"/>
          <w:sz w:val="18"/>
          <w:szCs w:val="18"/>
          <w:color w:val="auto"/>
        </w:rPr>
        <w:t>Fixed Services revenue is primarily generated by broadband, voice, and video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provided to retail and business customers over our wireline networks. Fixed Services revenue within our US Telecom segment also includes awards from the CAF II program, the E-ACAM program, and the Alaska USF. Within our International Telecom segment, Fixed Services revenue includes funding, through December 31, 2025, under the FCC’s High-Cost Program in the US Virgin Islands.</w:t>
      </w:r>
    </w:p>
    <w:p>
      <w:pPr>
        <w:spacing w:after="0" w:line="224"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Fixed Services revenue decreased by $0.3 million, or 0.3%, to $112.7 million from $113.0 million for the three months ended March 31, 2026 and 2025, respectively. This decrease primarily pertained to a decrease in Fixed Services revenue from business customers and consisted of the following:</w:t>
      </w:r>
    </w:p>
    <w:p>
      <w:pPr>
        <w:spacing w:after="0" w:line="201" w:lineRule="exact"/>
        <w:rPr>
          <w:sz w:val="20"/>
          <w:szCs w:val="20"/>
          <w:color w:val="auto"/>
        </w:rPr>
      </w:pPr>
    </w:p>
    <w:p>
      <w:pPr>
        <w:ind w:left="1040" w:right="99" w:hanging="315"/>
        <w:spacing w:after="0" w:line="25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Services revenue decreased by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1.3%, to $60.6 million from $61.4 million for the three months ended March 31, 2026 and 2025, respectively. This decrease was primarily a result of the FCC’s High-Cost Support Program in the US Virgin Islands being terminated on December 31, 2025. This decrease was partially offset by an increase in subscribers.</w:t>
      </w:r>
    </w:p>
    <w:p>
      <w:pPr>
        <w:spacing w:after="0" w:line="183"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Services revenue within our US Telecom segment increased by $0.4 million, or 0.8%,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$52.1 million from $51.7 million for the three months ended March 31, 2026 and 2025, respectively. This increase was primarily the result of increased revenue from the FCC’s High-Cost Program support in the southwest US.</w:t>
      </w:r>
    </w:p>
    <w:p>
      <w:pPr>
        <w:spacing w:after="0" w:line="22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Fixed Services revenue within our International Telecom segment may continue to increase as we expect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legacy services due to subscribers using alternative methods to receive video and audio content.</w:t>
      </w:r>
    </w:p>
    <w:p>
      <w:pPr>
        <w:spacing w:after="0" w:line="224"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Within our US Telecom segment, we expect Fixed Services revenue to increase moderately as a result of an increase in government grants and our deployment of fiber and fiber-fed broadband access to both consumers and businesses.</w:t>
      </w:r>
    </w:p>
    <w:p>
      <w:pPr>
        <w:spacing w:after="0" w:line="199" w:lineRule="exact"/>
        <w:rPr>
          <w:sz w:val="20"/>
          <w:szCs w:val="20"/>
          <w:color w:val="auto"/>
        </w:rPr>
      </w:pPr>
    </w:p>
    <w:p>
      <w:pPr>
        <w:ind w:left="60" w:right="23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Network Build and Maintenance Agreement with AT&amp;T Mobility, LLC (“AT&amp;T”) that we subsequently amended in May 2026 (the “FirstNet Agreement”) and Carrier Managed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Services Master Agreement that we subsequently amended in May 2026 (the “Verizon CMS Agreement”) with Cellco Partnership d/b/a Verizon Wireless (“Verizon”), wholesale roaming revenues, the provision of network switching services, tower lease revenue and other services provided to other carriers.</w:t>
      </w:r>
    </w:p>
    <w:p>
      <w:pPr>
        <w:spacing w:after="0" w:line="216"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Carrier Services revenue increased by $3.0 million, or 9.1%, to $36.1 million from $33.1 million for the three months ended March 31, 2026 and 2025, respectively. The increase within our segments consisted of the following:</w:t>
      </w:r>
    </w:p>
    <w:p>
      <w:pPr>
        <w:spacing w:after="0" w:line="178" w:lineRule="exact"/>
        <w:rPr>
          <w:sz w:val="20"/>
          <w:szCs w:val="20"/>
          <w:color w:val="auto"/>
        </w:rPr>
      </w:pPr>
    </w:p>
    <w:p>
      <w:pPr>
        <w:ind w:left="1040" w:right="3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 million, or 7.7%, to $4.2 million, from $3.9 million for the three months ended March 31, 2026 and 2025, respectively, primarily as a result of an increase in roaming revenues in some of our international markets.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increased by $2.7 million, or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$31.9 million from $29.2 million, for the three months ended March 31, 2026 and 2025, respectively. This increase was primarily the result of the transition of legacy roaming arrangements to carrier service management contracts.</w:t>
      </w:r>
    </w:p>
    <w:p>
      <w:pPr>
        <w:spacing w:after="0" w:line="20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Within our International Telecom segment, Carrier Services revenue may continue to increase if international travel in our market grows.</w:t>
      </w:r>
    </w:p>
    <w:p>
      <w:pPr>
        <w:spacing w:after="0" w:line="202"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is expected to decline upon the completion of the Tower Portfolio Transaction.</w:t>
      </w:r>
    </w:p>
    <w:p>
      <w:pPr>
        <w:spacing w:after="0" w:line="198" w:lineRule="exact"/>
        <w:rPr>
          <w:sz w:val="20"/>
          <w:szCs w:val="20"/>
          <w:color w:val="auto"/>
        </w:rPr>
      </w:pPr>
    </w:p>
    <w:p>
      <w:pPr>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project-related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within both our International and US Telecom segments and ancillary services that the operations within our International Telecom segment provide to its retail subscribers. Other Communications Services revenue increased $1.5 million, or 83.3%, to $3.3 million from $1.8 million for the three months ended March 31, 2026 and 2025, respectively, as a result of an increase in revenue from ancillary services in our International Telecom segment.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Communication Services revenue may increase in future periods as the demand for ancillary services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As of December 31, 2025, we had substantially completed the build of AT&amp;T’s network under the FirstNet Agreement. As a result, we did not record any construction revenue during the three months ended March 31, 2026. During the three months ended March 31, 2025, we recorded construction revenue of $1.0 million.</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66"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w:t>
      </w:r>
    </w:p>
    <w:p>
      <w:pPr>
        <w:spacing w:after="0" w:line="19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decreased by $0.4 million, or 9.5%, to $3.8 million from $4.2 million for the three months ended March 31, 2026 and 2025, respectively. The net decrease consisted of a decrease within our US Telecom segment that was partially offset by an increase within our International Telcom segment, as detailed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80" w:right="159" w:hanging="331"/>
        <w:spacing w:after="0" w:line="258"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Managed Services revenue in our International Telecom segment increased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21.4%, to $1.7 million from $1.4 million for the three months ended March 31, 2026 and 2025, respectively.</w:t>
      </w:r>
    </w:p>
    <w:p>
      <w:pPr>
        <w:ind w:left="1380" w:right="339" w:hanging="331"/>
        <w:spacing w:after="0" w:line="255"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Managed Services revenue decreased $0.8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28.6%, to $2.0 million from $2.8 million for the three months ended March 31, 2026 and 2025, respectively.</w:t>
      </w:r>
    </w:p>
    <w:p>
      <w:pPr>
        <w:spacing w:after="0" w:line="22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Managed Services revenue may increase in both our US and International Telecom segments as a result of our efforts to sell certain Managed Services solutions to primarily business customers in all of our markets.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decreased by $0.8 million, or 1.0%, to $77.4 million from $78.2 million for the three months ended March 31, 2026 and 2025, respectively. The net decrease in cost of communication services and other, within our segments, consisted of the following:</w:t>
      </w:r>
    </w:p>
    <w:p>
      <w:pPr>
        <w:spacing w:after="0" w:line="214" w:lineRule="exact"/>
        <w:rPr>
          <w:sz w:val="20"/>
          <w:szCs w:val="20"/>
          <w:color w:val="auto"/>
        </w:rPr>
      </w:pPr>
    </w:p>
    <w:p>
      <w:pPr>
        <w:ind w:left="1040" w:right="9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$1.4 million, or 4.0%, to $33.6 million from $35.0 million, for the three months ended March 31, 2026 and 2025, respectively. This decrease was the result of the impact of cost savings initiatives, including reorganizations and reductions in force, that were implemented in the current and previous periods.</w:t>
      </w:r>
    </w:p>
    <w:p>
      <w:pPr>
        <w:spacing w:after="0" w:line="112" w:lineRule="exact"/>
        <w:rPr>
          <w:rFonts w:ascii="Times New Roman" w:cs="Times New Roman" w:eastAsia="Times New Roman" w:hAnsi="Times New Roman"/>
          <w:sz w:val="18"/>
          <w:szCs w:val="18"/>
          <w:color w:val="auto"/>
        </w:rPr>
      </w:pPr>
    </w:p>
    <w:p>
      <w:pPr>
        <w:ind w:left="1040" w:right="21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increased by $0.5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1.2%, to $43.8 million from $43.3 million for the three months ended March 31, 2026 and 2025, respectively. Such increase was the result of increased tower site expenses partially offset by the impact of certain cost savings initiatives, including reorganizations and reductions in force, that were implemented in the current and previous periods.</w:t>
      </w:r>
    </w:p>
    <w:p>
      <w:pPr>
        <w:spacing w:after="0" w:line="21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in our International Telecom segment may decrease as a result of the ongoing cost reduction initiatives that commenced in previous periods, but such decrease may be partially offset by future inflationary pressure.</w:t>
      </w:r>
    </w:p>
    <w:p>
      <w:pPr>
        <w:spacing w:after="0" w:line="21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expect that the cost of communication services, within our US Telecom segment, will increase upon the completion of the Tower Portfolio Transaction and may also increase as a result of future inflationary pressure. However, the impact of our cost reduction initiatives, that commenced in previous periods, may partially offset those increases.</w:t>
      </w:r>
    </w:p>
    <w:p>
      <w:pPr>
        <w:spacing w:after="0" w:line="212" w:lineRule="exact"/>
        <w:rPr>
          <w:sz w:val="20"/>
          <w:szCs w:val="20"/>
          <w:color w:val="auto"/>
        </w:rPr>
      </w:pPr>
    </w:p>
    <w:p>
      <w:pPr>
        <w:ind w:left="60" w:right="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As of December 31, 2025, we had substantially completed the build of AT&amp;T’s network under the FirstNet Agreement. As a result, we did not record any cost of construction revenue during the three months ended March 31, 2026. During the three months ended March 31, 2025, we recorded cost of construction revenue of $1.5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$1.0 million, or 1.8%, to $56.2 million from $55.2 million for the three months ended March 31, 2026 and 2025, respectively. The net increase in selling, general and administrative expenses, within our segments, consisted of the following:</w:t>
      </w:r>
    </w:p>
    <w:p>
      <w:pPr>
        <w:spacing w:after="0" w:line="214" w:lineRule="exact"/>
        <w:rPr>
          <w:sz w:val="20"/>
          <w:szCs w:val="20"/>
          <w:color w:val="auto"/>
        </w:rPr>
      </w:pPr>
    </w:p>
    <w:p>
      <w:pPr>
        <w:ind w:left="1040" w:right="159" w:hanging="315"/>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by $1.0 million, or 3.7%, to $28.1 million from $27.1 million for the three months ended March 31, 2026 and 2025, respectively, as a result of an increase in marketing and personnel costs in certain markets that was partially offset by the impact of certain cost containment initiatives, including the reorganizations and reductions in force, that were implemented in the current and previous periods.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increased within our US Telecom segment by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1.8%, to $22.9 million from $22.5 million, for the three months ended March 31, 2026 and 2025, respectively, as a result of an increase in personnel costs partially offset by the impact of certain cost containment initiatives, including the reorganizations and reductions in force that were implemented in the current and previous periods.</w:t>
      </w:r>
    </w:p>
    <w:p>
      <w:pPr>
        <w:spacing w:after="0" w:line="183" w:lineRule="exact"/>
        <w:rPr>
          <w:rFonts w:ascii="Times New Roman" w:cs="Times New Roman" w:eastAsia="Times New Roman" w:hAnsi="Times New Roman"/>
          <w:sz w:val="18"/>
          <w:szCs w:val="18"/>
          <w:color w:val="auto"/>
        </w:rPr>
      </w:pPr>
    </w:p>
    <w:p>
      <w:pPr>
        <w:jc w:val="both"/>
        <w:ind w:left="1040" w:right="159" w:hanging="315"/>
        <w:spacing w:after="0" w:line="26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$0.4 million, or 7.1%, to $5.2 million from $5.6 million, for the three months ended March 31, 2026 and 2025, respectively, as a result of a decrease in certain professional fees.</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all our segments may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for both the three months ended March 31, 2026 and 2025 was $1.9 million.</w:t>
      </w:r>
    </w:p>
    <w:p>
      <w:pPr>
        <w:spacing w:after="0" w:line="248"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spacing w:after="0" w:line="22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incurred $0.8 million and $1.4 million of transaction-related charges during the three months ended March 31, 2026 and 2025, respectively. Such decrease was the result of the timing of our transaction-related charges.</w:t>
      </w:r>
    </w:p>
    <w:p>
      <w:pPr>
        <w:spacing w:after="0" w:line="198" w:lineRule="exact"/>
        <w:rPr>
          <w:sz w:val="20"/>
          <w:szCs w:val="20"/>
          <w:color w:val="auto"/>
        </w:rPr>
      </w:pPr>
    </w:p>
    <w:p>
      <w:pPr>
        <w:ind w:left="60" w:right="3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and reorganization expenses. </w:t>
      </w:r>
      <w:r>
        <w:rPr>
          <w:rFonts w:ascii="Times New Roman" w:cs="Times New Roman" w:eastAsia="Times New Roman" w:hAnsi="Times New Roman"/>
          <w:sz w:val="18"/>
          <w:szCs w:val="18"/>
          <w:color w:val="auto"/>
        </w:rPr>
        <w:t>In our efforts to advance our cost management actions to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operating efficiencies and margins, we incurred certain restructuring and reorganization expenses, primarily reductions in force, totaling $0.7 million, $0.2 million and $0.8 million within our International Telecom segment, US Telecom segment and Corporate and Other segment, respectively, during the three months ended March 31, 2026.</w:t>
      </w:r>
    </w:p>
    <w:p>
      <w:pPr>
        <w:spacing w:after="0" w:line="207"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incurred restructuring and reorganization expenses of $1.5 million, $0.1 million and $0.2 million within our International Telecom segment, US Telecom segment and Corporate and Other segment, respectively, during the three months ended March 31, 2025.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Increase and decreases in restructuring and reorganization expenses within each segment are a result of the timing and magnitude of our reductions in force.</w:t>
      </w:r>
    </w:p>
    <w:p>
      <w:pPr>
        <w:spacing w:after="0" w:line="198" w:lineRule="exact"/>
        <w:rPr>
          <w:sz w:val="20"/>
          <w:szCs w:val="20"/>
          <w:color w:val="auto"/>
        </w:rPr>
      </w:pPr>
    </w:p>
    <w:p>
      <w:pPr>
        <w:ind w:left="60" w:right="33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decreased by $3.3 million, or 9.6%, to $31.2 million from $34.5 million for the three months ended March 31, 2026 and 2025, respectively. The net decrease in depreciation and amortization expenses, within our segments, consisted primarily of the following:</w:t>
      </w:r>
    </w:p>
    <w:p>
      <w:pPr>
        <w:spacing w:after="0" w:line="201" w:lineRule="exact"/>
        <w:rPr>
          <w:sz w:val="20"/>
          <w:szCs w:val="20"/>
          <w:color w:val="auto"/>
        </w:rPr>
      </w:pPr>
    </w:p>
    <w:p>
      <w:pPr>
        <w:ind w:left="1040" w:right="19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decreased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$1.8 million, or 11.7%, to $13.6 million from $15.4 million, for the three months ended March 31, 2026 and 2025, respectively. The decrease was the result of this segment’s reduction in capital expenditures in recent periods and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99" w:hanging="315"/>
        <w:spacing w:after="0" w:line="25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7.7%, to $16.9 million from $18.3 million, for the three months ended March 31, 2026 and 2025, respectively. The decrease was the result of this segment’s reduction in capital expenditures in recent periods, certain assets becoming fully depreciated in recent periods, and the conclusion of the recording of depreciation expense related to assets that are held for sale in connection with the Tower Portfolio Transaction.</w:t>
      </w:r>
    </w:p>
    <w:p>
      <w:pPr>
        <w:spacing w:after="0" w:line="182" w:lineRule="exact"/>
        <w:rPr>
          <w:rFonts w:ascii="Times New Roman" w:cs="Times New Roman" w:eastAsia="Times New Roman" w:hAnsi="Times New Roman"/>
          <w:sz w:val="18"/>
          <w:szCs w:val="18"/>
          <w:color w:val="auto"/>
        </w:rPr>
      </w:pPr>
    </w:p>
    <w:p>
      <w:pPr>
        <w:ind w:left="1040" w:right="139" w:hanging="315"/>
        <w:spacing w:after="0" w:line="26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decreased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$0.7 million from $0.9 million, for the three months ended March 31, 2026 and 2025, respectively, primarily as a result of additional assets becoming fully depreciated in recent periods.</w:t>
      </w:r>
    </w:p>
    <w:p>
      <w:pPr>
        <w:spacing w:after="0" w:line="21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continue to decrease as a result of an expected decline in capital expenditures and as a result of some of our previously acquired assets becoming fully depreciated.</w:t>
      </w:r>
    </w:p>
    <w:p>
      <w:pPr>
        <w:spacing w:after="0" w:line="198"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86"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$0.7 million to $0.5 million from $1.2 million for the three months ended March 31, 2026 and 2025, respectively, as a result of certain assets being fully amortized in previous periods.</w:t>
      </w:r>
    </w:p>
    <w:p>
      <w:pPr>
        <w:spacing w:after="0" w:line="21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expect that amortization of intangibles from acquisitions will continue to decrease in future periods as such assets continue to amortize.</w:t>
      </w:r>
    </w:p>
    <w:p>
      <w:pPr>
        <w:spacing w:after="0" w:line="198"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Loss on disposition of assets, transfers and contingent consideration</w:t>
      </w:r>
      <w:r>
        <w:rPr>
          <w:rFonts w:ascii="Times New Roman" w:cs="Times New Roman" w:eastAsia="Times New Roman" w:hAnsi="Times New Roman"/>
          <w:sz w:val="18"/>
          <w:szCs w:val="18"/>
          <w:color w:val="auto"/>
        </w:rPr>
        <w:t>. During both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and 2025, we recorded a net loss on the disposition of assets and transfers of $0.8 million. Of this net loss, $0.4 million was recognized within both our International and US Telecom segments for the three-month period ended March 31, 2026, and $0.3 million and $0.5 million was recognized within our International and US Telecom segments, respectively, for the three-month period ended March 31, 2025</w:t>
      </w:r>
    </w:p>
    <w:p>
      <w:pPr>
        <w:spacing w:after="0" w:line="206"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$0.1 million and $0.3 million for the three months ended March 31, 2026 and 2025, respectively.</w:t>
      </w:r>
    </w:p>
    <w:p>
      <w:pPr>
        <w:spacing w:after="0" w:line="211" w:lineRule="exact"/>
        <w:rPr>
          <w:sz w:val="20"/>
          <w:szCs w:val="20"/>
          <w:color w:val="auto"/>
        </w:rPr>
      </w:pPr>
    </w:p>
    <w:p>
      <w:pPr>
        <w:ind w:left="60" w:right="299"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We incur interest expense on the 2023 CoBank Credit Facility, the 2024 Alaska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Facilities, the FirstNet Receivables Credit Facility, the IDB Credit Facilities, the Sacred Wind Term Debt and the OneVI</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Debt (each as defined below). In addition, interest expense includes commitment fees, letter of credit fees and the amortization of debt issuance costs.</w:t>
      </w:r>
    </w:p>
    <w:p>
      <w:pPr>
        <w:spacing w:after="0" w:line="20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to $10.5 million from $12.0 million for the three months ended March 31, 2026 and 2025, respectively, as a result of reduced interest rates, which were impacted by certain interest rate swap agreements, on our borrowings.</w:t>
      </w:r>
    </w:p>
    <w:p>
      <w:pPr>
        <w:spacing w:after="0" w:line="212" w:lineRule="exact"/>
        <w:rPr>
          <w:sz w:val="20"/>
          <w:szCs w:val="20"/>
          <w:color w:val="auto"/>
        </w:rPr>
      </w:pPr>
    </w:p>
    <w:p>
      <w:pPr>
        <w:ind w:left="60" w:right="4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in future periods may decline upon the completion of the Tower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if the proceeds from that transaction are used to reduce our debt balances.</w:t>
      </w:r>
    </w:p>
    <w:p>
      <w:pPr>
        <w:spacing w:after="0" w:line="182"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For the three months ended March 31, 2026, other expense was $3.2 million of expense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a $2.6 million loss from our noncontrolling investments and $0.4 million in losses on foreign currency transactions.</w:t>
      </w:r>
    </w:p>
    <w:p>
      <w:pPr>
        <w:spacing w:after="0" w:line="21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other expense was $2.6 million of expense primarily related to a non-operating employee-related matter and $0.4 million in losses on foreign currency transactions.</w:t>
      </w:r>
    </w:p>
    <w:p>
      <w:pPr>
        <w:spacing w:after="0" w:line="198" w:lineRule="exact"/>
        <w:rPr>
          <w:sz w:val="20"/>
          <w:szCs w:val="20"/>
          <w:color w:val="auto"/>
        </w:rPr>
      </w:pPr>
    </w:p>
    <w:p>
      <w:pPr>
        <w:ind w:left="60" w:right="3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rates for the three months ended March 31, 2026 and 2025 were (84.1)%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 respectively.</w:t>
      </w:r>
    </w:p>
    <w:p>
      <w:pPr>
        <w:spacing w:after="0" w:line="186"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recorded an income tax expense of $1.6 million in relation to a pretax loss of $1.9 million for the three months ended March 31, 2026. The effective tax rate for the three months ended March 31, 2026 was primarily impacted by the following items: (i) the mix of income generated among the jurisdictions in which we operate, (ii) the exclusion of losses in Alaska and the US Virgin Islands due to valuation allowance positions placed on certain deferred tax assets that are not expected to be realized based on the weight of positive and negative evidence, and (iii) discrete expenses including $0.3 million for interest on prior years uncertain tax positions and $0.3 million expense associated with stock option shortfalls.</w:t>
      </w:r>
    </w:p>
    <w:p>
      <w:pPr>
        <w:spacing w:after="0" w:line="21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$0.2 million in relation to a pretax loss of $11.6 million for the three months ended March 31, 2025. The effective tax rate for the three months ended March 31,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expenses including $0.6 million for interest on prior years uncertain tax positions and $0.5 million expense associated with stock option shortfalls.</w:t>
      </w:r>
    </w:p>
    <w:p>
      <w:pPr>
        <w:spacing w:after="0" w:line="22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11"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noncontrolling interests, net of tax. </w:t>
      </w:r>
      <w:r>
        <w:rPr>
          <w:rFonts w:ascii="Times New Roman" w:cs="Times New Roman" w:eastAsia="Times New Roman" w:hAnsi="Times New Roman"/>
          <w:sz w:val="18"/>
          <w:szCs w:val="18"/>
          <w:color w:val="auto"/>
        </w:rPr>
        <w:t>Net loss attributable to noncontrolling interests,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tax reflected an allocation of $0.7 million and $2.5 million of losses generated by our less than wholly owned subsidiaries for the three months ended March 31, 2026 and 2025, respectively. Changes in net loss attributable to noncontrolling interests, net of tax, within our segments, consisted of the following:</w:t>
      </w:r>
    </w:p>
    <w:p>
      <w:pPr>
        <w:spacing w:after="0" w:line="219" w:lineRule="exact"/>
        <w:rPr>
          <w:sz w:val="20"/>
          <w:szCs w:val="20"/>
          <w:color w:val="auto"/>
        </w:rPr>
      </w:pPr>
    </w:p>
    <w:p>
      <w:pPr>
        <w:ind w:left="1040" w:right="159" w:hanging="315"/>
        <w:spacing w:after="0" w:line="284"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increased by $1.1 million, or 73.3%, to an allocation of $2.6 million of</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spacing w:after="0" w:line="266" w:lineRule="auto"/>
        <w:rPr>
          <w:sz w:val="20"/>
          <w:szCs w:val="20"/>
          <w:color w:val="auto"/>
        </w:rPr>
      </w:pPr>
      <w:r>
        <w:rPr>
          <w:rFonts w:ascii="Times New Roman" w:cs="Times New Roman" w:eastAsia="Times New Roman" w:hAnsi="Times New Roman"/>
          <w:sz w:val="18"/>
          <w:szCs w:val="18"/>
          <w:color w:val="auto"/>
        </w:rPr>
        <w:t>income from an allocation of $1.5 million of income for the three months ended March 31, 2026 and 2025, respectively. The decrease was the result of increased profitability at certain less than wholly owned subsidiaries.</w:t>
      </w:r>
    </w:p>
    <w:p>
      <w:pPr>
        <w:spacing w:after="0" w:line="174" w:lineRule="exact"/>
        <w:rPr>
          <w:sz w:val="20"/>
          <w:szCs w:val="20"/>
          <w:color w:val="auto"/>
        </w:rPr>
      </w:pPr>
    </w:p>
    <w:p>
      <w:pPr>
        <w:ind w:left="1040" w:right="13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$0.6 million, or 15.4%, to an allocation of losses of $3.3 million from an allocation of losses of $3.9 million for the three months ended March 31, 2026 and 2025. The decrease was a result of decreased losses at our less than wholly owned subsidiaries within this segment.</w:t>
      </w:r>
    </w:p>
    <w:p>
      <w:pPr>
        <w:spacing w:after="0" w:line="218"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ATN International, Inc. stockholders. </w:t>
      </w:r>
      <w:r>
        <w:rPr>
          <w:rFonts w:ascii="Times New Roman" w:cs="Times New Roman" w:eastAsia="Times New Roman" w:hAnsi="Times New Roman"/>
          <w:sz w:val="18"/>
          <w:szCs w:val="18"/>
          <w:color w:val="auto"/>
        </w:rPr>
        <w:t>Net loss attributable to ATN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was $2.8 million for the three months ended March 31, 2026 as compared to $8.9 million for the three months ended March 31, 2025.</w:t>
      </w:r>
    </w:p>
    <w:p>
      <w:pPr>
        <w:spacing w:after="0" w:line="21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$0.29 per diluted share for the three months ended March 31, 2026 as compared to $0.69 per diluted share for the three months ended March 31, 2025. Such per share amounts were negatively impacted by accrued preferred dividends of $1.6 million and $1.5 million for the three months ended March 31, 2026 and 2025,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14 to the Consolidated Financial Statements in this Report</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One Big Beautiful Bill Act</w:t>
      </w:r>
    </w:p>
    <w:p>
      <w:pPr>
        <w:spacing w:after="0" w:line="25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reflected the impact of the enacted provisions in its financial statements for the three months ended, March 31, 2026, which were determined to be immaterial. The Company will continue to evaluate the impact of the OBBBA provisions effective in future years on the Company’s financial statements and related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w:t>
      </w:r>
    </w:p>
    <w:p>
      <w:pPr>
        <w:spacing w:after="0" w:line="208"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liquidity. </w:t>
      </w:r>
      <w:r>
        <w:rPr>
          <w:rFonts w:ascii="Times New Roman" w:cs="Times New Roman" w:eastAsia="Times New Roman" w:hAnsi="Times New Roman"/>
          <w:sz w:val="17"/>
          <w:szCs w:val="17"/>
          <w:color w:val="auto"/>
        </w:rPr>
        <w:t>As of March 31, 2026, we had approximately $123.5 million in cash, cash equivalents,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cash. Of this amount, $73.9 million was held by our foreign subsidiaries and is indefinitely invested outside the US. In addition, we had approximately $570.2 million of debt, net of unamortized deferred financing costs as of March 31, 2026. How and when we deploy our balance sheet capacity, including the availability under our various credit facilities (as further described below), will figure prominently in our longer-term growth prospects and stockholder returns.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68"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facilities as well as equity investor and seller financings.</w:t>
      </w:r>
    </w:p>
    <w:p>
      <w:pPr>
        <w:spacing w:after="0" w:line="20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12"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Cash used in investing activities decreased by $4.3 million to $20.8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$25.1 million for the three months ended March 31, 2026 and 2025, respectively. This year-over-year decrease in cash used in investing activities was primarily the result of a decrease in cash used for reimbursable capital expenditures of $8.9 million net of a $4.0 million decrease in cash inflows related to the reimbursement of capital expenditures under certain government programs. This decrease was partially offset by an increase in non-reimbursable capital expenditures of $0.2 million.</w:t>
      </w:r>
    </w:p>
    <w:p>
      <w:pPr>
        <w:spacing w:after="0" w:line="223" w:lineRule="exact"/>
        <w:rPr>
          <w:sz w:val="20"/>
          <w:szCs w:val="20"/>
          <w:color w:val="auto"/>
        </w:rPr>
      </w:pPr>
    </w:p>
    <w:p>
      <w:pPr>
        <w:ind w:left="60" w:right="5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Cash used in financing activities. </w:t>
      </w:r>
      <w:r>
        <w:rPr>
          <w:rFonts w:ascii="Times New Roman" w:cs="Times New Roman" w:eastAsia="Times New Roman" w:hAnsi="Times New Roman"/>
          <w:sz w:val="17"/>
          <w:szCs w:val="17"/>
          <w:color w:val="auto"/>
        </w:rPr>
        <w:t>Cash used by financing activities decreased to $2.7 million from $2.8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2026 and 2025, respectively. The decrease in cash used by financing activities of $0.1 million was primarily the result of a $1.1 million increase in cash used to repurchase our common stock from employees to satisfy certain tax withholding obligations and a $0.6 million increase in cash used for dividends paid to our stockholders. Such increases were offset by an increase in cash provided by funds payable and due to customers of $1.7 million.</w:t>
      </w:r>
    </w:p>
    <w:p>
      <w:pPr>
        <w:spacing w:after="0" w:line="20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We have funded our working capital needs through a combination of internally generated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0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we spent approximately $21.0 million for capital expenditures and $13.5 million for capital expenditures that are reimbursable under certain government programs. For the three months ended March 31, 2025, we spent approximately $20.8 million for capital expenditures and $22.4 million for capital expenditures that are reimbursable under certain government programs. The following shows our capital expenditures, by operating segment, for these periods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32,472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40" w:right="39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ending December 31, 2026, such investments are expected to total approximately $105 million to $115 million of non-reimbursable capital expenditures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20" w:lineRule="exact"/>
        <w:rPr>
          <w:sz w:val="20"/>
          <w:szCs w:val="20"/>
          <w:color w:val="auto"/>
        </w:rPr>
      </w:pPr>
    </w:p>
    <w:p>
      <w:pPr>
        <w:ind w:left="60" w:right="2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three months ended March 31, 2026, our Board of Directors declared $4.2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our stockholders which included a $0.275 per share dividend declared on March 18, 2026 and paid on April 10, 2026. We have declared quarterly dividends since the fourth quarter of 1998.</w:t>
      </w:r>
    </w:p>
    <w:p>
      <w:pPr>
        <w:spacing w:after="0" w:line="20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Our Board of Directors has authorized the repurchase of up to $25.0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on the open market or in privately negotiated transactions (the “2023 Repurchase Plan”). We did not repurchase any of our common stock under the 2023 Repurchase Plan during either the three months ended March 31, 2026 or 2025. As of March 31, 2026, we had $15.0 million available to repurchase shares of our common stock under the 2023 Repurchase Plan.</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68"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$29.8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as compared to $35.9 million for the three months ended March 31, 2025. The decrease of $6.1 million was primarily related to a decrease in our net loss of $8.4 million offset by increased working capital requirements.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Credit Agreement (as may be amended from time to time, the “2023 CoBank Credit Agreement”) with CoBank, ACB (“CoBank”) and a syndicate of other lenders (the “2023 CoBank Credit Facility”). On July 10, 2024, we amended the 2023 CoBank Credit Agreement to add certain subsidiaries as guarantors and to provide further flexibility in order to accept certain grant and government program obligations.</w:t>
      </w:r>
    </w:p>
    <w:p>
      <w:pPr>
        <w:spacing w:after="0" w:line="22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w:t>
      </w:r>
    </w:p>
    <w:p>
      <w:pPr>
        <w:spacing w:after="0" w:line="207"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200" w:lineRule="exact"/>
        <w:rPr>
          <w:sz w:val="20"/>
          <w:szCs w:val="20"/>
          <w:color w:val="auto"/>
        </w:rPr>
      </w:pPr>
    </w:p>
    <w:p>
      <w:pPr>
        <w:spacing w:after="0" w:line="233" w:lineRule="exact"/>
        <w:rPr>
          <w:sz w:val="20"/>
          <w:szCs w:val="20"/>
          <w:color w:val="auto"/>
        </w:rPr>
      </w:pPr>
    </w:p>
    <w:tbl>
      <w:tblPr>
        <w:tblLayout w:type="fixed"/>
        <w:tblInd w:w="570" w:type="dxa"/>
        <w:tblCellMar>
          <w:top w:w="0" w:type="dxa"/>
          <w:left w:w="0" w:type="dxa"/>
          <w:bottom w:w="0" w:type="dxa"/>
          <w:right w:w="0" w:type="dxa"/>
        </w:tblCellMar>
      </w:tblPr>
      <w:tr>
        <w:trPr>
          <w:trHeight w:val="236"/>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 Dates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 – June 30, 2026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408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(“SOFR”) as administered by the Federal Reserve Bank of New York plus an applicable margin ranging between 2.00% to 3.75% for the 2023 CoBank Term Loan and 1.75% to 3.50% for 2023 CoBank Revolving Loan or (ii) a base rate plus an applicable margin ranging from 1.00% to 2.75% for the 2023 CoBank Term Loan and 0.75% to 2.50% for the 2023 CoBank Revolving Loan. Swingline loans bear interest at the base rate plus the applicable margin for base rate loans. The applicable margin is determined based on the Total Net Leverage Ratio (as defined in the 2023 CoBank Credit Agreement). We also pay a fee ranging from 0.25% to 0.50% on the average daily unused portion of the 2023 CoBank Credit Facility over each calendar quarter.</w:t>
      </w:r>
    </w:p>
    <w:p>
      <w:pPr>
        <w:spacing w:after="0" w:line="23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of 3.25 to 1.0, measured quarterly,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capitalized $4.5 million of fees associated with the 2023 CoBank Credit Facility, which are being amortized over the life of the debt and $2.3 million were unamortized as of March 31, 2026.</w:t>
      </w:r>
    </w:p>
    <w:p>
      <w:pPr>
        <w:spacing w:after="0" w:line="18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$119.4 million outstanding under the 2023 CoBank Term Loan and $55.5 million under the 2023 CoBank Revolving Loan. As of that date, we had $114.5 million of availability under the 2023 CoBank Revolving Loan. We were in compliance with all financial covenants as of March 31, 2026.</w:t>
      </w:r>
    </w:p>
    <w:p>
      <w:pPr>
        <w:spacing w:after="0" w:line="21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Tower Portfolio Transaction, on February 11, 2026, the Company entered into a Consent Agreement (the “Consent”) with CoBank, as Administrative Agent, and the Lenders and Voting Participants (constituting Required Lenders (as defined in the 2023 CoBank Credit Agreement)) party thereto, in connection with the 2023 CoBank Credit Agreement. Pursuant to the terms of the Consent, CoBank and the other Lenders and Voting Participants (constituting Required Lenders) party thereto consented to: (i) the consummation of the Tower Portfolio Transaction; (ii) the distributions of the Net Cash Proceeds (as defined in the 2023 CoBank Credit Agreement) from the Tower Portfolio Transaction to the Company and the minority shareholders of the Commnet Parties; (iii) the Net Cash Proceeds received from the Tower Portfolio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working capital and general corporate purposes. The Consent further provides for the release of the Liens (as defined in the 2023 CoBank Credit Agreement) on the assets being sold in connection with the Tower Portfolio Transaction.</w:t>
      </w:r>
    </w:p>
    <w:p>
      <w:pPr>
        <w:spacing w:after="0" w:line="22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entered into a two-year, forward starting one-month floating to fixed SOFR interest rate swap agreement. The swap was effective November 13, 2023 in a non-amortizing notional amount of $50.0 million, had a fixed SOFR rate of 4.90% and matured on November 13, 2025.</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March 31, 2026, $38.9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56"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On August 29, 2024, Alaska Communications entered into a Credit Agreement (the “2024 Alaska Credit Agreement”) with Bank of America, N.A., as administrative agent, and a syndicate of lenders (the “2024 Alaska Credit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spacing w:after="0" w:line="216"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March 31, 2026, $300.0 million was outstanding under the 2024 Alaska Term Facility.</w:t>
      </w:r>
    </w:p>
    <w:p>
      <w:pPr>
        <w:spacing w:after="0" w:line="205"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March 31, 2026, $21.5 million was outstanding under the 2024 Alaska Revolving Facility and $0.6 million of letters of credit were issued. As a result, $67.9 million was available under the 2024 Alaska Revolving Facility as of March 31, 2026.</w:t>
      </w:r>
    </w:p>
    <w:p>
      <w:pPr>
        <w:spacing w:after="0" w:line="210"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Alaska Communications meeting certain conditions.</w:t>
      </w:r>
    </w:p>
    <w:p>
      <w:pPr>
        <w:spacing w:after="0" w:line="19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2024 Alaska Credit Facility, we incurred $6.9 million of fees and rolled over $2.1 million of fees for the 2022 Alaska Credit Facility to be amortized over the life of the debt. As of March 31, 2026, we had $6.2 million of unamortized fees, which are being amortized over the life of the debt, associated with the 2024 Alaska Credit Facility.</w:t>
      </w:r>
    </w:p>
    <w:p>
      <w:pPr>
        <w:spacing w:after="0" w:line="22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equal to, at our option, either (i) the SOFR plus an applicable margin ranging between 3.00% to 4.50% or (ii) a base rate plus an applicable margin ranging from 2.00% to 3.50%. Swingline loans bear interest at the base rate plus the applicable margin for base rate loans. We also pay a fee ranging from 0.25% to 0.40% on the average daily unused portion of the 2024 Alaska Credit Facility over each calendar quarter.</w:t>
      </w:r>
    </w:p>
    <w:p>
      <w:pPr>
        <w:spacing w:after="0" w:line="21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Alaska Communications may prepay all revolving loans under the 2024 Alaska Revolving Facility at any time without premium or penalty, subject to certain notice requirements and balance restrictions.</w:t>
      </w:r>
    </w:p>
    <w:p>
      <w:pPr>
        <w:spacing w:after="0" w:line="22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Alaska Communications is required to maintain financial ratios,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 The 2024 Alaska Credit Agreement contains usual and customary affirmative and negative covenants of the parties for credit facilities of this type or as otherwise deemed appropriate by the administrative agent, subject to customary exceptions and materiality standards. As of March 31, 2026, Alaska Communications was in compliance with all financial covenants.</w:t>
      </w:r>
    </w:p>
    <w:p>
      <w:pPr>
        <w:spacing w:after="0" w:line="230"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federal and state licenses where a pledge is prohibited by applicable law or is permitted only with the consent of a governmental authority that has not been obtained.</w:t>
      </w:r>
    </w:p>
    <w:p>
      <w:pPr>
        <w:spacing w:after="0" w:line="202"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 (as defined in the 2024 Alaska Credit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5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one-month floating to fixed SOFR interest rate swap agreements. The total non-amortizing notional amount of the agreements is $200 million, with fixed SOFR rates of 4.8695% and 4.8980%. These swap agreements matured on June 30, 2025.</w:t>
      </w:r>
    </w:p>
    <w:p>
      <w:pPr>
        <w:spacing w:after="0" w:line="216"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On September 26, 2025, Alaska Communications entered into four forward starting one-month floating to fixed SOFR interest rate swap agreements. The total non-amortizing notional amount of the four agreements was $200 million, with fixed SOFR rates ranging from 3.43% to 3.45% and have a maturity date of September 30, 2027. The swap agreements had a fair value of $0.5 million and $(0.5) million as of March 31, 2026 and December 31, 2025, respectively.</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56"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(the “Receivables Credit Facility”).</w:t>
      </w:r>
    </w:p>
    <w:p>
      <w:pPr>
        <w:spacing w:after="0" w:line="20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provided for a senior secured delayed draw term loan in an aggregate principal amount of up to $75.0 million with the proceeds used to acquire certain receivables from Commnet Wireless. The receivables financed and sold under the secured Receivables Credit Facility relate to the obligations of AT&amp;T under the FirstNet Agreement.</w:t>
      </w:r>
    </w:p>
    <w:p>
      <w:pPr>
        <w:spacing w:after="0" w:line="22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 There were no further extensions of the draw period.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ranging from 3.21% to 7.13%.</w:t>
      </w:r>
    </w:p>
    <w:p>
      <w:pPr>
        <w:spacing w:after="0" w:line="26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Commnet Wireless had $37.6 million outstanding, of which $8.9 million was classified as being current and $28.7 million as long-term on our balance sheet under the Receivables Credit Facility. Commnet Wireless capitalized $0.8 million in fees associated with the Receivables Credit Facility which are being amortized over the life of the debt and $0.3 million were unamortized as of March 31, 2026.</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70"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spacing w:after="0" w:line="20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Beginning in the second quarter of 2027, amounts drawn on the 2025 IDB Term Loan must be repaid in quarterly principal payments in the amounts set forth below, with the outstanding principal balance maturing on the tenth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anniversary of the effective date. The 2025 IDB Revolving Loan may be repaid at any time on, or prior to, its maturity of 360 days after the first disbursement date.</w:t>
      </w:r>
    </w:p>
    <w:p>
      <w:pPr>
        <w:spacing w:after="0" w:line="200" w:lineRule="exact"/>
        <w:rPr>
          <w:sz w:val="20"/>
          <w:szCs w:val="20"/>
          <w:color w:val="auto"/>
        </w:rPr>
      </w:pPr>
    </w:p>
    <w:p>
      <w:pPr>
        <w:spacing w:after="0" w:line="230"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238"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Amounts borrowed under the 2025 IDB Credit Facilities bear interest at a rate equal to SOFR plus an applicable margin of 2.4% for the 2025 IDB Revolving Facility and 3.0% for the 2025 IDB Term Loan. In the case of the 2025 IDB Term Loan, there is a prepayment fee equal to 1% until the first anniversary from the effective date, 0.5% until the second anniversary from the effective date, and 0.0% thereafter.</w:t>
      </w:r>
    </w:p>
    <w:p>
      <w:pPr>
        <w:spacing w:after="0" w:line="20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(each as defined in the 2025 IDB Credit Agreement),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$2.0 million was outstanding under the 2025 IDB Revolving Facility and there were no outstanding borrowings under the 2025 IDB Term loan as of that date. As of March 31, 2026, OneGY was in compliance with all financial covenants.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spacing w:after="0" w:line="22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March 31, 2026, we were in compliance with that corrective action plan.</w:t>
      </w:r>
    </w:p>
    <w:p>
      <w:pPr>
        <w:spacing w:after="0" w:line="224"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$20.5 million was outstanding under the Sacred Wind Term Debt. Of that amount, $3.6 million was current and $16.9 million was long term.</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USVI Debt</w:t>
      </w:r>
    </w:p>
    <w:p>
      <w:pPr>
        <w:spacing w:after="0" w:line="27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and certain of our subsidiaries, entered into a loan agreement (“OneVI Debt Agreement”) for a $60.0 million loan (the “OneVI Debt”) with National Cooperative Services Corporation (“NCSC”) on July 1, 2016. The OneVI Debt Agreement contains customary representations, warranties, and affirmative and negative covenants (including limitations on additional debt, guaranties, sale of assets and liens) and a financial covenant that limits the maximum ratio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of indebtedness to annual operating cash flow to 3.5 to 1.0 (the “OneVI Net Leverage Ratio”). This covenant is tested on an annual basis at the end of each fiscal year. Interest is paid quarterly at a fixed rate of 4.0% per annum and principal repayment was not required until maturity on July 1, 2026. Prepayment of amounts under the OneVI Debt Agreement are subject to a fee under certain circumstances. The debt is secured by certain assets of the OneVI subsidiaries and is guaranteed by us.</w:t>
      </w:r>
    </w:p>
    <w:p>
      <w:pPr>
        <w:spacing w:after="0" w:line="22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$60.0 million of the OneVI Debt remained outstanding. Of that amount, $3.4 million was current and $56.6 million was long term.</w:t>
      </w:r>
    </w:p>
    <w:p>
      <w:pPr>
        <w:spacing w:after="0" w:line="20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On May 5, 2022, the OneVI Net Leverage Ratio was amended to 7.0 to 1.0 through the maturity date of July 1, 2026. The OneVI Net Leverage Ratio is tested annually, and we were in compliance with the OneVI Net Leverage Ratio as of December 31, 2025.</w:t>
      </w:r>
    </w:p>
    <w:p>
      <w:pPr>
        <w:spacing w:after="0" w:line="20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November 5, 2025, the Company and certain of its subsidiaries (the “OneVI Borrowers”) amended the OneVI Debt Agreement (the “OneVI Debt Amendment”) to extend the maturity date of the OneVI Debt from July 1, 2026 to July 1, 2035 (the “Extended Maturity Date”). The OneVI Debt Amendment further provides that the OneVI Debt will continue to accrue interest at the current fixed 4.0% rate through June 30, 2026 and, beginning on July 1, 2026, NCSC will offer, at the Borrowers’ option, a forward fixed rate or variable rate of interest for the remainder of the term of the OneVI Debt through the Extended Maturity Date. If the OneVI Borrowers elect the variable rate, the variable rate will be NCSC’s standard variable rate of interest for long-term loans and subject to change monthly, and the OneVI Borrowers will have the option to convert all or a portion of principal outstanding as of the date specified in the Conversion Notice (as defined in the OneVI Debt Agreement), to NCSC’s standard fixed interest rates for long-term loans at any time thereafter without a fee.</w:t>
      </w:r>
    </w:p>
    <w:p>
      <w:pPr>
        <w:spacing w:after="0" w:line="235"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Additionally, the OneVI Debt Amendment provides that the OneVI Debt will continue to require interest-only payments at the current rate through June 30, 2026; beginning on July 1, 2026, the OneVI Debt will be subject to a quarterly repayment schedule.</w:t>
      </w:r>
    </w:p>
    <w:p>
      <w:pPr>
        <w:spacing w:after="0" w:line="200" w:lineRule="exact"/>
        <w:rPr>
          <w:sz w:val="20"/>
          <w:szCs w:val="20"/>
          <w:color w:val="auto"/>
        </w:rPr>
      </w:pPr>
    </w:p>
    <w:p>
      <w:pPr>
        <w:spacing w:after="0" w:line="244" w:lineRule="exact"/>
        <w:rPr>
          <w:sz w:val="20"/>
          <w:szCs w:val="20"/>
          <w:color w:val="auto"/>
        </w:rPr>
      </w:pPr>
    </w:p>
    <w:tbl>
      <w:tblPr>
        <w:tblLayout w:type="fixed"/>
        <w:tblInd w:w="970" w:type="dxa"/>
        <w:tblCellMar>
          <w:top w:w="0" w:type="dxa"/>
          <w:left w:w="0" w:type="dxa"/>
          <w:bottom w:w="0" w:type="dxa"/>
          <w:right w:w="0" w:type="dxa"/>
        </w:tblCellMar>
      </w:tblPr>
      <w:tr>
        <w:trPr>
          <w:trHeight w:val="237"/>
        </w:trPr>
        <w:tc>
          <w:tcPr>
            <w:tcW w:w="34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Dates</w:t>
            </w:r>
          </w:p>
        </w:tc>
        <w:tc>
          <w:tcPr>
            <w:tcW w:w="366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8"/>
              </w:rPr>
              <w:t>Annual Principal Repayment</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1-3</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4-6</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7-8</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9</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 The interest rate will be reset on the original loan maturity date of July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2026 through December 31, 2026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397,937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578,816</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w:t>
            </w:r>
          </w:p>
        </w:tc>
      </w:tr>
      <w:tr>
        <w:trPr>
          <w:trHeight w:val="20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March 31, 2026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570,160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37,405</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68"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0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2023 CoBank Credit Facility. </w:t>
      </w:r>
      <w:r>
        <w:rPr>
          <w:rFonts w:ascii="Times New Roman" w:cs="Times New Roman" w:eastAsia="Times New Roman" w:hAnsi="Times New Roman"/>
          <w:sz w:val="18"/>
          <w:szCs w:val="18"/>
          <w:color w:val="auto"/>
        </w:rPr>
        <w:t>Our 2023 CoBank Credit Facility contains customary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2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March 31, 2026, we were in compliance with all of the financial covenants of the 2023 CoBank Credit Facility.</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2025, we filed a new “universal” shelf registration statement with the SEC, to register potential future offerings of up to $300 million of our securities.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both the three months ended March 31, 2026 and 2025, we recorded $0.4 million in losses on foreign currency transactions. We will continue to assess the impact of our exposure to the Guyana Dollar.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increases in operating costs, some of which we believe are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56"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The US government has imposed tariffs on goods imported from various countries to the US, which have been modified, expanded, and in some cases eliminated since that time. Our business is not currently subject to these tariffs. Countries subject to such tariffs or other trade restrictions and other changes in trade policy by the US may, in the future, impose reciprocal or retaliatory tariffs and other trade measures that may impact our business. We are actively monitoring the tariff developments and analyzing the potential impacts on our businesses, cost structures, supply chain and broader economic environment. We are also working closely with our strategic suppliers to manage their potential impact.</w:t>
      </w:r>
    </w:p>
    <w:p>
      <w:pPr>
        <w:spacing w:after="0" w:line="10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previously implemented tariffs did not have a material impact on our financial condition or results of operations during the three months ended March 31, 2026. However, due to the uncertainty with respect to such tariffs and their evolving nature, we cannot predict the impact, if any, they may have on our business or results in the future.</w:t>
      </w:r>
    </w:p>
    <w:p>
      <w:pPr>
        <w:spacing w:after="0" w:line="10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Availability Under Credit Facilities. In addition to future internally generated funds, we had the following available to us under our credit facilities as of December 31, 2025 and may be able to raise funds in the capital markets by making an offering under our universal shelf registration.</w:t>
      </w:r>
    </w:p>
    <w:p>
      <w:pPr>
        <w:spacing w:after="0" w:line="9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to future internally generated funds, we had the following available to us under our credit facilities, as defined below, as of March 31, 2026 and may be able to raise funds in the capital markets by making an offering under our universal shelf registration.</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Available as of</w:t>
            </w:r>
          </w:p>
        </w:tc>
        <w:tc>
          <w:tcPr>
            <w:tcW w:w="0" w:type="dxa"/>
            <w:vAlign w:val="bottom"/>
          </w:tcPr>
          <w:p>
            <w:pPr>
              <w:spacing w:after="0"/>
              <w:rPr>
                <w:sz w:val="1"/>
                <w:szCs w:val="1"/>
                <w:color w:val="auto"/>
              </w:rPr>
            </w:pPr>
          </w:p>
        </w:tc>
      </w:tr>
      <w:tr>
        <w:trPr>
          <w:trHeight w:val="199"/>
        </w:trPr>
        <w:tc>
          <w:tcPr>
            <w:tcW w:w="4140" w:type="dxa"/>
            <w:vAlign w:val="bottom"/>
            <w:tcBorders>
              <w:bottom w:val="single" w:sz="8" w:color="auto"/>
            </w:tcBorders>
            <w:gridSpan w:val="2"/>
            <w:vMerge w:val="continue"/>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March 31, 2026 (in millions)</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CoBank Credit Facility</w:t>
            </w:r>
          </w:p>
        </w:tc>
        <w:tc>
          <w:tcPr>
            <w:tcW w:w="2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Alaska Revolving Facility</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IDB Term Loan</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IDB Revolving Facility</w:t>
            </w:r>
          </w:p>
        </w:tc>
        <w:tc>
          <w:tcPr>
            <w:tcW w:w="1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available</w:t>
            </w:r>
          </w:p>
        </w:tc>
        <w:tc>
          <w:tcPr>
            <w:tcW w:w="1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2 to the Consolidated Financial Statements included in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6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2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01" w:lineRule="exact"/>
        <w:rPr>
          <w:sz w:val="20"/>
          <w:szCs w:val="20"/>
          <w:color w:val="auto"/>
        </w:rPr>
      </w:pPr>
    </w:p>
    <w:p>
      <w:pPr>
        <w:ind w:left="60" w:right="4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March 31, 2026, we had $298.4 million of variable rate debt outstanding,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in interest rates. Our interest expense may be affected by changes in interest rates. We believe that a 100-basis-point change in the interest rates on our variable rate debt would result in a $3.0 million change in our annual interest expense. We may have additional exposure to fluctuations in interest rates if we again borrow amounts under our revolver loans within our credit facilities.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2025 Annual Report on Form 10-K. The risks described herein and in our 2025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Purchases of Equity Securities by the Issuer. </w:t>
      </w:r>
      <w:r>
        <w:rPr>
          <w:rFonts w:ascii="Times New Roman" w:cs="Times New Roman" w:eastAsia="Times New Roman" w:hAnsi="Times New Roman"/>
          <w:sz w:val="18"/>
          <w:szCs w:val="18"/>
          <w:color w:val="auto"/>
        </w:rPr>
        <w:t>On December 14, 2023, our Board of Directors authorized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up to $25.0 million of our common stock, from time to time, on the open market or in privately negotiated transactions (the “2023 Repurchase Plan”). We have $15.0 million available to be repurchased under that plan as of March 31, 2026.</w:t>
      </w:r>
    </w:p>
    <w:p>
      <w:pPr>
        <w:spacing w:after="0" w:line="3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repurchases by us of our common stock during the quarter ended March 31, 2026:</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5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9"/>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43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179" w:hanging="650"/>
        <w:spacing w:after="0" w:line="258"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on March 7, 2026, March 12, 2026, March 13, 2026 and March 25, 2026, from our executive officers and other employees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such shares were purchased.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informed the Company of the adoption or termination of a “Rule 10b5-1 trading arrangement” or “non-Rule 10b5-1 trading arrangement” (each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w:t>
            </w:r>
          </w:p>
        </w:tc>
        <w:tc>
          <w:tcPr>
            <w:tcW w:w="7460" w:type="dxa"/>
            <w:vAlign w:val="bottom"/>
            <w:gridSpan w:val="17"/>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Offer of Employment Letter, by and between ATN International, Inc. and Naji N. Khoury, dated as of</w:t>
              </w:r>
            </w:hyperlink>
          </w:p>
        </w:tc>
      </w:tr>
      <w:tr>
        <w:trPr>
          <w:trHeight w:val="20"/>
        </w:trPr>
        <w:tc>
          <w:tcPr>
            <w:tcW w:w="10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April 1, 2026, incorporated by reference to Exhibit 10.1 to the Company’s Current Report on Form 8-K</w:t>
              </w:r>
            </w:hyperlink>
          </w:p>
        </w:tc>
      </w:tr>
      <w:tr>
        <w:trPr>
          <w:trHeight w:val="196"/>
        </w:trPr>
        <w:tc>
          <w:tcPr>
            <w:tcW w:w="1040" w:type="dxa"/>
            <w:vAlign w:val="bottom"/>
          </w:tcPr>
          <w:p>
            <w:pPr>
              <w:spacing w:after="0"/>
              <w:rPr>
                <w:sz w:val="17"/>
                <w:szCs w:val="17"/>
                <w:color w:val="auto"/>
              </w:rPr>
            </w:pPr>
          </w:p>
        </w:tc>
        <w:tc>
          <w:tcPr>
            <w:tcW w:w="3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(File No. 001-12593) filed on April 7, 2026.</w:t>
              </w:r>
            </w:hyperlink>
          </w:p>
        </w:tc>
        <w:tc>
          <w:tcPr>
            <w:tcW w:w="4260" w:type="dxa"/>
            <w:vAlign w:val="bottom"/>
            <w:gridSpan w:val="15"/>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Restrictive Covenants Agreement, by and between ATN International, Inc. and Naji N. Khoury, dated</w:t>
              </w:r>
            </w:hyperlink>
          </w:p>
        </w:tc>
        <w:tc>
          <w:tcPr>
            <w:tcW w:w="14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as of April 1, 2026, incorporated by reference to Exhibit 10.2 to the Company’s Current Report on</w:t>
              </w:r>
            </w:hyperlink>
          </w:p>
        </w:tc>
        <w:tc>
          <w:tcPr>
            <w:tcW w:w="3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8-K (File No. 001-12593) filed on April 7, 2026.</w:t>
              </w:r>
            </w:hyperlink>
          </w:p>
        </w:tc>
        <w:tc>
          <w:tcPr>
            <w:tcW w:w="3500" w:type="dxa"/>
            <w:vAlign w:val="bottom"/>
            <w:gridSpan w:val="12"/>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Consulting Services Agreement, by and between ATN International, Inc. and Brad W. Martin, dated as</w:t>
              </w:r>
            </w:hyperlink>
          </w:p>
        </w:tc>
      </w:tr>
      <w:tr>
        <w:trPr>
          <w:trHeight w:val="196"/>
        </w:trPr>
        <w:tc>
          <w:tcPr>
            <w:tcW w:w="104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of April 6, 2026 (incorporated by reference to Exhibit 10.3 to the Company’s Current Report on Form</w:t>
              </w:r>
            </w:hyperlink>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8-K (File No. 001-12593) filed on April 7, 2026.</w:t>
              </w:r>
            </w:hyperlink>
          </w:p>
        </w:tc>
        <w:tc>
          <w:tcPr>
            <w:tcW w:w="3940" w:type="dxa"/>
            <w:vAlign w:val="bottom"/>
            <w:gridSpan w:val="13"/>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70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Sixth Amendment to Network Build and Maintenance Agreement dated as of May 5, 2026 by and</w:t>
            </w:r>
          </w:p>
        </w:tc>
        <w:tc>
          <w:tcPr>
            <w:tcW w:w="3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between Commnet Wireless, LLC and AT&amp;T Mobility LLC.</w:t>
            </w:r>
          </w:p>
        </w:tc>
        <w:tc>
          <w:tcPr>
            <w:tcW w:w="3080" w:type="dxa"/>
            <w:vAlign w:val="bottom"/>
            <w:gridSpan w:val="11"/>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7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Letter Agreement, dated as of May 6, 2026, between Cellco Partnership dba Verizon Wireless and</w:t>
            </w:r>
          </w:p>
        </w:tc>
        <w:tc>
          <w:tcPr>
            <w:tcW w:w="4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Commnet Wireless, LLC.</w:t>
            </w:r>
          </w:p>
        </w:tc>
        <w:tc>
          <w:tcPr>
            <w:tcW w:w="5600" w:type="dxa"/>
            <w:vAlign w:val="bottom"/>
            <w:gridSpan w:val="16"/>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of the Securities Exchange Act of</w:t>
            </w:r>
          </w:p>
        </w:tc>
      </w:tr>
      <w:tr>
        <w:trPr>
          <w:trHeight w:val="196"/>
        </w:trPr>
        <w:tc>
          <w:tcPr>
            <w:tcW w:w="1040" w:type="dxa"/>
            <w:vAlign w:val="bottom"/>
          </w:tcPr>
          <w:p>
            <w:pPr>
              <w:spacing w:after="0"/>
              <w:rPr>
                <w:sz w:val="17"/>
                <w:szCs w:val="17"/>
                <w:color w:val="auto"/>
              </w:rPr>
            </w:pPr>
          </w:p>
        </w:tc>
        <w:tc>
          <w:tcPr>
            <w:tcW w:w="73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c>
          <w:tcPr>
            <w:tcW w:w="14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3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w:t>
            </w:r>
          </w:p>
        </w:tc>
        <w:tc>
          <w:tcPr>
            <w:tcW w:w="16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6"/>
              </w:rPr>
              <w:t>32.1**</w:t>
            </w: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2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6"/>
              </w:rPr>
              <w:t>32.2**</w:t>
            </w:r>
          </w:p>
        </w:tc>
        <w:tc>
          <w:tcPr>
            <w:tcW w:w="7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46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4000" w:type="dxa"/>
            <w:vAlign w:val="bottom"/>
            <w:gridSpan w:val="14"/>
          </w:tcPr>
          <w:p>
            <w:pPr>
              <w:spacing w:after="0" w:line="20" w:lineRule="exact"/>
              <w:rPr>
                <w:sz w:val="1"/>
                <w:szCs w:val="1"/>
                <w:color w:val="auto"/>
              </w:rPr>
            </w:pPr>
          </w:p>
        </w:tc>
      </w:tr>
      <w:tr>
        <w:trPr>
          <w:trHeight w:val="218"/>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16"/>
        </w:trPr>
        <w:tc>
          <w:tcPr>
            <w:tcW w:w="1040" w:type="dxa"/>
            <w:vAlign w:val="bottom"/>
          </w:tcPr>
          <w:p>
            <w:pPr>
              <w:spacing w:after="0"/>
              <w:rPr>
                <w:sz w:val="18"/>
                <w:szCs w:val="18"/>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101.DEF*</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101.PRE*</w:t>
            </w:r>
          </w:p>
        </w:tc>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60" w:right="959" w:firstLine="306"/>
        <w:spacing w:after="0" w:line="505" w:lineRule="auto"/>
        <w:tabs>
          <w:tab w:leader="none" w:pos="117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Naji N. Khoury</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Naji N. Khoury</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R.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880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45" w:lineRule="exact"/>
        <w:rPr>
          <w:sz w:val="20"/>
          <w:szCs w:val="20"/>
          <w:color w:val="auto"/>
        </w:rPr>
      </w:pPr>
    </w:p>
    <w:p>
      <w:pPr>
        <w:jc w:val="center"/>
        <w:ind w:left="1000" w:right="20"/>
        <w:spacing w:after="0" w:line="255" w:lineRule="auto"/>
        <w:rPr>
          <w:sz w:val="20"/>
          <w:szCs w:val="20"/>
          <w:color w:val="auto"/>
        </w:rPr>
      </w:pPr>
      <w:r>
        <w:rPr>
          <w:rFonts w:ascii="Times New Roman" w:cs="Times New Roman" w:eastAsia="Times New Roman" w:hAnsi="Times New Roman"/>
          <w:sz w:val="21"/>
          <w:szCs w:val="21"/>
          <w:i w:val="1"/>
          <w:iCs w:val="1"/>
          <w:color w:val="auto"/>
        </w:rPr>
        <w:t>CERTAIN CONFIDENTIAL PORTIONS OF THIS EXHIBIT HAVE BEEN OMITTED AND REPLACED WITH “[***]”. SUCH IDENTIFIED INFORMATION HAS BEEN EXCLUDED FROM THIS EXHIBIT BECAUSE IT IS</w:t>
      </w:r>
    </w:p>
    <w:p>
      <w:pPr>
        <w:spacing w:after="0" w:line="1" w:lineRule="exact"/>
        <w:rPr>
          <w:sz w:val="20"/>
          <w:szCs w:val="20"/>
          <w:color w:val="auto"/>
        </w:rPr>
      </w:pPr>
    </w:p>
    <w:p>
      <w:pPr>
        <w:jc w:val="center"/>
        <w:ind w:left="4360" w:right="420" w:hanging="3931"/>
        <w:spacing w:after="0" w:line="237" w:lineRule="auto"/>
        <w:tabs>
          <w:tab w:leader="none" w:pos="698" w:val="left"/>
        </w:tabs>
        <w:numPr>
          <w:ilvl w:val="0"/>
          <w:numId w:val="3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NOT MATERIAL AND (II) WOULD LIKELY CAUSE COMPETITIVE HARM TO THE COMPANY IF DISCLOSED.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Amendment to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Network Build and Maintenance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Between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AT&amp;T Mobility LLC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Commnet Wireless, LLC.</w:t>
      </w:r>
    </w:p>
    <w:p>
      <w:pPr>
        <w:spacing w:after="0" w:line="20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Sixth Amendment to the Network Build and Maintenance Agreement</w:t>
      </w:r>
      <w:r>
        <w:rPr>
          <w:rFonts w:ascii="Times New Roman" w:cs="Times New Roman" w:eastAsia="Times New Roman" w:hAnsi="Times New Roman"/>
          <w:sz w:val="22"/>
          <w:szCs w:val="22"/>
          <w:color w:val="auto"/>
        </w:rPr>
        <w:t xml:space="preserve"> (“Sixth Amendment”) is entered into as of the </w:t>
      </w:r>
      <w:r>
        <w:rPr>
          <w:rFonts w:ascii="Times New Roman" w:cs="Times New Roman" w:eastAsia="Times New Roman" w:hAnsi="Times New Roman"/>
          <w:sz w:val="22"/>
          <w:szCs w:val="22"/>
          <w:b w:val="1"/>
          <w:bCs w:val="1"/>
          <w:color w:val="auto"/>
        </w:rPr>
        <w:t>5th</w:t>
      </w:r>
      <w:r>
        <w:rPr>
          <w:rFonts w:ascii="Times New Roman" w:cs="Times New Roman" w:eastAsia="Times New Roman" w:hAnsi="Times New Roman"/>
          <w:sz w:val="22"/>
          <w:szCs w:val="22"/>
          <w:color w:val="auto"/>
        </w:rPr>
        <w:t xml:space="preserve"> day of </w:t>
      </w:r>
      <w:r>
        <w:rPr>
          <w:rFonts w:ascii="Times New Roman" w:cs="Times New Roman" w:eastAsia="Times New Roman" w:hAnsi="Times New Roman"/>
          <w:sz w:val="22"/>
          <w:szCs w:val="22"/>
          <w:b w:val="1"/>
          <w:bCs w:val="1"/>
          <w:color w:val="auto"/>
        </w:rPr>
        <w:t>May, 2026</w:t>
      </w:r>
      <w:r>
        <w:rPr>
          <w:rFonts w:ascii="Times New Roman" w:cs="Times New Roman" w:eastAsia="Times New Roman" w:hAnsi="Times New Roman"/>
          <w:sz w:val="22"/>
          <w:szCs w:val="22"/>
          <w:color w:val="auto"/>
        </w:rPr>
        <w:t xml:space="preserve"> (the “Sixth Amendment Effective Date”) by and between Commnet Wireless, LLC, a Delaware limited liability company (hereinafter referred to as “Vendor”), and AT&amp;T Mobility LLC, a Delaware limited liability company on behalf of itself and its Affiliates (as such term is defined herein) (collectively and hereinafter referred to as “</w:t>
      </w:r>
      <w:r>
        <w:rPr>
          <w:rFonts w:ascii="Times New Roman" w:cs="Times New Roman" w:eastAsia="Times New Roman" w:hAnsi="Times New Roman"/>
          <w:sz w:val="22"/>
          <w:szCs w:val="22"/>
          <w:u w:val="single" w:color="auto"/>
          <w:color w:val="auto"/>
        </w:rPr>
        <w:t>AT&amp;T</w:t>
      </w:r>
      <w:r>
        <w:rPr>
          <w:rFonts w:ascii="Times New Roman" w:cs="Times New Roman" w:eastAsia="Times New Roman" w:hAnsi="Times New Roman"/>
          <w:sz w:val="22"/>
          <w:szCs w:val="22"/>
          <w:color w:val="auto"/>
        </w:rPr>
        <w:t>”), each of which may be referred to in the singular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in the plural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entered into that certain Network Build and Maintenance Agreement dated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July 31, 2019, as amended pursuant to that certain First Amendment dated as of August 6, 2020, Second Amendment dated as of May 4, 2021, Third Amendment dated as of July 26, 2022, Fourth Amendment dated as of December 21, 2023, and Fifth Amendment dated as of January 1, 2025 (the “</w:t>
      </w:r>
      <w:r>
        <w:rPr>
          <w:rFonts w:ascii="Times New Roman" w:cs="Times New Roman" w:eastAsia="Times New Roman" w:hAnsi="Times New Roman"/>
          <w:sz w:val="21"/>
          <w:szCs w:val="21"/>
          <w:u w:val="single" w:color="auto"/>
          <w:color w:val="auto"/>
        </w:rPr>
        <w:t>NBMA</w:t>
      </w:r>
      <w:r>
        <w:rPr>
          <w:rFonts w:ascii="Times New Roman" w:cs="Times New Roman" w:eastAsia="Times New Roman" w:hAnsi="Times New Roman"/>
          <w:sz w:val="21"/>
          <w:szCs w:val="21"/>
          <w:color w:val="auto"/>
        </w:rPr>
        <w:t xml:space="preserve">”), pursuant to which Vendor has agreed to build, install and deploy a RAN at certain Cell Sites for AT&amp;T as described in </w:t>
      </w:r>
      <w:r>
        <w:rPr>
          <w:rFonts w:ascii="Times New Roman" w:cs="Times New Roman" w:eastAsia="Times New Roman" w:hAnsi="Times New Roman"/>
          <w:sz w:val="21"/>
          <w:szCs w:val="21"/>
          <w:b w:val="1"/>
          <w:bCs w:val="1"/>
          <w:color w:val="auto"/>
        </w:rPr>
        <w:t>Addendum</w:t>
      </w:r>
    </w:p>
    <w:p>
      <w:pPr>
        <w:jc w:val="both"/>
        <w:ind w:firstLine="8"/>
        <w:spacing w:after="0" w:line="234" w:lineRule="auto"/>
        <w:tabs>
          <w:tab w:leader="none" w:pos="247"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Network Build and Structured Payments </w:t>
      </w:r>
      <w:r>
        <w:rPr>
          <w:rFonts w:ascii="Times New Roman" w:cs="Times New Roman" w:eastAsia="Times New Roman" w:hAnsi="Times New Roman"/>
          <w:sz w:val="22"/>
          <w:szCs w:val="22"/>
          <w:color w:val="auto"/>
        </w:rPr>
        <w:t>attached thereto (the “</w:t>
      </w:r>
      <w:r>
        <w:rPr>
          <w:rFonts w:ascii="Times New Roman" w:cs="Times New Roman" w:eastAsia="Times New Roman" w:hAnsi="Times New Roman"/>
          <w:sz w:val="22"/>
          <w:szCs w:val="22"/>
          <w:u w:val="single" w:color="auto"/>
          <w:color w:val="auto"/>
        </w:rPr>
        <w:t>Build Addendum</w:t>
      </w:r>
      <w:r>
        <w:rPr>
          <w:rFonts w:ascii="Times New Roman" w:cs="Times New Roman" w:eastAsia="Times New Roman" w:hAnsi="Times New Roman"/>
          <w:sz w:val="22"/>
          <w:szCs w:val="22"/>
          <w:color w:val="auto"/>
        </w:rPr>
        <w:t>”) and to provide ongoing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maintenance of such RAN as described in </w:t>
      </w:r>
      <w:r>
        <w:rPr>
          <w:rFonts w:ascii="Times New Roman" w:cs="Times New Roman" w:eastAsia="Times New Roman" w:hAnsi="Times New Roman"/>
          <w:sz w:val="22"/>
          <w:szCs w:val="22"/>
          <w:b w:val="1"/>
          <w:bCs w:val="1"/>
          <w:color w:val="auto"/>
        </w:rPr>
        <w:t>Addendum 2: Maintenance Addendum</w:t>
      </w:r>
      <w:r>
        <w:rPr>
          <w:rFonts w:ascii="Times New Roman" w:cs="Times New Roman" w:eastAsia="Times New Roman" w:hAnsi="Times New Roman"/>
          <w:sz w:val="22"/>
          <w:szCs w:val="22"/>
          <w:color w:val="auto"/>
        </w:rPr>
        <w:t xml:space="preserve"> attached thereto (the “</w:t>
      </w:r>
      <w:r>
        <w:rPr>
          <w:rFonts w:ascii="Times New Roman" w:cs="Times New Roman" w:eastAsia="Times New Roman" w:hAnsi="Times New Roman"/>
          <w:sz w:val="22"/>
          <w:szCs w:val="22"/>
          <w:u w:val="single" w:color="auto"/>
          <w:color w:val="auto"/>
        </w:rPr>
        <w:t>Maintenance Addendum</w:t>
      </w:r>
      <w:r>
        <w:rPr>
          <w:rFonts w:ascii="Times New Roman" w:cs="Times New Roman" w:eastAsia="Times New Roman" w:hAnsi="Times New Roman"/>
          <w:sz w:val="22"/>
          <w:szCs w:val="22"/>
          <w:color w:val="auto"/>
        </w:rPr>
        <w:t>” and, together with the NBMA, the Build Addendum and all other addendums, schedules, amendments and modifications thereto, are referred to herein as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now desire to amend the Agreement in accordance with the terms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Sixth Amendment.</w:t>
      </w:r>
    </w:p>
    <w:p>
      <w:pPr>
        <w:spacing w:after="0" w:line="17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these covenants, and for other good and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intending to be legally bound, the Parties agree as follows:</w:t>
      </w:r>
    </w:p>
    <w:p>
      <w:pPr>
        <w:spacing w:after="0" w:line="177" w:lineRule="exact"/>
        <w:rPr>
          <w:sz w:val="20"/>
          <w:szCs w:val="20"/>
          <w:color w:val="auto"/>
        </w:rPr>
      </w:pPr>
    </w:p>
    <w:p>
      <w:pPr>
        <w:ind w:left="980" w:hanging="324"/>
        <w:spacing w:after="0" w:line="262"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Capitalized Terms: </w:t>
      </w:r>
      <w:r>
        <w:rPr>
          <w:rFonts w:ascii="Times New Roman" w:cs="Times New Roman" w:eastAsia="Times New Roman" w:hAnsi="Times New Roman"/>
          <w:sz w:val="22"/>
          <w:szCs w:val="22"/>
          <w:color w:val="auto"/>
        </w:rPr>
        <w:t>All capitalized terms used herein shall have the same meanings ascribed to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Agreement, unless otherwise expressly defined in this Sixth Amendment.</w:t>
      </w:r>
    </w:p>
    <w:p>
      <w:pPr>
        <w:spacing w:after="0" w:line="176" w:lineRule="exact"/>
        <w:rPr>
          <w:rFonts w:ascii="Times New Roman" w:cs="Times New Roman" w:eastAsia="Times New Roman" w:hAnsi="Times New Roman"/>
          <w:sz w:val="22"/>
          <w:szCs w:val="22"/>
          <w:color w:val="auto"/>
        </w:rPr>
      </w:pPr>
    </w:p>
    <w:p>
      <w:pPr>
        <w:jc w:val="both"/>
        <w:ind w:left="980" w:hanging="324"/>
        <w:spacing w:after="0" w:line="241"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 Reimbursements – Structured Payment Revision. </w:t>
      </w:r>
      <w:r>
        <w:rPr>
          <w:rFonts w:ascii="Times New Roman" w:cs="Times New Roman" w:eastAsia="Times New Roman" w:hAnsi="Times New Roman"/>
          <w:sz w:val="22"/>
          <w:szCs w:val="22"/>
          <w:color w:val="auto"/>
        </w:rPr>
        <w:t>Notwithstanding anything to the contrary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Agreement, the Parties hereby agree that AT&amp;T shall make certain additional payments to Vendor as specified in this Sixth Amendment. The following payments shall be in addition to, and not in lieu of, any Structured Payments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69" w:name="page70"/>
    <w:bookmarkEnd w:id="69"/>
    <w:p>
      <w:pPr>
        <w:jc w:val="both"/>
        <w:ind w:left="520"/>
        <w:spacing w:after="0"/>
        <w:rPr>
          <w:sz w:val="20"/>
          <w:szCs w:val="20"/>
          <w:color w:val="auto"/>
        </w:rPr>
      </w:pPr>
      <w:r>
        <w:rPr>
          <w:rFonts w:ascii="Times New Roman" w:cs="Times New Roman" w:eastAsia="Times New Roman" w:hAnsi="Times New Roman"/>
          <w:sz w:val="22"/>
          <w:szCs w:val="22"/>
          <w:color w:val="auto"/>
        </w:rPr>
        <w:t>payable by AT&amp;T under the Agreement. AT&amp;T hereby agrees to reimburse Vendor as a one-time payment for the structured payment error calculation in the Fifth Amendment for [***] Cell Sites resulting in the additional cost and tax expenses associated with the following line items as set forth and identified in the chart below:</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520"/>
        <w:spacing w:after="0" w:line="244" w:lineRule="auto"/>
        <w:rPr>
          <w:sz w:val="20"/>
          <w:szCs w:val="20"/>
          <w:color w:val="auto"/>
        </w:rPr>
      </w:pPr>
      <w:r>
        <w:rPr>
          <w:rFonts w:ascii="Times New Roman" w:cs="Times New Roman" w:eastAsia="Times New Roman" w:hAnsi="Times New Roman"/>
          <w:sz w:val="22"/>
          <w:szCs w:val="22"/>
          <w:color w:val="auto"/>
        </w:rPr>
        <w:t>The parties agree that the table above is reasonable supporting documentation for the final costs. AT&amp;T shall pay to Vendor an amount equal to [***] no later than sixty (60) days after receipt of invoice.</w:t>
      </w:r>
    </w:p>
    <w:p>
      <w:pPr>
        <w:spacing w:after="0" w:line="196" w:lineRule="exact"/>
        <w:rPr>
          <w:sz w:val="20"/>
          <w:szCs w:val="20"/>
          <w:color w:val="auto"/>
        </w:rPr>
      </w:pPr>
    </w:p>
    <w:p>
      <w:pPr>
        <w:jc w:val="both"/>
        <w:ind w:left="520" w:hanging="324"/>
        <w:spacing w:after="0" w:line="235" w:lineRule="auto"/>
        <w:tabs>
          <w:tab w:leader="none" w:pos="5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 Reimbursements – [***] Sunk Costs. </w:t>
      </w:r>
      <w:r>
        <w:rPr>
          <w:rFonts w:ascii="Times New Roman" w:cs="Times New Roman" w:eastAsia="Times New Roman" w:hAnsi="Times New Roman"/>
          <w:sz w:val="22"/>
          <w:szCs w:val="22"/>
          <w:color w:val="auto"/>
        </w:rPr>
        <w:t>Notwithstanding anything to the contrary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Parties hereby agree that AT&amp;T shall make certain additional payments to Vendor as specified in this Sixth Amendment. The following payments shall be in addition to, and not in lieu of, any Structured Payments payable by AT&amp;T under the Agreement. AT&amp;T hereby agrees to reimburse Vendor as a one-time payment for the sunk costs incurred due to an AT&amp;T initiative requiring halting of implemented [***] work and equipment replacement with [***] on [***] Cell Sites, explained in the following line items as set forth and identified in the chart below (further evidence in the attached excel file):</w:t>
      </w:r>
    </w:p>
    <w:p>
      <w:pPr>
        <w:spacing w:after="0" w:line="205"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color w:val="auto"/>
        </w:rPr>
      </w:pPr>
    </w:p>
    <w:p>
      <w:pPr>
        <w:ind w:left="5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AT&amp;T shall pay to Vendor an amount equal to [***] no later than sixty (60) days after receipt of invoice.</w:t>
      </w:r>
    </w:p>
    <w:p>
      <w:pPr>
        <w:spacing w:after="0" w:line="181" w:lineRule="exact"/>
        <w:rPr>
          <w:rFonts w:ascii="Times New Roman" w:cs="Times New Roman" w:eastAsia="Times New Roman" w:hAnsi="Times New Roman"/>
          <w:sz w:val="22"/>
          <w:szCs w:val="22"/>
          <w:color w:val="auto"/>
        </w:rPr>
      </w:pPr>
    </w:p>
    <w:p>
      <w:pPr>
        <w:jc w:val="both"/>
        <w:ind w:left="520" w:hanging="324"/>
        <w:spacing w:after="0" w:line="238" w:lineRule="auto"/>
        <w:tabs>
          <w:tab w:leader="none" w:pos="5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 Reimbursements – [***]. </w:t>
      </w:r>
      <w:r>
        <w:rPr>
          <w:rFonts w:ascii="Times New Roman" w:cs="Times New Roman" w:eastAsia="Times New Roman" w:hAnsi="Times New Roman"/>
          <w:sz w:val="22"/>
          <w:szCs w:val="22"/>
          <w:color w:val="auto"/>
        </w:rPr>
        <w:t>The Parties have agreed to review increased demonstrated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associated with the [***] deployment for 2025. The Parties have reviewed and verified Vendor’s documentation supporting its increased costs and AT&amp;T shall pay to Vendor an amount equal to [***] no later than sixty (60) days after receipt of invoice. AT&amp;T will reimburse Vendor for such additional costs and expenses in excess of the annual Structured Payment remitted to Vendor.</w:t>
      </w:r>
    </w:p>
    <w:p>
      <w:pPr>
        <w:spacing w:after="0" w:line="203" w:lineRule="exact"/>
        <w:rPr>
          <w:rFonts w:ascii="Times New Roman" w:cs="Times New Roman" w:eastAsia="Times New Roman" w:hAnsi="Times New Roman"/>
          <w:sz w:val="22"/>
          <w:szCs w:val="22"/>
          <w:color w:val="auto"/>
        </w:rPr>
      </w:pPr>
    </w:p>
    <w:p>
      <w:pPr>
        <w:jc w:val="both"/>
        <w:ind w:left="520" w:hanging="324"/>
        <w:spacing w:after="0" w:line="235" w:lineRule="auto"/>
        <w:tabs>
          <w:tab w:leader="none" w:pos="5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to Schedule 1: Cell Sites attached to the Build Addendum. </w:t>
      </w:r>
      <w:r>
        <w:rPr>
          <w:rFonts w:ascii="Times New Roman" w:cs="Times New Roman" w:eastAsia="Times New Roman" w:hAnsi="Times New Roman"/>
          <w:sz w:val="22"/>
          <w:szCs w:val="22"/>
          <w:color w:val="auto"/>
        </w:rPr>
        <w:t>The Parties have agreed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the number of Cell Sites contemplated by the Build Addendum and desire to remove [***] Cell Sites from Schedule 1: Cell Sites attached to the Build Addendum. Schedule 1: Cell Sites attached to the Build Addendum is hereby deleted in its entirety and replaced with Schedule 1: Cell Sites Revised attached hereto. For the avoidance of doubt, the revised Cell Site count will be those [***] Cell Sites identified in Schedule 1: Cell Sites Revised attached to this Sixth Amendment and the Cell Sites removed from Schedule 1: Cell Sites attached to the Build Addendum are listed below (the “Removed Cell Sites”):</w:t>
      </w:r>
    </w:p>
    <w:p>
      <w:pPr>
        <w:spacing w:after="0" w:line="209"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22"/>
          <w:szCs w:val="22"/>
          <w:color w:val="auto"/>
        </w:rPr>
        <w:t>The Agreement is hereby terminated solely with respect to such Removed Cell Sites. From and after the Sixth Amendment Effective Date, Vendor has no obligation to build,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70" w:name="page71"/>
    <w:bookmarkEnd w:id="70"/>
    <w:p>
      <w:pPr>
        <w:jc w:val="both"/>
        <w:ind w:left="580"/>
        <w:spacing w:after="0" w:line="235" w:lineRule="auto"/>
        <w:rPr>
          <w:sz w:val="20"/>
          <w:szCs w:val="20"/>
          <w:color w:val="auto"/>
        </w:rPr>
      </w:pPr>
      <w:r>
        <w:rPr>
          <w:rFonts w:ascii="Times New Roman" w:cs="Times New Roman" w:eastAsia="Times New Roman" w:hAnsi="Times New Roman"/>
          <w:sz w:val="22"/>
          <w:szCs w:val="22"/>
          <w:color w:val="auto"/>
        </w:rPr>
        <w:t>install or maintain such Removed Cell Sites under the Agreement and AT&amp;T has no obligation to make Structured Payments or pay Maintenance Fees to Vendor with respect to such Removed Cell Sites or any other Liabilities with respect thereto pursuant to the Agreement except that AT&amp;T shall reimburse Vendor for reasonable costs associated with the removed sites insured by Vendor up to date. The costs are [***] for [***] and [***] for [***]. AT&amp;T shall pay to Vendor an amount equal to [***] no later than sixty (60) days after receipt of invoice. The costs for [***] and [***] will be determined by Vendor with reasonable supporting documentation and invoiced to AT&amp;T.</w:t>
      </w:r>
    </w:p>
    <w:p>
      <w:pPr>
        <w:spacing w:after="0" w:line="207" w:lineRule="exact"/>
        <w:rPr>
          <w:sz w:val="20"/>
          <w:szCs w:val="20"/>
          <w:color w:val="auto"/>
        </w:rPr>
      </w:pPr>
    </w:p>
    <w:p>
      <w:pPr>
        <w:jc w:val="both"/>
        <w:ind w:left="520" w:hanging="324"/>
        <w:spacing w:after="0" w:line="241" w:lineRule="auto"/>
        <w:tabs>
          <w:tab w:leader="none" w:pos="5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to Addendum 2: Maintenance (the “Maintenance Addendum”) </w:t>
      </w:r>
      <w:r>
        <w:rPr>
          <w:rFonts w:ascii="Times New Roman" w:cs="Times New Roman" w:eastAsia="Times New Roman" w:hAnsi="Times New Roman"/>
          <w:sz w:val="22"/>
          <w:szCs w:val="22"/>
          <w:color w:val="auto"/>
        </w:rPr>
        <w:t>The Parties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to amend the number of Cell Sites within the Maintenance Addendum. The revised Cell Site count will be [***] Cell Sites identified in Schedule B: Maintenance Addendum Cell Sites Revised. The Cell Sites removed from the Maintenance Addendum are listed hereto:</w:t>
      </w:r>
    </w:p>
    <w:p>
      <w:pPr>
        <w:spacing w:after="0" w:line="202"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ind w:left="520" w:hanging="324"/>
        <w:spacing w:after="0"/>
        <w:tabs>
          <w:tab w:leader="none" w:pos="5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to Schedule 4: Build Out Plan attached to the Build Addendum</w:t>
      </w:r>
      <w:r>
        <w:rPr>
          <w:rFonts w:ascii="Times New Roman" w:cs="Times New Roman" w:eastAsia="Times New Roman" w:hAnsi="Times New Roman"/>
          <w:sz w:val="22"/>
          <w:szCs w:val="22"/>
          <w:color w:val="auto"/>
        </w:rPr>
        <w:t>.  The table on the</w:t>
      </w:r>
    </w:p>
    <w:p>
      <w:pPr>
        <w:spacing w:after="0" w:line="18" w:lineRule="exact"/>
        <w:rPr>
          <w:rFonts w:ascii="Times New Roman" w:cs="Times New Roman" w:eastAsia="Times New Roman" w:hAnsi="Times New Roman"/>
          <w:sz w:val="22"/>
          <w:szCs w:val="22"/>
          <w:color w:val="auto"/>
        </w:rPr>
      </w:pPr>
    </w:p>
    <w:p>
      <w:pPr>
        <w:ind w:left="52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page of Schedule 4: Build Out Plan attached to the Build Addendum shall be deleted in its entirety and replaced with the following:</w:t>
      </w:r>
    </w:p>
    <w:p>
      <w:pPr>
        <w:spacing w:after="0" w:line="201"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Cell Sites:</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520" w:hanging="324"/>
        <w:spacing w:after="0" w:line="262" w:lineRule="auto"/>
        <w:tabs>
          <w:tab w:leader="none" w:pos="5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Amendment to Schedule 5: Milestones attached to the Build Addendum. </w:t>
      </w:r>
      <w:r>
        <w:rPr>
          <w:rFonts w:ascii="Times New Roman" w:cs="Times New Roman" w:eastAsia="Times New Roman" w:hAnsi="Times New Roman"/>
          <w:sz w:val="22"/>
          <w:szCs w:val="22"/>
          <w:color w:val="auto"/>
        </w:rPr>
        <w:t>Schedule 5: Milestones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the Build Addendum shall be deleted in its entirety and replaced with the following:</w:t>
      </w:r>
    </w:p>
    <w:p>
      <w:pPr>
        <w:spacing w:after="0" w:line="180"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520" w:right="20" w:hanging="324"/>
        <w:spacing w:after="0" w:line="239" w:lineRule="auto"/>
        <w:tabs>
          <w:tab w:leader="none" w:pos="5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Agreement shall remain in full force and effect. The Agreement is hereby amended so that any reference to the Agreement shall mean a reference to the Agreement as amended by this Sixth Amendment. In the event of a conflict between the terms of the Agreement and this Sixth Amendment, the terms of this Sixth Amendment shall control.</w:t>
      </w:r>
    </w:p>
    <w:p>
      <w:pPr>
        <w:spacing w:after="0" w:line="207" w:lineRule="exact"/>
        <w:rPr>
          <w:rFonts w:ascii="Times New Roman" w:cs="Times New Roman" w:eastAsia="Times New Roman" w:hAnsi="Times New Roman"/>
          <w:sz w:val="22"/>
          <w:szCs w:val="22"/>
          <w:color w:val="auto"/>
        </w:rPr>
      </w:pPr>
    </w:p>
    <w:p>
      <w:pPr>
        <w:jc w:val="both"/>
        <w:ind w:left="520" w:hanging="324"/>
        <w:spacing w:after="0" w:line="244" w:lineRule="auto"/>
        <w:tabs>
          <w:tab w:leader="none" w:pos="5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Sixth Amendment may be executed in one or more counterparts, each of which when so executed shall be an original, but all of which together shall constitute one agreement. Signatures delivered by facsimile or electronic mail shall be deemed original signatures.</w:t>
      </w:r>
    </w:p>
    <w:p>
      <w:pPr>
        <w:spacing w:after="0" w:line="2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71" w:name="page72"/>
    <w:bookmarkEnd w:id="71"/>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their duly authorized representatives to execute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Sixth Amendment as of the date first written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Commnet Wireless, LLC</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​​AT&amp;T​ Mobility LLC</w:t>
            </w:r>
          </w:p>
        </w:tc>
      </w:tr>
      <w:tr>
        <w:trPr>
          <w:trHeight w:val="282"/>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By AT&amp;T Mobility Corporation, its manager</w:t>
            </w:r>
          </w:p>
        </w:tc>
      </w:tr>
      <w:tr>
        <w:trPr>
          <w:trHeight w:val="474"/>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Edward Dement</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By:   /s/ Kurt Dresch</w:t>
            </w:r>
          </w:p>
        </w:tc>
      </w:tr>
      <w:tr>
        <w:trPr>
          <w:trHeight w:val="20"/>
        </w:trPr>
        <w:tc>
          <w:tcPr>
            <w:tcW w:w="5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r>
        <w:trPr>
          <w:trHeight w:val="480"/>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Name:Edward Dement</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Name:Kurt Dresch</w:t>
            </w:r>
          </w:p>
        </w:tc>
      </w:tr>
      <w:tr>
        <w:trPr>
          <w:trHeight w:val="20"/>
        </w:trPr>
        <w:tc>
          <w:tcPr>
            <w:tcW w:w="5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r>
        <w:trPr>
          <w:trHeight w:val="479"/>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General Manager, Carrier Services</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 Director – Global Connections</w:t>
            </w:r>
          </w:p>
        </w:tc>
      </w:tr>
      <w:tr>
        <w:trPr>
          <w:trHeight w:val="858"/>
        </w:trPr>
        <w:tc>
          <w:tcPr>
            <w:tcW w:w="58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4440" w:type="dxa"/>
            <w:vAlign w:val="bottom"/>
            <w:tcBorders>
              <w:top w:val="single" w:sz="8" w:color="auto"/>
            </w:tcBorders>
          </w:tcPr>
          <w:p>
            <w:pPr>
              <w:spacing w:after="0"/>
              <w:rPr>
                <w:sz w:val="24"/>
                <w:szCs w:val="24"/>
                <w:color w:val="auto"/>
              </w:rPr>
            </w:pPr>
          </w:p>
        </w:tc>
      </w:tr>
      <w:tr>
        <w:trPr>
          <w:trHeight w:val="560"/>
        </w:trPr>
        <w:tc>
          <w:tcPr>
            <w:tcW w:w="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143510</wp:posOffset>
            </wp:positionV>
            <wp:extent cx="1217295" cy="668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2172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May 6,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SENT VIA EMAIL (</w:t>
      </w:r>
      <w:r>
        <w:rPr>
          <w:rFonts w:ascii="Arial" w:cs="Arial" w:eastAsia="Arial" w:hAnsi="Arial"/>
          <w:sz w:val="20"/>
          <w:szCs w:val="20"/>
          <w:color w:val="auto"/>
        </w:rPr>
        <w:t>CRAIG.WEST@VERIZONWIRELESS.COM</w:t>
      </w:r>
      <w:r>
        <w:rPr>
          <w:rFonts w:ascii="Arial" w:cs="Arial" w:eastAsia="Arial" w:hAnsi="Arial"/>
          <w:sz w:val="20"/>
          <w:szCs w:val="20"/>
          <w:u w:val="single" w:color="auto"/>
          <w:color w:val="auto"/>
        </w:rPr>
        <w:t>)</w:t>
      </w:r>
    </w:p>
    <w:p>
      <w:pPr>
        <w:spacing w:after="0" w:line="229" w:lineRule="auto"/>
        <w:rPr>
          <w:sz w:val="20"/>
          <w:szCs w:val="20"/>
          <w:color w:val="auto"/>
        </w:rPr>
      </w:pPr>
      <w:r>
        <w:rPr>
          <w:rFonts w:ascii="Arial" w:cs="Arial" w:eastAsia="Arial" w:hAnsi="Arial"/>
          <w:sz w:val="20"/>
          <w:szCs w:val="20"/>
          <w:color w:val="auto"/>
        </w:rPr>
        <w:t>Verizon</w:t>
      </w:r>
    </w:p>
    <w:p>
      <w:pPr>
        <w:spacing w:after="0" w:line="226" w:lineRule="auto"/>
        <w:rPr>
          <w:sz w:val="20"/>
          <w:szCs w:val="20"/>
          <w:color w:val="auto"/>
        </w:rPr>
      </w:pPr>
      <w:r>
        <w:rPr>
          <w:rFonts w:ascii="Arial" w:cs="Arial" w:eastAsia="Arial" w:hAnsi="Arial"/>
          <w:sz w:val="20"/>
          <w:szCs w:val="20"/>
          <w:color w:val="auto"/>
        </w:rPr>
        <w:t>One Verizon Way</w:t>
      </w:r>
    </w:p>
    <w:p>
      <w:pPr>
        <w:spacing w:after="0" w:line="225" w:lineRule="auto"/>
        <w:rPr>
          <w:sz w:val="20"/>
          <w:szCs w:val="20"/>
          <w:color w:val="auto"/>
        </w:rPr>
      </w:pPr>
      <w:r>
        <w:rPr>
          <w:rFonts w:ascii="Arial" w:cs="Arial" w:eastAsia="Arial" w:hAnsi="Arial"/>
          <w:sz w:val="20"/>
          <w:szCs w:val="20"/>
          <w:color w:val="auto"/>
        </w:rPr>
        <w:t>Basking Ridge, NJ 07920</w:t>
      </w:r>
    </w:p>
    <w:p>
      <w:pPr>
        <w:spacing w:after="0"/>
        <w:rPr>
          <w:sz w:val="20"/>
          <w:szCs w:val="20"/>
          <w:color w:val="auto"/>
        </w:rPr>
      </w:pPr>
      <w:r>
        <w:rPr>
          <w:rFonts w:ascii="Arial" w:cs="Arial" w:eastAsia="Arial" w:hAnsi="Arial"/>
          <w:sz w:val="20"/>
          <w:szCs w:val="20"/>
          <w:color w:val="auto"/>
        </w:rPr>
        <w:t>Attention: Craig West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Verizon CMS Agreement</w:t>
      </w:r>
      <w:r>
        <w:rPr>
          <w:rFonts w:ascii="Arial" w:cs="Arial" w:eastAsia="Arial" w:hAnsi="Arial"/>
          <w:sz w:val="29"/>
          <w:szCs w:val="29"/>
          <w:u w:val="single" w:color="auto"/>
          <w:color w:val="auto"/>
          <w:vertAlign w:val="superscript"/>
        </w:rPr>
        <w:t>1</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Dear Craig,</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Verizon and Commnet are parties to the CMS Agreement, pursuant to which Commnet would: (i) on behalf of Verizon, build, install, test, and maintain the Vendor Network (which is comprised of the Vendor RAN) at various Cell Sites; and (ii) provide to Verizon certain related Services. As used in this letter, initially capitalized terms used and not defined have the meaning set forth in CMS Agreements. This letter and the information contained herein are Confidential Information subject to the terms and conditions of the CMS Agreement.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Parties agree that the provisions of Section 5.6(v) of the CMS Agreement shall hereby be amended to state that “Verizon shall not be obligated to accept any Cell Site that is not completed prior to September 1, 2026. Notwithstanding the foregoing, the parties may agree (including by email) to extend the date of acceptance of any Cell Site on a site by site basis. “</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To indicate your agreement to the foregoing, please sign a copy of this letter agreement and return a copy to us.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working with you expeditiously to finalize the Build Out of the Vendor Network.</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Sincerely,</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Commnet Wireless, LLC</w:t>
      </w:r>
    </w:p>
    <w:p>
      <w:pPr>
        <w:spacing w:after="0" w:line="184"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0"/>
          <w:szCs w:val="20"/>
          <w:color w:val="auto"/>
        </w:rPr>
        <w:t>By:</w:t>
        <w:tab/>
        <w:t>/s/ Edward DeMent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5080</wp:posOffset>
            </wp:positionV>
            <wp:extent cx="3180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Name:Edward DeMent</w:t>
      </w:r>
    </w:p>
    <w:p>
      <w:pPr>
        <w:ind w:left="4320"/>
        <w:spacing w:after="0"/>
        <w:tabs>
          <w:tab w:leader="none" w:pos="4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General Manager, Carrier Services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Cellco Partnership dba Verizon Wireless</w:t>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Craig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5080</wp:posOffset>
            </wp:positionV>
            <wp:extent cx="24174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Name:Craig West</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Director – Roaming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1568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1" w:lineRule="exact"/>
        <w:rPr>
          <w:sz w:val="20"/>
          <w:szCs w:val="20"/>
          <w:color w:val="auto"/>
        </w:rPr>
      </w:pPr>
    </w:p>
    <w:p>
      <w:pPr>
        <w:jc w:val="both"/>
        <w:ind w:left="660" w:hanging="652"/>
        <w:spacing w:after="0" w:line="213" w:lineRule="auto"/>
        <w:tabs>
          <w:tab w:leader="none" w:pos="660" w:val="left"/>
        </w:tabs>
        <w:numPr>
          <w:ilvl w:val="0"/>
          <w:numId w:val="40"/>
        </w:numPr>
        <w:rPr>
          <w:rFonts w:ascii="Arial" w:cs="Arial" w:eastAsia="Arial" w:hAnsi="Arial"/>
          <w:sz w:val="30"/>
          <w:szCs w:val="30"/>
          <w:color w:val="auto"/>
          <w:vertAlign w:val="superscript"/>
        </w:rPr>
      </w:pPr>
      <w:r>
        <w:rPr>
          <w:rFonts w:ascii="Arial" w:cs="Arial" w:eastAsia="Arial" w:hAnsi="Arial"/>
          <w:sz w:val="20"/>
          <w:szCs w:val="20"/>
          <w:color w:val="auto"/>
        </w:rPr>
        <w:t>“</w:t>
      </w:r>
      <w:r>
        <w:rPr>
          <w:rFonts w:ascii="Arial" w:cs="Arial" w:eastAsia="Arial" w:hAnsi="Arial"/>
          <w:sz w:val="20"/>
          <w:szCs w:val="20"/>
          <w:u w:val="single" w:color="auto"/>
          <w:color w:val="auto"/>
        </w:rPr>
        <w:t>CMS Agreement</w:t>
      </w:r>
      <w:r>
        <w:rPr>
          <w:rFonts w:ascii="Arial" w:cs="Arial" w:eastAsia="Arial" w:hAnsi="Arial"/>
          <w:sz w:val="20"/>
          <w:szCs w:val="20"/>
          <w:color w:val="auto"/>
        </w:rPr>
        <w:t>” means the Master Agreement, dated as of May 10, 2023 (the “</w:t>
      </w:r>
      <w:r>
        <w:rPr>
          <w:rFonts w:ascii="Arial" w:cs="Arial" w:eastAsia="Arial" w:hAnsi="Arial"/>
          <w:sz w:val="20"/>
          <w:szCs w:val="20"/>
          <w:u w:val="single" w:color="auto"/>
          <w:color w:val="auto"/>
        </w:rPr>
        <w:t>Master Agreement</w:t>
      </w:r>
      <w:r>
        <w:rPr>
          <w:rFonts w:ascii="Arial" w:cs="Arial" w:eastAsia="Arial" w:hAnsi="Arial"/>
          <w:sz w:val="20"/>
          <w:szCs w:val="20"/>
          <w:color w:val="auto"/>
        </w:rPr>
        <w:t>”), by and between Commnet Wireless, LLC (on behalf of itself and its Affiliates) (“</w:t>
      </w:r>
      <w:r>
        <w:rPr>
          <w:rFonts w:ascii="Arial" w:cs="Arial" w:eastAsia="Arial" w:hAnsi="Arial"/>
          <w:sz w:val="20"/>
          <w:szCs w:val="20"/>
          <w:u w:val="single" w:color="auto"/>
          <w:color w:val="auto"/>
        </w:rPr>
        <w:t>Commnet</w:t>
      </w:r>
      <w:r>
        <w:rPr>
          <w:rFonts w:ascii="Arial" w:cs="Arial" w:eastAsia="Arial" w:hAnsi="Arial"/>
          <w:sz w:val="20"/>
          <w:szCs w:val="20"/>
          <w:color w:val="auto"/>
        </w:rPr>
        <w:t>”) and Cellco Partnership d/b/a Verizon Wireless and its successors and permitted assigns (on behalf of itself and its Affiliates) (“</w:t>
      </w:r>
      <w:r>
        <w:rPr>
          <w:rFonts w:ascii="Arial" w:cs="Arial" w:eastAsia="Arial" w:hAnsi="Arial"/>
          <w:sz w:val="20"/>
          <w:szCs w:val="20"/>
          <w:u w:val="single" w:color="auto"/>
          <w:color w:val="auto"/>
        </w:rPr>
        <w:t>Verizon</w:t>
      </w:r>
      <w:r>
        <w:rPr>
          <w:rFonts w:ascii="Arial" w:cs="Arial" w:eastAsia="Arial" w:hAnsi="Arial"/>
          <w:sz w:val="20"/>
          <w:szCs w:val="20"/>
          <w:color w:val="auto"/>
        </w:rPr>
        <w:t>” or “</w:t>
      </w:r>
      <w:r>
        <w:rPr>
          <w:rFonts w:ascii="Arial" w:cs="Arial" w:eastAsia="Arial" w:hAnsi="Arial"/>
          <w:sz w:val="20"/>
          <w:szCs w:val="20"/>
          <w:u w:val="single" w:color="auto"/>
          <w:color w:val="auto"/>
        </w:rPr>
        <w:t>you</w:t>
      </w:r>
      <w:r>
        <w:rPr>
          <w:rFonts w:ascii="Arial" w:cs="Arial" w:eastAsia="Arial" w:hAnsi="Arial"/>
          <w:sz w:val="20"/>
          <w:szCs w:val="20"/>
          <w:color w:val="auto"/>
        </w:rPr>
        <w:t>”), as amended by Amendment No. 1, dated as of May 10, 2023 as the same may be amended, modified,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441325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Naji N. Khoury, certify that:</w:t>
      </w:r>
    </w:p>
    <w:p>
      <w:pPr>
        <w:spacing w:after="0" w:line="225" w:lineRule="exact"/>
        <w:rPr>
          <w:sz w:val="20"/>
          <w:szCs w:val="20"/>
          <w:color w:val="auto"/>
        </w:rPr>
      </w:pPr>
    </w:p>
    <w:p>
      <w:pPr>
        <w:ind w:left="880" w:hanging="4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11, 2026</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Naji N. Khoury</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Naji N. Khoury</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880" w:hanging="4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11, 2026</w:t>
            </w: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c>
          <w:tcPr>
            <w:tcW w:w="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4"/>
        </w:trPr>
        <w:tc>
          <w:tcPr>
            <w:tcW w:w="3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75" w:name="page76"/>
    <w:bookmarkEnd w:id="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7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2026 as filed with the Securities and Exchange Commission on the date hereof (the “Report”), I, Naji N. Khoury,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By:/s/ Naji N. Khoury</w:t>
            </w:r>
          </w:p>
        </w:tc>
      </w:tr>
      <w:tr>
        <w:trPr>
          <w:trHeight w:val="191"/>
        </w:trPr>
        <w:tc>
          <w:tcPr>
            <w:tcW w:w="2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Naji N. Khoury</w:t>
            </w:r>
          </w:p>
        </w:tc>
      </w:tr>
      <w:tr>
        <w:trPr>
          <w:trHeight w:val="234"/>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2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6" w:name="page77"/>
    <w:bookmarkEnd w:id="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2026 as filed with the Securities and Exchange Commission on the date hereof (the “Report”), I, Carlos R. Doglioli, Chief Financial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Roman"/>
      <w:start w:val="2"/>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lvl w:ilvl="1">
      <w:lvlJc w:val="left"/>
      <w:lvlText w:val="(%2)"/>
      <w:numFmt w:val="decimal"/>
      <w:start w:val="1"/>
    </w:lvl>
  </w:abstractNum>
  <w:abstractNum w:abstractNumId="13">
    <w:nsid w:val="8138641"/>
    <w:multiLevelType w:val="hybridMultilevel"/>
    <w:lvl w:ilvl="0">
      <w:lvlJc w:val="left"/>
      <w:lvlText w:val="%1."/>
      <w:numFmt w:val="decimal"/>
      <w:start w:val="14"/>
    </w:lvl>
    <w:lvl w:ilvl="1">
      <w:lvlJc w:val="left"/>
      <w:lvlText w:val="%2"/>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lvl w:ilvl="1">
      <w:lvlJc w:val="left"/>
      <w:lvlText w:val="%2"/>
      <w:numFmt w:val="decimal"/>
      <w:start w:val="104"/>
    </w:lvl>
  </w:abstractNum>
  <w:abstractNum w:abstractNumId="32">
    <w:nsid w:val="51EAD36B"/>
    <w:multiLevelType w:val="hybridMultilevel"/>
    <w:lvl w:ilvl="0">
      <w:lvlJc w:val="left"/>
      <w:lvlText w:val="**"/>
      <w:numFmt w:val="bullet"/>
      <w:start w:val="1"/>
    </w:lvl>
    <w:lvl w:ilvl="1">
      <w:lvlJc w:val="left"/>
      <w:lvlText w:val="%2"/>
      <w:numFmt w:val="decimal"/>
      <w:start w:val="1"/>
    </w:lvl>
  </w:abstractNum>
  <w:abstractNum w:abstractNumId="33">
    <w:nsid w:val="2D517796"/>
    <w:multiLevelType w:val="hybridMultilevel"/>
    <w:lvl w:ilvl="0">
      <w:lvlJc w:val="left"/>
      <w:lvlText w:val="(%1)"/>
      <w:numFmt w:val="upperLetter"/>
      <w:start w:val="9"/>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3"/>
    </w:lvl>
  </w:abstractNum>
  <w:abstractNum w:abstractNumId="37">
    <w:nsid w:val="70A64E2A"/>
    <w:multiLevelType w:val="hybridMultilevel"/>
    <w:lvl w:ilvl="0">
      <w:lvlJc w:val="left"/>
      <w:lvlText w:val="%1."/>
      <w:numFmt w:val="decimal"/>
      <w:start w:val="6"/>
    </w:lvl>
  </w:abstractNum>
  <w:abstractNum w:abstractNumId="38">
    <w:nsid w:val="6A2342EC"/>
    <w:multiLevelType w:val="hybridMultilevel"/>
    <w:lvl w:ilvl="0">
      <w:lvlJc w:val="left"/>
      <w:lvlText w:val="%1."/>
      <w:numFmt w:val="decimal"/>
      <w:start w:val="8"/>
    </w:lvl>
  </w:abstractNum>
  <w:abstractNum w:abstractNumId="39">
    <w:nsid w:val="2A487CB0"/>
    <w:multiLevelType w:val="hybridMultilevel"/>
    <w:lvl w:ilvl="0">
      <w:lvlJc w:val="left"/>
      <w:lvlText w:val="1"/>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2CD89A3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3">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jpe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6" Type="http://schemas.openxmlformats.org/officeDocument/2006/relationships/hyperlink" Target="https://www.sec.gov/Archives/edgar/data/879585/000110465926040454/tm2611258d1_10-1.htm" TargetMode="External"/><Relationship Id="rId87" Type="http://schemas.openxmlformats.org/officeDocument/2006/relationships/hyperlink" Target="https://www.sec.gov/Archives/edgar/data/879585/000110465926040454/tm2611258d1_10-2.htm" TargetMode="External"/><Relationship Id="rId88" Type="http://schemas.openxmlformats.org/officeDocument/2006/relationships/hyperlink" Target="https://www.sec.gov/Archives/edgar/data/879585/000110465926040454/tm2611258d1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2026-05-11T15:26:00Z</dcterms:created>
  <dcterms:modified xsi:type="dcterms:W3CDTF">2026-05-11T15:26:00Z</dcterms:modified>
</cp:coreProperties>
</file>