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126365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163195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10-Q</w:t>
      </w:r>
    </w:p>
    <w:p>
      <w:pPr>
        <w:spacing w:after="0" w:line="170" w:lineRule="exact"/>
        <w:rPr>
          <w:sz w:val="24"/>
          <w:szCs w:val="24"/>
          <w:color w:val="auto"/>
        </w:rPr>
      </w:pPr>
    </w:p>
    <w:p>
      <w:pPr>
        <w:ind w:left="660" w:right="200" w:hanging="409"/>
        <w:spacing w:after="0" w:line="267"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220"/>
        <w:spacing w:after="0" w:line="230" w:lineRule="exact"/>
        <w:tabs>
          <w:tab w:leader="none" w:pos="64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Arial" w:cs="Arial" w:eastAsia="Arial" w:hAnsi="Arial"/>
          <w:sz w:val="19"/>
          <w:szCs w:val="19"/>
          <w:b w:val="1"/>
          <w:bCs w:val="1"/>
          <w:color w:val="auto"/>
        </w:rPr>
        <w:t>TRANSITION REPORT PURSUANT TO SECTION 13 OR 15(d)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-111125</wp:posOffset>
            </wp:positionV>
            <wp:extent cx="3429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19"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OF 1934</w:t>
      </w:r>
    </w:p>
    <w:p>
      <w:pPr>
        <w:spacing w:after="0" w:line="122" w:lineRule="exact"/>
        <w:rPr>
          <w:sz w:val="24"/>
          <w:szCs w:val="24"/>
          <w:color w:val="auto"/>
        </w:rPr>
      </w:pPr>
    </w:p>
    <w:p>
      <w:pPr>
        <w:ind w:left="3100"/>
        <w:spacing w:after="0"/>
        <w:tabs>
          <w:tab w:leader="none" w:pos="59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882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001-12593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183515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ATN INTERNATIONAL, INC.</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134"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3780" w:type="dxa"/>
            <w:vAlign w:val="bottom"/>
          </w:tcPr>
          <w:p>
            <w:pPr>
              <w:jc w:val="center"/>
              <w:ind w:right="1897"/>
              <w:spacing w:after="0"/>
              <w:rPr>
                <w:sz w:val="20"/>
                <w:szCs w:val="20"/>
                <w:color w:val="auto"/>
              </w:rPr>
            </w:pPr>
            <w:r>
              <w:rPr>
                <w:rFonts w:ascii="Arial" w:cs="Arial" w:eastAsia="Arial" w:hAnsi="Arial"/>
                <w:sz w:val="13"/>
                <w:szCs w:val="13"/>
                <w:b w:val="1"/>
                <w:bCs w:val="1"/>
                <w:color w:val="auto"/>
                <w:w w:val="87"/>
              </w:rPr>
              <w:t>Delaware</w:t>
            </w:r>
          </w:p>
        </w:tc>
        <w:tc>
          <w:tcPr>
            <w:tcW w:w="2720" w:type="dxa"/>
            <w:vAlign w:val="bottom"/>
          </w:tcPr>
          <w:p>
            <w:pPr>
              <w:jc w:val="right"/>
              <w:ind w:right="117"/>
              <w:spacing w:after="0"/>
              <w:rPr>
                <w:sz w:val="20"/>
                <w:szCs w:val="20"/>
                <w:color w:val="auto"/>
              </w:rPr>
            </w:pPr>
            <w:r>
              <w:rPr>
                <w:rFonts w:ascii="Arial" w:cs="Arial" w:eastAsia="Arial" w:hAnsi="Arial"/>
                <w:sz w:val="13"/>
                <w:szCs w:val="13"/>
                <w:b w:val="1"/>
                <w:bCs w:val="1"/>
                <w:color w:val="auto"/>
              </w:rPr>
              <w:t>47-0728886</w:t>
            </w:r>
          </w:p>
        </w:tc>
      </w:tr>
      <w:tr>
        <w:trPr>
          <w:trHeight w:val="135"/>
        </w:trPr>
        <w:tc>
          <w:tcPr>
            <w:tcW w:w="3780" w:type="dxa"/>
            <w:vAlign w:val="bottom"/>
          </w:tcPr>
          <w:p>
            <w:pPr>
              <w:jc w:val="center"/>
              <w:ind w:right="1697"/>
              <w:spacing w:after="0" w:line="135" w:lineRule="exact"/>
              <w:rPr>
                <w:sz w:val="20"/>
                <w:szCs w:val="20"/>
                <w:color w:val="auto"/>
              </w:rPr>
            </w:pPr>
            <w:r>
              <w:rPr>
                <w:rFonts w:ascii="Arial" w:cs="Arial" w:eastAsia="Arial" w:hAnsi="Arial"/>
                <w:sz w:val="13"/>
                <w:szCs w:val="13"/>
                <w:color w:val="auto"/>
                <w:w w:val="89"/>
              </w:rPr>
              <w:t>(State or other jurisdiction of</w:t>
            </w:r>
          </w:p>
        </w:tc>
        <w:tc>
          <w:tcPr>
            <w:tcW w:w="2720" w:type="dxa"/>
            <w:vAlign w:val="bottom"/>
          </w:tcPr>
          <w:p>
            <w:pPr>
              <w:jc w:val="center"/>
              <w:ind w:left="1717"/>
              <w:spacing w:after="0" w:line="135" w:lineRule="exact"/>
              <w:rPr>
                <w:sz w:val="20"/>
                <w:szCs w:val="20"/>
                <w:color w:val="auto"/>
              </w:rPr>
            </w:pPr>
            <w:r>
              <w:rPr>
                <w:rFonts w:ascii="Arial" w:cs="Arial" w:eastAsia="Arial" w:hAnsi="Arial"/>
                <w:sz w:val="13"/>
                <w:szCs w:val="13"/>
                <w:color w:val="auto"/>
                <w:w w:val="90"/>
              </w:rPr>
              <w:t>(I.R.S. Employer</w:t>
            </w:r>
          </w:p>
        </w:tc>
      </w:tr>
      <w:tr>
        <w:trPr>
          <w:trHeight w:val="131"/>
        </w:trPr>
        <w:tc>
          <w:tcPr>
            <w:tcW w:w="3780" w:type="dxa"/>
            <w:vAlign w:val="bottom"/>
          </w:tcPr>
          <w:p>
            <w:pPr>
              <w:jc w:val="center"/>
              <w:ind w:right="1717"/>
              <w:spacing w:after="0" w:line="131" w:lineRule="exact"/>
              <w:rPr>
                <w:sz w:val="20"/>
                <w:szCs w:val="20"/>
                <w:color w:val="auto"/>
              </w:rPr>
            </w:pPr>
            <w:r>
              <w:rPr>
                <w:rFonts w:ascii="Arial" w:cs="Arial" w:eastAsia="Arial" w:hAnsi="Arial"/>
                <w:sz w:val="13"/>
                <w:szCs w:val="13"/>
                <w:color w:val="auto"/>
                <w:w w:val="89"/>
              </w:rPr>
              <w:t>incorporation or organization)</w:t>
            </w:r>
          </w:p>
        </w:tc>
        <w:tc>
          <w:tcPr>
            <w:tcW w:w="2720" w:type="dxa"/>
            <w:vAlign w:val="bottom"/>
          </w:tcPr>
          <w:p>
            <w:pPr>
              <w:jc w:val="center"/>
              <w:ind w:left="1717"/>
              <w:spacing w:after="0" w:line="131" w:lineRule="exact"/>
              <w:rPr>
                <w:sz w:val="20"/>
                <w:szCs w:val="20"/>
                <w:color w:val="auto"/>
              </w:rPr>
            </w:pPr>
            <w:r>
              <w:rPr>
                <w:rFonts w:ascii="Arial" w:cs="Arial" w:eastAsia="Arial" w:hAnsi="Arial"/>
                <w:sz w:val="13"/>
                <w:szCs w:val="13"/>
                <w:color w:val="auto"/>
                <w:w w:val="92"/>
              </w:rPr>
              <w:t>Identification No.)</w:t>
            </w:r>
          </w:p>
        </w:tc>
      </w:tr>
      <w:tr>
        <w:trPr>
          <w:trHeight w:val="135"/>
        </w:trPr>
        <w:tc>
          <w:tcPr>
            <w:tcW w:w="3780" w:type="dxa"/>
            <w:vAlign w:val="bottom"/>
          </w:tcPr>
          <w:p>
            <w:pPr>
              <w:jc w:val="center"/>
              <w:ind w:right="1897"/>
              <w:spacing w:after="0" w:line="135" w:lineRule="exact"/>
              <w:rPr>
                <w:sz w:val="20"/>
                <w:szCs w:val="20"/>
                <w:color w:val="auto"/>
              </w:rPr>
            </w:pPr>
            <w:r>
              <w:rPr>
                <w:rFonts w:ascii="Arial" w:cs="Arial" w:eastAsia="Arial" w:hAnsi="Arial"/>
                <w:sz w:val="13"/>
                <w:szCs w:val="13"/>
                <w:b w:val="1"/>
                <w:bCs w:val="1"/>
                <w:color w:val="auto"/>
                <w:w w:val="87"/>
              </w:rPr>
              <w:t>500 Cummings Center, Suite 2450</w:t>
            </w:r>
          </w:p>
        </w:tc>
        <w:tc>
          <w:tcPr>
            <w:tcW w:w="2720" w:type="dxa"/>
            <w:vAlign w:val="bottom"/>
          </w:tcPr>
          <w:p>
            <w:pPr>
              <w:spacing w:after="0"/>
              <w:rPr>
                <w:sz w:val="11"/>
                <w:szCs w:val="11"/>
                <w:color w:val="auto"/>
              </w:rPr>
            </w:pPr>
          </w:p>
        </w:tc>
      </w:tr>
      <w:tr>
        <w:trPr>
          <w:trHeight w:val="139"/>
        </w:trPr>
        <w:tc>
          <w:tcPr>
            <w:tcW w:w="3780" w:type="dxa"/>
            <w:vAlign w:val="bottom"/>
          </w:tcPr>
          <w:p>
            <w:pPr>
              <w:jc w:val="center"/>
              <w:ind w:right="1717"/>
              <w:spacing w:after="0" w:line="139" w:lineRule="exact"/>
              <w:rPr>
                <w:sz w:val="20"/>
                <w:szCs w:val="20"/>
                <w:color w:val="auto"/>
              </w:rPr>
            </w:pPr>
            <w:r>
              <w:rPr>
                <w:rFonts w:ascii="Arial" w:cs="Arial" w:eastAsia="Arial" w:hAnsi="Arial"/>
                <w:sz w:val="13"/>
                <w:szCs w:val="13"/>
                <w:b w:val="1"/>
                <w:bCs w:val="1"/>
                <w:color w:val="auto"/>
                <w:w w:val="84"/>
              </w:rPr>
              <w:t>Beverly, Massachusetts</w:t>
            </w:r>
          </w:p>
        </w:tc>
        <w:tc>
          <w:tcPr>
            <w:tcW w:w="2720" w:type="dxa"/>
            <w:vAlign w:val="bottom"/>
          </w:tcPr>
          <w:p>
            <w:pPr>
              <w:jc w:val="right"/>
              <w:ind w:right="257"/>
              <w:spacing w:after="0" w:line="139" w:lineRule="exact"/>
              <w:rPr>
                <w:sz w:val="20"/>
                <w:szCs w:val="20"/>
                <w:color w:val="auto"/>
              </w:rPr>
            </w:pPr>
            <w:r>
              <w:rPr>
                <w:rFonts w:ascii="Arial" w:cs="Arial" w:eastAsia="Arial" w:hAnsi="Arial"/>
                <w:sz w:val="13"/>
                <w:szCs w:val="13"/>
                <w:b w:val="1"/>
                <w:bCs w:val="1"/>
                <w:color w:val="auto"/>
              </w:rPr>
              <w:t>01915</w:t>
            </w:r>
          </w:p>
        </w:tc>
      </w:tr>
      <w:tr>
        <w:trPr>
          <w:trHeight w:val="160"/>
        </w:trPr>
        <w:tc>
          <w:tcPr>
            <w:tcW w:w="3780" w:type="dxa"/>
            <w:vAlign w:val="bottom"/>
          </w:tcPr>
          <w:p>
            <w:pPr>
              <w:jc w:val="center"/>
              <w:ind w:right="1717"/>
              <w:spacing w:after="0"/>
              <w:rPr>
                <w:sz w:val="20"/>
                <w:szCs w:val="20"/>
                <w:color w:val="auto"/>
              </w:rPr>
            </w:pPr>
            <w:r>
              <w:rPr>
                <w:rFonts w:ascii="Arial" w:cs="Arial" w:eastAsia="Arial" w:hAnsi="Arial"/>
                <w:sz w:val="13"/>
                <w:szCs w:val="13"/>
                <w:color w:val="auto"/>
                <w:w w:val="89"/>
              </w:rPr>
              <w:t>(Address of principal executive offices)</w:t>
            </w:r>
          </w:p>
        </w:tc>
        <w:tc>
          <w:tcPr>
            <w:tcW w:w="2720" w:type="dxa"/>
            <w:vAlign w:val="bottom"/>
          </w:tcPr>
          <w:p>
            <w:pPr>
              <w:jc w:val="center"/>
              <w:ind w:left="1697"/>
              <w:spacing w:after="0"/>
              <w:rPr>
                <w:sz w:val="20"/>
                <w:szCs w:val="20"/>
                <w:color w:val="auto"/>
              </w:rPr>
            </w:pPr>
            <w:r>
              <w:rPr>
                <w:rFonts w:ascii="Arial" w:cs="Arial" w:eastAsia="Arial" w:hAnsi="Arial"/>
                <w:sz w:val="13"/>
                <w:szCs w:val="13"/>
                <w:color w:val="auto"/>
                <w:w w:val="91"/>
              </w:rPr>
              <w:t>(Zip Code)</w:t>
            </w:r>
          </w:p>
        </w:tc>
      </w:tr>
    </w:tbl>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(978) 619-1300</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6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4"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4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Title of Each Class</w:t>
            </w:r>
          </w:p>
        </w:tc>
        <w:tc>
          <w:tcPr>
            <w:tcW w:w="254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9"/>
              </w:rPr>
              <w:t>Trading Symbol(s)</w:t>
            </w:r>
          </w:p>
        </w:tc>
        <w:tc>
          <w:tcPr>
            <w:tcW w:w="226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w:t>
            </w:r>
          </w:p>
        </w:tc>
        <w:tc>
          <w:tcPr>
            <w:tcW w:w="0" w:type="dxa"/>
            <w:vAlign w:val="bottom"/>
          </w:tcPr>
          <w:p>
            <w:pPr>
              <w:spacing w:after="0"/>
              <w:rPr>
                <w:sz w:val="1"/>
                <w:szCs w:val="1"/>
                <w:color w:val="auto"/>
              </w:rPr>
            </w:pPr>
          </w:p>
        </w:tc>
      </w:tr>
      <w:tr>
        <w:trPr>
          <w:trHeight w:val="97"/>
        </w:trPr>
        <w:tc>
          <w:tcPr>
            <w:tcW w:w="2420" w:type="dxa"/>
            <w:vAlign w:val="bottom"/>
            <w:gridSpan w:val="2"/>
            <w:vMerge w:val="continue"/>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registered</w:t>
            </w:r>
          </w:p>
        </w:tc>
        <w:tc>
          <w:tcPr>
            <w:tcW w:w="0" w:type="dxa"/>
            <w:vAlign w:val="bottom"/>
          </w:tcPr>
          <w:p>
            <w:pPr>
              <w:spacing w:after="0"/>
              <w:rPr>
                <w:sz w:val="1"/>
                <w:szCs w:val="1"/>
                <w:color w:val="auto"/>
              </w:rPr>
            </w:pPr>
          </w:p>
        </w:tc>
      </w:tr>
      <w:tr>
        <w:trPr>
          <w:trHeight w:val="77"/>
        </w:trPr>
        <w:tc>
          <w:tcPr>
            <w:tcW w:w="22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Common Stock, par value $.01 per share</w:t>
            </w:r>
          </w:p>
        </w:tc>
        <w:tc>
          <w:tcPr>
            <w:tcW w:w="2540" w:type="dxa"/>
            <w:vAlign w:val="bottom"/>
            <w:gridSpan w:val="2"/>
          </w:tcPr>
          <w:p>
            <w:pPr>
              <w:jc w:val="center"/>
              <w:ind w:right="320"/>
              <w:spacing w:after="0"/>
              <w:rPr>
                <w:sz w:val="20"/>
                <w:szCs w:val="20"/>
                <w:color w:val="auto"/>
              </w:rPr>
            </w:pPr>
            <w:r>
              <w:rPr>
                <w:rFonts w:ascii="Arial" w:cs="Arial" w:eastAsia="Arial" w:hAnsi="Arial"/>
                <w:sz w:val="13"/>
                <w:szCs w:val="13"/>
                <w:color w:val="auto"/>
              </w:rPr>
              <w:t>ATNI</w:t>
            </w:r>
          </w:p>
        </w:tc>
        <w:tc>
          <w:tcPr>
            <w:tcW w:w="2260" w:type="dxa"/>
            <w:vAlign w:val="bottom"/>
          </w:tcPr>
          <w:p>
            <w:pPr>
              <w:jc w:val="center"/>
              <w:spacing w:after="0"/>
              <w:rPr>
                <w:sz w:val="20"/>
                <w:szCs w:val="20"/>
                <w:color w:val="auto"/>
              </w:rPr>
            </w:pPr>
            <w:r>
              <w:rPr>
                <w:rFonts w:ascii="Arial" w:cs="Arial" w:eastAsia="Arial" w:hAnsi="Arial"/>
                <w:sz w:val="13"/>
                <w:szCs w:val="13"/>
                <w:color w:val="auto"/>
                <w:w w:val="88"/>
              </w:rPr>
              <w:t>The Nasdaq Stock Market LLC</w:t>
            </w:r>
          </w:p>
        </w:tc>
        <w:tc>
          <w:tcPr>
            <w:tcW w:w="0" w:type="dxa"/>
            <w:vAlign w:val="bottom"/>
          </w:tcPr>
          <w:p>
            <w:pPr>
              <w:spacing w:after="0"/>
              <w:rPr>
                <w:sz w:val="1"/>
                <w:szCs w:val="1"/>
                <w:color w:val="auto"/>
              </w:rPr>
            </w:pPr>
          </w:p>
        </w:tc>
      </w:tr>
    </w:tbl>
    <w:p>
      <w:pPr>
        <w:spacing w:after="0" w:line="60" w:lineRule="exact"/>
        <w:rPr>
          <w:sz w:val="24"/>
          <w:szCs w:val="24"/>
          <w:color w:val="auto"/>
        </w:rPr>
      </w:pPr>
    </w:p>
    <w:p>
      <w:pPr>
        <w:ind w:firstLine="324"/>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ind w:right="60" w:firstLine="324"/>
        <w:spacing w:after="0" w:line="20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firstLine="324"/>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40" w:top="665" w:right="899" w:bottom="1440" w:gutter="0" w:footer="0" w:header="0"/>
        </w:sectPr>
      </w:pPr>
    </w:p>
    <w:p>
      <w:pPr>
        <w:spacing w:after="0" w:line="93" w:lineRule="exact"/>
        <w:rPr>
          <w:sz w:val="24"/>
          <w:szCs w:val="24"/>
          <w:color w:val="auto"/>
        </w:rPr>
      </w:pPr>
    </w:p>
    <w:p>
      <w:pPr>
        <w:ind w:left="1680"/>
        <w:spacing w:after="0" w:line="201" w:lineRule="exact"/>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200" w:lineRule="exact"/>
        <w:rPr>
          <w:sz w:val="24"/>
          <w:szCs w:val="24"/>
          <w:color w:val="auto"/>
        </w:rPr>
      </w:pPr>
    </w:p>
    <w:p>
      <w:pPr>
        <w:sectPr>
          <w:pgSz w:w="11900" w:h="16838" w:orient="portrait"/>
          <w:cols w:equalWidth="0" w:num="2">
            <w:col w:w="6340" w:space="720"/>
            <w:col w:w="3100"/>
          </w:cols>
          <w:pgMar w:left="840" w:top="665" w:right="899" w:bottom="1440" w:gutter="0" w:footer="0" w:header="0"/>
          <w:type w:val="continuous"/>
        </w:sectPr>
      </w:pPr>
    </w:p>
    <w:p>
      <w:pPr>
        <w:spacing w:after="0" w:line="4" w:lineRule="exact"/>
        <w:rPr>
          <w:sz w:val="24"/>
          <w:szCs w:val="24"/>
          <w:color w:val="auto"/>
        </w:rPr>
      </w:pPr>
    </w:p>
    <w:p>
      <w:pPr>
        <w:ind w:left="1720"/>
        <w:spacing w:after="0" w:line="201" w:lineRule="exact"/>
        <w:rPr>
          <w:sz w:val="20"/>
          <w:szCs w:val="20"/>
          <w:color w:val="auto"/>
        </w:rPr>
      </w:pPr>
      <w:r>
        <w:rPr>
          <w:rFonts w:ascii="Arial" w:cs="Arial" w:eastAsia="Arial" w:hAnsi="Arial"/>
          <w:sz w:val="15"/>
          <w:szCs w:val="15"/>
          <w:color w:val="auto"/>
        </w:rPr>
        <w:t xml:space="preserve">Non-accelerated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Arial" w:cs="Arial" w:eastAsia="Arial" w:hAnsi="Arial"/>
          <w:sz w:val="15"/>
          <w:szCs w:val="15"/>
          <w:color w:val="auto"/>
        </w:rPr>
        <w:t xml:space="preserve">Smaller reporting company </w:t>
      </w:r>
      <w:r>
        <w:rPr>
          <w:rFonts w:ascii="Arial Unicode MS" w:cs="Arial Unicode MS" w:eastAsia="Arial Unicode MS" w:hAnsi="Arial Unicode MS"/>
          <w:sz w:val="15"/>
          <w:szCs w:val="15"/>
          <w:color w:val="auto"/>
        </w:rPr>
        <w:t>☐</w:t>
      </w:r>
    </w:p>
    <w:p>
      <w:pPr>
        <w:spacing w:after="0" w:line="200" w:lineRule="exact"/>
        <w:rPr>
          <w:sz w:val="24"/>
          <w:szCs w:val="24"/>
          <w:color w:val="auto"/>
        </w:rPr>
      </w:pPr>
    </w:p>
    <w:p>
      <w:pPr>
        <w:sectPr>
          <w:pgSz w:w="11900" w:h="16838" w:orient="portrait"/>
          <w:cols w:equalWidth="0" w:num="2">
            <w:col w:w="5980" w:space="720"/>
            <w:col w:w="3460"/>
          </w:cols>
          <w:pgMar w:left="840" w:top="665" w:right="899" w:bottom="1440" w:gutter="0" w:footer="0" w:header="0"/>
          <w:type w:val="continuous"/>
        </w:sectPr>
      </w:pPr>
    </w:p>
    <w:p>
      <w:pPr>
        <w:spacing w:after="0" w:line="18" w:lineRule="exact"/>
        <w:rPr>
          <w:sz w:val="24"/>
          <w:szCs w:val="24"/>
          <w:color w:val="auto"/>
        </w:rPr>
      </w:pPr>
    </w:p>
    <w:p>
      <w:pPr>
        <w:ind w:left="6700"/>
        <w:spacing w:after="0" w:line="20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ectPr>
          <w:pgSz w:w="11900" w:h="16838" w:orient="portrait"/>
          <w:cols w:equalWidth="0" w:num="1">
            <w:col w:w="10160"/>
          </w:cols>
          <w:pgMar w:left="840" w:top="665" w:right="899" w:bottom="1440" w:gutter="0" w:footer="0" w:header="0"/>
          <w:type w:val="continuous"/>
        </w:sectPr>
      </w:pPr>
    </w:p>
    <w:p>
      <w:pPr>
        <w:spacing w:after="0" w:line="234" w:lineRule="exact"/>
        <w:rPr>
          <w:sz w:val="24"/>
          <w:szCs w:val="24"/>
          <w:color w:val="auto"/>
        </w:rPr>
      </w:pPr>
    </w:p>
    <w:p>
      <w:pPr>
        <w:ind w:right="200" w:firstLine="32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left="320"/>
        <w:spacing w:after="0" w:line="215" w:lineRule="exact"/>
        <w:tabs>
          <w:tab w:leader="none" w:pos="82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Arial Unicode MS" w:cs="Arial Unicode MS" w:eastAsia="Arial Unicode MS" w:hAnsi="Arial Unicode MS"/>
          <w:sz w:val="15"/>
          <w:szCs w:val="15"/>
          <w:color w:val="auto"/>
        </w:rPr>
        <w:t>☐</w:t>
      </w:r>
      <w:r>
        <w:rPr>
          <w:sz w:val="20"/>
          <w:szCs w:val="20"/>
          <w:color w:val="auto"/>
        </w:rPr>
        <w:tab/>
      </w: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pacing w:after="0" w:line="18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As of May 10, 2023, the registrant had outstanding 15,738,576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926465</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137795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60"/>
          </w:cols>
          <w:pgMar w:left="840" w:top="665" w:right="89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ATN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March 31, 2023</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5"/>
              </w:rPr>
              <w:t>CAUTIONARY STATEMENT REGARDING FORWARD LOOKING STATEMENTS</w:t>
            </w:r>
          </w:p>
        </w:tc>
        <w:tc>
          <w:tcPr>
            <w:tcW w:w="1980" w:type="dxa"/>
            <w:vAlign w:val="bottom"/>
            <w:gridSpan w:val="7"/>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300" w:type="dxa"/>
            <w:vAlign w:val="bottom"/>
            <w:gridSpan w:val="24"/>
          </w:tcPr>
          <w:p>
            <w:pPr>
              <w:spacing w:after="0"/>
              <w:rPr>
                <w:sz w:val="20"/>
                <w:szCs w:val="20"/>
                <w:color w:val="auto"/>
              </w:rPr>
            </w:pPr>
            <w:r>
              <w:rPr>
                <w:rFonts w:ascii="Arial" w:cs="Arial" w:eastAsia="Arial" w:hAnsi="Arial"/>
                <w:sz w:val="18"/>
                <w:szCs w:val="18"/>
                <w:color w:val="0000EE"/>
              </w:rPr>
              <w:t>PART I—FINANCIAL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8300" w:type="dxa"/>
            <w:vAlign w:val="bottom"/>
            <w:gridSpan w:val="24"/>
          </w:tcPr>
          <w:p>
            <w:pPr>
              <w:spacing w:after="0"/>
              <w:rPr>
                <w:sz w:val="20"/>
                <w:szCs w:val="20"/>
                <w:color w:val="auto"/>
              </w:rPr>
            </w:pPr>
            <w:r>
              <w:rPr>
                <w:rFonts w:ascii="Arial" w:cs="Arial" w:eastAsia="Arial" w:hAnsi="Arial"/>
                <w:sz w:val="18"/>
                <w:szCs w:val="18"/>
                <w:color w:val="0000EE"/>
              </w:rPr>
              <w:t>Item 1  Unaudited Condensed Consolidated Financial Statements</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1"/>
          </w:tcPr>
          <w:p>
            <w:pPr>
              <w:spacing w:after="0"/>
              <w:rPr>
                <w:sz w:val="20"/>
                <w:szCs w:val="20"/>
                <w:color w:val="auto"/>
              </w:rPr>
            </w:pPr>
            <w:r>
              <w:rPr>
                <w:rFonts w:ascii="Arial" w:cs="Arial" w:eastAsia="Arial" w:hAnsi="Arial"/>
                <w:sz w:val="18"/>
                <w:szCs w:val="18"/>
                <w:color w:val="0000EE"/>
              </w:rPr>
              <w:t>Condensed Consolidated Balance Sheets at March 31, 2023 and December 31, 2022</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1"/>
          </w:tcPr>
          <w:p>
            <w:pPr>
              <w:spacing w:after="0"/>
              <w:rPr>
                <w:sz w:val="20"/>
                <w:szCs w:val="20"/>
                <w:color w:val="auto"/>
              </w:rPr>
            </w:pPr>
            <w:r>
              <w:rPr>
                <w:rFonts w:ascii="Arial" w:cs="Arial" w:eastAsia="Arial" w:hAnsi="Arial"/>
                <w:sz w:val="18"/>
                <w:szCs w:val="18"/>
                <w:color w:val="0000EE"/>
                <w:w w:val="95"/>
              </w:rPr>
              <w:t>Condensed Consolidated Statements of Operations for the Three Months Ended March 31, 2023 and</w:t>
            </w:r>
          </w:p>
        </w:tc>
        <w:tc>
          <w:tcPr>
            <w:tcW w:w="6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4"/>
              </w:rPr>
              <w:t>2022</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Condensed Consolidated Statements of Comprehensive Income (Loss) for the Three Months Ended</w:t>
            </w:r>
          </w:p>
        </w:tc>
        <w:tc>
          <w:tcPr>
            <w:tcW w:w="52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March 31, 2023 and 2022</w:t>
            </w:r>
          </w:p>
        </w:tc>
        <w:tc>
          <w:tcPr>
            <w:tcW w:w="584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Condensed Consolidated Statements of Equity for the Three Months Ended March 31, 2023 and 2022</w:t>
            </w:r>
          </w:p>
        </w:tc>
        <w:tc>
          <w:tcPr>
            <w:tcW w:w="36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Condensed Consolidated Statements of Cash Flows for Three Months Ended March 31, 2023 and 2022</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290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412"/>
        </w:trPr>
        <w:tc>
          <w:tcPr>
            <w:tcW w:w="8300" w:type="dxa"/>
            <w:vAlign w:val="bottom"/>
            <w:gridSpan w:val="24"/>
          </w:tcPr>
          <w:p>
            <w:pPr>
              <w:spacing w:after="0"/>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8300" w:type="dxa"/>
            <w:vAlign w:val="bottom"/>
            <w:gridSpan w:val="24"/>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3340" w:type="dxa"/>
            <w:vAlign w:val="bottom"/>
            <w:tcBorders>
              <w:left w:val="single" w:sz="8" w:color="0000EE"/>
            </w:tcBorders>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8300" w:type="dxa"/>
            <w:vAlign w:val="bottom"/>
            <w:gridSpan w:val="24"/>
          </w:tcPr>
          <w:p>
            <w:pPr>
              <w:spacing w:after="0"/>
              <w:rPr>
                <w:sz w:val="20"/>
                <w:szCs w:val="20"/>
                <w:color w:val="auto"/>
              </w:rPr>
            </w:pPr>
            <w:r>
              <w:rPr>
                <w:rFonts w:ascii="Arial" w:cs="Arial" w:eastAsia="Arial" w:hAnsi="Arial"/>
                <w:sz w:val="18"/>
                <w:szCs w:val="18"/>
                <w:color w:val="0000EE"/>
              </w:rPr>
              <w:t>Item 4  Controls and Procedures</w:t>
            </w: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26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5"/>
              </w:rPr>
              <w:t>PART II—OTHER INFORMATION</w:t>
            </w:r>
          </w:p>
        </w:tc>
        <w:tc>
          <w:tcPr>
            <w:tcW w:w="564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480" w:type="dxa"/>
            <w:vAlign w:val="bottom"/>
            <w:gridSpan w:val="2"/>
          </w:tcPr>
          <w:p>
            <w:pPr>
              <w:spacing w:after="0"/>
              <w:rPr>
                <w:sz w:val="20"/>
                <w:szCs w:val="20"/>
                <w:color w:val="auto"/>
              </w:rPr>
            </w:pPr>
            <w:r>
              <w:rPr>
                <w:rFonts w:ascii="Arial" w:cs="Arial" w:eastAsia="Arial" w:hAnsi="Arial"/>
                <w:sz w:val="18"/>
                <w:szCs w:val="18"/>
                <w:color w:val="0000EE"/>
                <w:w w:val="91"/>
              </w:rPr>
              <w:t>Item 1</w:t>
            </w:r>
          </w:p>
        </w:tc>
        <w:tc>
          <w:tcPr>
            <w:tcW w:w="120" w:type="dxa"/>
            <w:vAlign w:val="bottom"/>
          </w:tcPr>
          <w:p>
            <w:pPr>
              <w:spacing w:after="0"/>
              <w:rPr>
                <w:sz w:val="24"/>
                <w:szCs w:val="24"/>
                <w:color w:val="auto"/>
              </w:rPr>
            </w:pPr>
          </w:p>
        </w:tc>
        <w:tc>
          <w:tcPr>
            <w:tcW w:w="770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6"/>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8300" w:type="dxa"/>
            <w:vAlign w:val="bottom"/>
            <w:gridSpan w:val="24"/>
          </w:tcPr>
          <w:p>
            <w:pPr>
              <w:spacing w:after="0"/>
              <w:rPr>
                <w:sz w:val="20"/>
                <w:szCs w:val="20"/>
                <w:color w:val="auto"/>
              </w:rPr>
            </w:pPr>
            <w:r>
              <w:rPr>
                <w:rFonts w:ascii="Arial" w:cs="Arial" w:eastAsia="Arial" w:hAnsi="Arial"/>
                <w:sz w:val="18"/>
                <w:szCs w:val="18"/>
                <w:color w:val="0000EE"/>
              </w:rPr>
              <w:t>Item 1ARisk Factors</w:t>
            </w: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8300" w:type="dxa"/>
            <w:vAlign w:val="bottom"/>
            <w:gridSpan w:val="24"/>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6"/>
            <w:shd w:val="clear" w:color="auto" w:fill="0000EE"/>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Arial" w:cs="Arial" w:eastAsia="Arial" w:hAnsi="Arial"/>
                <w:sz w:val="18"/>
                <w:szCs w:val="18"/>
                <w:color w:val="0000EE"/>
                <w:w w:val="91"/>
              </w:rPr>
              <w:t>Item 5</w:t>
            </w:r>
          </w:p>
        </w:tc>
        <w:tc>
          <w:tcPr>
            <w:tcW w:w="120" w:type="dxa"/>
            <w:vAlign w:val="bottom"/>
          </w:tcPr>
          <w:p>
            <w:pPr>
              <w:spacing w:after="0"/>
              <w:rPr>
                <w:sz w:val="24"/>
                <w:szCs w:val="24"/>
                <w:color w:val="auto"/>
              </w:rPr>
            </w:pPr>
          </w:p>
        </w:tc>
        <w:tc>
          <w:tcPr>
            <w:tcW w:w="7700" w:type="dxa"/>
            <w:vAlign w:val="bottom"/>
            <w:gridSpan w:val="21"/>
          </w:tcPr>
          <w:p>
            <w:pPr>
              <w:spacing w:after="0"/>
              <w:rPr>
                <w:sz w:val="20"/>
                <w:szCs w:val="20"/>
                <w:color w:val="auto"/>
              </w:rPr>
            </w:pPr>
            <w:r>
              <w:rPr>
                <w:rFonts w:ascii="Arial" w:cs="Arial" w:eastAsia="Arial" w:hAnsi="Arial"/>
                <w:sz w:val="18"/>
                <w:szCs w:val="18"/>
                <w:color w:val="0000EE"/>
              </w:rPr>
              <w:t>Other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38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Arial" w:cs="Arial" w:eastAsia="Arial" w:hAnsi="Arial"/>
                <w:sz w:val="18"/>
                <w:szCs w:val="18"/>
                <w:color w:val="0000EE"/>
                <w:w w:val="91"/>
              </w:rPr>
              <w:t>Item 6</w:t>
            </w:r>
          </w:p>
        </w:tc>
        <w:tc>
          <w:tcPr>
            <w:tcW w:w="120" w:type="dxa"/>
            <w:vAlign w:val="bottom"/>
          </w:tcPr>
          <w:p>
            <w:pPr>
              <w:spacing w:after="0"/>
              <w:rPr>
                <w:sz w:val="24"/>
                <w:szCs w:val="24"/>
                <w:color w:val="auto"/>
              </w:rPr>
            </w:pPr>
          </w:p>
        </w:tc>
        <w:tc>
          <w:tcPr>
            <w:tcW w:w="7700" w:type="dxa"/>
            <w:vAlign w:val="bottom"/>
            <w:gridSpan w:val="21"/>
          </w:tcPr>
          <w:p>
            <w:pPr>
              <w:spacing w:after="0"/>
              <w:rPr>
                <w:sz w:val="20"/>
                <w:szCs w:val="20"/>
                <w:color w:val="auto"/>
              </w:rPr>
            </w:pPr>
            <w:r>
              <w:rPr>
                <w:rFonts w:ascii="Arial" w:cs="Arial" w:eastAsia="Arial" w:hAnsi="Arial"/>
                <w:sz w:val="18"/>
                <w:szCs w:val="18"/>
                <w:color w:val="0000EE"/>
              </w:rPr>
              <w:t>Exhibits</w:t>
            </w: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10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SIGNATURES</w:t>
            </w:r>
          </w:p>
        </w:tc>
        <w:tc>
          <w:tcPr>
            <w:tcW w:w="7200" w:type="dxa"/>
            <w:vAlign w:val="bottom"/>
            <w:gridSpan w:val="1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2"/>
        </w:trPr>
        <w:tc>
          <w:tcPr>
            <w:tcW w:w="8300" w:type="dxa"/>
            <w:vAlign w:val="bottom"/>
            <w:gridSpan w:val="24"/>
          </w:tcPr>
          <w:p>
            <w:pPr>
              <w:spacing w:after="0"/>
              <w:rPr>
                <w:sz w:val="20"/>
                <w:szCs w:val="20"/>
                <w:color w:val="auto"/>
              </w:rPr>
            </w:pPr>
            <w:r>
              <w:rPr>
                <w:rFonts w:ascii="Arial" w:cs="Arial" w:eastAsia="Arial" w:hAnsi="Arial"/>
                <w:sz w:val="18"/>
                <w:szCs w:val="18"/>
                <w:color w:val="auto"/>
              </w:rPr>
              <w:t>CERTIFICATIONS</w:t>
            </w:r>
          </w:p>
        </w:tc>
        <w:tc>
          <w:tcPr>
            <w:tcW w:w="6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This Quarterly Report on Form 10-Q (or the “Report”) contains forward-looking statements relating to, among other matters, our future financial performance and results of operations, including our expectations regarding the benefits of our acquisition of Alaska Communications; the impact of federal support program revenues; expectations regarding future revenue, operating income, EBITDA and capital expenditures; expectations regarding our ability to refinance our existing debt and/or obtain additional financing on or before the maturity of our 2019 CoBank Credit Facility; the competitive environment in our key markets, demand for our services and industry trends; our expectations regarding construction progress under our agreement as part of the FirstNet Transaction and the effect such progress will have on our financial results;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our ability to successfully transition our U.S. Telecom business away from wholesale wireless to other carrier and consumer-based services; (2) our ability to replace and remove all ZTE equipment in our U.S. network, as required by the FCC in a timely and cost-effective manner; (3) the general performance of our operations, including operating margins, revenues, capital expenditures, and the retention of and future growth of our subscriber base and average revenue per user; (4) our ability to realize cost synergies and expansion plans for our newly acquired Alaska Communications business; (5) our ability to satisfy the needs and demands of our major carrier customers; (6) our ability to efficiently and cost-effectively upgrade our networks and IT platforms to address rapid and significant technological changes in the telecommunications industry; (7) government funding and subsidy program availability and regulation of our businesses, which may impact our revenue, expansion plans and operating costs; (8) our reliance on a limited number of key suppliers and vendors for timely supply of equipment and services relating to our network infrastructure; (9) economic, political and other risks and opportunities facing our operations, including those resulting from the pandemic, geopolitical tensions, including the invasion of Ukraine, and from inflation, including increased costs and supply chain disruptions; (10) the loss of or an inability to recruit skilled personnel in our various jurisdictions, including key members of management; (11) our ability to find investment or acquisition or disposition opportunities that fit our strategic goals; (12) the occurrence of weather events and natural catastrophes and our ability to secure the appropriate level of insurance coverage for our assets; (13) increased competition; (14) the adequacy and expansion capabilities of our network capacity and customer service system to support our customer growth; (15) our continued access to capital and credit markets, including our ability to extend or refinance our current credit facility; 16) our ability to successfully recognize the expected benefits of our acquisition of Sacred Wind Enterprises. These and other additional factors that may cause actual future events and results to differ materially from the events and results indicated in the forward-looking statements above are set forth more fully under Item 1A “Risk Factors” in each of our Annual Report on Form 10-K for the year ended December 31, 2022, filed with the SEC on March 15, 2023, and the other reports we file from time to time with the SEC. The Company undertakes no obligation and have no intention to update these forward-looking statements to reflect actual results, changes in assumptions or changes in other factors that may affect such forward-looking statements, except as required by law.</w:t>
      </w:r>
    </w:p>
    <w:p>
      <w:pPr>
        <w:spacing w:after="0" w:line="400"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ATN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6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w:t>
            </w:r>
          </w:p>
        </w:tc>
        <w:tc>
          <w:tcPr>
            <w:tcW w:w="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53"/>
        </w:trPr>
        <w:tc>
          <w:tcPr>
            <w:tcW w:w="68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3000"/>
              <w:spacing w:after="0" w:line="142" w:lineRule="exact"/>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56,016</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54,660</w:t>
            </w: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4,961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5,068</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Short-term investments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 of allowances for credit losses of $16.0 million and $15.2 million, respectively</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84,483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86,816</w:t>
            </w: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Customer receivable</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5,803</w:t>
            </w: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Arial" w:cs="Arial" w:eastAsia="Arial" w:hAnsi="Arial"/>
                <w:sz w:val="14"/>
                <w:szCs w:val="14"/>
                <w:color w:val="auto"/>
              </w:rPr>
              <w:t>Inventory, materials and supplies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18,485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17,902</w:t>
            </w: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Prepayments and other current assets</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61,224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59,139</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231,552</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229,688</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Fixed Assets: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Arial" w:cs="Arial" w:eastAsia="Arial" w:hAnsi="Arial"/>
                <w:sz w:val="14"/>
                <w:szCs w:val="14"/>
                <w:color w:val="auto"/>
              </w:rPr>
              <w:t>Property, plant and equipment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2,001,455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1,977,978</w:t>
            </w: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Less accumulated depreciation</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(945,092)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(922,024)</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Net fixed assets</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1,056,363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1,055,954</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Telecommunication licenses, net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113,698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113,698</w:t>
            </w:r>
          </w:p>
        </w:tc>
        <w:tc>
          <w:tcPr>
            <w:tcW w:w="0" w:type="dxa"/>
            <w:vAlign w:val="bottom"/>
          </w:tcPr>
          <w:p>
            <w:pPr>
              <w:spacing w:after="0"/>
              <w:rPr>
                <w:sz w:val="1"/>
                <w:szCs w:val="1"/>
                <w:color w:val="auto"/>
              </w:rPr>
            </w:pPr>
          </w:p>
        </w:tc>
      </w:tr>
      <w:tr>
        <w:trPr>
          <w:trHeight w:val="148"/>
        </w:trPr>
        <w:tc>
          <w:tcPr>
            <w:tcW w:w="68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40,104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40,104</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28,823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31,992</w:t>
            </w:r>
          </w:p>
        </w:tc>
        <w:tc>
          <w:tcPr>
            <w:tcW w:w="0" w:type="dxa"/>
            <w:vAlign w:val="bottom"/>
          </w:tcPr>
          <w:p>
            <w:pPr>
              <w:spacing w:after="0"/>
              <w:rPr>
                <w:sz w:val="1"/>
                <w:szCs w:val="1"/>
                <w:color w:val="auto"/>
              </w:rPr>
            </w:pPr>
          </w:p>
        </w:tc>
      </w:tr>
      <w:tr>
        <w:trPr>
          <w:trHeight w:val="148"/>
        </w:trPr>
        <w:tc>
          <w:tcPr>
            <w:tcW w:w="6800" w:type="dxa"/>
            <w:vAlign w:val="bottom"/>
          </w:tcPr>
          <w:p>
            <w:pPr>
              <w:spacing w:after="0" w:line="149" w:lineRule="exact"/>
              <w:rPr>
                <w:sz w:val="20"/>
                <w:szCs w:val="20"/>
                <w:color w:val="auto"/>
              </w:rPr>
            </w:pPr>
            <w:r>
              <w:rPr>
                <w:rFonts w:ascii="Arial" w:cs="Arial" w:eastAsia="Arial" w:hAnsi="Arial"/>
                <w:sz w:val="14"/>
                <w:szCs w:val="14"/>
                <w:color w:val="auto"/>
              </w:rPr>
              <w:t>Operating lease right-of-use assets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101,953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108,702</w:t>
            </w: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receivable - long term</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45,681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46,706</w:t>
            </w:r>
          </w:p>
        </w:tc>
        <w:tc>
          <w:tcPr>
            <w:tcW w:w="0" w:type="dxa"/>
            <w:vAlign w:val="bottom"/>
          </w:tcPr>
          <w:p>
            <w:pPr>
              <w:spacing w:after="0"/>
              <w:rPr>
                <w:sz w:val="1"/>
                <w:szCs w:val="1"/>
                <w:color w:val="auto"/>
              </w:rPr>
            </w:pPr>
          </w:p>
        </w:tc>
      </w:tr>
      <w:tr>
        <w:trPr>
          <w:trHeight w:val="148"/>
        </w:trPr>
        <w:tc>
          <w:tcPr>
            <w:tcW w:w="68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81,841</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81,025</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1,700,015</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1,707,869</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LIABILITIES, REDEEMABLE NONCONTROLLING INTERESTS AND EQUITY</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11,537</w:t>
            </w:r>
          </w:p>
        </w:tc>
        <w:tc>
          <w:tcPr>
            <w:tcW w:w="12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6,173</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customer receivable credit facility</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6,073</w:t>
            </w: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118,240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155,224</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Dividends payable</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w:t>
            </w: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Arial" w:cs="Arial" w:eastAsia="Arial" w:hAnsi="Arial"/>
                <w:sz w:val="14"/>
                <w:szCs w:val="14"/>
                <w:color w:val="auto"/>
              </w:rPr>
              <w:t>Accrued taxes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13,611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7,335</w:t>
            </w: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lease liabilities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15,457</w:t>
            </w:r>
          </w:p>
        </w:tc>
        <w:tc>
          <w:tcPr>
            <w:tcW w:w="0" w:type="dxa"/>
            <w:vAlign w:val="bottom"/>
          </w:tcPr>
          <w:p>
            <w:pPr>
              <w:spacing w:after="0"/>
              <w:rPr>
                <w:sz w:val="1"/>
                <w:szCs w:val="1"/>
                <w:color w:val="auto"/>
              </w:rPr>
            </w:pPr>
          </w:p>
        </w:tc>
      </w:tr>
      <w:tr>
        <w:trPr>
          <w:trHeight w:val="149"/>
        </w:trPr>
        <w:tc>
          <w:tcPr>
            <w:tcW w:w="68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Advance payments and deposits</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38,314</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39,608</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current liabilities</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205,384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233,180</w:t>
            </w:r>
          </w:p>
        </w:tc>
        <w:tc>
          <w:tcPr>
            <w:tcW w:w="0" w:type="dxa"/>
            <w:vAlign w:val="bottom"/>
          </w:tcPr>
          <w:p>
            <w:pPr>
              <w:spacing w:after="0"/>
              <w:rPr>
                <w:sz w:val="1"/>
                <w:szCs w:val="1"/>
                <w:color w:val="auto"/>
              </w:rPr>
            </w:pPr>
          </w:p>
        </w:tc>
      </w:tr>
      <w:tr>
        <w:trPr>
          <w:trHeight w:val="142"/>
        </w:trPr>
        <w:tc>
          <w:tcPr>
            <w:tcW w:w="6800" w:type="dxa"/>
            <w:vAlign w:val="bottom"/>
          </w:tcPr>
          <w:p>
            <w:pPr>
              <w:spacing w:after="0" w:line="142" w:lineRule="exact"/>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26,697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28,650</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liabilities, excluding current portion</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78,360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83,319</w:t>
            </w:r>
          </w:p>
        </w:tc>
        <w:tc>
          <w:tcPr>
            <w:tcW w:w="0" w:type="dxa"/>
            <w:vAlign w:val="bottom"/>
          </w:tcPr>
          <w:p>
            <w:pPr>
              <w:spacing w:after="0"/>
              <w:rPr>
                <w:sz w:val="1"/>
                <w:szCs w:val="1"/>
                <w:color w:val="auto"/>
              </w:rPr>
            </w:pPr>
          </w:p>
        </w:tc>
      </w:tr>
      <w:tr>
        <w:trPr>
          <w:trHeight w:val="148"/>
        </w:trPr>
        <w:tc>
          <w:tcPr>
            <w:tcW w:w="680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137,148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138,420</w:t>
            </w: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receivable credit facility, net of current portion</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41,533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39,275</w:t>
            </w:r>
          </w:p>
        </w:tc>
        <w:tc>
          <w:tcPr>
            <w:tcW w:w="0" w:type="dxa"/>
            <w:vAlign w:val="bottom"/>
          </w:tcPr>
          <w:p>
            <w:pPr>
              <w:spacing w:after="0"/>
              <w:rPr>
                <w:sz w:val="1"/>
                <w:szCs w:val="1"/>
                <w:color w:val="auto"/>
              </w:rPr>
            </w:pPr>
          </w:p>
        </w:tc>
      </w:tr>
      <w:tr>
        <w:trPr>
          <w:trHeight w:val="149"/>
        </w:trPr>
        <w:tc>
          <w:tcPr>
            <w:tcW w:w="68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Long-term debt, excluding current portion</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453,144</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415,727</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liabilities</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942,266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938,571</w:t>
            </w:r>
          </w:p>
        </w:tc>
        <w:tc>
          <w:tcPr>
            <w:tcW w:w="0" w:type="dxa"/>
            <w:vAlign w:val="bottom"/>
          </w:tcPr>
          <w:p>
            <w:pPr>
              <w:spacing w:after="0"/>
              <w:rPr>
                <w:sz w:val="1"/>
                <w:szCs w:val="1"/>
                <w:color w:val="auto"/>
              </w:rPr>
            </w:pPr>
          </w:p>
        </w:tc>
      </w:tr>
      <w:tr>
        <w:trPr>
          <w:trHeight w:val="142"/>
        </w:trPr>
        <w:tc>
          <w:tcPr>
            <w:tcW w:w="6800" w:type="dxa"/>
            <w:vAlign w:val="bottom"/>
          </w:tcPr>
          <w:p>
            <w:pPr>
              <w:spacing w:after="0" w:line="142" w:lineRule="exact"/>
              <w:rPr>
                <w:sz w:val="20"/>
                <w:szCs w:val="20"/>
                <w:color w:val="auto"/>
              </w:rPr>
            </w:pPr>
            <w:r>
              <w:rPr>
                <w:rFonts w:ascii="Arial" w:cs="Arial" w:eastAsia="Arial" w:hAnsi="Arial"/>
                <w:sz w:val="14"/>
                <w:szCs w:val="14"/>
                <w:color w:val="auto"/>
              </w:rPr>
              <w:t>Redeemable noncontrolling interests: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Preferred redeemable noncontrolling interests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56,197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55,152</w:t>
            </w:r>
          </w:p>
        </w:tc>
        <w:tc>
          <w:tcPr>
            <w:tcW w:w="0" w:type="dxa"/>
            <w:vAlign w:val="bottom"/>
          </w:tcPr>
          <w:p>
            <w:pPr>
              <w:spacing w:after="0"/>
              <w:rPr>
                <w:sz w:val="1"/>
                <w:szCs w:val="1"/>
                <w:color w:val="auto"/>
              </w:rPr>
            </w:pPr>
          </w:p>
        </w:tc>
      </w:tr>
      <w:tr>
        <w:trPr>
          <w:trHeight w:val="148"/>
        </w:trPr>
        <w:tc>
          <w:tcPr>
            <w:tcW w:w="68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Common redeemable noncontrolling interests</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37,026</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37,317</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redeemable noncontrolling interests</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93,223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92,469</w:t>
            </w:r>
          </w:p>
        </w:tc>
        <w:tc>
          <w:tcPr>
            <w:tcW w:w="0" w:type="dxa"/>
            <w:vAlign w:val="bottom"/>
          </w:tcPr>
          <w:p>
            <w:pPr>
              <w:spacing w:after="0"/>
              <w:rPr>
                <w:sz w:val="1"/>
                <w:szCs w:val="1"/>
                <w:color w:val="auto"/>
              </w:rPr>
            </w:pPr>
          </w:p>
        </w:tc>
      </w:tr>
      <w:tr>
        <w:trPr>
          <w:trHeight w:val="142"/>
        </w:trPr>
        <w:tc>
          <w:tcPr>
            <w:tcW w:w="6800" w:type="dxa"/>
            <w:vAlign w:val="bottom"/>
          </w:tcPr>
          <w:p>
            <w:pPr>
              <w:spacing w:after="0" w:line="142" w:lineRule="exact"/>
              <w:rPr>
                <w:sz w:val="20"/>
                <w:szCs w:val="20"/>
                <w:color w:val="auto"/>
              </w:rPr>
            </w:pPr>
            <w:r>
              <w:rPr>
                <w:rFonts w:ascii="Arial" w:cs="Arial" w:eastAsia="Arial" w:hAnsi="Arial"/>
                <w:sz w:val="14"/>
                <w:szCs w:val="14"/>
                <w:color w:val="auto"/>
              </w:rPr>
              <w:t>ATN International, Inc. Stockholders’ Equity:</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Preferred stock, $0.01 par value per share; 10,000,000 shares authorized, none issued and outstanding</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800" w:type="dxa"/>
            <w:vAlign w:val="bottom"/>
          </w:tcPr>
          <w:p>
            <w:pPr>
              <w:ind w:left="220"/>
              <w:spacing w:after="0" w:line="130" w:lineRule="exact"/>
              <w:rPr>
                <w:sz w:val="20"/>
                <w:szCs w:val="20"/>
                <w:color w:val="auto"/>
              </w:rPr>
            </w:pPr>
            <w:r>
              <w:rPr>
                <w:rFonts w:ascii="Arial" w:cs="Arial" w:eastAsia="Arial" w:hAnsi="Arial"/>
                <w:sz w:val="14"/>
                <w:szCs w:val="14"/>
                <w:color w:val="auto"/>
                <w:w w:val="96"/>
              </w:rPr>
              <w:t>Common stock, $0.01 par value per share; 50,000,000 shares authorized; 17,679,616 and 17,584,057 shares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0" w:type="dxa"/>
            <w:vAlign w:val="bottom"/>
          </w:tcPr>
          <w:p>
            <w:pPr>
              <w:ind w:left="220"/>
              <w:spacing w:after="0"/>
              <w:rPr>
                <w:sz w:val="20"/>
                <w:szCs w:val="20"/>
                <w:color w:val="auto"/>
              </w:rPr>
            </w:pPr>
            <w:r>
              <w:rPr>
                <w:rFonts w:ascii="Arial" w:cs="Arial" w:eastAsia="Arial" w:hAnsi="Arial"/>
                <w:sz w:val="14"/>
                <w:szCs w:val="14"/>
                <w:color w:val="auto"/>
              </w:rPr>
              <w:t>issued, respectively, 15,787,337 and 15,763,341 shares outstanding, respectively</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Treasury stock, at cost; 1,892,279 and 1,820,716 shares, respectively</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(76,665)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(73,825)</w:t>
            </w: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Arial" w:cs="Arial" w:eastAsia="Arial" w:hAnsi="Arial"/>
                <w:sz w:val="14"/>
                <w:szCs w:val="14"/>
                <w:color w:val="auto"/>
              </w:rPr>
              <w:t>Additional paid-in capital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200,015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198,449</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Retained earnings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437,030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449,806</w:t>
            </w:r>
          </w:p>
        </w:tc>
        <w:tc>
          <w:tcPr>
            <w:tcW w:w="0" w:type="dxa"/>
            <w:vAlign w:val="bottom"/>
          </w:tcPr>
          <w:p>
            <w:pPr>
              <w:spacing w:after="0"/>
              <w:rPr>
                <w:sz w:val="1"/>
                <w:szCs w:val="1"/>
                <w:color w:val="auto"/>
              </w:rPr>
            </w:pPr>
          </w:p>
        </w:tc>
      </w:tr>
      <w:tr>
        <w:trPr>
          <w:trHeight w:val="148"/>
        </w:trPr>
        <w:tc>
          <w:tcPr>
            <w:tcW w:w="68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Accumulated other comprehensive income</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6,690</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6,210</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ATN International, Inc. stockholders’ equity</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567,243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580,813</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Noncontrolling interests</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97,283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96,016</w:t>
            </w: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equity</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664,526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676,829</w:t>
            </w:r>
          </w:p>
        </w:tc>
        <w:tc>
          <w:tcPr>
            <w:tcW w:w="0" w:type="dxa"/>
            <w:vAlign w:val="bottom"/>
          </w:tcPr>
          <w:p>
            <w:pPr>
              <w:spacing w:after="0"/>
              <w:rPr>
                <w:sz w:val="1"/>
                <w:szCs w:val="1"/>
                <w:color w:val="auto"/>
              </w:rPr>
            </w:pPr>
          </w:p>
        </w:tc>
      </w:tr>
      <w:tr>
        <w:trPr>
          <w:trHeight w:val="142"/>
        </w:trPr>
        <w:tc>
          <w:tcPr>
            <w:tcW w:w="6800" w:type="dxa"/>
            <w:vAlign w:val="bottom"/>
          </w:tcPr>
          <w:p>
            <w:pPr>
              <w:spacing w:after="0" w:line="142" w:lineRule="exact"/>
              <w:rPr>
                <w:sz w:val="20"/>
                <w:szCs w:val="20"/>
                <w:color w:val="auto"/>
              </w:rPr>
            </w:pPr>
            <w:r>
              <w:rPr>
                <w:rFonts w:ascii="Arial" w:cs="Arial" w:eastAsia="Arial" w:hAnsi="Arial"/>
                <w:sz w:val="14"/>
                <w:szCs w:val="14"/>
                <w:color w:val="auto"/>
              </w:rPr>
              <w:t>Total liabilities, redeemable noncontrolling interests and equity</w:t>
            </w:r>
          </w:p>
        </w:tc>
        <w:tc>
          <w:tcPr>
            <w:tcW w:w="3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1,700,015</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1,707,869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ATN INTERNATIONAL, INC. AND SUBSIDIARIES</w:t>
      </w:r>
    </w:p>
    <w:p>
      <w:pPr>
        <w:spacing w:after="0" w:line="27" w:lineRule="exact"/>
        <w:rPr>
          <w:sz w:val="20"/>
          <w:szCs w:val="20"/>
          <w:color w:val="auto"/>
        </w:rPr>
      </w:pPr>
    </w:p>
    <w:p>
      <w:pPr>
        <w:jc w:val="center"/>
        <w:ind w:left="60" w:right="59"/>
        <w:spacing w:after="0" w:line="250" w:lineRule="auto"/>
        <w:rPr>
          <w:sz w:val="20"/>
          <w:szCs w:val="20"/>
          <w:color w:val="auto"/>
        </w:rPr>
      </w:pPr>
      <w:r>
        <w:rPr>
          <w:rFonts w:ascii="Arial" w:cs="Arial" w:eastAsia="Arial" w:hAnsi="Arial"/>
          <w:sz w:val="18"/>
          <w:szCs w:val="18"/>
          <w:b w:val="1"/>
          <w:bCs w:val="1"/>
          <w:color w:val="auto"/>
        </w:rPr>
        <w:t>CONDENSED CONSOLIDATED STATEMENTS OF OPERATIONS FOR THE THREE MONTHS ENDED MARCH 31, 2023 AND 2022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3"/>
                <w:szCs w:val="13"/>
                <w:b w:val="1"/>
                <w:bCs w:val="1"/>
                <w:color w:val="auto"/>
                <w:w w:val="90"/>
              </w:rPr>
              <w:t>Three months ended March 31,</w:t>
            </w:r>
          </w:p>
        </w:tc>
        <w:tc>
          <w:tcPr>
            <w:tcW w:w="0" w:type="dxa"/>
            <w:vAlign w:val="bottom"/>
          </w:tcPr>
          <w:p>
            <w:pPr>
              <w:spacing w:after="0"/>
              <w:rPr>
                <w:sz w:val="1"/>
                <w:szCs w:val="1"/>
                <w:color w:val="auto"/>
              </w:rPr>
            </w:pPr>
          </w:p>
        </w:tc>
      </w:tr>
      <w:tr>
        <w:trPr>
          <w:trHeight w:val="129"/>
        </w:trPr>
        <w:tc>
          <w:tcPr>
            <w:tcW w:w="66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09"/>
              <w:spacing w:after="0" w:line="129" w:lineRule="exact"/>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88"/>
              <w:spacing w:after="0" w:line="129"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220"/>
              <w:spacing w:after="0" w:line="149" w:lineRule="exact"/>
              <w:rPr>
                <w:sz w:val="20"/>
                <w:szCs w:val="20"/>
                <w:color w:val="auto"/>
              </w:rPr>
            </w:pPr>
            <w:r>
              <w:rPr>
                <w:rFonts w:ascii="Arial" w:cs="Arial" w:eastAsia="Arial" w:hAnsi="Arial"/>
                <w:sz w:val="14"/>
                <w:szCs w:val="14"/>
                <w:color w:val="auto"/>
              </w:rPr>
              <w:t>Communication services</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181,308</w:t>
            </w:r>
          </w:p>
        </w:tc>
        <w:tc>
          <w:tcPr>
            <w:tcW w:w="140" w:type="dxa"/>
            <w:vAlign w:val="bottom"/>
          </w:tcPr>
          <w:p>
            <w:pPr>
              <w:spacing w:after="0"/>
              <w:rPr>
                <w:sz w:val="12"/>
                <w:szCs w:val="12"/>
                <w:color w:val="auto"/>
              </w:rPr>
            </w:pPr>
          </w:p>
        </w:tc>
        <w:tc>
          <w:tcPr>
            <w:tcW w:w="2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166,543</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148"/>
        </w:trPr>
        <w:tc>
          <w:tcPr>
            <w:tcW w:w="66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Other</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3,876</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3,489</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185,774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172,019</w:t>
            </w: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4"/>
                <w:szCs w:val="14"/>
                <w:b w:val="1"/>
                <w:bCs w:val="1"/>
                <w:color w:val="auto"/>
              </w:rPr>
              <w:t xml:space="preserve">OPERATING EXPENSES </w:t>
            </w:r>
            <w:r>
              <w:rPr>
                <w:rFonts w:ascii="Arial" w:cs="Arial" w:eastAsia="Arial" w:hAnsi="Arial"/>
                <w:sz w:val="14"/>
                <w:szCs w:val="14"/>
                <w:i w:val="1"/>
                <w:iCs w:val="1"/>
                <w:color w:val="auto"/>
              </w:rPr>
              <w:t>(excluding depreciation and amortization unless otherwise indicated)</w:t>
            </w: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communication services and other</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79,040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73,011</w:t>
            </w:r>
          </w:p>
        </w:tc>
        <w:tc>
          <w:tcPr>
            <w:tcW w:w="0" w:type="dxa"/>
            <w:vAlign w:val="bottom"/>
          </w:tcPr>
          <w:p>
            <w:pPr>
              <w:spacing w:after="0"/>
              <w:rPr>
                <w:sz w:val="1"/>
                <w:szCs w:val="1"/>
                <w:color w:val="auto"/>
              </w:rPr>
            </w:pPr>
          </w:p>
        </w:tc>
      </w:tr>
      <w:tr>
        <w:trPr>
          <w:trHeight w:val="149"/>
        </w:trPr>
        <w:tc>
          <w:tcPr>
            <w:tcW w:w="6640" w:type="dxa"/>
            <w:vAlign w:val="bottom"/>
          </w:tcPr>
          <w:p>
            <w:pPr>
              <w:ind w:left="220"/>
              <w:spacing w:after="0" w:line="149" w:lineRule="exact"/>
              <w:rPr>
                <w:sz w:val="20"/>
                <w:szCs w:val="20"/>
                <w:color w:val="auto"/>
              </w:rPr>
            </w:pPr>
            <w:r>
              <w:rPr>
                <w:rFonts w:ascii="Arial" w:cs="Arial" w:eastAsia="Arial" w:hAnsi="Arial"/>
                <w:sz w:val="14"/>
                <w:szCs w:val="14"/>
                <w:color w:val="auto"/>
              </w:rPr>
              <w:t>Cost of construction revenue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61,348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54,882</w:t>
            </w:r>
          </w:p>
        </w:tc>
        <w:tc>
          <w:tcPr>
            <w:tcW w:w="0" w:type="dxa"/>
            <w:vAlign w:val="bottom"/>
          </w:tcPr>
          <w:p>
            <w:pPr>
              <w:spacing w:after="0"/>
              <w:rPr>
                <w:sz w:val="1"/>
                <w:szCs w:val="1"/>
                <w:color w:val="auto"/>
              </w:rPr>
            </w:pPr>
          </w:p>
        </w:tc>
      </w:tr>
      <w:tr>
        <w:trPr>
          <w:trHeight w:val="148"/>
        </w:trPr>
        <w:tc>
          <w:tcPr>
            <w:tcW w:w="664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1,778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Transaction-related charges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48"/>
        </w:trPr>
        <w:tc>
          <w:tcPr>
            <w:tcW w:w="6640" w:type="dxa"/>
            <w:vAlign w:val="bottom"/>
          </w:tcPr>
          <w:p>
            <w:pPr>
              <w:ind w:left="220"/>
              <w:spacing w:after="0" w:line="149" w:lineRule="exact"/>
              <w:rPr>
                <w:sz w:val="20"/>
                <w:szCs w:val="20"/>
                <w:color w:val="auto"/>
              </w:rPr>
            </w:pPr>
            <w:r>
              <w:rPr>
                <w:rFonts w:ascii="Arial" w:cs="Arial" w:eastAsia="Arial" w:hAnsi="Arial"/>
                <w:sz w:val="14"/>
                <w:szCs w:val="14"/>
                <w:color w:val="auto"/>
              </w:rPr>
              <w:t>Restructuring expenses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2,887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36,404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33,292</w:t>
            </w:r>
          </w:p>
        </w:tc>
        <w:tc>
          <w:tcPr>
            <w:tcW w:w="0" w:type="dxa"/>
            <w:vAlign w:val="bottom"/>
          </w:tcPr>
          <w:p>
            <w:pPr>
              <w:spacing w:after="0"/>
              <w:rPr>
                <w:sz w:val="1"/>
                <w:szCs w:val="1"/>
                <w:color w:val="auto"/>
              </w:rPr>
            </w:pPr>
          </w:p>
        </w:tc>
      </w:tr>
      <w:tr>
        <w:trPr>
          <w:trHeight w:val="148"/>
        </w:trPr>
        <w:tc>
          <w:tcPr>
            <w:tcW w:w="664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intangibles from acquisitions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3,247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3,258</w:t>
            </w: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Loss on disposition of long-lived assets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3,420</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185,138</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171,911</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Income from operations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2"/>
        </w:trPr>
        <w:tc>
          <w:tcPr>
            <w:tcW w:w="6640" w:type="dxa"/>
            <w:vAlign w:val="bottom"/>
          </w:tcPr>
          <w:p>
            <w:pPr>
              <w:spacing w:after="0" w:line="142" w:lineRule="exact"/>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8"/>
        </w:trPr>
        <w:tc>
          <w:tcPr>
            <w:tcW w:w="6640" w:type="dxa"/>
            <w:vAlign w:val="bottom"/>
          </w:tcPr>
          <w:p>
            <w:pPr>
              <w:ind w:left="22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(8,807)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149"/>
        </w:trPr>
        <w:tc>
          <w:tcPr>
            <w:tcW w:w="6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4,199</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(8,431)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(7,795)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48"/>
        </w:trPr>
        <w:tc>
          <w:tcPr>
            <w:tcW w:w="66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Income tax (benefit) expense</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2,952</w:t>
            </w: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(7,055)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(1,957)</w:t>
            </w:r>
          </w:p>
        </w:tc>
        <w:tc>
          <w:tcPr>
            <w:tcW w:w="0" w:type="dxa"/>
            <w:vAlign w:val="bottom"/>
          </w:tcPr>
          <w:p>
            <w:pPr>
              <w:spacing w:after="0"/>
              <w:rPr>
                <w:sz w:val="1"/>
                <w:szCs w:val="1"/>
                <w:color w:val="auto"/>
              </w:rPr>
            </w:pPr>
          </w:p>
        </w:tc>
      </w:tr>
      <w:tr>
        <w:trPr>
          <w:trHeight w:val="130"/>
        </w:trPr>
        <w:tc>
          <w:tcPr>
            <w:tcW w:w="6640" w:type="dxa"/>
            <w:vAlign w:val="bottom"/>
          </w:tcPr>
          <w:p>
            <w:pPr>
              <w:ind w:left="220"/>
              <w:spacing w:after="0" w:line="130" w:lineRule="exact"/>
              <w:rPr>
                <w:sz w:val="20"/>
                <w:szCs w:val="20"/>
                <w:color w:val="auto"/>
              </w:rPr>
            </w:pPr>
            <w:r>
              <w:rPr>
                <w:rFonts w:ascii="Arial" w:cs="Arial" w:eastAsia="Arial" w:hAnsi="Arial"/>
                <w:sz w:val="14"/>
                <w:szCs w:val="14"/>
                <w:color w:val="auto"/>
              </w:rPr>
              <w:t>Net loss attributable to noncontrolling interests, net of tax benefit of $(0.6) million and $(0.5) million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respectively</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 ATTRIBUTABLE TO ATN INTERNATIONAL, INC. STOCKHOLDERS</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(5,885)</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line="119" w:lineRule="exact"/>
              <w:rPr>
                <w:sz w:val="20"/>
                <w:szCs w:val="20"/>
                <w:color w:val="auto"/>
              </w:rPr>
            </w:pPr>
            <w:r>
              <w:rPr>
                <w:rFonts w:ascii="Arial" w:cs="Arial" w:eastAsia="Arial" w:hAnsi="Arial"/>
                <w:sz w:val="13"/>
                <w:szCs w:val="13"/>
                <w:b w:val="1"/>
                <w:bCs w:val="1"/>
                <w:color w:val="auto"/>
              </w:rPr>
              <w:t>NET LOSS PER WEIGHTED AVERAGE SHARE ATTRIBUTABLE TO ATN INTERNATIONAL, INC.</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6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20"/>
                <w:szCs w:val="20"/>
                <w:color w:val="auto"/>
              </w:rPr>
            </w:pPr>
            <w:r>
              <w:rPr>
                <w:rFonts w:ascii="Arial" w:cs="Arial" w:eastAsia="Arial" w:hAnsi="Arial"/>
                <w:sz w:val="14"/>
                <w:szCs w:val="14"/>
                <w:b w:val="1"/>
                <w:bCs w:val="1"/>
                <w:color w:val="auto"/>
              </w:rPr>
              <w:t>STOCKHOLDERS: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4"/>
                <w:szCs w:val="14"/>
                <w:color w:val="auto"/>
              </w:rPr>
              <w:t>Diluted</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(0.44)</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29"/>
        </w:trPr>
        <w:tc>
          <w:tcPr>
            <w:tcW w:w="66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WEIGHTED AVERAGE COMMON SHARES OUTSTANDING:</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6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Basic</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15,768</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15,708</w:t>
            </w:r>
          </w:p>
        </w:tc>
        <w:tc>
          <w:tcPr>
            <w:tcW w:w="0" w:type="dxa"/>
            <w:vAlign w:val="bottom"/>
          </w:tcPr>
          <w:p>
            <w:pPr>
              <w:spacing w:after="0"/>
              <w:rPr>
                <w:sz w:val="1"/>
                <w:szCs w:val="1"/>
                <w:color w:val="auto"/>
              </w:rPr>
            </w:pPr>
          </w:p>
        </w:tc>
      </w:tr>
      <w:tr>
        <w:trPr>
          <w:trHeight w:val="129"/>
        </w:trPr>
        <w:tc>
          <w:tcPr>
            <w:tcW w:w="6640" w:type="dxa"/>
            <w:vAlign w:val="bottom"/>
            <w:tcBorders>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Diluted</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15,768</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15,708</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DIVIDENDS PER SHARE APPLICABLE TO COMMON STOCK</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0.21</w:t>
            </w:r>
          </w:p>
        </w:tc>
        <w:tc>
          <w:tcPr>
            <w:tcW w:w="14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ATN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88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Reclassification of loss on pension settlement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derivatives</w:t>
            </w:r>
          </w:p>
        </w:tc>
        <w:tc>
          <w:tcPr>
            <w:tcW w:w="1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net of tax</w:t>
            </w: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16"/>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Comprehensive loss attributable to noncontrolling interests</w:t>
            </w: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r>
      <w:tr>
        <w:trPr>
          <w:trHeight w:val="210"/>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ATN International, Inc.</w:t>
            </w: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0"/>
        </w:trPr>
        <w:tc>
          <w:tcPr>
            <w:tcW w:w="5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ATN INTERNATIONAL, INC. AND SUBSIDIARIES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EQUITY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 MARCH 31 2023 AND 2022</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0"/>
                <w:szCs w:val="10"/>
                <w:b w:val="1"/>
                <w:bCs w:val="1"/>
                <w:color w:val="auto"/>
              </w:rPr>
              <w:t>Total Equity</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171"/>
              <w:spacing w:after="0"/>
              <w:rPr>
                <w:sz w:val="20"/>
                <w:szCs w:val="20"/>
                <w:color w:val="auto"/>
              </w:rPr>
            </w:pPr>
            <w:r>
              <w:rPr>
                <w:rFonts w:ascii="Arial" w:cs="Arial" w:eastAsia="Arial" w:hAnsi="Arial"/>
                <w:sz w:val="10"/>
                <w:szCs w:val="10"/>
                <w:b w:val="1"/>
                <w:bCs w:val="1"/>
                <w:color w:val="auto"/>
              </w:rPr>
              <w:t>Treasury</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Additional</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Other</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ATNI</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Non-</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Common</w:t>
            </w:r>
          </w:p>
        </w:tc>
        <w:tc>
          <w:tcPr>
            <w:tcW w:w="220" w:type="dxa"/>
            <w:vAlign w:val="bottom"/>
          </w:tcPr>
          <w:p>
            <w:pPr>
              <w:spacing w:after="0"/>
              <w:rPr>
                <w:sz w:val="10"/>
                <w:szCs w:val="10"/>
                <w:color w:val="auto"/>
              </w:rPr>
            </w:pPr>
          </w:p>
        </w:tc>
        <w:tc>
          <w:tcPr>
            <w:tcW w:w="760" w:type="dxa"/>
            <w:vAlign w:val="bottom"/>
          </w:tcPr>
          <w:p>
            <w:pPr>
              <w:jc w:val="right"/>
              <w:ind w:right="171"/>
              <w:spacing w:after="0"/>
              <w:rPr>
                <w:sz w:val="20"/>
                <w:szCs w:val="20"/>
                <w:color w:val="auto"/>
              </w:rPr>
            </w:pPr>
            <w:r>
              <w:rPr>
                <w:rFonts w:ascii="Arial" w:cs="Arial" w:eastAsia="Arial" w:hAnsi="Arial"/>
                <w:sz w:val="10"/>
                <w:szCs w:val="10"/>
                <w:b w:val="1"/>
                <w:bCs w:val="1"/>
                <w:color w:val="auto"/>
              </w:rPr>
              <w:t>Stock,</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Paid In</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w w:val="93"/>
              </w:rPr>
              <w:t>Comprehensive</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w w:val="96"/>
              </w:rPr>
              <w:t>Stockholders’</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Controlling</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Stock</w:t>
            </w: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at cost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Capital</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Earnings</w:t>
            </w: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Income/(Loss)</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Equity</w:t>
            </w: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Interests</w:t>
            </w: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0"/>
                <w:szCs w:val="10"/>
                <w:color w:val="auto"/>
              </w:rPr>
              <w:t>Balance, December 31, 2022</w:t>
            </w:r>
          </w:p>
        </w:tc>
        <w:tc>
          <w:tcPr>
            <w:tcW w:w="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173</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(73,825)$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198,449</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449,806</w:t>
            </w:r>
          </w:p>
        </w:tc>
        <w:tc>
          <w:tcPr>
            <w:tcW w:w="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6,210</w:t>
            </w: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580,813</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96,016</w:t>
            </w: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676,829</w:t>
            </w:r>
          </w:p>
        </w:tc>
        <w:tc>
          <w:tcPr>
            <w:tcW w:w="0" w:type="dxa"/>
            <w:vAlign w:val="bottom"/>
          </w:tcPr>
          <w:p>
            <w:pPr>
              <w:spacing w:after="0"/>
              <w:rPr>
                <w:sz w:val="1"/>
                <w:szCs w:val="1"/>
                <w:color w:val="auto"/>
              </w:rPr>
            </w:pPr>
          </w:p>
        </w:tc>
      </w:tr>
      <w:tr>
        <w:trPr>
          <w:trHeight w:val="115"/>
        </w:trPr>
        <w:tc>
          <w:tcPr>
            <w:tcW w:w="2600" w:type="dxa"/>
            <w:vAlign w:val="bottom"/>
            <w:gridSpan w:val="2"/>
          </w:tcPr>
          <w:p>
            <w:pPr>
              <w:spacing w:after="0"/>
              <w:rPr>
                <w:sz w:val="20"/>
                <w:szCs w:val="20"/>
                <w:color w:val="auto"/>
              </w:rPr>
            </w:pPr>
            <w:r>
              <w:rPr>
                <w:rFonts w:ascii="Arial" w:cs="Arial" w:eastAsia="Arial" w:hAnsi="Arial"/>
                <w:sz w:val="10"/>
                <w:szCs w:val="10"/>
                <w:color w:val="auto"/>
              </w:rPr>
              <w:t>Purchase of 71,563 shares of common stock</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ind w:right="151"/>
              <w:spacing w:after="0"/>
              <w:rPr>
                <w:sz w:val="20"/>
                <w:szCs w:val="20"/>
                <w:color w:val="auto"/>
              </w:rPr>
            </w:pPr>
            <w:r>
              <w:rPr>
                <w:rFonts w:ascii="Arial" w:cs="Arial" w:eastAsia="Arial" w:hAnsi="Arial"/>
                <w:sz w:val="10"/>
                <w:szCs w:val="10"/>
                <w:color w:val="auto"/>
              </w:rPr>
              <w:t>(2,840)</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(2,840)</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(2,840)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0"/>
                <w:szCs w:val="10"/>
                <w:color w:val="auto"/>
              </w:rPr>
              <w:t>Stock-based compensation</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1,634</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1,634</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tcPr>
          <w:p>
            <w:pPr>
              <w:spacing w:after="0"/>
              <w:rPr>
                <w:sz w:val="20"/>
                <w:szCs w:val="20"/>
                <w:color w:val="auto"/>
              </w:rPr>
            </w:pPr>
            <w:r>
              <w:rPr>
                <w:rFonts w:ascii="Arial" w:cs="Arial" w:eastAsia="Arial" w:hAnsi="Arial"/>
                <w:sz w:val="10"/>
                <w:szCs w:val="10"/>
                <w:color w:val="auto"/>
                <w:w w:val="89"/>
              </w:rPr>
              <w:t>Dividends declared on common stock ($0.21 per common share)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(3,315)</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(3,315)</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(3,315)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0"/>
                <w:szCs w:val="10"/>
                <w:color w:val="auto"/>
              </w:rPr>
              <w:t>Repurchase of noncontrolling interests</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(527)</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tcPr>
          <w:p>
            <w:pPr>
              <w:spacing w:after="0"/>
              <w:rPr>
                <w:sz w:val="20"/>
                <w:szCs w:val="20"/>
                <w:color w:val="auto"/>
              </w:rPr>
            </w:pPr>
            <w:r>
              <w:rPr>
                <w:rFonts w:ascii="Arial" w:cs="Arial" w:eastAsia="Arial" w:hAnsi="Arial"/>
                <w:sz w:val="10"/>
                <w:szCs w:val="10"/>
                <w:color w:val="auto"/>
              </w:rPr>
              <w:t>Deemed dividend - redeemable preferred units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(1,045)</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(1,045)</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0"/>
                <w:szCs w:val="10"/>
                <w:color w:val="auto"/>
              </w:rPr>
              <w:t>Deemed dividend - redeemable common units</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(2,531)</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(2,531)</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2,820</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tcPr>
          <w:p>
            <w:pPr>
              <w:spacing w:after="0"/>
              <w:rPr>
                <w:sz w:val="20"/>
                <w:szCs w:val="20"/>
                <w:color w:val="auto"/>
              </w:rPr>
            </w:pPr>
            <w:r>
              <w:rPr>
                <w:rFonts w:ascii="Arial" w:cs="Arial" w:eastAsia="Arial" w:hAnsi="Arial"/>
                <w:sz w:val="10"/>
                <w:szCs w:val="10"/>
                <w:i w:val="1"/>
                <w:iCs w:val="1"/>
                <w:color w:val="auto"/>
              </w:rPr>
              <w:t>Comprehensive income: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Net loss</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(5,885)</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(5,885)</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(1,170)</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Other comprehensive income</w:t>
            </w: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480</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480</w:t>
            </w: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0"/>
                <w:szCs w:val="10"/>
                <w:color w:val="auto"/>
              </w:rPr>
              <w:t>Total comprehensive income (loss)</w:t>
            </w:r>
          </w:p>
        </w:tc>
        <w:tc>
          <w:tcPr>
            <w:tcW w:w="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(5,885)</w:t>
            </w:r>
          </w:p>
        </w:tc>
        <w:tc>
          <w:tcPr>
            <w:tcW w:w="1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480</w:t>
            </w: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(5,405)</w:t>
            </w:r>
          </w:p>
        </w:tc>
        <w:tc>
          <w:tcPr>
            <w:tcW w:w="1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(1,170)</w:t>
            </w:r>
          </w:p>
        </w:tc>
        <w:tc>
          <w:tcPr>
            <w:tcW w:w="2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(6,575)</w:t>
            </w:r>
          </w:p>
        </w:tc>
        <w:tc>
          <w:tcPr>
            <w:tcW w:w="0" w:type="dxa"/>
            <w:vAlign w:val="bottom"/>
          </w:tcPr>
          <w:p>
            <w:pPr>
              <w:spacing w:after="0"/>
              <w:rPr>
                <w:sz w:val="1"/>
                <w:szCs w:val="1"/>
                <w:color w:val="auto"/>
              </w:rPr>
            </w:pPr>
          </w:p>
        </w:tc>
      </w:tr>
      <w:tr>
        <w:trPr>
          <w:trHeight w:val="155"/>
        </w:trPr>
        <w:tc>
          <w:tcPr>
            <w:tcW w:w="2600" w:type="dxa"/>
            <w:vAlign w:val="bottom"/>
            <w:gridSpan w:val="2"/>
          </w:tcPr>
          <w:p>
            <w:pPr>
              <w:spacing w:after="0"/>
              <w:rPr>
                <w:sz w:val="20"/>
                <w:szCs w:val="20"/>
                <w:color w:val="auto"/>
              </w:rPr>
            </w:pPr>
            <w:r>
              <w:rPr>
                <w:rFonts w:ascii="Arial" w:cs="Arial" w:eastAsia="Arial" w:hAnsi="Arial"/>
                <w:sz w:val="10"/>
                <w:szCs w:val="10"/>
                <w:color w:val="auto"/>
              </w:rPr>
              <w:t>Balance, March 31, 2023</w:t>
            </w:r>
          </w:p>
        </w:tc>
        <w:tc>
          <w:tcPr>
            <w:tcW w:w="60" w:type="dxa"/>
            <w:vAlign w:val="bottom"/>
          </w:tcPr>
          <w:p>
            <w:pPr>
              <w:spacing w:after="0"/>
              <w:rPr>
                <w:sz w:val="13"/>
                <w:szCs w:val="13"/>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173</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(76,665)$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200,015</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437,030</w:t>
            </w:r>
          </w:p>
        </w:tc>
        <w:tc>
          <w:tcPr>
            <w:tcW w:w="100" w:type="dxa"/>
            <w:vAlign w:val="bottom"/>
            <w:tcBorders>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6,690</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567,243</w:t>
            </w: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97,283</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664,526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580" w:type="dxa"/>
            <w:vAlign w:val="bottom"/>
          </w:tcPr>
          <w:p>
            <w:pPr>
              <w:spacing w:after="0"/>
              <w:rPr>
                <w:sz w:val="20"/>
                <w:szCs w:val="20"/>
                <w:color w:val="auto"/>
              </w:rPr>
            </w:pPr>
            <w:r>
              <w:rPr>
                <w:rFonts w:ascii="Arial" w:cs="Arial" w:eastAsia="Arial" w:hAnsi="Arial"/>
                <w:sz w:val="10"/>
                <w:szCs w:val="10"/>
                <w:color w:val="auto"/>
              </w:rPr>
              <w:t>Balance, December 31, 2021</w:t>
            </w:r>
          </w:p>
        </w:tc>
        <w:tc>
          <w:tcPr>
            <w:tcW w:w="200" w:type="dxa"/>
            <w:vAlign w:val="bottom"/>
            <w:gridSpan w:val="2"/>
          </w:tcPr>
          <w:p>
            <w:pPr>
              <w:jc w:val="right"/>
              <w:ind w:right="75"/>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172</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91"/>
              <w:spacing w:after="0"/>
              <w:rPr>
                <w:sz w:val="20"/>
                <w:szCs w:val="20"/>
                <w:color w:val="auto"/>
              </w:rPr>
            </w:pPr>
            <w:r>
              <w:rPr>
                <w:rFonts w:ascii="Arial" w:cs="Arial" w:eastAsia="Arial" w:hAnsi="Arial"/>
                <w:sz w:val="10"/>
                <w:szCs w:val="10"/>
                <w:color w:val="auto"/>
              </w:rPr>
              <w:t>(71,714)$</w:t>
            </w:r>
          </w:p>
        </w:tc>
        <w:tc>
          <w:tcPr>
            <w:tcW w:w="600" w:type="dxa"/>
            <w:vAlign w:val="bottom"/>
          </w:tcPr>
          <w:p>
            <w:pPr>
              <w:jc w:val="right"/>
              <w:spacing w:after="0"/>
              <w:rPr>
                <w:sz w:val="20"/>
                <w:szCs w:val="20"/>
                <w:color w:val="auto"/>
              </w:rPr>
            </w:pPr>
            <w:r>
              <w:rPr>
                <w:rFonts w:ascii="Arial" w:cs="Arial" w:eastAsia="Arial" w:hAnsi="Arial"/>
                <w:sz w:val="10"/>
                <w:szCs w:val="10"/>
                <w:color w:val="auto"/>
              </w:rPr>
              <w:t>192,132</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475,887</w:t>
            </w:r>
          </w:p>
        </w:tc>
        <w:tc>
          <w:tcPr>
            <w:tcW w:w="100" w:type="dxa"/>
            <w:vAlign w:val="bottom"/>
          </w:tcPr>
          <w:p>
            <w:pPr>
              <w:jc w:val="right"/>
              <w:ind w:right="35"/>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4,773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601,250</w:t>
            </w: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101,003</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702,253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Purchase of 56,284 shares of common stock</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(2,081)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(2,081)</w:t>
            </w: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(2,081)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tcPr>
          <w:p>
            <w:pPr>
              <w:spacing w:after="0"/>
              <w:rPr>
                <w:sz w:val="20"/>
                <w:szCs w:val="20"/>
                <w:color w:val="auto"/>
              </w:rPr>
            </w:pPr>
            <w:r>
              <w:rPr>
                <w:rFonts w:ascii="Arial" w:cs="Arial" w:eastAsia="Arial" w:hAnsi="Arial"/>
                <w:sz w:val="10"/>
                <w:szCs w:val="10"/>
                <w:color w:val="auto"/>
              </w:rPr>
              <w:t>Stock-based compensation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1,310</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1,310</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150</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1,460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0"/>
                <w:szCs w:val="10"/>
                <w:color w:val="auto"/>
                <w:w w:val="89"/>
              </w:rPr>
              <w:t>Dividends declared on common stock ($0.17 per common share)</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(2,675)</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(2,675)</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tcPr>
          <w:p>
            <w:pPr>
              <w:spacing w:after="0"/>
              <w:rPr>
                <w:sz w:val="20"/>
                <w:szCs w:val="20"/>
                <w:color w:val="auto"/>
              </w:rPr>
            </w:pPr>
            <w:r>
              <w:rPr>
                <w:rFonts w:ascii="Arial" w:cs="Arial" w:eastAsia="Arial" w:hAnsi="Arial"/>
                <w:sz w:val="10"/>
                <w:szCs w:val="10"/>
                <w:color w:val="auto"/>
              </w:rPr>
              <w:t>Repurchase of noncontrolling interests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(278)</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(278)</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(2,205)</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(2,483)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0"/>
                <w:szCs w:val="10"/>
                <w:color w:val="auto"/>
              </w:rPr>
              <w:t>Accrued dividend - redeemable preferred units</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(1,116)</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(1,116)</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80" w:type="dxa"/>
            <w:vAlign w:val="bottom"/>
          </w:tcPr>
          <w:p>
            <w:pPr>
              <w:spacing w:after="0"/>
              <w:rPr>
                <w:sz w:val="20"/>
                <w:szCs w:val="20"/>
                <w:color w:val="auto"/>
              </w:rPr>
            </w:pPr>
            <w:r>
              <w:rPr>
                <w:rFonts w:ascii="Arial" w:cs="Arial" w:eastAsia="Arial" w:hAnsi="Arial"/>
                <w:sz w:val="10"/>
                <w:szCs w:val="10"/>
                <w:color w:val="auto"/>
              </w:rPr>
              <w:t>Deemed dividend - redeemable common units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0"/>
                <w:szCs w:val="10"/>
                <w:i w:val="1"/>
                <w:iCs w:val="1"/>
                <w:color w:val="auto"/>
              </w:rPr>
              <w:t>Comprehensive income:</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tcPr>
          <w:p>
            <w:pPr>
              <w:ind w:left="200"/>
              <w:spacing w:after="0"/>
              <w:rPr>
                <w:sz w:val="20"/>
                <w:szCs w:val="20"/>
                <w:color w:val="auto"/>
              </w:rPr>
            </w:pPr>
            <w:r>
              <w:rPr>
                <w:rFonts w:ascii="Arial" w:cs="Arial" w:eastAsia="Arial" w:hAnsi="Arial"/>
                <w:sz w:val="10"/>
                <w:szCs w:val="10"/>
                <w:color w:val="auto"/>
              </w:rPr>
              <w:t>Net income (loss)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(2,040)</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(2,040)</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83</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(1,957)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Other comprehensive income (loss)</w:t>
            </w:r>
          </w:p>
        </w:tc>
        <w:tc>
          <w:tcPr>
            <w:tcW w:w="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422</w:t>
            </w: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422</w:t>
            </w:r>
          </w:p>
        </w:tc>
        <w:tc>
          <w:tcPr>
            <w:tcW w:w="1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422</w:t>
            </w:r>
          </w:p>
        </w:tc>
        <w:tc>
          <w:tcPr>
            <w:tcW w:w="0" w:type="dxa"/>
            <w:vAlign w:val="bottom"/>
          </w:tcPr>
          <w:p>
            <w:pPr>
              <w:spacing w:after="0"/>
              <w:rPr>
                <w:sz w:val="1"/>
                <w:szCs w:val="1"/>
                <w:color w:val="auto"/>
              </w:rPr>
            </w:pPr>
          </w:p>
        </w:tc>
      </w:tr>
      <w:tr>
        <w:trPr>
          <w:trHeight w:val="115"/>
        </w:trPr>
        <w:tc>
          <w:tcPr>
            <w:tcW w:w="2600" w:type="dxa"/>
            <w:vAlign w:val="bottom"/>
            <w:gridSpan w:val="2"/>
          </w:tcPr>
          <w:p>
            <w:pPr>
              <w:spacing w:after="0"/>
              <w:rPr>
                <w:sz w:val="20"/>
                <w:szCs w:val="20"/>
                <w:color w:val="auto"/>
              </w:rPr>
            </w:pPr>
            <w:r>
              <w:rPr>
                <w:rFonts w:ascii="Arial" w:cs="Arial" w:eastAsia="Arial" w:hAnsi="Arial"/>
                <w:sz w:val="10"/>
                <w:szCs w:val="10"/>
                <w:color w:val="auto"/>
              </w:rPr>
              <w:t>Total comprehensive income (loss)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(2,040)</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422</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(1,618)</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83</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(1,535)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Balance, March 31, 2022</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172</w:t>
            </w: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(73,795)$</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193,164</w:t>
            </w: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470,056</w:t>
            </w:r>
          </w:p>
        </w:tc>
        <w:tc>
          <w:tcPr>
            <w:tcW w:w="1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5,195</w:t>
            </w: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594,792</w:t>
            </w:r>
          </w:p>
        </w:tc>
        <w:tc>
          <w:tcPr>
            <w:tcW w:w="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98,768</w:t>
            </w:r>
          </w:p>
        </w:tc>
        <w:tc>
          <w:tcPr>
            <w:tcW w:w="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693,560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3" w:lineRule="auto"/>
        <w:rPr>
          <w:sz w:val="20"/>
          <w:szCs w:val="20"/>
          <w:color w:val="auto"/>
        </w:rPr>
      </w:pPr>
      <w:r>
        <w:rPr>
          <w:rFonts w:ascii="Arial" w:cs="Arial" w:eastAsia="Arial" w:hAnsi="Arial"/>
          <w:sz w:val="18"/>
          <w:szCs w:val="18"/>
          <w:b w:val="1"/>
          <w:bCs w:val="1"/>
          <w:color w:val="auto"/>
        </w:rPr>
        <w:t>ATN INTERNATIONAL, INC. AND SUBSIDIARIES CONDENSED CONSOLIDATED STATEMENTS OF CASH FLOWS FOR THREE MONTHS ENDED MARCH 31, 2023 AND 2022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35"/>
        </w:trPr>
        <w:tc>
          <w:tcPr>
            <w:tcW w:w="6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1"/>
                <w:szCs w:val="11"/>
                <w:b w:val="1"/>
                <w:bCs w:val="1"/>
                <w:color w:val="auto"/>
                <w:w w:val="98"/>
              </w:rPr>
              <w:t>Three Months Ended March 31,</w:t>
            </w:r>
          </w:p>
        </w:tc>
      </w:tr>
      <w:tr>
        <w:trPr>
          <w:trHeight w:val="115"/>
        </w:trPr>
        <w:tc>
          <w:tcPr>
            <w:tcW w:w="606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37"/>
              <w:spacing w:after="0" w:line="115" w:lineRule="exact"/>
              <w:rPr>
                <w:sz w:val="20"/>
                <w:szCs w:val="20"/>
                <w:color w:val="auto"/>
              </w:rPr>
            </w:pPr>
            <w:r>
              <w:rPr>
                <w:rFonts w:ascii="Arial" w:cs="Arial" w:eastAsia="Arial" w:hAnsi="Arial"/>
                <w:sz w:val="11"/>
                <w:szCs w:val="11"/>
                <w:b w:val="1"/>
                <w:bCs w:val="1"/>
                <w:color w:val="auto"/>
              </w:rPr>
              <w:t>2023</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37"/>
              <w:spacing w:after="0" w:line="115" w:lineRule="exact"/>
              <w:rPr>
                <w:sz w:val="20"/>
                <w:szCs w:val="20"/>
                <w:color w:val="auto"/>
              </w:rPr>
            </w:pPr>
            <w:r>
              <w:rPr>
                <w:rFonts w:ascii="Arial" w:cs="Arial" w:eastAsia="Arial" w:hAnsi="Arial"/>
                <w:sz w:val="11"/>
                <w:szCs w:val="11"/>
                <w:b w:val="1"/>
                <w:bCs w:val="1"/>
                <w:color w:val="auto"/>
              </w:rPr>
              <w:t>2022</w:t>
            </w:r>
          </w:p>
        </w:tc>
      </w:tr>
      <w:tr>
        <w:trPr>
          <w:trHeight w:val="128"/>
        </w:trPr>
        <w:tc>
          <w:tcPr>
            <w:tcW w:w="6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operating activities: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Net loss</w:t>
            </w:r>
          </w:p>
        </w:tc>
        <w:tc>
          <w:tcPr>
            <w:tcW w:w="880" w:type="dxa"/>
            <w:vAlign w:val="bottom"/>
            <w:gridSpan w:val="2"/>
          </w:tcPr>
          <w:p>
            <w:pPr>
              <w:jc w:val="right"/>
              <w:ind w:right="8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(7,055)</w:t>
            </w:r>
          </w:p>
        </w:tc>
        <w:tc>
          <w:tcPr>
            <w:tcW w:w="180" w:type="dxa"/>
            <w:vAlign w:val="bottom"/>
          </w:tcPr>
          <w:p>
            <w:pPr>
              <w:spacing w:after="0"/>
              <w:rPr>
                <w:sz w:val="11"/>
                <w:szCs w:val="11"/>
                <w:color w:val="auto"/>
              </w:rPr>
            </w:pPr>
          </w:p>
        </w:tc>
        <w:tc>
          <w:tcPr>
            <w:tcW w:w="240" w:type="dxa"/>
            <w:vAlign w:val="bottom"/>
            <w:gridSpan w:val="2"/>
          </w:tcPr>
          <w:p>
            <w:pPr>
              <w:jc w:val="right"/>
              <w:ind w:right="15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(1,957)</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Adjustments to reconcile net loss to net cash flows provided by operating activities: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Depreciation and amortization</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36,404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33,292</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Amortization of intangibles from acquisitions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3,247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3,258</w:t>
            </w: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Provision for doubtful accounts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1,378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1,913</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Amortization of debt discount and debt issuance costs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w:t>
            </w: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(Gain) loss on disposition of long-lived assets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(167)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3,420</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1,461</w:t>
            </w: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Deferred income taxes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(1,953)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191</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Loss on pension settlement</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Gain on equity investments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(315)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(4,222)</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Changes in operating assets and liabilities, excluding the effects of acquisitions and dispositions: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6060" w:type="dxa"/>
            <w:vAlign w:val="bottom"/>
          </w:tcPr>
          <w:p>
            <w:pPr>
              <w:ind w:left="320"/>
              <w:spacing w:after="0" w:line="135" w:lineRule="exact"/>
              <w:rPr>
                <w:sz w:val="20"/>
                <w:szCs w:val="20"/>
                <w:color w:val="auto"/>
              </w:rPr>
            </w:pPr>
            <w:r>
              <w:rPr>
                <w:rFonts w:ascii="Arial" w:cs="Arial" w:eastAsia="Arial" w:hAnsi="Arial"/>
                <w:sz w:val="13"/>
                <w:szCs w:val="13"/>
                <w:color w:val="auto"/>
              </w:rPr>
              <w:t>Accounts receivable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3,573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1,677</w:t>
            </w:r>
          </w:p>
        </w:tc>
      </w:tr>
      <w:tr>
        <w:trPr>
          <w:trHeight w:val="135"/>
        </w:trPr>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Customer receivable</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745</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(746)</w:t>
            </w:r>
          </w:p>
        </w:tc>
      </w:tr>
      <w:tr>
        <w:trPr>
          <w:trHeight w:val="135"/>
        </w:trPr>
        <w:tc>
          <w:tcPr>
            <w:tcW w:w="6060" w:type="dxa"/>
            <w:vAlign w:val="bottom"/>
          </w:tcPr>
          <w:p>
            <w:pPr>
              <w:ind w:left="320"/>
              <w:spacing w:after="0" w:line="135" w:lineRule="exact"/>
              <w:rPr>
                <w:sz w:val="20"/>
                <w:szCs w:val="20"/>
                <w:color w:val="auto"/>
              </w:rPr>
            </w:pPr>
            <w:r>
              <w:rPr>
                <w:rFonts w:ascii="Arial" w:cs="Arial" w:eastAsia="Arial" w:hAnsi="Arial"/>
                <w:sz w:val="13"/>
                <w:szCs w:val="13"/>
                <w:color w:val="auto"/>
              </w:rPr>
              <w:t>Prepaid income taxes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679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6,206</w:t>
            </w:r>
          </w:p>
        </w:tc>
      </w:tr>
      <w:tr>
        <w:trPr>
          <w:trHeight w:val="135"/>
        </w:trPr>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Accrued taxes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6,953</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2,763</w:t>
            </w:r>
          </w:p>
        </w:tc>
      </w:tr>
      <w:tr>
        <w:trPr>
          <w:trHeight w:val="135"/>
        </w:trPr>
        <w:tc>
          <w:tcPr>
            <w:tcW w:w="6060" w:type="dxa"/>
            <w:vAlign w:val="bottom"/>
          </w:tcPr>
          <w:p>
            <w:pPr>
              <w:ind w:left="320"/>
              <w:spacing w:after="0" w:line="135" w:lineRule="exact"/>
              <w:rPr>
                <w:sz w:val="20"/>
                <w:szCs w:val="20"/>
                <w:color w:val="auto"/>
              </w:rPr>
            </w:pPr>
            <w:r>
              <w:rPr>
                <w:rFonts w:ascii="Arial" w:cs="Arial" w:eastAsia="Arial" w:hAnsi="Arial"/>
                <w:sz w:val="13"/>
                <w:szCs w:val="13"/>
                <w:color w:val="auto"/>
              </w:rPr>
              <w:t>Materials and supplies, prepayments, and other current assets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(3,503)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(5,330)</w:t>
            </w:r>
          </w:p>
        </w:tc>
      </w:tr>
      <w:tr>
        <w:trPr>
          <w:trHeight w:val="135"/>
        </w:trPr>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w w:val="98"/>
              </w:rPr>
              <w:t>Accounts payable and accrued liabilities, advance payments and deposits and other current liabilities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(24,548)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(27,465)</w:t>
            </w:r>
          </w:p>
        </w:tc>
      </w:tr>
      <w:tr>
        <w:trPr>
          <w:trHeight w:val="135"/>
        </w:trPr>
        <w:tc>
          <w:tcPr>
            <w:tcW w:w="6060" w:type="dxa"/>
            <w:vAlign w:val="bottom"/>
          </w:tcPr>
          <w:p>
            <w:pPr>
              <w:ind w:left="320"/>
              <w:spacing w:after="0" w:line="135" w:lineRule="exact"/>
              <w:rPr>
                <w:sz w:val="20"/>
                <w:szCs w:val="20"/>
                <w:color w:val="auto"/>
              </w:rPr>
            </w:pPr>
            <w:r>
              <w:rPr>
                <w:rFonts w:ascii="Arial" w:cs="Arial" w:eastAsia="Arial" w:hAnsi="Arial"/>
                <w:sz w:val="13"/>
                <w:szCs w:val="13"/>
                <w:color w:val="auto"/>
              </w:rPr>
              <w:t>Other assets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141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(325)</w:t>
            </w:r>
          </w:p>
        </w:tc>
      </w:tr>
      <w:tr>
        <w:trPr>
          <w:trHeight w:val="135"/>
        </w:trPr>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Other liabilities</w:t>
            </w:r>
          </w:p>
        </w:tc>
        <w:tc>
          <w:tcPr>
            <w:tcW w:w="6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(2,283)</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(3,249)</w:t>
            </w:r>
          </w:p>
        </w:tc>
      </w:tr>
      <w:tr>
        <w:trPr>
          <w:trHeight w:val="128"/>
        </w:trPr>
        <w:tc>
          <w:tcPr>
            <w:tcW w:w="606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3"/>
                <w:szCs w:val="13"/>
                <w:color w:val="auto"/>
              </w:rPr>
              <w:t>Net cash provided by operating activities</w:t>
            </w:r>
          </w:p>
        </w:tc>
        <w:tc>
          <w:tcPr>
            <w:tcW w:w="6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16,012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11,388</w:t>
            </w:r>
          </w:p>
        </w:tc>
      </w:tr>
      <w:tr>
        <w:trPr>
          <w:trHeight w:val="128"/>
        </w:trPr>
        <w:tc>
          <w:tcPr>
            <w:tcW w:w="6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investing activities: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Capital expenditures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(50,598)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(34,220)</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Government capital programs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6060" w:type="dxa"/>
            <w:vAlign w:val="bottom"/>
          </w:tcPr>
          <w:p>
            <w:pPr>
              <w:ind w:left="320"/>
              <w:spacing w:after="0" w:line="135" w:lineRule="exact"/>
              <w:rPr>
                <w:sz w:val="20"/>
                <w:szCs w:val="20"/>
                <w:color w:val="auto"/>
              </w:rPr>
            </w:pPr>
            <w:r>
              <w:rPr>
                <w:rFonts w:ascii="Arial" w:cs="Arial" w:eastAsia="Arial" w:hAnsi="Arial"/>
                <w:sz w:val="13"/>
                <w:szCs w:val="13"/>
                <w:color w:val="auto"/>
              </w:rPr>
              <w:t>Amounts disbursed</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(2,127)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(248)</w:t>
            </w:r>
          </w:p>
        </w:tc>
      </w:tr>
      <w:tr>
        <w:trPr>
          <w:trHeight w:val="135"/>
        </w:trPr>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Amounts received</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593</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06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3"/>
                <w:szCs w:val="13"/>
                <w:color w:val="auto"/>
              </w:rPr>
              <w:t>Purchases of strategic investments</w:t>
            </w:r>
          </w:p>
        </w:tc>
        <w:tc>
          <w:tcPr>
            <w:tcW w:w="6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(630)</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r>
      <w:tr>
        <w:trPr>
          <w:trHeight w:val="129"/>
        </w:trPr>
        <w:tc>
          <w:tcPr>
            <w:tcW w:w="60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Net cash used in investing activities</w:t>
            </w:r>
          </w:p>
        </w:tc>
        <w:tc>
          <w:tcPr>
            <w:tcW w:w="6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(52,762)</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(34,468)</w:t>
            </w:r>
          </w:p>
        </w:tc>
      </w:tr>
      <w:tr>
        <w:trPr>
          <w:trHeight w:val="128"/>
        </w:trPr>
        <w:tc>
          <w:tcPr>
            <w:tcW w:w="6060" w:type="dxa"/>
            <w:vAlign w:val="bottom"/>
          </w:tcPr>
          <w:p>
            <w:pPr>
              <w:spacing w:after="0" w:line="129" w:lineRule="exact"/>
              <w:rPr>
                <w:sz w:val="20"/>
                <w:szCs w:val="20"/>
                <w:color w:val="auto"/>
              </w:rPr>
            </w:pPr>
            <w:r>
              <w:rPr>
                <w:rFonts w:ascii="Arial" w:cs="Arial" w:eastAsia="Arial" w:hAnsi="Arial"/>
                <w:sz w:val="13"/>
                <w:szCs w:val="13"/>
                <w:color w:val="auto"/>
              </w:rPr>
              <w:t>Cash flows from financing activities: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Dividends paid on common stock</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(3,310)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(2,672)</w:t>
            </w: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Distributions to noncontrolling interests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(263)</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Payment of debt issuance costs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Finance lease payment</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(338)</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Term loan - repayments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(938)</w:t>
            </w: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Revolving credit facility – borrowings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57,553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36,500</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Revolving credit facility – repayments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(14,000)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(15,500)</w:t>
            </w: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Proceeds from customer receivable credit facility</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4,300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8,000</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Repayment of customer receivable credit facility</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(1,003)</w:t>
            </w: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Purchases of common stock – stock- based compensation</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(1,433)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(1,136)</w:t>
            </w: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Purchases of common stock – share repurchase plan</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(941)</w:t>
            </w:r>
          </w:p>
        </w:tc>
      </w:tr>
      <w:tr>
        <w:trPr>
          <w:trHeight w:val="135"/>
        </w:trPr>
        <w:tc>
          <w:tcPr>
            <w:tcW w:w="606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3"/>
                <w:szCs w:val="13"/>
                <w:color w:val="auto"/>
              </w:rPr>
              <w:t>Repurchases of noncontrolling interests</w:t>
            </w:r>
          </w:p>
        </w:tc>
        <w:tc>
          <w:tcPr>
            <w:tcW w:w="6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(595)</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(2,481)</w:t>
            </w:r>
          </w:p>
        </w:tc>
      </w:tr>
      <w:tr>
        <w:trPr>
          <w:trHeight w:val="128"/>
        </w:trPr>
        <w:tc>
          <w:tcPr>
            <w:tcW w:w="606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Net cash provided by financing activities</w:t>
            </w:r>
          </w:p>
        </w:tc>
        <w:tc>
          <w:tcPr>
            <w:tcW w:w="6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37,999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19,228</w:t>
            </w:r>
          </w:p>
        </w:tc>
      </w:tr>
      <w:tr>
        <w:trPr>
          <w:trHeight w:val="128"/>
        </w:trPr>
        <w:tc>
          <w:tcPr>
            <w:tcW w:w="6060" w:type="dxa"/>
            <w:vAlign w:val="bottom"/>
          </w:tcPr>
          <w:p>
            <w:pPr>
              <w:spacing w:after="0" w:line="129" w:lineRule="exact"/>
              <w:rPr>
                <w:sz w:val="20"/>
                <w:szCs w:val="20"/>
                <w:color w:val="auto"/>
              </w:rPr>
            </w:pPr>
            <w:r>
              <w:rPr>
                <w:rFonts w:ascii="Arial" w:cs="Arial" w:eastAsia="Arial" w:hAnsi="Arial"/>
                <w:sz w:val="13"/>
                <w:szCs w:val="13"/>
                <w:color w:val="auto"/>
              </w:rPr>
              <w:t>Net change in cash, cash equivalents, and restricted cash</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1,249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(3,852)</w:t>
            </w: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cash, cash equivalents, and restricted cash, beginning of period</w:t>
            </w:r>
          </w:p>
        </w:tc>
        <w:tc>
          <w:tcPr>
            <w:tcW w:w="6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59,728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80,697</w:t>
            </w:r>
          </w:p>
        </w:tc>
      </w:tr>
      <w:tr>
        <w:trPr>
          <w:trHeight w:val="169"/>
        </w:trPr>
        <w:tc>
          <w:tcPr>
            <w:tcW w:w="60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Total cash, cash equivalents, and restricted cash, end of period</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60,977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76,845</w:t>
            </w:r>
          </w:p>
        </w:tc>
      </w:tr>
      <w:tr>
        <w:trPr>
          <w:trHeight w:val="115"/>
        </w:trPr>
        <w:tc>
          <w:tcPr>
            <w:tcW w:w="606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Noncash investing activity:</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3"/>
                <w:szCs w:val="13"/>
                <w:color w:val="auto"/>
              </w:rPr>
              <w:t>Purchases of property, plant and equipment included in accounts payable and accrued expenses</w:t>
            </w:r>
          </w:p>
        </w:tc>
        <w:tc>
          <w:tcPr>
            <w:tcW w:w="880" w:type="dxa"/>
            <w:vAlign w:val="bottom"/>
            <w:gridSpan w:val="2"/>
          </w:tcPr>
          <w:p>
            <w:pPr>
              <w:jc w:val="right"/>
              <w:ind w:right="88"/>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16,208</w:t>
            </w:r>
          </w:p>
        </w:tc>
        <w:tc>
          <w:tcPr>
            <w:tcW w:w="180" w:type="dxa"/>
            <w:vAlign w:val="bottom"/>
          </w:tcPr>
          <w:p>
            <w:pPr>
              <w:spacing w:after="0"/>
              <w:rPr>
                <w:sz w:val="11"/>
                <w:szCs w:val="11"/>
                <w:color w:val="auto"/>
              </w:rPr>
            </w:pPr>
          </w:p>
        </w:tc>
        <w:tc>
          <w:tcPr>
            <w:tcW w:w="240" w:type="dxa"/>
            <w:vAlign w:val="bottom"/>
            <w:gridSpan w:val="2"/>
          </w:tcPr>
          <w:p>
            <w:pPr>
              <w:jc w:val="right"/>
              <w:ind w:right="15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13,221</w:t>
            </w:r>
          </w:p>
        </w:tc>
      </w:tr>
      <w:tr>
        <w:trPr>
          <w:trHeight w:val="20"/>
        </w:trPr>
        <w:tc>
          <w:tcPr>
            <w:tcW w:w="6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ATN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BUSINESS OPERATIONS</w:t>
      </w:r>
    </w:p>
    <w:p>
      <w:pPr>
        <w:spacing w:after="0" w:line="270" w:lineRule="exact"/>
        <w:rPr>
          <w:sz w:val="20"/>
          <w:szCs w:val="20"/>
          <w:color w:val="auto"/>
        </w:rPr>
      </w:pPr>
    </w:p>
    <w:p>
      <w:pPr>
        <w:jc w:val="both"/>
        <w:ind w:left="80" w:right="159" w:firstLine="476"/>
        <w:spacing w:after="0" w:line="293" w:lineRule="auto"/>
        <w:rPr>
          <w:sz w:val="20"/>
          <w:szCs w:val="20"/>
          <w:color w:val="auto"/>
        </w:rPr>
      </w:pPr>
      <w:r>
        <w:rPr>
          <w:rFonts w:ascii="Arial" w:cs="Arial" w:eastAsia="Arial" w:hAnsi="Arial"/>
          <w:sz w:val="16"/>
          <w:szCs w:val="16"/>
          <w:color w:val="auto"/>
        </w:rPr>
        <w:t>The Company provides digital infrastructure and communications services in the United States and internationally, including in the Caribbean region, with a focus on smaller markets, many of which are rural or remote, with a growing demand for infrastructure investments, Through its operating subsidiaries, it primarily provides: (i) carrier and enterprise communications services, such as terrestrial and submarine fiber optic transport, and communications tower facilities; and (ii) fixed and mobile telecommunications connectivity to residential, business and government customers, including a range of high-speed internet and data services, fixed and mobile wireless solutions, and video and voice services.</w:t>
      </w:r>
    </w:p>
    <w:p>
      <w:pPr>
        <w:spacing w:after="0" w:line="191" w:lineRule="exact"/>
        <w:rPr>
          <w:sz w:val="20"/>
          <w:szCs w:val="20"/>
          <w:color w:val="auto"/>
        </w:rPr>
      </w:pPr>
    </w:p>
    <w:p>
      <w:pPr>
        <w:jc w:val="both"/>
        <w:ind w:left="80" w:right="299" w:firstLine="476"/>
        <w:spacing w:after="0" w:line="268" w:lineRule="auto"/>
        <w:rPr>
          <w:sz w:val="20"/>
          <w:szCs w:val="20"/>
          <w:color w:val="auto"/>
        </w:rPr>
      </w:pPr>
      <w:r>
        <w:rPr>
          <w:rFonts w:ascii="Arial" w:cs="Arial" w:eastAsia="Arial" w:hAnsi="Arial"/>
          <w:sz w:val="17"/>
          <w:szCs w:val="17"/>
          <w:color w:val="auto"/>
        </w:rPr>
        <w:t>At the holding company level, the Company oversees the allocation of capital within and among its subsidiaries, affiliates, new investments, and stockholders. The Company has developed significant operational expertise and resources that it uses to augment the capabilities of its individual operating subsidiaries in its local markets. The Company has built a platform of resources and expertise to support its operating subsidiaries and to improve their quality of service with greater economies of scale and expertise than would typically be available at the operating subsidiary level. The Company provides management, technical, financial, regulatory, and marketing services to its operating subsidiaries and typically receive a management fee calculated as a percentage of their revenues, which is eliminated in consolidation. The Company also actively evaluates potential acquisitions, investment opportunities and other strategic transactions, both domestic and international, and generally look for those that it believes fit the Company’s profile of telecommunications businesses and have the potential to complement its “glass and steel” and “first to fiber” approach in markets while generating steady excess cash flows over extended periods of time. The Company uses the cash generated from its operations to re-invest in organic growth in its existing businesses, to make strategic investments in additional businesses, and to return cash to its investors through dividends or stock repurchases.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2023, the Company offered the following types of services to its customers:</w:t>
      </w:r>
    </w:p>
    <w:p>
      <w:pPr>
        <w:spacing w:after="0" w:line="221" w:lineRule="exact"/>
        <w:rPr>
          <w:sz w:val="20"/>
          <w:szCs w:val="20"/>
          <w:color w:val="auto"/>
        </w:rPr>
      </w:pPr>
    </w:p>
    <w:p>
      <w:pPr>
        <w:jc w:val="both"/>
        <w:ind w:left="1220" w:right="159" w:hanging="319"/>
        <w:spacing w:after="0" w:line="347" w:lineRule="auto"/>
        <w:tabs>
          <w:tab w:leader="none" w:pos="12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Mobility Telecommunications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offers mobile communications services over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wireless networks and related equipment (such as handsets) to both its business and consumer customers.</w:t>
      </w:r>
    </w:p>
    <w:p>
      <w:pPr>
        <w:spacing w:after="0" w:line="119" w:lineRule="exact"/>
        <w:rPr>
          <w:rFonts w:ascii="Arial" w:cs="Arial" w:eastAsia="Arial" w:hAnsi="Arial"/>
          <w:sz w:val="16"/>
          <w:szCs w:val="16"/>
          <w:color w:val="auto"/>
        </w:rPr>
      </w:pPr>
    </w:p>
    <w:p>
      <w:pPr>
        <w:jc w:val="both"/>
        <w:ind w:left="1220" w:right="179" w:hanging="319"/>
        <w:spacing w:after="0" w:line="301" w:lineRule="auto"/>
        <w:tabs>
          <w:tab w:leader="none" w:pos="12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Fixed Telecommunications Services</w:t>
      </w:r>
      <w:r>
        <w:rPr>
          <w:rFonts w:ascii="Arial" w:cs="Arial" w:eastAsia="Arial" w:hAnsi="Arial"/>
          <w:sz w:val="16"/>
          <w:szCs w:val="16"/>
          <w:color w:val="auto"/>
        </w:rPr>
        <w:t>. The Company provides fixed data and voice telecommunications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business and consumer customers. These services include consumer broadband and high-speed data solutions for businesses. For some markets, fixed services also include video services and revenue derived from support under certain government programs.</w:t>
      </w:r>
    </w:p>
    <w:p>
      <w:pPr>
        <w:spacing w:after="0" w:line="153" w:lineRule="exact"/>
        <w:rPr>
          <w:rFonts w:ascii="Arial" w:cs="Arial" w:eastAsia="Arial" w:hAnsi="Arial"/>
          <w:sz w:val="16"/>
          <w:szCs w:val="16"/>
          <w:color w:val="auto"/>
        </w:rPr>
      </w:pPr>
    </w:p>
    <w:p>
      <w:pPr>
        <w:jc w:val="both"/>
        <w:ind w:left="1220" w:right="179" w:hanging="319"/>
        <w:spacing w:after="0" w:line="289" w:lineRule="auto"/>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Carrier Telecommunication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delivers services to other telecommunications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providers such as the leasing of critical network infrastructure, such as tower and transport facilities, wholesale roaming, site maintenance and international long-distance services.</w:t>
      </w:r>
    </w:p>
    <w:p>
      <w:pPr>
        <w:spacing w:after="0" w:line="157" w:lineRule="exact"/>
        <w:rPr>
          <w:rFonts w:ascii="Arial" w:cs="Arial" w:eastAsia="Arial" w:hAnsi="Arial"/>
          <w:sz w:val="17"/>
          <w:szCs w:val="17"/>
          <w:color w:val="auto"/>
        </w:rPr>
      </w:pPr>
    </w:p>
    <w:p>
      <w:pPr>
        <w:ind w:left="1220" w:right="159" w:hanging="319"/>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Managed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information technology services such as network,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and hosting services to both its business and consumer customers to complement its fixed services in its existing markets.</w:t>
      </w:r>
    </w:p>
    <w:p>
      <w:pPr>
        <w:spacing w:after="0" w:line="180" w:lineRule="exact"/>
        <w:rPr>
          <w:sz w:val="20"/>
          <w:szCs w:val="20"/>
          <w:color w:val="auto"/>
        </w:rPr>
      </w:pPr>
    </w:p>
    <w:p>
      <w:pPr>
        <w:ind w:left="60" w:right="419" w:firstLine="648"/>
        <w:spacing w:after="0" w:line="311" w:lineRule="auto"/>
        <w:rPr>
          <w:sz w:val="20"/>
          <w:szCs w:val="20"/>
          <w:color w:val="auto"/>
        </w:rPr>
      </w:pPr>
      <w:r>
        <w:rPr>
          <w:rFonts w:ascii="Arial" w:cs="Arial" w:eastAsia="Arial" w:hAnsi="Arial"/>
          <w:sz w:val="16"/>
          <w:szCs w:val="16"/>
          <w:color w:val="auto"/>
        </w:rPr>
        <w:t>As was previously disclosed, and effective January 27, 2021, the Company no longer provides distributed generation solar power to commercial and industrial customers. These operations were the only operations within the Company’s Renewable Energy segment. As such, the Company no longer identifies the Renewable Energy segment as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an operating segment and now has only two operating segments to manage and review its operations and to facilitate investor presentations of its results. These two operating segments are as follows:</w:t>
      </w:r>
    </w:p>
    <w:p>
      <w:pPr>
        <w:spacing w:after="0" w:line="170" w:lineRule="exact"/>
        <w:rPr>
          <w:sz w:val="20"/>
          <w:szCs w:val="20"/>
          <w:color w:val="auto"/>
        </w:rPr>
      </w:pPr>
    </w:p>
    <w:p>
      <w:pPr>
        <w:ind w:left="1240" w:right="99" w:hanging="326"/>
        <w:spacing w:after="0" w:line="263"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 Telecom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Company’s international markets, it offers fixed services, mobility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carrier services and managed services to customers in Bermuda, the Cayman Islands, Guyana and the US Virgin Islands.</w:t>
      </w:r>
    </w:p>
    <w:p>
      <w:pPr>
        <w:spacing w:after="0" w:line="183" w:lineRule="exact"/>
        <w:rPr>
          <w:rFonts w:ascii="Arial" w:cs="Arial" w:eastAsia="Arial" w:hAnsi="Arial"/>
          <w:sz w:val="18"/>
          <w:szCs w:val="18"/>
          <w:color w:val="auto"/>
        </w:rPr>
      </w:pPr>
    </w:p>
    <w:p>
      <w:pPr>
        <w:ind w:left="1240" w:right="599" w:hanging="326"/>
        <w:spacing w:after="0" w:line="342"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US Telecom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the Company offers fixed services, carrier services, and managed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business and consumer customers in Alaska and the western United States.</w:t>
      </w:r>
    </w:p>
    <w:p>
      <w:pPr>
        <w:spacing w:after="0" w:line="124" w:lineRule="exact"/>
        <w:rPr>
          <w:sz w:val="20"/>
          <w:szCs w:val="20"/>
          <w:color w:val="auto"/>
        </w:rPr>
      </w:pPr>
    </w:p>
    <w:p>
      <w:pPr>
        <w:ind w:left="60" w:right="199" w:firstLine="648"/>
        <w:spacing w:after="0" w:line="308" w:lineRule="auto"/>
        <w:rPr>
          <w:sz w:val="20"/>
          <w:szCs w:val="20"/>
          <w:color w:val="auto"/>
        </w:rPr>
      </w:pPr>
      <w:r>
        <w:rPr>
          <w:rFonts w:ascii="Arial" w:cs="Arial" w:eastAsia="Arial" w:hAnsi="Arial"/>
          <w:sz w:val="17"/>
          <w:szCs w:val="17"/>
          <w:color w:val="auto"/>
        </w:rPr>
        <w:t>The following chart summarizes the operating activities of the Company’s principal subsidiaries, the segments in which it reports its revenue and the markets it served during the three months ended March 31, 2023:</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340" w:type="dxa"/>
            <w:vAlign w:val="bottom"/>
          </w:tcPr>
          <w:p>
            <w:pPr>
              <w:ind w:left="900"/>
              <w:spacing w:after="0"/>
              <w:rPr>
                <w:sz w:val="20"/>
                <w:szCs w:val="20"/>
                <w:color w:val="auto"/>
              </w:rPr>
            </w:pPr>
            <w:r>
              <w:rPr>
                <w:rFonts w:ascii="Arial" w:cs="Arial" w:eastAsia="Arial" w:hAnsi="Arial"/>
                <w:sz w:val="14"/>
                <w:szCs w:val="14"/>
                <w:b w:val="1"/>
                <w:bCs w:val="1"/>
                <w:color w:val="auto"/>
              </w:rPr>
              <w:t>Segment</w:t>
            </w:r>
          </w:p>
        </w:tc>
        <w:tc>
          <w:tcPr>
            <w:tcW w:w="140" w:type="dxa"/>
            <w:vAlign w:val="bottom"/>
          </w:tcPr>
          <w:p>
            <w:pPr>
              <w:spacing w:after="0"/>
              <w:rPr>
                <w:sz w:val="14"/>
                <w:szCs w:val="14"/>
                <w:color w:val="auto"/>
              </w:rPr>
            </w:pPr>
          </w:p>
        </w:tc>
        <w:tc>
          <w:tcPr>
            <w:tcW w:w="2280" w:type="dxa"/>
            <w:vAlign w:val="bottom"/>
          </w:tcPr>
          <w:p>
            <w:pPr>
              <w:ind w:left="88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2540" w:type="dxa"/>
            <w:vAlign w:val="bottom"/>
            <w:gridSpan w:val="2"/>
          </w:tcPr>
          <w:p>
            <w:pPr>
              <w:ind w:left="940"/>
              <w:spacing w:after="0"/>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4"/>
                <w:szCs w:val="14"/>
                <w:color w:val="auto"/>
              </w:rPr>
            </w:pP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Tradenames</w:t>
            </w:r>
          </w:p>
        </w:tc>
      </w:tr>
      <w:tr>
        <w:trPr>
          <w:trHeight w:val="195"/>
        </w:trPr>
        <w:tc>
          <w:tcPr>
            <w:tcW w:w="2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International Telecom</w:t>
            </w:r>
          </w:p>
        </w:tc>
        <w:tc>
          <w:tcPr>
            <w:tcW w:w="14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Mobility Services</w:t>
            </w:r>
          </w:p>
        </w:tc>
        <w:tc>
          <w:tcPr>
            <w:tcW w:w="14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Bermuda, Guyana, US Virgin</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One, GTT, Viya</w:t>
            </w:r>
          </w:p>
        </w:tc>
      </w:tr>
      <w:tr>
        <w:trPr>
          <w:trHeight w:val="230"/>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Islands</w:t>
            </w:r>
          </w:p>
        </w:tc>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02"/>
        </w:trPr>
        <w:tc>
          <w:tcPr>
            <w:tcW w:w="2340" w:type="dxa"/>
            <w:vAlign w:val="bottom"/>
          </w:tcPr>
          <w:p>
            <w:pPr>
              <w:spacing w:after="0"/>
              <w:rPr>
                <w:sz w:val="17"/>
                <w:szCs w:val="17"/>
                <w:color w:val="auto"/>
              </w:rPr>
            </w:pPr>
          </w:p>
        </w:tc>
        <w:tc>
          <w:tcPr>
            <w:tcW w:w="2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Fixed Services</w:t>
            </w:r>
          </w:p>
        </w:tc>
        <w:tc>
          <w:tcPr>
            <w:tcW w:w="268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Bermuda, Cayman Islands,</w:t>
            </w:r>
          </w:p>
        </w:tc>
        <w:tc>
          <w:tcPr>
            <w:tcW w:w="1460" w:type="dxa"/>
            <w:vAlign w:val="bottom"/>
            <w:gridSpan w:val="2"/>
          </w:tcPr>
          <w:p>
            <w:pPr>
              <w:spacing w:after="0" w:line="201" w:lineRule="exact"/>
              <w:rPr>
                <w:sz w:val="20"/>
                <w:szCs w:val="20"/>
                <w:color w:val="auto"/>
              </w:rPr>
            </w:pPr>
            <w:r>
              <w:rPr>
                <w:rFonts w:ascii="Arial" w:cs="Arial" w:eastAsia="Arial" w:hAnsi="Arial"/>
                <w:sz w:val="18"/>
                <w:szCs w:val="18"/>
                <w:color w:val="auto"/>
              </w:rPr>
              <w:t>One, Logic, GTT,</w:t>
            </w:r>
          </w:p>
        </w:tc>
      </w:tr>
      <w:tr>
        <w:trPr>
          <w:trHeight w:val="230"/>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80" w:type="dxa"/>
            <w:vAlign w:val="bottom"/>
            <w:gridSpan w:val="3"/>
          </w:tcPr>
          <w:p>
            <w:pPr>
              <w:ind w:left="140"/>
              <w:spacing w:after="0"/>
              <w:rPr>
                <w:sz w:val="20"/>
                <w:szCs w:val="20"/>
                <w:color w:val="auto"/>
              </w:rPr>
            </w:pPr>
            <w:r>
              <w:rPr>
                <w:rFonts w:ascii="Arial" w:cs="Arial" w:eastAsia="Arial" w:hAnsi="Arial"/>
                <w:sz w:val="18"/>
                <w:szCs w:val="18"/>
                <w:color w:val="auto"/>
              </w:rPr>
              <w:t>Guyana, US Virgin Islands</w:t>
            </w:r>
          </w:p>
        </w:tc>
        <w:tc>
          <w:tcPr>
            <w:tcW w:w="1460" w:type="dxa"/>
            <w:vAlign w:val="bottom"/>
            <w:gridSpan w:val="2"/>
          </w:tcPr>
          <w:p>
            <w:pPr>
              <w:spacing w:after="0"/>
              <w:rPr>
                <w:sz w:val="20"/>
                <w:szCs w:val="20"/>
                <w:color w:val="auto"/>
              </w:rPr>
            </w:pPr>
            <w:r>
              <w:rPr>
                <w:rFonts w:ascii="Arial" w:cs="Arial" w:eastAsia="Arial" w:hAnsi="Arial"/>
                <w:sz w:val="18"/>
                <w:szCs w:val="18"/>
                <w:color w:val="auto"/>
              </w:rPr>
              <w:t>Viya</w:t>
            </w:r>
          </w:p>
        </w:tc>
      </w:tr>
      <w:tr>
        <w:trPr>
          <w:trHeight w:val="202"/>
        </w:trPr>
        <w:tc>
          <w:tcPr>
            <w:tcW w:w="234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Carrier Services</w:t>
            </w:r>
          </w:p>
        </w:tc>
        <w:tc>
          <w:tcPr>
            <w:tcW w:w="26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Bermuda, Guyana, US Virgin</w:t>
            </w:r>
          </w:p>
        </w:tc>
        <w:tc>
          <w:tcPr>
            <w:tcW w:w="1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One, GTT, Viya</w:t>
            </w:r>
          </w:p>
        </w:tc>
      </w:tr>
      <w:tr>
        <w:trPr>
          <w:trHeight w:val="230"/>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Islands</w:t>
            </w:r>
          </w:p>
        </w:tc>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02"/>
        </w:trPr>
        <w:tc>
          <w:tcPr>
            <w:tcW w:w="2340" w:type="dxa"/>
            <w:vAlign w:val="bottom"/>
          </w:tcPr>
          <w:p>
            <w:pPr>
              <w:spacing w:after="0"/>
              <w:rPr>
                <w:sz w:val="17"/>
                <w:szCs w:val="17"/>
                <w:color w:val="auto"/>
              </w:rPr>
            </w:pPr>
          </w:p>
        </w:tc>
        <w:tc>
          <w:tcPr>
            <w:tcW w:w="2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Managed Services</w:t>
            </w:r>
          </w:p>
        </w:tc>
        <w:tc>
          <w:tcPr>
            <w:tcW w:w="268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Bermuda, Cayman Islands, US</w:t>
            </w:r>
          </w:p>
        </w:tc>
        <w:tc>
          <w:tcPr>
            <w:tcW w:w="1460" w:type="dxa"/>
            <w:vAlign w:val="bottom"/>
            <w:gridSpan w:val="2"/>
          </w:tcPr>
          <w:p>
            <w:pPr>
              <w:spacing w:after="0" w:line="201" w:lineRule="exact"/>
              <w:rPr>
                <w:sz w:val="20"/>
                <w:szCs w:val="20"/>
                <w:color w:val="auto"/>
              </w:rPr>
            </w:pPr>
            <w:r>
              <w:rPr>
                <w:rFonts w:ascii="Arial" w:cs="Arial" w:eastAsia="Arial" w:hAnsi="Arial"/>
                <w:sz w:val="18"/>
                <w:szCs w:val="18"/>
                <w:color w:val="auto"/>
              </w:rPr>
              <w:t>Fireminds, One,</w:t>
            </w:r>
          </w:p>
        </w:tc>
      </w:tr>
      <w:tr>
        <w:trPr>
          <w:trHeight w:val="230"/>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80" w:type="dxa"/>
            <w:vAlign w:val="bottom"/>
            <w:gridSpan w:val="3"/>
          </w:tcPr>
          <w:p>
            <w:pPr>
              <w:ind w:left="140"/>
              <w:spacing w:after="0"/>
              <w:rPr>
                <w:sz w:val="20"/>
                <w:szCs w:val="20"/>
                <w:color w:val="auto"/>
              </w:rPr>
            </w:pPr>
            <w:r>
              <w:rPr>
                <w:rFonts w:ascii="Arial" w:cs="Arial" w:eastAsia="Arial" w:hAnsi="Arial"/>
                <w:sz w:val="18"/>
                <w:szCs w:val="18"/>
                <w:color w:val="auto"/>
              </w:rPr>
              <w:t>Virgin Islands, Guyana</w:t>
            </w:r>
          </w:p>
        </w:tc>
        <w:tc>
          <w:tcPr>
            <w:tcW w:w="1460" w:type="dxa"/>
            <w:vAlign w:val="bottom"/>
            <w:gridSpan w:val="2"/>
          </w:tcPr>
          <w:p>
            <w:pPr>
              <w:spacing w:after="0"/>
              <w:rPr>
                <w:sz w:val="20"/>
                <w:szCs w:val="20"/>
                <w:color w:val="auto"/>
              </w:rPr>
            </w:pPr>
            <w:r>
              <w:rPr>
                <w:rFonts w:ascii="Arial" w:cs="Arial" w:eastAsia="Arial" w:hAnsi="Arial"/>
                <w:sz w:val="18"/>
                <w:szCs w:val="18"/>
                <w:color w:val="auto"/>
              </w:rPr>
              <w:t>Logic, GTT, Viya</w:t>
            </w:r>
          </w:p>
        </w:tc>
      </w:tr>
      <w:tr>
        <w:trPr>
          <w:trHeight w:val="195"/>
        </w:trPr>
        <w:tc>
          <w:tcPr>
            <w:tcW w:w="2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US Telecom</w:t>
            </w:r>
          </w:p>
        </w:tc>
        <w:tc>
          <w:tcPr>
            <w:tcW w:w="14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Mobility Services</w:t>
            </w:r>
          </w:p>
        </w:tc>
        <w:tc>
          <w:tcPr>
            <w:tcW w:w="14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United States (rural markets)</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Choice, Choice</w:t>
            </w:r>
          </w:p>
        </w:tc>
      </w:tr>
      <w:tr>
        <w:trPr>
          <w:trHeight w:val="230"/>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NTUA Wireless</w:t>
            </w:r>
          </w:p>
        </w:tc>
      </w:tr>
      <w:tr>
        <w:trPr>
          <w:trHeight w:val="202"/>
        </w:trPr>
        <w:tc>
          <w:tcPr>
            <w:tcW w:w="2340" w:type="dxa"/>
            <w:vAlign w:val="bottom"/>
          </w:tcPr>
          <w:p>
            <w:pPr>
              <w:spacing w:after="0"/>
              <w:rPr>
                <w:sz w:val="17"/>
                <w:szCs w:val="17"/>
                <w:color w:val="auto"/>
              </w:rPr>
            </w:pPr>
          </w:p>
        </w:tc>
        <w:tc>
          <w:tcPr>
            <w:tcW w:w="2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Fixed Services</w:t>
            </w:r>
          </w:p>
        </w:tc>
        <w:tc>
          <w:tcPr>
            <w:tcW w:w="268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United States</w:t>
            </w:r>
          </w:p>
        </w:tc>
        <w:tc>
          <w:tcPr>
            <w:tcW w:w="1460" w:type="dxa"/>
            <w:vAlign w:val="bottom"/>
            <w:gridSpan w:val="2"/>
          </w:tcPr>
          <w:p>
            <w:pPr>
              <w:spacing w:after="0" w:line="201" w:lineRule="exact"/>
              <w:rPr>
                <w:sz w:val="20"/>
                <w:szCs w:val="20"/>
                <w:color w:val="auto"/>
              </w:rPr>
            </w:pPr>
            <w:r>
              <w:rPr>
                <w:rFonts w:ascii="Arial" w:cs="Arial" w:eastAsia="Arial" w:hAnsi="Arial"/>
                <w:sz w:val="18"/>
                <w:szCs w:val="18"/>
                <w:color w:val="auto"/>
              </w:rPr>
              <w:t>Alaska</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Communications,</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w w:val="96"/>
              </w:rPr>
              <w:t>Commnet, Choice,</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Choice NTUA</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Wireless, Sacred</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Wind</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Communications,</w:t>
            </w:r>
          </w:p>
        </w:tc>
      </w:tr>
      <w:tr>
        <w:trPr>
          <w:trHeight w:val="230"/>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Ethos</w:t>
            </w:r>
          </w:p>
        </w:tc>
      </w:tr>
      <w:tr>
        <w:trPr>
          <w:trHeight w:val="202"/>
        </w:trPr>
        <w:tc>
          <w:tcPr>
            <w:tcW w:w="234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Carrier Services</w:t>
            </w:r>
          </w:p>
        </w:tc>
        <w:tc>
          <w:tcPr>
            <w:tcW w:w="26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United States</w:t>
            </w:r>
          </w:p>
        </w:tc>
        <w:tc>
          <w:tcPr>
            <w:tcW w:w="1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Alaska</w:t>
            </w:r>
          </w:p>
        </w:tc>
      </w:tr>
      <w:tr>
        <w:trPr>
          <w:trHeight w:val="216"/>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r>
      <w:tr>
        <w:trPr>
          <w:trHeight w:val="216"/>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Commnet, Essextel,</w:t>
            </w:r>
          </w:p>
        </w:tc>
      </w:tr>
      <w:tr>
        <w:trPr>
          <w:trHeight w:val="216"/>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Sacred Wind</w:t>
            </w:r>
          </w:p>
        </w:tc>
      </w:tr>
      <w:tr>
        <w:trPr>
          <w:trHeight w:val="230"/>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r>
      <w:tr>
        <w:trPr>
          <w:trHeight w:val="202"/>
        </w:trPr>
        <w:tc>
          <w:tcPr>
            <w:tcW w:w="2340" w:type="dxa"/>
            <w:vAlign w:val="bottom"/>
          </w:tcPr>
          <w:p>
            <w:pPr>
              <w:spacing w:after="0"/>
              <w:rPr>
                <w:sz w:val="17"/>
                <w:szCs w:val="17"/>
                <w:color w:val="auto"/>
              </w:rPr>
            </w:pPr>
          </w:p>
        </w:tc>
        <w:tc>
          <w:tcPr>
            <w:tcW w:w="24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Managed Services</w:t>
            </w:r>
          </w:p>
        </w:tc>
        <w:tc>
          <w:tcPr>
            <w:tcW w:w="268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United States</w:t>
            </w:r>
          </w:p>
        </w:tc>
        <w:tc>
          <w:tcPr>
            <w:tcW w:w="1460" w:type="dxa"/>
            <w:vAlign w:val="bottom"/>
            <w:gridSpan w:val="2"/>
          </w:tcPr>
          <w:p>
            <w:pPr>
              <w:spacing w:after="0" w:line="201" w:lineRule="exact"/>
              <w:rPr>
                <w:sz w:val="20"/>
                <w:szCs w:val="20"/>
                <w:color w:val="auto"/>
              </w:rPr>
            </w:pPr>
            <w:r>
              <w:rPr>
                <w:rFonts w:ascii="Arial" w:cs="Arial" w:eastAsia="Arial" w:hAnsi="Arial"/>
                <w:sz w:val="18"/>
                <w:szCs w:val="18"/>
                <w:color w:val="auto"/>
              </w:rPr>
              <w:t>Alaska</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Communications,</w:t>
            </w:r>
          </w:p>
        </w:tc>
      </w:tr>
      <w:tr>
        <w:trPr>
          <w:trHeight w:val="230"/>
        </w:trPr>
        <w:tc>
          <w:tcPr>
            <w:tcW w:w="2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Choice</w:t>
            </w:r>
          </w:p>
        </w:tc>
      </w:tr>
    </w:tbl>
    <w:p>
      <w:pPr>
        <w:spacing w:after="0" w:line="200" w:lineRule="exact"/>
        <w:rPr>
          <w:sz w:val="20"/>
          <w:szCs w:val="20"/>
          <w:color w:val="auto"/>
        </w:rPr>
      </w:pPr>
    </w:p>
    <w:p>
      <w:pPr>
        <w:spacing w:after="0" w:line="258"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For further information about the Company’s financial segments and geographical information about its operating revenues and assets, see Note 13 to the Unaudited Condensed Consolidated Financial Statements included in this Report.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ind w:left="60" w:right="239" w:firstLine="648"/>
        <w:spacing w:after="0" w:line="301" w:lineRule="auto"/>
        <w:rPr>
          <w:sz w:val="20"/>
          <w:szCs w:val="20"/>
          <w:color w:val="auto"/>
        </w:rPr>
      </w:pPr>
      <w:r>
        <w:rPr>
          <w:rFonts w:ascii="Arial" w:cs="Arial" w:eastAsia="Arial" w:hAnsi="Arial"/>
          <w:sz w:val="16"/>
          <w:szCs w:val="16"/>
          <w:color w:val="auto"/>
        </w:rPr>
        <w:t>The Company’s 2019 CoBank Credit Facility matures on April 10, 2024, which is within twelve months of the issuance of these consolidated financial statements. At March 31, 2023, the Company owed $122.0 million for amounts drawn under the credit facility. For the year ended December 31, 2022, the Company generated positive cash flows from operating activities of $102.9 million. At March 31, 2023, the Company had $56.0 million of unrestricted cash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cash equivalents and $5.0 million of restricted cash. If the Company is unable to refinance its existing debt or obtain additional financing on or before the maturity of the 2019 CoBank Credit Facility, this could impact the Company’s ability to meet its obligations coming due within one year after issuance of these consolidated financial statements. Management is actively pursuing debt financing options which would extend the maturity date of the 2019 CoBank Credit Facility and may increase its capacity, and management expects to complete this financing process during 2023. In the event the Company is unable to refinance or replace its 2019 CoBank Credit Facility, the Company has additional actions at its discretion, including reducing capital expenditures not required to sustain current network operations, reducing operating cash outflows such as marketing and general and administrative expenses, and pursuing equity financing through issuance of equity securities in public markets. However, management does not currently believe these additional actions will be required to be implemented due to its debt refinancing plans.</w:t>
      </w:r>
    </w:p>
    <w:p>
      <w:pPr>
        <w:spacing w:after="0" w:line="226"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In light of the plans discussed above, management believes it is probable the Company will meet its obligations as they come due for a minimum of twelve months from the issuance date of these consolidated financial statements. However, if the Company were unable to refinance its existing debt, obtain additional financing, or implement the above plans, as needed, there could be an adverse impact on the Company’s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Restructuring Expense</w:t>
      </w:r>
    </w:p>
    <w:p>
      <w:pPr>
        <w:spacing w:after="0" w:line="252"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In connection with the repositioning of the Company’s legacy wholesale roaming operations in its US Telecom segment, the Company recorded a $2.9 million restructuring charge during the three months ended March 31, 2023 related to the decommissioning of certain cell sites. The charge is recorded in the Restructuring Expense on the Company’s statement of operations. As of March 31, 2023, the Company paid $0.5 million, recorded a gain of $0.3 million on lease termination, and accrued $2.7 million of the restructuring expenses. In conjunction with the restructuring the Company terminated $5.0 million of lease right of use assets and $5.3 million of lease liabilities from its balance sheet.</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w:t>
      </w:r>
    </w:p>
    <w:p>
      <w:pPr>
        <w:spacing w:after="0" w:line="270"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2022, filed with the SEC on March 15, 2023.</w:t>
      </w:r>
    </w:p>
    <w:p>
      <w:pPr>
        <w:spacing w:after="0" w:line="212"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 RECOGNITION AND RECEIVABLES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Accounted for in Accordance with Other Guidance</w:t>
      </w:r>
    </w:p>
    <w:p>
      <w:pPr>
        <w:spacing w:after="0" w:line="266"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Timing of Revenue Recognition</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accounted for in accordance with ASC 606 consisted of the following for the periods presented below.</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5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March 31, 2023</w:t>
            </w:r>
          </w:p>
        </w:tc>
        <w:tc>
          <w:tcPr>
            <w:tcW w:w="3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March 31, 2022</w:t>
            </w: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ind w:left="240"/>
              <w:spacing w:after="0"/>
              <w:rPr>
                <w:sz w:val="20"/>
                <w:szCs w:val="20"/>
                <w:color w:val="auto"/>
              </w:rPr>
            </w:pPr>
            <w:r>
              <w:rPr>
                <w:rFonts w:ascii="Arial" w:cs="Arial" w:eastAsia="Arial" w:hAnsi="Arial"/>
                <w:sz w:val="18"/>
                <w:szCs w:val="18"/>
                <w:color w:val="auto"/>
              </w:rPr>
              <w:t>US Telecom</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81,072</w:t>
            </w:r>
          </w:p>
        </w:tc>
        <w:tc>
          <w:tcPr>
            <w:tcW w:w="10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72,290</w:t>
            </w:r>
          </w:p>
        </w:tc>
        <w:tc>
          <w:tcPr>
            <w:tcW w:w="140" w:type="dxa"/>
            <w:vAlign w:val="bottom"/>
          </w:tcPr>
          <w:p>
            <w:pPr>
              <w:spacing w:after="0"/>
              <w:rPr>
                <w:sz w:val="18"/>
                <w:szCs w:val="18"/>
                <w:color w:val="auto"/>
              </w:rPr>
            </w:pPr>
          </w:p>
        </w:tc>
      </w:tr>
      <w:tr>
        <w:trPr>
          <w:trHeight w:val="216"/>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 Telecom</w:t>
            </w: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81,302</w:t>
            </w:r>
          </w:p>
        </w:tc>
        <w:tc>
          <w:tcPr>
            <w:tcW w:w="140" w:type="dxa"/>
            <w:vAlign w:val="bottom"/>
            <w:shd w:val="clear" w:color="auto" w:fill="CCEEFF"/>
          </w:tcPr>
          <w:p>
            <w:pPr>
              <w:spacing w:after="0"/>
              <w:rPr>
                <w:sz w:val="18"/>
                <w:szCs w:val="18"/>
                <w:color w:val="auto"/>
              </w:rPr>
            </w:pPr>
          </w:p>
        </w:tc>
      </w:tr>
      <w:tr>
        <w:trPr>
          <w:trHeight w:val="210"/>
        </w:trPr>
        <w:tc>
          <w:tcPr>
            <w:tcW w:w="58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166,752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153,592</w:t>
            </w:r>
          </w:p>
        </w:tc>
        <w:tc>
          <w:tcPr>
            <w:tcW w:w="14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ind w:left="240"/>
              <w:spacing w:after="0"/>
              <w:rPr>
                <w:sz w:val="20"/>
                <w:szCs w:val="20"/>
                <w:color w:val="auto"/>
              </w:rPr>
            </w:pPr>
            <w:r>
              <w:rPr>
                <w:rFonts w:ascii="Arial" w:cs="Arial" w:eastAsia="Arial" w:hAnsi="Arial"/>
                <w:sz w:val="18"/>
                <w:szCs w:val="18"/>
                <w:color w:val="auto"/>
              </w:rPr>
              <w:t>US Telecom</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18"/>
                <w:szCs w:val="18"/>
                <w:color w:val="auto"/>
              </w:rPr>
            </w:pPr>
          </w:p>
        </w:tc>
      </w:tr>
      <w:tr>
        <w:trPr>
          <w:trHeight w:val="216"/>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 Telecom</w:t>
            </w: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40" w:type="dxa"/>
            <w:vAlign w:val="bottom"/>
            <w:shd w:val="clear" w:color="auto" w:fill="CCEEFF"/>
          </w:tcPr>
          <w:p>
            <w:pPr>
              <w:spacing w:after="0"/>
              <w:rPr>
                <w:sz w:val="18"/>
                <w:szCs w:val="18"/>
                <w:color w:val="auto"/>
              </w:rPr>
            </w:pPr>
          </w:p>
        </w:tc>
      </w:tr>
      <w:tr>
        <w:trPr>
          <w:trHeight w:val="210"/>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140" w:type="dxa"/>
            <w:vAlign w:val="bottom"/>
            <w:tcBorders>
              <w:bottom w:val="single" w:sz="8" w:color="CCEEFF"/>
            </w:tcBorders>
          </w:tcPr>
          <w:p>
            <w:pPr>
              <w:spacing w:after="0"/>
              <w:rPr>
                <w:sz w:val="18"/>
                <w:szCs w:val="18"/>
                <w:color w:val="auto"/>
              </w:rPr>
            </w:pPr>
          </w:p>
        </w:tc>
      </w:tr>
      <w:tr>
        <w:trPr>
          <w:trHeight w:val="20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accounted for under ASC 606</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159,912</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Assets and Liabilities</w:t>
      </w:r>
    </w:p>
    <w:p>
      <w:pPr>
        <w:spacing w:after="0" w:line="266"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sheets.</w:t>
      </w:r>
    </w:p>
    <w:p>
      <w:pPr>
        <w:spacing w:after="0" w:line="228"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Mobility services, sold to customers is recorded as deferred revenue prior to the commencement of services. Contract liabilities also include certain long term fixed business and carrier service customer contracts. Contract liabilities are recorded in advanced payments and deposits and other liabilities on the Company’s balance sheets.</w:t>
      </w:r>
    </w:p>
    <w:p>
      <w:pPr>
        <w:spacing w:after="0" w:line="222"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In July 2019, the Company entered into a Network Build and Maintenance Agreement with AT&amp;T Mobility, LLC (“AT&amp;T”) and subsequently entered into amendments in August 2020, May 2021 and August 2022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Company allocated the transaction price of the FirstNet Agreement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 The current portion of receivables under this agreement is recorded in customer receivable and the long-term portion is recorded in customer receivable long-term on the Company’s balance sheet.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Contract assets and liabilities consisted of the following (amounts in thousands):</w:t>
      </w:r>
    </w:p>
    <w:p>
      <w:pPr>
        <w:spacing w:after="0" w:line="2"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4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 –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Contract asset – noncurrent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980" w:type="dxa"/>
            <w:vAlign w:val="bottom"/>
          </w:tcPr>
          <w:p>
            <w:pPr>
              <w:jc w:val="right"/>
              <w:ind w:right="4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liability – current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(26,086)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(27,284)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Contract liability – noncurrent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(70,444)</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(72,543)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8"/>
                <w:szCs w:val="18"/>
                <w:color w:val="auto"/>
              </w:rPr>
            </w:pPr>
          </w:p>
        </w:tc>
        <w:tc>
          <w:tcPr>
            <w:tcW w:w="980" w:type="dxa"/>
            <w:vAlign w:val="bottom"/>
          </w:tcPr>
          <w:p>
            <w:pPr>
              <w:jc w:val="right"/>
              <w:ind w:right="433"/>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(89,786)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(93,120)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contract asset – current is included in prepayments and other current assets and the contract asset – noncurrent is included in other assets on the Company’s balance sheet. The contract liability – current is included in advance payments and deposits and the contract liability – noncurrent is included in other liabilities on the Company’s balance sheet. The decrease in the Company’s net contract liability was due to the timing of customer prepayments, contract billings, and recognition of deferred revenue. During the three months ended March 31, 2023, the Company recognized revenue of $14.8 million related to its December 31, 2022 contract liability and amortized $0.7 million of the December 31, 2022 contract asset to revenue.</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Acquisition Costs</w:t>
      </w:r>
    </w:p>
    <w:p>
      <w:pPr>
        <w:spacing w:after="0" w:line="252"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The March 31, 2023 balance sheet includes contract acquisition costs of $9.0 million in other assets. During the three months ended March 31, 2023 and 2022, the Company amortized $1.1 million and $0.8 million, respectively, of contract acquisition costs.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Remaining Performance Obligations</w:t>
      </w:r>
    </w:p>
    <w:p>
      <w:pPr>
        <w:spacing w:after="0" w:line="26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Remaining performance obligations represent the transaction price allocated to unsatisfied performance obligations of certain multiyear Mobility contracts, which include a promotional discount, Managed Services contracts, and the Company’s Carrier Services construction and service contracts. The transaction price allocated to unsatisfied performance obligations was $286 million and $312 million at March 31, 2023 and December 31, 2022, respectively. The Company expects to satisfy approximately 50% of the remaining performance obligations and recognize the transaction price within 24 months and the remainder thereafter.</w:t>
      </w:r>
    </w:p>
    <w:p>
      <w:pPr>
        <w:spacing w:after="0" w:line="219"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The Company has certain Mobility, Fixed, and Carrier Services contracts where the transaction price is allocated to remaining performance obligations. However, the Company omits these contracts from its disclosure by applying the right to invoice, one year or less, and wholly unsatisfied performance obligation practical expedients.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Disaggregation</w:t>
      </w:r>
    </w:p>
    <w:p>
      <w:pPr>
        <w:spacing w:after="0" w:line="266"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Receivables</w:t>
      </w:r>
    </w:p>
    <w:p>
      <w:pPr>
        <w:spacing w:after="0" w:line="266"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The Company records an estimate of future credit losses in conjunction with the revenue transaction based on the information available including historical experience and management’s expectations of future conditions. Those estimates will be updated as additional information becomes available. The Company’s allowance for uncollectible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accounts receivable is based on management’s assessment of the collectability of assets pooled together with similar risk characteristics.</w:t>
      </w:r>
    </w:p>
    <w:p>
      <w:pPr>
        <w:spacing w:after="0" w:line="211"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At March 31, 2023, the Company had gross accounts receivable of $152.3 million, an allowance for credit losses of $16.0 million and a receivable under the FirstNet Agreement totaling $51.8 million of which $6.1 million was current and $45.7 million was long-term. At December 31, 2022, the Company had gross accounts receivable of $154.5 million, an allowance for credit losses of $15.2 million and a receivable under the FirstNet Agreement totaling $52.5 million, of which $5.8 million was current and $46.7 million was long-term. The Company monitors receivables through the use of historical operating data adjusted for the expectation of future performance as appropriate. Activity in the allowance for credit losses is below:</w:t>
      </w:r>
    </w:p>
    <w:p>
      <w:pPr>
        <w:spacing w:after="0" w:line="30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March 31, 2023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15,171</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Current period provision for expected losses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Write-offs charged against the allowance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Recoveries collected</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LEASES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 Disclosure</w:t>
      </w:r>
    </w:p>
    <w:p>
      <w:pPr>
        <w:spacing w:after="0" w:line="266"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Supplemental lease information</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8"/>
              </w:rPr>
              <w:t>March 31, 2023</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Operating lease cost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lease cost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Variable lease cost</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cost</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Amortization of right-of-use asset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Variable costs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Interest costs</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lease cost</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color w:val="auto"/>
        </w:rPr>
        <w:t>During the three months ended March 31, 2023 and 2022, the Company paid $5.0 million and $5.6 million, respectively, for operating lease liabilities. During the three months ended March 31, 2023 and 2022, the Company recorded $2.9 million and $3.7 million, respectively, of operating lease liabilities arising from ROU assets. During the three months ended March 31, 2023, in conjunction with the restructuring activities the Company terminated $5.0</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million of lease right of use assets, $5.3 million of lease liabilities from its balance sheet, and recorded a gain of $0.3 million in the restructuring expense line of its statement of operations.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March 31, 2023, finance leases with a cost of $27.5 million and accumulated amortization of $14.1 million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were included in property, plant and equipment. During the three months ended March 31, 2023, the Company paid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$0.2 million of financing cash flows, $0.9 million of investing cash flows and $0.1 million of operating cash flows for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finance lease liabilities. At March 31, 2023, finance leases had a lease liability of $5.1 million, of which $1.0 million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w:t>
      </w:r>
    </w:p>
    <w:p>
      <w:pPr>
        <w:spacing w:after="0" w:line="25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At December 31, 2022, finance leases with a cost of $26.6 million and accumulated amortization of $13.5 million were included in property, plant and equipment.</w:t>
      </w:r>
    </w:p>
    <w:p>
      <w:pPr>
        <w:spacing w:after="0" w:line="197"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weighted average remaining lease terms and discount rates as of March 31, 2023 and December 31, 2022 are noted in the table below:</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2023</w:t>
            </w:r>
          </w:p>
        </w:tc>
        <w:tc>
          <w:tcPr>
            <w:tcW w:w="80" w:type="dxa"/>
            <w:vAlign w:val="bottom"/>
          </w:tcPr>
          <w:p>
            <w:pPr>
              <w:spacing w:after="0"/>
              <w:rPr>
                <w:sz w:val="16"/>
                <w:szCs w:val="16"/>
                <w:color w:val="auto"/>
              </w:rPr>
            </w:pPr>
          </w:p>
        </w:tc>
        <w:tc>
          <w:tcPr>
            <w:tcW w:w="218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13.1 years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 years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Financing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 years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years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Financing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60" w:type="dxa"/>
            <w:vAlign w:val="bottom"/>
            <w:gridSpan w:val="6"/>
          </w:tcPr>
          <w:p>
            <w:pPr>
              <w:ind w:left="660"/>
              <w:spacing w:after="0"/>
              <w:rPr>
                <w:sz w:val="20"/>
                <w:szCs w:val="20"/>
                <w:color w:val="auto"/>
              </w:rPr>
            </w:pPr>
            <w:r>
              <w:rPr>
                <w:rFonts w:ascii="Arial" w:cs="Arial" w:eastAsia="Arial" w:hAnsi="Arial"/>
                <w:sz w:val="18"/>
                <w:szCs w:val="18"/>
                <w:color w:val="auto"/>
                <w:w w:val="92"/>
              </w:rPr>
              <w:t>Maturities of lease liabilities as of March 31, 2023 were as follows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Operating Leases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0"/>
              </w:rPr>
              <w:t>Financing Leases</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1"/>
              </w:rPr>
              <w:t>2023 (excluding the three months ended March 31, 2023)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79,134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1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lease liabilities as of December 31, 2022 were as follows (in thousands):</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b w:val="1"/>
                <w:bCs w:val="1"/>
                <w:color w:val="auto"/>
                <w:w w:val="90"/>
              </w:rPr>
              <w:t>Operating Leases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Financing Leases</w:t>
            </w:r>
          </w:p>
        </w:tc>
      </w:tr>
      <w:tr>
        <w:trPr>
          <w:trHeight w:val="26"/>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2024</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2026</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76,452</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(53,794)</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r>
      <w:tr>
        <w:trPr>
          <w:trHeight w:val="209"/>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93,317</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As of March 31, 2023, the Company did not have any material operating or finance leases that have not yet commenced.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Disclosure</w:t>
      </w:r>
    </w:p>
    <w:p>
      <w:pPr>
        <w:spacing w:after="0" w:line="252"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The Company is the lessor in agreements to lease the use of its network assets including its cell sites and buildings. For the three months ended March 31, 2023 and 2022, the Company recorded $1.9 million and $1.0 million, respectively, of lease income from agreements in which the Company is the lessor. Lease income is classified as Carrier Services revenue in the statement of operations.</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presents the maturities of future undiscounted lease payments for the periods indicated:</w:t>
      </w:r>
    </w:p>
    <w:p>
      <w:pPr>
        <w:spacing w:after="0" w:line="30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2023 (excluding the three months ended March 31, 2023)</w:t>
            </w:r>
          </w:p>
        </w:tc>
        <w:tc>
          <w:tcPr>
            <w:tcW w:w="126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5,891</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2026</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5,410</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14,360</w:t>
            </w: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6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40,253</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USE OF ESTIMATES</w:t>
      </w:r>
    </w:p>
    <w:p>
      <w:pPr>
        <w:spacing w:after="0" w:line="270"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ACQUISITIONS AND DISPOSITIONS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Telecom</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 of Sacred Wind Enterprises</w:t>
      </w:r>
    </w:p>
    <w:p>
      <w:pPr>
        <w:spacing w:after="0" w:line="252"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November 7, 2022, the Company’s newly formed wholly owned subsidiary Alloy, Inc. (Alloy”) acquired all of the issued and outstanding stock of Sacred Wind Enterprises, Inc. (“Sacred Wind”), Inc., a rural telecommunications provider in New Mexico for $44.6 million of consideration (“Sacred Wind Transaction”). The purchase price allocation was finalized during the three months ended March 31, 2023. As part of the Sacred Wind Transaction, the Company transferred consideration of $18.0 million of cash, net of $9.4 million of cash acquired, $14.8 million of redeemable noncontrolling interests, and $3.7 million of contingent consideration less $1.3 million of receivables related to working capital adjustments. Upon completion of the Sacred Wind Transaction, the former Sacred Wind shareholders own 6% of the Alloy equity. This equity is classified as redeemable noncontrolling interests in the Company’s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The fair value of the contingent consideration was calculated using discounted cash flow analysis based on a range of probability weighted outcomes. The Company funded the acquisition with borrowings under its CoBank Credit Facility and assumed $31.6 million of Sacred Wind debt, to the United States of America administered through the Rural Utilities Service.</w:t>
      </w:r>
    </w:p>
    <w:p>
      <w:pPr>
        <w:spacing w:after="0" w:line="208"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table below represents the purchase price allocation of the total consideration transferred to the acquired assets and assumed liabilities based on management’s estimate of their acquisition date fair values (amounts in thousands):</w:t>
      </w:r>
    </w:p>
    <w:p>
      <w:pPr>
        <w:spacing w:after="0" w:line="133"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Consideration Transferred</w:t>
            </w: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44,560</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Preliminary purchase price allocation:</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2,619</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4,888</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right of use assets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85,255</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(10,176)</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(14,388)</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Debt</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(31,639)</w:t>
            </w:r>
          </w:p>
        </w:tc>
      </w:tr>
      <w:tr>
        <w:trPr>
          <w:trHeight w:val="209"/>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44,560</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acquired fixed assets are comprised of telecommunication equipment located in the Southwest United States. The fixed assets were valued using the income and cost approaches. Cash flows were discounted between 7% and 12% based on the risk associated with the cash flows to determine fair value under the income approach. The fixed assets have useful lives ranging from 1 to 25 years. The intangible assets include a $0.6 million trade name. The estimated fair value of the trade name was determined using the relief from royalty method. The useful life of the trade name is 5 years. The acquired receivables consist of trade receivables incurred in the ordinary course of business. The Company expects to collect the full amount of the receivables. Current liabilities includes $6.5 million of deposits received under government grant programs that will be used to construct fixed assets in future periods.</w:t>
      </w:r>
    </w:p>
    <w:p>
      <w:pPr>
        <w:spacing w:after="0" w:line="205" w:lineRule="exact"/>
        <w:rPr>
          <w:sz w:val="20"/>
          <w:szCs w:val="20"/>
          <w:color w:val="auto"/>
        </w:rPr>
      </w:pPr>
    </w:p>
    <w:p>
      <w:pPr>
        <w:ind w:left="60" w:right="479" w:firstLine="648"/>
        <w:spacing w:after="0" w:line="342" w:lineRule="auto"/>
        <w:rPr>
          <w:sz w:val="20"/>
          <w:szCs w:val="20"/>
          <w:color w:val="auto"/>
        </w:rPr>
      </w:pPr>
      <w:r>
        <w:rPr>
          <w:rFonts w:ascii="Arial" w:cs="Arial" w:eastAsia="Arial" w:hAnsi="Arial"/>
          <w:sz w:val="16"/>
          <w:szCs w:val="16"/>
          <w:color w:val="auto"/>
        </w:rPr>
        <w:t>The Company incurred $0.8 million of transaction-related charges pertaining to legal, accounting, consulting services, and employee related costs associated with the transaction during the year ended December 31, 2022.</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FAIR VALUE MEASUREMENTS AND INVESTMENTS</w:t>
      </w:r>
    </w:p>
    <w:p>
      <w:pPr>
        <w:spacing w:after="0" w:line="270"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89" w:lineRule="exact"/>
        <w:rPr>
          <w:sz w:val="20"/>
          <w:szCs w:val="20"/>
          <w:color w:val="auto"/>
        </w:rPr>
      </w:pPr>
    </w:p>
    <w:p>
      <w:pPr>
        <w:jc w:val="both"/>
        <w:ind w:left="60" w:right="219" w:firstLine="648"/>
        <w:spacing w:after="0" w:line="255" w:lineRule="auto"/>
        <w:rPr>
          <w:sz w:val="20"/>
          <w:szCs w:val="20"/>
          <w:color w:val="auto"/>
        </w:rPr>
      </w:pPr>
      <w:r>
        <w:rPr>
          <w:rFonts w:ascii="Arial" w:cs="Arial" w:eastAsia="Arial" w:hAnsi="Arial"/>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3" w:lineRule="exact"/>
        <w:rPr>
          <w:sz w:val="20"/>
          <w:szCs w:val="20"/>
          <w:color w:val="auto"/>
        </w:rPr>
      </w:pPr>
    </w:p>
    <w:p>
      <w:pPr>
        <w:ind w:left="1980" w:right="1679" w:hanging="634"/>
        <w:spacing w:after="0" w:line="273" w:lineRule="auto"/>
        <w:rPr>
          <w:sz w:val="20"/>
          <w:szCs w:val="20"/>
          <w:color w:val="auto"/>
        </w:rPr>
      </w:pPr>
      <w:r>
        <w:rPr>
          <w:rFonts w:ascii="Arial" w:cs="Arial" w:eastAsia="Arial" w:hAnsi="Arial"/>
          <w:sz w:val="17"/>
          <w:szCs w:val="17"/>
          <w:color w:val="auto"/>
        </w:rPr>
        <w:t>Level 1 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393" w:lineRule="exact"/>
        <w:rPr>
          <w:sz w:val="20"/>
          <w:szCs w:val="20"/>
          <w:color w:val="auto"/>
        </w:rPr>
      </w:pPr>
    </w:p>
    <w:p>
      <w:pPr>
        <w:ind w:left="1980" w:right="1739" w:hanging="634"/>
        <w:spacing w:after="0" w:line="286" w:lineRule="auto"/>
        <w:rPr>
          <w:sz w:val="20"/>
          <w:szCs w:val="20"/>
          <w:color w:val="auto"/>
        </w:rPr>
      </w:pPr>
      <w:r>
        <w:rPr>
          <w:rFonts w:ascii="Arial" w:cs="Arial" w:eastAsia="Arial" w:hAnsi="Arial"/>
          <w:sz w:val="16"/>
          <w:szCs w:val="16"/>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ind w:left="1980" w:right="1659"/>
        <w:spacing w:after="0" w:line="290" w:lineRule="auto"/>
        <w:rPr>
          <w:sz w:val="20"/>
          <w:szCs w:val="20"/>
          <w:color w:val="auto"/>
        </w:rPr>
      </w:pPr>
      <w:r>
        <w:rPr>
          <w:rFonts w:ascii="Arial" w:cs="Arial" w:eastAsia="Arial" w:hAnsi="Arial"/>
          <w:sz w:val="16"/>
          <w:szCs w:val="16"/>
          <w:color w:val="auto"/>
        </w:rPr>
        <w:t>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380" w:lineRule="exact"/>
        <w:rPr>
          <w:sz w:val="20"/>
          <w:szCs w:val="20"/>
          <w:color w:val="auto"/>
        </w:rPr>
      </w:pPr>
    </w:p>
    <w:p>
      <w:pPr>
        <w:ind w:left="1980" w:right="1619" w:hanging="634"/>
        <w:spacing w:after="0" w:line="272" w:lineRule="auto"/>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Assets and liabilities of the Company measured at fair value on a recurring basis as of March 31, 2023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are summarized as follows (in thousands):</w:t>
      </w:r>
    </w:p>
    <w:p>
      <w:pPr>
        <w:spacing w:after="0" w:line="67"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6"/>
              </w:rPr>
              <w:t>March 31, 2023</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Significant Other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Short term investments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Alaska Communications redeemable common units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(22,266)</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Alloy redeemable common 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(14,760)</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Warrants on Alaska Communications redeemable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assets and liabilities measured at fair value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Significant Other</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Short term investments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Alaska Communications redeemable common units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Alloy redeemable common 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(14,760)</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Warrants on Alaska Communications redeemable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assets and liabilities measured at fair value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Investments</w:t>
      </w:r>
    </w:p>
    <w:p>
      <w:pPr>
        <w:spacing w:after="0" w:line="266"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w:t>
      </w:r>
    </w:p>
    <w:p>
      <w:pPr>
        <w:spacing w:after="0" w:line="200" w:lineRule="exact"/>
        <w:rPr>
          <w:sz w:val="20"/>
          <w:szCs w:val="20"/>
          <w:color w:val="auto"/>
        </w:rPr>
      </w:pPr>
    </w:p>
    <w:p>
      <w:pPr>
        <w:spacing w:after="0" w:line="30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4"/>
              </w:rPr>
              <w:t>without 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7"/>
              </w:rPr>
              <w:t>readily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Fair value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gridSpan w:val="3"/>
          </w:tcPr>
          <w:p>
            <w:pPr>
              <w:jc w:val="center"/>
              <w:ind w:left="579"/>
              <w:spacing w:after="0" w:line="149" w:lineRule="exact"/>
              <w:rPr>
                <w:sz w:val="20"/>
                <w:szCs w:val="20"/>
                <w:color w:val="auto"/>
              </w:rPr>
            </w:pPr>
            <w:r>
              <w:rPr>
                <w:rFonts w:ascii="Arial" w:cs="Arial" w:eastAsia="Arial" w:hAnsi="Arial"/>
                <w:sz w:val="14"/>
                <w:szCs w:val="14"/>
                <w:b w:val="1"/>
                <w:bCs w:val="1"/>
                <w:color w:val="auto"/>
                <w:w w:val="94"/>
              </w:rPr>
              <w:t>determinable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fair value</w:t>
            </w: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investments</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investments</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Income recognized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Contributions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Foreign currency gain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2023</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$ 39,225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$ 48,444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Income (loss) recognized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gain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Gain recognized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$ 52,907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investments are included with other assets on the consolidated balance sheets.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Common Units and Warrants</w:t>
      </w:r>
    </w:p>
    <w:p>
      <w:pPr>
        <w:spacing w:after="0" w:line="266"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color w:val="auto"/>
        </w:rPr>
        <w:t>The Company has issued redeemable common units, and warrants to purchase additional common units, in consolidated subsidiaries of the Company. The instruments are redeemable at the option of the holder. Both the common units and warrants to purchase common units are recorded at fair value in the Company’s financial statements. The common units are recorded in redeemable noncontrolling interest and the warrants are recorded in other liabilities on the Company’s balance sheets. The put options for the Alloy redeemable common units begins in 2026. The put options for the Alaska Communications redeemable common units begin the earlier of a public offering or 2028. The Company calculates the fair value of the instruments using a market approach with Level 3 inputs.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66" w:lineRule="exact"/>
        <w:rPr>
          <w:sz w:val="20"/>
          <w:szCs w:val="20"/>
          <w:color w:val="auto"/>
        </w:rPr>
      </w:pPr>
    </w:p>
    <w:p>
      <w:pPr>
        <w:jc w:val="both"/>
        <w:ind w:left="60" w:right="599" w:firstLine="648"/>
        <w:spacing w:after="0" w:line="381" w:lineRule="auto"/>
        <w:rPr>
          <w:sz w:val="20"/>
          <w:szCs w:val="20"/>
          <w:color w:val="auto"/>
        </w:rPr>
      </w:pPr>
      <w:r>
        <w:rPr>
          <w:rFonts w:ascii="Arial" w:cs="Arial" w:eastAsia="Arial" w:hAnsi="Arial"/>
          <w:sz w:val="15"/>
          <w:szCs w:val="15"/>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141" w:lineRule="exact"/>
        <w:rPr>
          <w:sz w:val="20"/>
          <w:szCs w:val="20"/>
          <w:color w:val="auto"/>
        </w:rPr>
      </w:pPr>
    </w:p>
    <w:p>
      <w:pPr>
        <w:jc w:val="both"/>
        <w:ind w:left="60" w:right="159" w:firstLine="648"/>
        <w:spacing w:after="0" w:line="311" w:lineRule="auto"/>
        <w:rPr>
          <w:sz w:val="20"/>
          <w:szCs w:val="20"/>
          <w:color w:val="auto"/>
        </w:rPr>
      </w:pPr>
      <w:r>
        <w:rPr>
          <w:rFonts w:ascii="Arial" w:cs="Arial" w:eastAsia="Arial" w:hAnsi="Arial"/>
          <w:sz w:val="16"/>
          <w:szCs w:val="16"/>
          <w:color w:val="auto"/>
        </w:rPr>
        <w:t>The fair value of long-term debt is estimated using Level 2 inputs. At March 31, 2023, the fair value of long-term debt, including the current portion, was $519.0 million and its book value was $512.8 million. At December 31, 2022, the fair value of long-term debt, including the current portion, was $473.7 million and its book value was $467.2 million.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LONG-TERM DEBT</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CoBank Credit Facility</w:t>
      </w:r>
    </w:p>
    <w:p>
      <w:pPr>
        <w:spacing w:after="0" w:line="26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On April 10, 2019, the Company entered into a credit facility, with CoBank, ACB and a syndicate of other lenders (as amended, the “2019 CoBank Credit Facility”). The 2019 CoBank Credit Facility provides for a $200 million revolving credit facility that includes (i) up to $75 million for standby or trade letters of credit and (ii) up to $10 million under a swingline sub-facility. Approximately $24.0 million of performance letters of credit have been issued and remain outstanding and undrawn as of March 31, 2023. The 2019 CoBank Credit Facility matures on April 10, 2024. Refer to Liquidity disclosure in Note 1 regarding the maturity of the facility.</w:t>
      </w:r>
    </w:p>
    <w:p>
      <w:pPr>
        <w:spacing w:after="0" w:line="219" w:lineRule="exact"/>
        <w:rPr>
          <w:sz w:val="20"/>
          <w:szCs w:val="20"/>
          <w:color w:val="auto"/>
        </w:rPr>
      </w:pPr>
    </w:p>
    <w:p>
      <w:pPr>
        <w:ind w:left="60" w:right="519" w:firstLine="648"/>
        <w:spacing w:after="0" w:line="291" w:lineRule="auto"/>
        <w:rPr>
          <w:sz w:val="20"/>
          <w:szCs w:val="20"/>
          <w:color w:val="auto"/>
        </w:rPr>
      </w:pPr>
      <w:r>
        <w:rPr>
          <w:rFonts w:ascii="Arial" w:cs="Arial" w:eastAsia="Arial" w:hAnsi="Arial"/>
          <w:sz w:val="16"/>
          <w:szCs w:val="16"/>
          <w:color w:val="auto"/>
        </w:rPr>
        <w:t>Amounts borrowed under the 2019 CoBank Credit Facility bear interest at a rate equal to, at the Company’s option, either (i) the London Interbank Offered Rate (“LIBOR”) plus an applicable margin ranging between 1.25% to</w:t>
      </w:r>
    </w:p>
    <w:p>
      <w:pPr>
        <w:ind w:left="60" w:right="119"/>
        <w:spacing w:after="0" w:line="251" w:lineRule="auto"/>
        <w:rPr>
          <w:sz w:val="20"/>
          <w:szCs w:val="20"/>
          <w:color w:val="auto"/>
        </w:rPr>
      </w:pPr>
      <w:r>
        <w:rPr>
          <w:rFonts w:ascii="Arial" w:cs="Arial" w:eastAsia="Arial" w:hAnsi="Arial"/>
          <w:sz w:val="18"/>
          <w:szCs w:val="18"/>
          <w:color w:val="auto"/>
        </w:rPr>
        <w:t>2.25% or (ii) a base rate plus an applicable margin ranging from 0.25% to 1.25%. Swingline loans bear interest at the base rate plus the applicable margin for base rate loans. The base rate is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the Company must also pay a commitment fee ranging from 0.150% to 0.375% of the average daily unused portion of the 2019 CoBank Credit Facility over each calendar quarter.</w:t>
      </w:r>
    </w:p>
    <w:p>
      <w:pPr>
        <w:spacing w:after="0" w:line="238"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On November 7, 2022, the Company further amended the 2019 CoBank Credit Facility to allow for the incurrence of certain indebtedness related to payment guarantees in connection with its Replace and Remove project.</w:t>
      </w:r>
    </w:p>
    <w:p>
      <w:pPr>
        <w:spacing w:after="0" w:line="187"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On December 28, 2022, the Company further amended the 2019 CoBank Credit Facility, effective November 7, 2022, to allow for certain transactions contemplated with the Sacred Wind Transaction.</w:t>
      </w:r>
    </w:p>
    <w:p>
      <w:pPr>
        <w:spacing w:after="0" w:line="197"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2019 CoBank Credit Facility contains customary representations, warranties and covenants, including a financial covenant that imposes a maximum ratio of indebtedness to EBITDA as well as covenants limiting additional indebtedness, liens, guaranties, mergers and consolidations, substantial asset sales, investments and loans, sale and leasebacks, transactions with affiliates and fundamental changes. The Company’s investments in “unrestricted” subsidiaries and certain dividend payments to our stockholders are not limited unless the Total Net Leverage Ratio is equal to or greater than 1.75 to 1.0. The Total Net Leverage Ratio is measured each fiscal quarter and is required to be less than or equal to 2.75 to 1.0. In the event of a Qualifying Acquisition (as defined in the 2019 CoBank Credit Facility), the Total Net Leverage Ratio increases to 3.25 to 1.0 for the subsequent three fiscal quarters.</w:t>
      </w:r>
    </w:p>
    <w:p>
      <w:pPr>
        <w:spacing w:after="0" w:line="219"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The 2019 CoBank Credit Facility also provides for the incurrence by the Company of incremental term loan facilities, when combined with increases to revolving loan commitments, in an aggregate amount not to exceed $200 million (the “Accordion”). Amounts borrowed under the Accordion are also subject to proforma compliance with a net leverage ratio financial covenant.</w:t>
      </w:r>
    </w:p>
    <w:p>
      <w:pPr>
        <w:spacing w:after="0" w:line="227"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As of March 31, 2023, the Company was in compliance with all of the financial covenants, had $122.0 million outstanding and $54.0 million of availability in connection with the 2019 CoBank Credit Facility. There are no outstanding interest rate hedge agreements under the 2019 CoBank Credit Facility as of March 31, 2023.</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 of Credit Facility</w:t>
      </w:r>
    </w:p>
    <w:p>
      <w:pPr>
        <w:spacing w:after="0" w:line="26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On November 14, 2022, the Company entered into a General Agreement of Indemnity to issue performance Standby Letters of Credit on behalf of the Company and its subsidiaries. As of March 31, 2023, $4.2 million of Standby Letters of Credit had been issued under this agreement.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Alaska Credit Facility</w:t>
      </w:r>
    </w:p>
    <w:p>
      <w:pPr>
        <w:spacing w:after="0" w:line="2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22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 million to $230 million. As a part of the transaction, the Term Loan commitment was fully funded as the outstanding Revolving Credit Commitment balance was transferred.</w:t>
      </w:r>
    </w:p>
    <w:p>
      <w:pPr>
        <w:spacing w:after="0" w:line="21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March 31, 2023, Alaska Communications had drawn $17.0 million on its Revolving Credit Commitment and had $58.0 million is available to draw. The Term Loan balance was $230.0 million and principal payments commence in the fourth quarter of 2023. Both facilities mature on July 22, 2026</w:t>
      </w:r>
    </w:p>
    <w:p>
      <w:pPr>
        <w:spacing w:after="0" w:line="22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22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capitalized $7.3 million of fees associated with the Alaska Credit Facility which are being amortized over the life of the debt and $5.0 million were unamortized as of March 31, 2023.</w:t>
      </w:r>
    </w:p>
    <w:p>
      <w:pPr>
        <w:spacing w:after="0" w:line="19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terms and conditions of the Alaska Credit Facility include the following:</w:t>
      </w:r>
    </w:p>
    <w:p>
      <w:pPr>
        <w:spacing w:after="0" w:line="266" w:lineRule="exact"/>
        <w:rPr>
          <w:sz w:val="20"/>
          <w:szCs w:val="20"/>
          <w:color w:val="auto"/>
        </w:rPr>
      </w:pPr>
    </w:p>
    <w:p>
      <w:pPr>
        <w:ind w:left="1380" w:right="279" w:hanging="331"/>
        <w:spacing w:after="0" w:line="291"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outstanding bear an interest rate of the forward-looking SOFR rate with a one month interest period, plus the SOFR Spread Adjustment of 10 basis points, plus a margin ranging from 3.00% to</w:t>
      </w:r>
    </w:p>
    <w:p>
      <w:pPr>
        <w:ind w:left="1380" w:right="479"/>
        <w:spacing w:after="0" w:line="255" w:lineRule="auto"/>
        <w:rPr>
          <w:rFonts w:ascii="Arial" w:cs="Arial" w:eastAsia="Arial" w:hAnsi="Arial"/>
          <w:sz w:val="16"/>
          <w:szCs w:val="16"/>
          <w:color w:val="auto"/>
        </w:rPr>
      </w:pPr>
      <w:r>
        <w:rPr>
          <w:rFonts w:ascii="Arial" w:cs="Arial" w:eastAsia="Arial" w:hAnsi="Arial"/>
          <w:sz w:val="18"/>
          <w:szCs w:val="18"/>
          <w:color w:val="auto"/>
        </w:rPr>
        <w:t>4.00% based on Alaska Communications’ Consolidated Total Net Leverage Ratio (as defined in the Credit Agreement) or an alternate base rate may be selected at a margin that is 1% lower than the counterpart SOFR margin;</w:t>
      </w:r>
    </w:p>
    <w:p>
      <w:pPr>
        <w:spacing w:after="0" w:line="189" w:lineRule="exact"/>
        <w:rPr>
          <w:rFonts w:ascii="Arial" w:cs="Arial" w:eastAsia="Arial" w:hAnsi="Arial"/>
          <w:sz w:val="16"/>
          <w:szCs w:val="16"/>
          <w:color w:val="auto"/>
        </w:rPr>
      </w:pPr>
    </w:p>
    <w:p>
      <w:pPr>
        <w:ind w:left="1380" w:right="179" w:hanging="331"/>
        <w:spacing w:after="0" w:line="259"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Principal repayments are due quarterly commencing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86" w:lineRule="exact"/>
        <w:rPr>
          <w:rFonts w:ascii="Arial" w:cs="Arial" w:eastAsia="Arial" w:hAnsi="Arial"/>
          <w:sz w:val="18"/>
          <w:szCs w:val="18"/>
          <w:color w:val="auto"/>
        </w:rPr>
      </w:pPr>
    </w:p>
    <w:p>
      <w:pPr>
        <w:ind w:left="1380" w:right="79" w:hanging="331"/>
        <w:spacing w:after="0" w:line="259"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86" w:lineRule="exact"/>
        <w:rPr>
          <w:rFonts w:ascii="Arial" w:cs="Arial" w:eastAsia="Arial" w:hAnsi="Arial"/>
          <w:sz w:val="18"/>
          <w:szCs w:val="18"/>
          <w:color w:val="auto"/>
        </w:rPr>
      </w:pPr>
    </w:p>
    <w:p>
      <w:pPr>
        <w:ind w:left="1380" w:right="459" w:hanging="331"/>
        <w:spacing w:after="0" w:line="308"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Alaska Credit Facility is non-recourse to the Company and is secured by substantially all of the personal property and certain material real property owned by Alaska Communications.</w:t>
      </w:r>
    </w:p>
    <w:p>
      <w:pPr>
        <w:spacing w:after="0" w:line="173"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Alaska Communication’s interest rate swap, which had been designated as a cash flow hedge with an interest rate of 1.6735%, expired on June 30, 2022. As of March 31, 2023, there are no outstanding interest rate hedge agreements associated with the Alaska Credit Facility.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Alaska Term Facility</w:t>
      </w:r>
    </w:p>
    <w:p>
      <w:pPr>
        <w:spacing w:after="0" w:line="266"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On June 15, 2022, Alaska Communications Systems Holdings, the parent company of Alaska Communications, entered a secured lending arrangement with Bristol Bay Industrial, LLC. (the “Alaska Term Facility”).</w:t>
      </w:r>
    </w:p>
    <w:p>
      <w:pPr>
        <w:spacing w:after="0" w:line="16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March 31, 2023. Scheduled quarterly payments of principal commenced on March 31, 2023. The Alaska Term Facility matures on June 30, 2024.</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Alaska Term Facility contains events of default customary for facilities of this type.</w:t>
      </w:r>
    </w:p>
    <w:p>
      <w:pPr>
        <w:spacing w:after="0" w:line="266"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 of March 31, 2023, the Company had $7.1 million outstanding and no available borrowings under the Alaska Term Facility.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FirstNet Receivables Credit Facility</w:t>
      </w:r>
    </w:p>
    <w:p>
      <w:pPr>
        <w:spacing w:after="0" w:line="252"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On March 26, 2020, Commnet Finance, a wholly owned subsidiary of Commnet Wireless, entered into a receivables credit facility with the Company, Commnet Wireless, and CoBank, ACB (the “Receivables Credit Facility”).</w:t>
      </w:r>
    </w:p>
    <w:p>
      <w:pPr>
        <w:spacing w:after="0" w:line="164"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2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On December 23, 2022, CoBank amended the Receivables Credit Facility and extended the delayed draw period to December 31, 2023.</w:t>
      </w:r>
    </w:p>
    <w:p>
      <w:pPr>
        <w:spacing w:after="0" w:line="19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maturity date for each loan will be set by CoBank and will match the weighted average maturity of the certain receivables financed.</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on the loans accrues at a fixed annual interest rate to be quoted by CoBank.</w:t>
      </w:r>
    </w:p>
    <w:p>
      <w:pPr>
        <w:spacing w:after="0" w:line="266"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197" w:lineRule="exact"/>
        <w:rPr>
          <w:sz w:val="20"/>
          <w:szCs w:val="20"/>
          <w:color w:val="auto"/>
        </w:rPr>
      </w:pPr>
    </w:p>
    <w:p>
      <w:pPr>
        <w:jc w:val="both"/>
        <w:ind w:left="60" w:right="99" w:firstLine="648"/>
        <w:spacing w:after="0" w:line="259" w:lineRule="auto"/>
        <w:rPr>
          <w:sz w:val="20"/>
          <w:szCs w:val="20"/>
          <w:color w:val="auto"/>
        </w:rPr>
      </w:pPr>
      <w:r>
        <w:rPr>
          <w:rFonts w:ascii="Arial" w:cs="Arial" w:eastAsia="Arial" w:hAnsi="Arial"/>
          <w:sz w:val="18"/>
          <w:szCs w:val="18"/>
          <w:color w:val="auto"/>
        </w:rPr>
        <w:t>As of March 31, 2023, the Company had $48.7 million outstanding, of which $6.6 million was current, and $18.0 million of availability under the Receivables Credit Facility. The Company capitalized $0.8 million in fees associated with the Receivables Credit Facility which are being amortized over the life of the debt and $0.6 million were unamortized as of March 31, 2023.</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GTT Credit Facilities</w:t>
      </w:r>
    </w:p>
    <w:p>
      <w:pPr>
        <w:spacing w:after="0" w:line="266"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On September 5, 2022, GTT received approval from Republic Bank (Guyana) Limited for a $2.9 million term facility and a $5.7 million overdraft facility (the “GTT Credit Facilities”) subject to the approval from the Minister of Finance at the Bank of Guyana. Such approval from the Minister of Finance was received during the quarter ended March 31, 2023.</w:t>
      </w:r>
    </w:p>
    <w:p>
      <w:pPr>
        <w:spacing w:after="0" w:line="214"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The GTT Credit Facilities are secured by real estate assets and carry a fixed interest rate of 7.5% which will be reviewed by the bank from time to time and subject to change at the bank’s discretion. The term facility is repayable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over five years in equal monthly installments of principal and interest, commencing one month after funds are advanced.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overdraft facility will expire on October 11, 2023.</w:t>
      </w:r>
    </w:p>
    <w:p>
      <w:pPr>
        <w:spacing w:after="0" w:line="251"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As of March 31, 2023, $3.6 million was outstanding on the overdraft facility and there were no outstanding amounts under the term facility.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Sacred Wind Term Debt</w:t>
      </w:r>
    </w:p>
    <w:p>
      <w:pPr>
        <w:spacing w:after="0" w:line="25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connection with the Sacred Wind Transaction completed on November 7, 2022, the Company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228"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The Sacred Wind Term Debt is secured by substantially all assets of Sacred Wind and an underlying mortgage to the United States of America. These mortgage notes are to be repaid in equal monthly installments covering principal and interest beginning after the date of issue and expiring by 2035.</w:t>
      </w:r>
    </w:p>
    <w:p>
      <w:pPr>
        <w:spacing w:after="0" w:line="22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March 31, 2023, the Company was in compliance with that corrective action plan.</w:t>
      </w:r>
    </w:p>
    <w:p>
      <w:pPr>
        <w:spacing w:after="0" w:line="219"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As of March 31, 2023, $30.6 million was outstanding under the Sacred Wind Term Debt. Of that amount, $3.2 million was current and $27.4 million was long term.</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Viya Debt</w:t>
      </w:r>
    </w:p>
    <w:p>
      <w:pPr>
        <w:spacing w:after="0" w:line="266" w:lineRule="exact"/>
        <w:rPr>
          <w:sz w:val="20"/>
          <w:szCs w:val="20"/>
          <w:color w:val="auto"/>
        </w:rPr>
      </w:pPr>
    </w:p>
    <w:p>
      <w:pPr>
        <w:ind w:left="60" w:right="179" w:firstLine="648"/>
        <w:spacing w:after="0" w:line="284" w:lineRule="auto"/>
        <w:rPr>
          <w:sz w:val="20"/>
          <w:szCs w:val="20"/>
          <w:color w:val="auto"/>
        </w:rPr>
      </w:pPr>
      <w:r>
        <w:rPr>
          <w:rFonts w:ascii="Arial" w:cs="Arial" w:eastAsia="Arial" w:hAnsi="Arial"/>
          <w:sz w:val="16"/>
          <w:szCs w:val="16"/>
          <w:color w:val="auto"/>
        </w:rPr>
        <w:t>The Company, and certain of its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w:t>
      </w:r>
    </w:p>
    <w:p>
      <w:pPr>
        <w:spacing w:after="0" w:line="4"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2026. Prepayment of the Viya Debt may be subject to a fee under certain circumstances. The debt is secured by certain assets of our Viya subsidiaries and is guaranteed by us.</w:t>
      </w:r>
    </w:p>
    <w:p>
      <w:pPr>
        <w:spacing w:after="0" w:line="212"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224"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 of March 31, 2023, $60.0 million of the Viya Debt remained outstanding and $0.3 million of the rate lock fee was unamortized.</w:t>
      </w:r>
    </w:p>
    <w:p>
      <w:pPr>
        <w:spacing w:after="0" w:line="211"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On May 5, 2022, RTFC agreed to amend the Net Leverage Ratio to 7.0 to 1.0 through the maturity date of July 1, 2026. The Ratio is tested annually and the Company was in compliance with the Net Leverage Ratio as of December 31,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One Communications Debt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Company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Maturity</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annual maturities of the Company’s debt instruments (amounts in thousands).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Customer</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US</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8"/>
                <w:szCs w:val="18"/>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8"/>
                <w:szCs w:val="18"/>
                <w:color w:val="auto"/>
              </w:rPr>
            </w:pPr>
          </w:p>
        </w:tc>
        <w:tc>
          <w:tcPr>
            <w:tcW w:w="88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Receivable</w:t>
            </w:r>
          </w:p>
        </w:tc>
      </w:tr>
      <w:tr>
        <w:trPr>
          <w:trHeight w:val="201"/>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Telecom</w:t>
            </w:r>
          </w:p>
        </w:tc>
        <w:tc>
          <w:tcPr>
            <w:tcW w:w="14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Telecom</w:t>
            </w:r>
          </w:p>
        </w:tc>
        <w:tc>
          <w:tcPr>
            <w:tcW w:w="220" w:type="dxa"/>
            <w:vAlign w:val="bottom"/>
          </w:tcPr>
          <w:p>
            <w:pPr>
              <w:spacing w:after="0"/>
              <w:rPr>
                <w:sz w:val="17"/>
                <w:szCs w:val="17"/>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Debt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Credit Facility</w:t>
            </w:r>
          </w:p>
        </w:tc>
      </w:tr>
      <w:tr>
        <w:trPr>
          <w:trHeight w:val="20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2023 (excluding the three months ended March 31, 2023)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138,536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6,787</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230,469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290,469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7,393</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14,028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14,794</w:t>
            </w:r>
          </w:p>
        </w:tc>
      </w:tr>
      <w:tr>
        <w:trPr>
          <w:trHeight w:val="20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406,723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470,276</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48,679</w:t>
            </w: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Discounts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0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401,446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464,681</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48,107</w:t>
            </w:r>
          </w:p>
        </w:tc>
      </w:tr>
    </w:tbl>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GOVERNMENT SUPPORT AND SPECTRUM MATTERS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Universal Service Fund and Connect America Fund Phase II Programs</w:t>
      </w:r>
    </w:p>
    <w:p>
      <w:pPr>
        <w:spacing w:after="0" w:line="26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recognizes revenue from several government funded programs including the Universal Service Fund (“USF”), a subsidy program managed by the Federal Communications Commission (“FCC”), the Alaska Universal Service Fund (“AUSF”), a similar program managed by the Regulatory Commission of Alaska (the “RCA”), and the Emergency Connectivity Fund (“ECF”), a program to help schools and libraries support remote learning in underserved communities. USF funds are disbursed to telecommunication providers through four programs: the High Cost Program; the Low Income Program (“Lifeline Program”); the Schools and Libraries Program (“E-Rate Program”); and the Rural Health Care Support Program.</w:t>
      </w:r>
    </w:p>
    <w:p>
      <w:pPr>
        <w:spacing w:after="0" w:line="22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also recognizes revenue from the Connect America Fund Phase II program (“CAF II”) which offers subsidies to carriers to expand broadband coverage in designated areas. Under CAF II, the Company’s US Telecom segment will receive an aggregate of $27.7 million annually through December 2025 and an aggregate of $8.0 million annually from January 2026 through July 2028.</w:t>
      </w:r>
    </w:p>
    <w:p>
      <w:pPr>
        <w:spacing w:after="0" w:line="22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All of the programs are subject to certain operational and reporting compliance requirements. The Company believes it is in compliance with these requirements as of March 31, 2023. Revenue recognized from the USF and CAFII programs is recognized as revenue from government grants. Revenue from other programs is recognized in accordance with ASC 606.</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RDOF (“Rural Digital Opportunities Fund”)</w:t>
      </w:r>
    </w:p>
    <w:p>
      <w:pPr>
        <w:spacing w:after="0" w:line="25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expects to receive approximately $22.7 million over 10 years to provide broadband and voice coverage to over 10,000 households in the United States (not including Alaska) under the 2020 Rural Digital Opportunity Fund Phase I Auction (“RDOF”). Revenue recognized from the RDOF program is recognized as revenue from government grants.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recorded the amounts below as communication services revenue for the reported periods:</w:t>
      </w:r>
    </w:p>
    <w:p>
      <w:pPr>
        <w:spacing w:after="0" w:line="255"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-11430</wp:posOffset>
            </wp:positionV>
            <wp:extent cx="2563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7"/>
              </w:rPr>
              <w:t>US Telecom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4"/>
                <w:szCs w:val="14"/>
                <w:color w:val="auto"/>
              </w:rPr>
            </w:pPr>
          </w:p>
        </w:tc>
        <w:tc>
          <w:tcPr>
            <w:tcW w:w="9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4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ind w:right="340"/>
              <w:spacing w:after="0" w:line="158" w:lineRule="exact"/>
              <w:rPr>
                <w:sz w:val="20"/>
                <w:szCs w:val="20"/>
                <w:color w:val="auto"/>
              </w:rPr>
            </w:pPr>
            <w:r>
              <w:rPr>
                <w:rFonts w:ascii="Arial" w:cs="Arial" w:eastAsia="Arial" w:hAnsi="Arial"/>
                <w:sz w:val="14"/>
                <w:szCs w:val="14"/>
                <w:b w:val="1"/>
                <w:bCs w:val="1"/>
                <w:color w:val="auto"/>
                <w:w w:val="91"/>
              </w:rPr>
              <w:t>Telecom</w:t>
            </w: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CAF II</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RDOF</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Programs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15,664</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March 31, 2022</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7"/>
              </w:rPr>
              <w:t>US Telecom</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23"/>
                <w:szCs w:val="23"/>
                <w:color w:val="auto"/>
              </w:rPr>
            </w:pPr>
          </w:p>
        </w:tc>
        <w:tc>
          <w:tcPr>
            <w:tcW w:w="9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4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Telecom</w:t>
            </w: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CAF II</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Programs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2018, the FCC initiated a proceeding to replace the High Cost Program support received by Viya in the US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Virgin Islands with a new Connect USVI Fund. On November 16, 2020, the FCC announced that Viya was not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recipient of the Connect USVI Fund award and authorized funding to be issued to the new awardee in June 2021. Pursuant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the terms of the program and effective in July 2021, Viya’s annual USF support was reduced from $16.4 million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$10.9 million. In July 2022, this support was reduced to $5.5 million for the annual period through June 2023. In April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2023, the FCC issued an order extending the high cost support in the US Virgin Islands at the current $5.5 million per year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received from July 2023 through December 31, 2025. In connection with this order, the FCC requires that the Company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maintain its current footprint for voice and broadband services in the US Virgin Islands.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Construction Grants</w:t>
      </w:r>
    </w:p>
    <w:p>
      <w:pPr>
        <w:spacing w:after="0" w:line="25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has also been awarded construction grants to build network connectivity for eligible communities. The funding of these grants, used to reimburse the Company for its construction costs, is distributed upon completion of a project. Completion deadlines begin in June 2023 and once these projects are constructed, the Company is obligated to provide service to the participants. The Company expects to meet all requirements associated with these grants. A roll forward of the Company’s grant awards is below (in thousands).</w:t>
      </w:r>
    </w:p>
    <w:p>
      <w:pPr>
        <w:spacing w:after="0" w:line="249"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Amount</w:t>
            </w:r>
          </w:p>
        </w:tc>
      </w:tr>
      <w:tr>
        <w:trPr>
          <w:trHeight w:val="25"/>
        </w:trPr>
        <w:tc>
          <w:tcPr>
            <w:tcW w:w="20" w:type="dxa"/>
            <w:vAlign w:val="bottom"/>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Grants awarded,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80,197</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New grants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Grants awarded,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84,561</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addition, the Company partners with tribal governments to obtain grants under the Tribal Broadband Connectivity Program ("TBCP"). The TBCP is a program administered by the National Telecommunications and Information Administration to deploy broadband connectivity on tribal lands. The Company was identified as a sub recipient of TBCP grants totaling $145.5 million as of March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Replace and Remove Program</w:t>
      </w:r>
    </w:p>
    <w:p>
      <w:pPr>
        <w:spacing w:after="0" w:line="266"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the Company was allocated up to approximately $207 million in reimbursement amounts to cover documented and approved costs to remove and securely destroy all ZTE communications equipment and services in its U.S. networks and replace such equipment. The Replace and Remove Program requires that the Company complete its first request for reimbursement for services performed under the program no later than July 14, 2023, and that it complete the project no later than one year from submitting its initial reimbursement request. The Company anticipates that it will be able to meet the deadlines and requirements of the program. At March 31, 2023, the Company established a receivable for $6.7 million of costs for which it expects to be reimbursed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RETIREMENT PLANS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Multi-employer Defined Benefit Plan</w:t>
      </w:r>
    </w:p>
    <w:p>
      <w:pPr>
        <w:spacing w:after="0" w:line="266"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w:t>
      </w:r>
    </w:p>
    <w:p>
      <w:pPr>
        <w:spacing w:after="0" w:line="2" w:lineRule="exact"/>
        <w:rPr>
          <w:sz w:val="20"/>
          <w:szCs w:val="20"/>
          <w:color w:val="auto"/>
        </w:rPr>
      </w:pPr>
    </w:p>
    <w:p>
      <w:pPr>
        <w:ind w:left="60" w:right="59"/>
        <w:spacing w:after="0" w:line="260" w:lineRule="auto"/>
        <w:rPr>
          <w:sz w:val="20"/>
          <w:szCs w:val="20"/>
          <w:color w:val="auto"/>
        </w:rPr>
      </w:pPr>
      <w:r>
        <w:rPr>
          <w:rFonts w:ascii="Arial" w:cs="Arial" w:eastAsia="Arial" w:hAnsi="Arial"/>
          <w:sz w:val="18"/>
          <w:szCs w:val="18"/>
          <w:color w:val="auto"/>
        </w:rPr>
        <w:t>are not determined for, or allocated separately to, the individual employer. This plan was not in endangered or critical status during the plan year.</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Defined Benefit Plan</w:t>
      </w:r>
    </w:p>
    <w:p>
      <w:pPr>
        <w:spacing w:after="0" w:line="266"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The Company has noncontributory defined benefit pension and noncontributory defined medical, dental, vision, and life benefit plans for eligible employees who meet certain eligibility criteria. The majority of benefits under the plans are frozen and the plans no longer allow new participants to join.</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recorded the net periodic benefit cost identified below (in thousands):</w:t>
      </w:r>
    </w:p>
    <w:p>
      <w:pPr>
        <w:spacing w:after="0" w:line="68"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r>
      <w:tr>
        <w:trPr>
          <w:trHeight w:val="183"/>
        </w:trPr>
        <w:tc>
          <w:tcPr>
            <w:tcW w:w="3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ind w:right="215"/>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auto"/>
            </w:tcBorders>
          </w:tcPr>
          <w:p>
            <w:pPr>
              <w:spacing w:after="0"/>
              <w:rPr>
                <w:sz w:val="15"/>
                <w:szCs w:val="15"/>
                <w:color w:val="auto"/>
              </w:rPr>
            </w:pPr>
          </w:p>
        </w:tc>
      </w:tr>
      <w:tr>
        <w:trPr>
          <w:trHeight w:val="119"/>
        </w:trPr>
        <w:tc>
          <w:tcPr>
            <w:tcW w:w="3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Pension</w:t>
            </w:r>
          </w:p>
        </w:tc>
        <w:tc>
          <w:tcPr>
            <w:tcW w:w="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Postretirement</w:t>
            </w:r>
          </w:p>
        </w:tc>
        <w:tc>
          <w:tcPr>
            <w:tcW w:w="140" w:type="dxa"/>
            <w:vAlign w:val="bottom"/>
          </w:tcPr>
          <w:p>
            <w:pPr>
              <w:spacing w:after="0"/>
              <w:rPr>
                <w:sz w:val="10"/>
                <w:szCs w:val="10"/>
                <w:color w:val="auto"/>
              </w:rPr>
            </w:pPr>
          </w:p>
        </w:tc>
        <w:tc>
          <w:tcPr>
            <w:tcW w:w="6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Pension</w:t>
            </w:r>
          </w:p>
        </w:tc>
        <w:tc>
          <w:tcPr>
            <w:tcW w:w="2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Postretirement</w:t>
            </w:r>
          </w:p>
        </w:tc>
      </w:tr>
      <w:tr>
        <w:trPr>
          <w:trHeight w:val="171"/>
        </w:trPr>
        <w:tc>
          <w:tcPr>
            <w:tcW w:w="3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benefits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benefits</w:t>
            </w:r>
          </w:p>
        </w:tc>
        <w:tc>
          <w:tcPr>
            <w:tcW w:w="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4"/>
                <w:szCs w:val="14"/>
                <w:b w:val="1"/>
                <w:bCs w:val="1"/>
                <w:color w:val="auto"/>
                <w:w w:val="85"/>
              </w:rPr>
              <w:t>benefits</w:t>
            </w:r>
          </w:p>
        </w:tc>
        <w:tc>
          <w:tcPr>
            <w:tcW w:w="240" w:type="dxa"/>
            <w:vAlign w:val="bottom"/>
          </w:tcPr>
          <w:p>
            <w:pPr>
              <w:spacing w:after="0"/>
              <w:rPr>
                <w:sz w:val="14"/>
                <w:szCs w:val="14"/>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36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33</w:t>
            </w: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return on plan assets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(925)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Settlements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r>
      <w:tr>
        <w:trPr>
          <w:trHeight w:val="210"/>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pension expense (benefit)</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69</w:t>
            </w:r>
          </w:p>
        </w:tc>
      </w:tr>
      <w:tr>
        <w:trPr>
          <w:trHeight w:val="20"/>
        </w:trPr>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was not required to make contributions to its pension plans during the three months ended March 31, 2023 and 2022. However, the Company periodically evaluates whether to make discretionary contributions. The Company funds its postretirement benefit plans as claims are made and did not make contributions to its pension plans during the three months ended March 31, 2023 and 2022.</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70"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Company’s effective tax rate for the three months ended March 31, 2023 and 2022 was 9.5% and 296.7%, respectively.</w:t>
      </w:r>
    </w:p>
    <w:p>
      <w:pPr>
        <w:spacing w:after="0" w:line="197" w:lineRule="exact"/>
        <w:rPr>
          <w:sz w:val="20"/>
          <w:szCs w:val="20"/>
          <w:color w:val="auto"/>
        </w:rPr>
      </w:pPr>
    </w:p>
    <w:p>
      <w:pPr>
        <w:ind w:left="60" w:right="219" w:firstLine="648"/>
        <w:spacing w:after="0" w:line="287" w:lineRule="auto"/>
        <w:rPr>
          <w:sz w:val="20"/>
          <w:szCs w:val="20"/>
          <w:color w:val="auto"/>
        </w:rPr>
      </w:pPr>
      <w:r>
        <w:rPr>
          <w:rFonts w:ascii="Arial" w:cs="Arial" w:eastAsia="Arial" w:hAnsi="Arial"/>
          <w:sz w:val="16"/>
          <w:szCs w:val="16"/>
          <w:color w:val="auto"/>
        </w:rPr>
        <w:t>The Company recorded an income tax benefit of $0.7 million in relation to a pretax loss of $7.8 million for the three months ended March 31, 2023. The effective tax rate for the three months ended March 31, 2023 was primarily impacted by the following items (i) the mix of income generated among the jurisdictions in which the Company operates,</w:t>
      </w:r>
    </w:p>
    <w:p>
      <w:pPr>
        <w:spacing w:after="0" w:line="2" w:lineRule="exact"/>
        <w:rPr>
          <w:sz w:val="20"/>
          <w:szCs w:val="20"/>
          <w:color w:val="auto"/>
        </w:rPr>
      </w:pPr>
    </w:p>
    <w:p>
      <w:pPr>
        <w:ind w:left="100" w:right="419" w:hanging="50"/>
        <w:spacing w:after="0" w:line="260"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net increase related to valuation allowances placed on certain deferred tax assets and (iii) discrete items including $0.6 million of expense for interest on unrecognized tax positions.</w:t>
      </w:r>
    </w:p>
    <w:p>
      <w:pPr>
        <w:spacing w:after="0" w:line="226"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Company recorded an income tax provision of $ 3.0 million in relation to income before taxes of $1.0 million for the three months ended March 31, 2022. The effective tax rate for the three months ended March 31, 2022 was primarily impacted by the following items: (i) a $ 0.5 million net increase of unrecognized tax positions recognized discretely, (ii) a $ 2.1 million net expense recognized discretely to record a valuation allowance on certain deferred tax</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assets that are not expected to be realizable based on the weight of positive and negative evidence, and (iii) the mix of income generated among the jurisdictions in which the Company operates.</w:t>
      </w:r>
    </w:p>
    <w:p>
      <w:pPr>
        <w:spacing w:after="0" w:line="211"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applications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EARNINGS PER SHARE AND REDEEMABLE NONCONTROLLING INTERESTS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66" w:lineRule="exact"/>
        <w:rPr>
          <w:sz w:val="20"/>
          <w:szCs w:val="20"/>
          <w:color w:val="auto"/>
        </w:rPr>
      </w:pPr>
    </w:p>
    <w:p>
      <w:pPr>
        <w:ind w:left="60" w:right="239" w:firstLine="648"/>
        <w:spacing w:after="0" w:line="258" w:lineRule="auto"/>
        <w:rPr>
          <w:sz w:val="20"/>
          <w:szCs w:val="20"/>
          <w:color w:val="auto"/>
        </w:rPr>
      </w:pPr>
      <w:r>
        <w:rPr>
          <w:rFonts w:ascii="Arial" w:cs="Arial" w:eastAsia="Arial" w:hAnsi="Arial"/>
          <w:sz w:val="18"/>
          <w:szCs w:val="18"/>
          <w:color w:val="auto"/>
        </w:rPr>
        <w:t>The following table reconciles the numerator and denominator in the computations of basic and diluted earnings per share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attributable to ATN International, Inc. stockholders- Basic</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dividends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Net Loss attributable to ATN International, Inc. common stockholders- Diluted</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2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Effective of dilutive securities: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restricted stock units and performance stock units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Weighted-average shares outstanding- Diluted</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15,768</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15,708</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jc w:val="right"/>
              <w:ind w:right="131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66"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224"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 and losses. After the allocation of earnings and losses, the Company estimates the fair value of the common units and adjusts the book value of the common units to that estimated fair value.</w:t>
      </w:r>
    </w:p>
    <w:p>
      <w:pPr>
        <w:spacing w:after="0" w:line="21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224"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The put options for both the common and preferred units, if any, are nonrecourse to the Company and exercisable at the earlier of a future initial public offering of the subsidiary or certain dates beginning in July 2028.</w:t>
      </w:r>
    </w:p>
    <w:p>
      <w:pPr>
        <w:spacing w:after="0" w:line="187"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For the three months ended March 31, 2023 and 2022, the Company allocated losses of $2.8 million and $1.1 million, respectively, to the redeemable common units representing their proportionate share of operating losses. The Company then compared the book value of the common units to the fair value and the fair value exceeded the book value. As a result, the book value was increased by $2.5 million during the three months ended March 31, 2023.</w:t>
      </w:r>
    </w:p>
    <w:p>
      <w:pPr>
        <w:spacing w:after="0" w:line="184"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following table provides a roll forward of the activity related to the Company’s redeemable noncontrolling interests for the three months ended March 31, 2023 and 2022:</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4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88"/>
              </w:rPr>
              <w:t>Redeemable</w:t>
            </w:r>
          </w:p>
        </w:tc>
        <w:tc>
          <w:tcPr>
            <w:tcW w:w="1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Redeemable</w:t>
            </w: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6"/>
              </w:rPr>
              <w:t>Redeemable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9"/>
                <w:szCs w:val="9"/>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Noncontrolling</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Units</w:t>
            </w:r>
          </w:p>
        </w:tc>
        <w:tc>
          <w:tcPr>
            <w:tcW w:w="100" w:type="dxa"/>
            <w:vAlign w:val="bottom"/>
          </w:tcPr>
          <w:p>
            <w:pPr>
              <w:spacing w:after="0"/>
              <w:rPr>
                <w:sz w:val="9"/>
                <w:szCs w:val="9"/>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Units</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Interests</w:t>
            </w:r>
          </w:p>
        </w:tc>
        <w:tc>
          <w:tcPr>
            <w:tcW w:w="0" w:type="dxa"/>
            <w:vAlign w:val="bottom"/>
          </w:tcPr>
          <w:p>
            <w:pPr>
              <w:spacing w:after="0"/>
              <w:rPr>
                <w:sz w:val="1"/>
                <w:szCs w:val="1"/>
                <w:color w:val="auto"/>
              </w:rPr>
            </w:pPr>
          </w:p>
        </w:tc>
      </w:tr>
      <w:tr>
        <w:trPr>
          <w:trHeight w:val="108"/>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Balance, December 31, 2022</w:t>
            </w: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55,152</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37,317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92,469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preferred dividend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Allocated net loss</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Balance, March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56,197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93,223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5280" w:type="dxa"/>
            <w:vAlign w:val="bottom"/>
          </w:tcPr>
          <w:p>
            <w:pPr>
              <w:spacing w:after="0"/>
              <w:rPr>
                <w:sz w:val="24"/>
                <w:szCs w:val="24"/>
                <w:color w:val="auto"/>
              </w:rPr>
            </w:pPr>
          </w:p>
        </w:tc>
        <w:tc>
          <w:tcPr>
            <w:tcW w:w="124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88"/>
              </w:rPr>
              <w:t>Redeemable</w:t>
            </w:r>
          </w:p>
        </w:tc>
        <w:tc>
          <w:tcPr>
            <w:tcW w:w="1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Redeemable</w:t>
            </w:r>
          </w:p>
        </w:tc>
        <w:tc>
          <w:tcPr>
            <w:tcW w:w="100" w:type="dxa"/>
            <w:vAlign w:val="bottom"/>
          </w:tcPr>
          <w:p>
            <w:pPr>
              <w:spacing w:after="0"/>
              <w:rPr>
                <w:sz w:val="24"/>
                <w:szCs w:val="24"/>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6"/>
              </w:rPr>
              <w:t>Redeemable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9"/>
                <w:szCs w:val="9"/>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Noncontrolling</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Units</w:t>
            </w:r>
          </w:p>
        </w:tc>
        <w:tc>
          <w:tcPr>
            <w:tcW w:w="100" w:type="dxa"/>
            <w:vAlign w:val="bottom"/>
          </w:tcPr>
          <w:p>
            <w:pPr>
              <w:spacing w:after="0"/>
              <w:rPr>
                <w:sz w:val="9"/>
                <w:szCs w:val="9"/>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Units</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Interests</w:t>
            </w:r>
          </w:p>
        </w:tc>
        <w:tc>
          <w:tcPr>
            <w:tcW w:w="0" w:type="dxa"/>
            <w:vAlign w:val="bottom"/>
          </w:tcPr>
          <w:p>
            <w:pPr>
              <w:spacing w:after="0"/>
              <w:rPr>
                <w:sz w:val="1"/>
                <w:szCs w:val="1"/>
                <w:color w:val="auto"/>
              </w:rPr>
            </w:pPr>
          </w:p>
        </w:tc>
      </w:tr>
      <w:tr>
        <w:trPr>
          <w:trHeight w:val="108"/>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Balance, December 31, 2021</w:t>
            </w: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50,296</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22,640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72,936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preferred dividend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Allocated net loss</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74,052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SEGMENT REPORTING</w:t>
      </w:r>
    </w:p>
    <w:p>
      <w:pPr>
        <w:spacing w:after="0" w:line="270"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The Company has the following two reportable and operating segments: i) International Telecom and ii) US Telecom.</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tables provide information for each operating segment (in thousands):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International</w:t>
            </w:r>
          </w:p>
        </w:tc>
        <w:tc>
          <w:tcPr>
            <w:tcW w:w="220" w:type="dxa"/>
            <w:vAlign w:val="bottom"/>
          </w:tcPr>
          <w:p>
            <w:pPr>
              <w:spacing w:after="0"/>
              <w:rPr>
                <w:sz w:val="16"/>
                <w:szCs w:val="16"/>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Corporate and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Telecom</w:t>
            </w:r>
          </w:p>
        </w:tc>
        <w:tc>
          <w:tcPr>
            <w:tcW w:w="220" w:type="dxa"/>
            <w:vAlign w:val="bottom"/>
          </w:tcPr>
          <w:p>
            <w:pPr>
              <w:spacing w:after="0"/>
              <w:rPr>
                <w:sz w:val="16"/>
                <w:szCs w:val="16"/>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Telecom</w:t>
            </w:r>
          </w:p>
        </w:tc>
        <w:tc>
          <w:tcPr>
            <w:tcW w:w="10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b w:val="1"/>
                <w:bCs w:val="1"/>
                <w:color w:val="auto"/>
                <w:w w:val="90"/>
              </w:rPr>
              <w:t>Consolidated</w:t>
            </w: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23,519</w:t>
            </w: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53,433</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64,360</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58,891</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58,902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117,793</w:t>
            </w: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35,774</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181,308</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3,876</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90,408</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95,367</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185,774</w:t>
            </w:r>
          </w:p>
        </w:tc>
      </w:tr>
      <w:tr>
        <w:trPr>
          <w:trHeight w:val="196"/>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14,186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21,487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36,404</w:t>
            </w:r>
          </w:p>
        </w:tc>
      </w:tr>
      <w:tr>
        <w:trPr>
          <w:trHeight w:val="202"/>
        </w:trPr>
        <w:tc>
          <w:tcPr>
            <w:tcW w:w="350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intangibles from</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3,247</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(8,847)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International</w:t>
            </w:r>
          </w:p>
        </w:tc>
        <w:tc>
          <w:tcPr>
            <w:tcW w:w="220" w:type="dxa"/>
            <w:vAlign w:val="bottom"/>
          </w:tcPr>
          <w:p>
            <w:pPr>
              <w:spacing w:after="0"/>
              <w:rPr>
                <w:sz w:val="16"/>
                <w:szCs w:val="16"/>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Corporate and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Telecom</w:t>
            </w:r>
          </w:p>
        </w:tc>
        <w:tc>
          <w:tcPr>
            <w:tcW w:w="220" w:type="dxa"/>
            <w:vAlign w:val="bottom"/>
          </w:tcPr>
          <w:p>
            <w:pPr>
              <w:spacing w:after="0"/>
              <w:rPr>
                <w:sz w:val="16"/>
                <w:szCs w:val="16"/>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Telecom</w:t>
            </w:r>
          </w:p>
        </w:tc>
        <w:tc>
          <w:tcPr>
            <w:tcW w:w="10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b w:val="1"/>
                <w:bCs w:val="1"/>
                <w:color w:val="auto"/>
                <w:w w:val="90"/>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21,426</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25,416</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44,399</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60,061</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58,347</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46,113</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104,460</w:t>
            </w: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36,391</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166,543</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86,787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85,232</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172,019</w:t>
            </w: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13,897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18,442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33,292</w:t>
            </w:r>
          </w:p>
        </w:tc>
      </w:tr>
      <w:tr>
        <w:trPr>
          <w:trHeight w:val="202"/>
        </w:trPr>
        <w:tc>
          <w:tcPr>
            <w:tcW w:w="350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intangibles from</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3,258</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(7,059)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Selected balance sheet data for each of the Company’s segments as of March 31, 2023 and December 31, 2022 consists of the following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International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Corporate and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March 31, 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Telecom</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Telecom</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Other (1)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Cash, cash equivalents, and short-term</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30,664</w:t>
            </w:r>
          </w:p>
        </w:tc>
        <w:tc>
          <w:tcPr>
            <w:tcW w:w="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56,316</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113,711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110,108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231,552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468,961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580,633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1,056,363</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35,269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40,104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959,395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1,700,015</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88,967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96,844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205,384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327,553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512,788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Cash, cash equivalents, and short-term</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25,345</w:t>
            </w:r>
          </w:p>
        </w:tc>
        <w:tc>
          <w:tcPr>
            <w:tcW w:w="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54,960</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105,324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116,038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229,688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462,447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585,969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1,055,954</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35,269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40,104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643,664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980,543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1,707,869</w:t>
            </w:r>
          </w:p>
        </w:tc>
        <w:tc>
          <w:tcPr>
            <w:tcW w:w="0" w:type="dxa"/>
            <w:vAlign w:val="bottom"/>
          </w:tcPr>
          <w:p>
            <w:pPr>
              <w:spacing w:after="0"/>
              <w:rPr>
                <w:sz w:val="1"/>
                <w:szCs w:val="1"/>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86,738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119,755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233,180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308,589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467,248</w:t>
            </w:r>
          </w:p>
        </w:tc>
        <w:tc>
          <w:tcPr>
            <w:tcW w:w="0" w:type="dxa"/>
            <w:vAlign w:val="bottom"/>
          </w:tcPr>
          <w:p>
            <w:pPr>
              <w:spacing w:after="0"/>
              <w:rPr>
                <w:sz w:val="1"/>
                <w:szCs w:val="1"/>
                <w:color w:val="auto"/>
              </w:rPr>
            </w:pPr>
          </w:p>
        </w:tc>
      </w:tr>
      <w:tr>
        <w:trPr>
          <w:trHeight w:val="392"/>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752"/>
              <w:spacing w:after="0"/>
              <w:rPr>
                <w:sz w:val="20"/>
                <w:szCs w:val="20"/>
                <w:color w:val="auto"/>
              </w:rPr>
            </w:pPr>
            <w:r>
              <w:rPr>
                <w:rFonts w:ascii="Arial" w:cs="Arial" w:eastAsia="Arial" w:hAnsi="Arial"/>
                <w:sz w:val="14"/>
                <w:szCs w:val="14"/>
                <w:b w:val="1"/>
                <w:bCs w:val="1"/>
                <w:color w:val="auto"/>
              </w:rPr>
              <w:t>Capital Expenditures</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International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Corporate and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vMerge w:val="restart"/>
          </w:tcPr>
          <w:p>
            <w:pPr>
              <w:jc w:val="right"/>
              <w:ind w:right="7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Telecom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w w:val="94"/>
              </w:rPr>
              <w:t>Telecom</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Other (1)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52,725</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15,170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19,095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20" w:hanging="319"/>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Corporate and other items refer to corporate overhead costs and consolidating adjustments</w:t>
      </w:r>
    </w:p>
    <w:p>
      <w:pPr>
        <w:spacing w:after="0" w:line="200" w:lineRule="exact"/>
        <w:rPr>
          <w:rFonts w:ascii="Arial" w:cs="Arial" w:eastAsia="Arial" w:hAnsi="Arial"/>
          <w:sz w:val="18"/>
          <w:szCs w:val="18"/>
          <w:color w:val="auto"/>
        </w:rPr>
      </w:pPr>
    </w:p>
    <w:p>
      <w:pPr>
        <w:spacing w:after="0" w:line="277" w:lineRule="exact"/>
        <w:rPr>
          <w:rFonts w:ascii="Arial" w:cs="Arial" w:eastAsia="Arial" w:hAnsi="Arial"/>
          <w:sz w:val="18"/>
          <w:szCs w:val="18"/>
          <w:color w:val="auto"/>
        </w:rPr>
      </w:pPr>
    </w:p>
    <w:p>
      <w:pPr>
        <w:ind w:left="320" w:hanging="270"/>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Regulatory and Litigation Matters</w:t>
      </w:r>
    </w:p>
    <w:p>
      <w:pPr>
        <w:spacing w:after="0" w:line="25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GTT, has been subject to other long-standing litigation proceedings and disputes in Guyana that have not yet been resolved.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spacing w:after="0" w:line="218"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Beginning in 2006, the National Frequency Management Unit (now the Telecommunications Agency , or the “NFMU/TA”) and GTT have been engaged in discussions regarding the amount of and methodology for calculation of spectrum fees payable by GTT in Guyana. Since that time, GTT has made payments of, undisputed spectrum fees as amounts invoiced by the NFMU/TA. There have been limited further discussions on the subject of a revised spectrum fee methodology with the Telecommunications Agency and GTT awaits the determination of such fees.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On May 8, 2009, a GTT competitor, Digicel, filed a lawsuit in Guyana challenging the legality of GTT’s exclusive license rights under Guyana’s constitution and GTT intervened in the suit in order to oppose Digicel’s claims. The case remains pending. The Company believes that any legal challenge to GTT’s exclusive license rights granted in 1990 is without merit and the Company continues to defend vigorously against such legal challenge.</w:t>
      </w:r>
    </w:p>
    <w:p>
      <w:pPr>
        <w:spacing w:after="0" w:line="212"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have been consolidated with Digicel’s constitutional challenge described above, however, the Company cannot accurately predict at this time when the consolidated suit will reach a court of final determination.</w:t>
      </w:r>
    </w:p>
    <w:p>
      <w:pPr>
        <w:spacing w:after="0" w:line="233"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GTT is also involved in several legal claims regarding its tax filings with the Guyana Revenue Authority (the “GRA”) dating back to 1991 regarding the deductibility of intercompany advisory fees as well as other tax assessments. GTT’s position has been upheld by various High Court rulings made in its favor including most recently in December 2021, when an assessment relating to 2010-2016 was quashed and declared to have no legal effect. GTT has maintained that it has no unpaid corporation tax due to the GRA and that any liability GTT might be found to have with respect to the disputed tax assessments, as alleged by the GRA in the aggregate amount of $32 million net of interest, would be offset in part by the amounts necessary to ensure that GTT’s return on investment was no less than 15% per annum for the relevant periods. Several High Court rulings in the favor of GTT have been appealed by the GRA and the Company believes that some adverse outcome in these or pending unheard matters could occur.</w:t>
      </w:r>
    </w:p>
    <w:p>
      <w:pPr>
        <w:spacing w:after="0" w:line="193"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On May 20, 2021, the Company was served with a notice of application for enforcement of a foreign judgment with respect to a matter brought by the Trinidad &amp; Tobago Electric Commission (“TTEC”) in the High Court of Justice in the Republic of Trinidad and Tobago in August 2013 against GTT and other defendants, alleging breach of contract due to GTT’s failure to pay TTEC in connection with amounts alleged to be owed as reimbursement for cable repair costs. In December 2022, GTT settled this matter with TTEC.</w:t>
      </w:r>
    </w:p>
    <w:p>
      <w:pPr>
        <w:spacing w:after="0" w:line="22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 auditors are expected to issue a final audit report incorporating Alaska Communications’ responses that will be sent to USAC’s Rural Health Care Division to review and determine if corrective action would be appropriate. In the event that the Company disagrees with USAC’s final audit report, the Company can appeal that decision to USAC’s Rural Health Care Division and/or the FCC. At this time, the Company cannot predict the contents or timing of the final USAC audit report, the outcome of the audit or the impact on the Company’s business, financial condition, results of operations, or liquidity and may require certain undertakings in addition to any proposed financial settlement.</w:t>
      </w:r>
    </w:p>
    <w:p>
      <w:pPr>
        <w:spacing w:after="0" w:line="21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The Company is engaged in discussions with the FCC’s Enforcement Bureau and will continue to work constructively to provide it the information it is seeking. Any adverse outcome with respect to the FCC Enforcement Bureau’s inquiry may have an adverse impact the Company’s business, financial condition, results of operations, or liquidity and may require certain undertakings in addition to any proposed financial settlement.</w:t>
      </w:r>
    </w:p>
    <w:p>
      <w:pPr>
        <w:spacing w:after="0" w:line="222"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With respect to all of the foregoing matters, the Company believes that some adverse outcome is probable and has accordingly accrued $15.3 million as of March 31, 2023 for these and other potential liabilities arising in various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39"/>
        <w:spacing w:after="0" w:line="311" w:lineRule="auto"/>
        <w:rPr>
          <w:sz w:val="20"/>
          <w:szCs w:val="20"/>
          <w:color w:val="auto"/>
        </w:rPr>
      </w:pPr>
      <w:r>
        <w:rPr>
          <w:rFonts w:ascii="Arial" w:cs="Arial" w:eastAsia="Arial" w:hAnsi="Arial"/>
          <w:sz w:val="16"/>
          <w:szCs w:val="16"/>
          <w:color w:val="auto"/>
        </w:rPr>
        <w:t>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SUBSEQUENT EVENTS</w:t>
      </w:r>
    </w:p>
    <w:p>
      <w:pPr>
        <w:spacing w:after="0" w:line="2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Verizon Carrier Managed Services Agreement</w:t>
      </w:r>
    </w:p>
    <w:p>
      <w:pPr>
        <w:spacing w:after="0" w:line="25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May 10, 2023, Commnet Wireless, LLC (“Commnet”), a subsidiary of ATN International, Inc. (the “Company”) entered into a Carrier Managed Services Master Agreement (the “Agreement”) with Cellco Partnership d/b/a Verizon Wireless (“Verizon”), pursuant to which Commnet will provide a variety of network, infrastructure and technical services that will help deliver next generation wireless services to Verizon’s subscribers in Commnet’s current operating area in the southwestern United States.</w:t>
      </w:r>
    </w:p>
    <w:p>
      <w:pPr>
        <w:spacing w:after="0" w:line="22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Pursuant to the Agreement and subject to certain limitations contained therein, Commnet will upgrade its wireless service in specific areas and provide services to Verizon for an initial seven year term (the “Commitment Period”). The Commitment Period will automatically renew for up to two additional three year periods, unless Verizon provides no less than twelve months’ notice on non-renewal prior to the expiration of the then-current term.</w:t>
      </w:r>
    </w:p>
    <w:p>
      <w:pPr>
        <w:spacing w:after="0" w:line="21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connection with the Agreement, Commnet has also agreed to provide Verizon with high capacity transport in its coverage area. Verizon will continue to use Commnet’s wireless communications network for roaming services at a fixed rate per site during the build period until such time as upgrades to the network to meet certain performance service level agreements for both RAN operations and transport are met.</w:t>
      </w:r>
    </w:p>
    <w:p>
      <w:pPr>
        <w:spacing w:after="0" w:line="21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Verizon will pay Commnet an aggregate of an estimated approximately $200 million in total amounts for both non-recurring payments for upgrades and construction to its current RAN and transport network and in monthly recurring charges over the initial Commitment Period.</w:t>
      </w:r>
    </w:p>
    <w:p>
      <w:pPr>
        <w:spacing w:after="0" w:line="2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Agreement may be terminated at any time upon the mutual written consent of Commnet and Verizon. In addition, Verizon may terminate the Agreement upon the occurrence of certain events, including failure to meet certain milestones or completion dates with respect to network coverage, failure to meet certain SLAs with respect to the ongoing services, the declaration of a bankruptcy event by Commnet and breach of any other material terms of the Agreement.</w:t>
      </w:r>
    </w:p>
    <w:p>
      <w:pPr>
        <w:spacing w:after="0" w:line="19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foregoing summary of the Agreement is not intended to be complete and is qualified in its entirety by reference to the full text of the Agreement. The Company intends to file a redacted copy of the Agreement as an Exhibit to its Quarterly Report on Form 10-Q for the quarter ending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ind w:left="80" w:right="159" w:firstLine="612"/>
        <w:spacing w:after="0" w:line="293" w:lineRule="auto"/>
        <w:rPr>
          <w:sz w:val="20"/>
          <w:szCs w:val="20"/>
          <w:color w:val="auto"/>
        </w:rPr>
      </w:pPr>
      <w:r>
        <w:rPr>
          <w:rFonts w:ascii="Arial" w:cs="Arial" w:eastAsia="Arial" w:hAnsi="Arial"/>
          <w:sz w:val="16"/>
          <w:szCs w:val="16"/>
          <w:color w:val="auto"/>
        </w:rPr>
        <w:t>We provide digital infrastructure and communications services in the United States and internationally, including in the Caribbean region, with a focus on smaller markets, many of which are rural or remote, with a growing demand for infrastructure investments, Through our operating subsidiaries, we primarily provide: (i) carrier and enterprise communications services, such as terrestrial and submarine fiber optic transport, and communications tower facilities; and (ii) fixed and mobile telecommunications connectivity to residential, business and government customers, including a range of high-speed internet and data services, fixed and mobile wireless solutions, and video and voice services.</w:t>
      </w:r>
    </w:p>
    <w:p>
      <w:pPr>
        <w:spacing w:after="0" w:line="191" w:lineRule="exact"/>
        <w:rPr>
          <w:sz w:val="20"/>
          <w:szCs w:val="20"/>
          <w:color w:val="auto"/>
        </w:rPr>
      </w:pPr>
    </w:p>
    <w:p>
      <w:pPr>
        <w:ind w:left="80" w:right="319" w:firstLine="612"/>
        <w:spacing w:after="0" w:line="268" w:lineRule="auto"/>
        <w:rPr>
          <w:sz w:val="20"/>
          <w:szCs w:val="20"/>
          <w:color w:val="auto"/>
        </w:rPr>
      </w:pPr>
      <w:r>
        <w:rPr>
          <w:rFonts w:ascii="Arial" w:cs="Arial" w:eastAsia="Arial" w:hAnsi="Arial"/>
          <w:sz w:val="17"/>
          <w:szCs w:val="17"/>
          <w:color w:val="auto"/>
        </w:rPr>
        <w:t>At the holding company level, we oversee the allocation of capital within and among our subsidiaries, affiliates, new investments, and stockholders. We have developed significant operational expertise and resources that we use to augment the capabilities of our individual operating subsidiaries in our local markets. We have built a platform of resources and expertise to support our operating subsidiaries and to improve their quality of service with greater economies of scale and expertise than would typically be available at the operating subsidiary level. We provide management, technical, financial, regulatory, and marketing services to our operating subsidiaries and typically receive a management fee calculated as a percentage of their revenues, which is eliminated in consolidation. We also actively evaluate potential acquisitions, investment opportunities and other strategic transactions, both domestic and international, and generally look for those that we believe fit our profile of telecommunications businesses and have the potential to complement our “glass and steel” and “first to fiber” approach in markets while generating steady excess cash flows over extended periods of time. We use the cash generated from our operations to re-invest in organic growth in our existing businesses, to make strategic investments in additional businesses, and to return cash to our investors through dividends or stock repurchases.</w:t>
      </w:r>
    </w:p>
    <w:p>
      <w:pPr>
        <w:spacing w:after="0" w:line="227" w:lineRule="exact"/>
        <w:rPr>
          <w:sz w:val="20"/>
          <w:szCs w:val="20"/>
          <w:color w:val="auto"/>
        </w:rPr>
      </w:pPr>
    </w:p>
    <w:p>
      <w:pPr>
        <w:ind w:left="80" w:right="219" w:firstLine="612"/>
        <w:spacing w:after="0" w:line="308" w:lineRule="auto"/>
        <w:rPr>
          <w:sz w:val="20"/>
          <w:szCs w:val="20"/>
          <w:color w:val="auto"/>
        </w:rPr>
      </w:pPr>
      <w:r>
        <w:rPr>
          <w:rFonts w:ascii="Arial" w:cs="Arial" w:eastAsia="Arial" w:hAnsi="Arial"/>
          <w:sz w:val="17"/>
          <w:szCs w:val="17"/>
          <w:color w:val="auto"/>
        </w:rPr>
        <w:t>For further information about our financial segments and geographical information about our operating revenues and assets, see Notes 1 and 13 to the Consolidated Financial Statements included in this Report.</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2023, we offer the following types of services to our customers:</w:t>
      </w:r>
    </w:p>
    <w:p>
      <w:pPr>
        <w:spacing w:after="0" w:line="252" w:lineRule="exact"/>
        <w:rPr>
          <w:sz w:val="20"/>
          <w:szCs w:val="20"/>
          <w:color w:val="auto"/>
        </w:rPr>
      </w:pPr>
    </w:p>
    <w:p>
      <w:pPr>
        <w:ind w:left="1220" w:right="179" w:hanging="319"/>
        <w:spacing w:after="0" w:line="342"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Mobility Telecommunications Services</w:t>
      </w:r>
      <w:r>
        <w:rPr>
          <w:rFonts w:ascii="Arial" w:cs="Arial" w:eastAsia="Arial" w:hAnsi="Arial"/>
          <w:sz w:val="16"/>
          <w:szCs w:val="16"/>
          <w:color w:val="auto"/>
        </w:rPr>
        <w:t>. We offer mobile communications services over our wireless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and related equipment (such as handsets) to both our business and consumer customers.</w:t>
      </w:r>
    </w:p>
    <w:p>
      <w:pPr>
        <w:spacing w:after="0" w:line="123" w:lineRule="exact"/>
        <w:rPr>
          <w:rFonts w:ascii="Arial" w:cs="Arial" w:eastAsia="Arial" w:hAnsi="Arial"/>
          <w:sz w:val="16"/>
          <w:szCs w:val="16"/>
          <w:color w:val="auto"/>
        </w:rPr>
      </w:pPr>
    </w:p>
    <w:p>
      <w:pPr>
        <w:jc w:val="both"/>
        <w:ind w:left="1220" w:right="159" w:hanging="319"/>
        <w:spacing w:after="0" w:line="259"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Fixed Telecommunications Services</w:t>
      </w:r>
      <w:r>
        <w:rPr>
          <w:rFonts w:ascii="Arial" w:cs="Arial" w:eastAsia="Arial" w:hAnsi="Arial"/>
          <w:sz w:val="18"/>
          <w:szCs w:val="18"/>
          <w:color w:val="auto"/>
        </w:rPr>
        <w:t>. We provide fixed data and voice telecommunications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and consumer customers. These services include consumer broadband and high-speed data solutions for businesses. For some markets, fixed services also include video services and revenue derived from support under certain government programs.</w:t>
      </w:r>
    </w:p>
    <w:p>
      <w:pPr>
        <w:spacing w:after="0" w:line="186" w:lineRule="exact"/>
        <w:rPr>
          <w:rFonts w:ascii="Arial" w:cs="Arial" w:eastAsia="Arial" w:hAnsi="Arial"/>
          <w:sz w:val="18"/>
          <w:szCs w:val="18"/>
          <w:color w:val="auto"/>
        </w:rPr>
      </w:pPr>
    </w:p>
    <w:p>
      <w:pPr>
        <w:jc w:val="both"/>
        <w:ind w:left="1220" w:right="179" w:hanging="31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Carrier Telecommunication Services</w:t>
      </w:r>
      <w:r>
        <w:rPr>
          <w:rFonts w:ascii="Arial" w:cs="Arial" w:eastAsia="Arial" w:hAnsi="Arial"/>
          <w:sz w:val="18"/>
          <w:szCs w:val="18"/>
          <w:color w:val="auto"/>
        </w:rPr>
        <w:t>. We deliver services to other telecommunications providers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leasing of critical network infrastructure, such as tower and transport facilities, wholesale roaming, site maintenance and international long-distance services.</w:t>
      </w:r>
    </w:p>
    <w:p>
      <w:pPr>
        <w:spacing w:after="0" w:line="183" w:lineRule="exact"/>
        <w:rPr>
          <w:rFonts w:ascii="Arial" w:cs="Arial" w:eastAsia="Arial" w:hAnsi="Arial"/>
          <w:sz w:val="18"/>
          <w:szCs w:val="18"/>
          <w:color w:val="auto"/>
        </w:rPr>
      </w:pPr>
    </w:p>
    <w:p>
      <w:pPr>
        <w:ind w:left="1220" w:right="179" w:hanging="31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Managed Services</w:t>
      </w:r>
      <w:r>
        <w:rPr>
          <w:rFonts w:ascii="Arial" w:cs="Arial" w:eastAsia="Arial" w:hAnsi="Arial"/>
          <w:sz w:val="18"/>
          <w:szCs w:val="18"/>
          <w:color w:val="auto"/>
        </w:rPr>
        <w:t>. We provide information technology services such as network,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and hosting services to both our business and consumer customers to complement our fixed services in our existing markets.</w:t>
      </w:r>
    </w:p>
    <w:p>
      <w:pPr>
        <w:spacing w:after="0" w:line="184" w:lineRule="exact"/>
        <w:rPr>
          <w:sz w:val="20"/>
          <w:szCs w:val="20"/>
          <w:color w:val="auto"/>
        </w:rPr>
      </w:pPr>
    </w:p>
    <w:p>
      <w:pPr>
        <w:jc w:val="both"/>
        <w:ind w:left="60" w:right="259" w:firstLine="648"/>
        <w:spacing w:after="0" w:line="311" w:lineRule="auto"/>
        <w:rPr>
          <w:sz w:val="20"/>
          <w:szCs w:val="20"/>
          <w:color w:val="auto"/>
        </w:rPr>
      </w:pPr>
      <w:r>
        <w:rPr>
          <w:rFonts w:ascii="Arial" w:cs="Arial" w:eastAsia="Arial" w:hAnsi="Arial"/>
          <w:sz w:val="16"/>
          <w:szCs w:val="16"/>
          <w:color w:val="auto"/>
        </w:rPr>
        <w:t>As was previously disclosed, and effective January 27, 2021, we no longer provide distributed generation solar power to commercial and industrial customers. These operations were the only operations within our Renewable Energy segment. As such, we no longer identify the Renewable Energy segment as an operating segment and now have only two</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operating segments to manage and review our operations and to facilitate investor presentations of our results. These two operating segments are as follows:</w:t>
      </w:r>
    </w:p>
    <w:p>
      <w:pPr>
        <w:spacing w:after="0" w:line="170" w:lineRule="exact"/>
        <w:rPr>
          <w:sz w:val="20"/>
          <w:szCs w:val="20"/>
          <w:color w:val="auto"/>
        </w:rPr>
      </w:pPr>
    </w:p>
    <w:p>
      <w:pPr>
        <w:ind w:left="1240" w:right="219" w:hanging="326"/>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Telecom. </w:t>
      </w:r>
      <w:r>
        <w:rPr>
          <w:rFonts w:ascii="Arial" w:cs="Arial" w:eastAsia="Arial" w:hAnsi="Arial"/>
          <w:sz w:val="18"/>
          <w:szCs w:val="18"/>
          <w:color w:val="auto"/>
        </w:rPr>
        <w:t>In our international markets, we offer fixed services, mobility services, carrier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and managed services to customers in Bermuda, the Cayman Islands, Guyana and the US Virgin Islands.</w:t>
      </w:r>
    </w:p>
    <w:p>
      <w:pPr>
        <w:spacing w:after="0" w:line="183" w:lineRule="exact"/>
        <w:rPr>
          <w:rFonts w:ascii="Arial" w:cs="Arial" w:eastAsia="Arial" w:hAnsi="Arial"/>
          <w:sz w:val="18"/>
          <w:szCs w:val="18"/>
          <w:color w:val="auto"/>
        </w:rPr>
      </w:pPr>
    </w:p>
    <w:p>
      <w:pPr>
        <w:ind w:left="1240" w:right="619" w:hanging="326"/>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 Telecom. </w:t>
      </w:r>
      <w:r>
        <w:rPr>
          <w:rFonts w:ascii="Arial" w:cs="Arial" w:eastAsia="Arial" w:hAnsi="Arial"/>
          <w:sz w:val="18"/>
          <w:szCs w:val="18"/>
          <w:color w:val="auto"/>
        </w:rPr>
        <w:t>In the United States, we offer fixed services, carrier services, and managed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and consumer customers in Alaska and the western United States.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80" w:type="dxa"/>
            <w:vAlign w:val="bottom"/>
            <w:gridSpan w:val="2"/>
          </w:tcPr>
          <w:p>
            <w:pPr>
              <w:ind w:left="920"/>
              <w:spacing w:after="0"/>
              <w:rPr>
                <w:sz w:val="20"/>
                <w:szCs w:val="20"/>
                <w:color w:val="auto"/>
              </w:rPr>
            </w:pPr>
            <w:r>
              <w:rPr>
                <w:rFonts w:ascii="Arial" w:cs="Arial" w:eastAsia="Arial" w:hAnsi="Arial"/>
                <w:sz w:val="14"/>
                <w:szCs w:val="14"/>
                <w:b w:val="1"/>
                <w:bCs w:val="1"/>
                <w:color w:val="auto"/>
              </w:rPr>
              <w:t>Segment</w:t>
            </w:r>
          </w:p>
        </w:tc>
        <w:tc>
          <w:tcPr>
            <w:tcW w:w="2420" w:type="dxa"/>
            <w:vAlign w:val="bottom"/>
            <w:gridSpan w:val="2"/>
          </w:tcPr>
          <w:p>
            <w:pPr>
              <w:ind w:left="900"/>
              <w:spacing w:after="0"/>
              <w:rPr>
                <w:sz w:val="20"/>
                <w:szCs w:val="20"/>
                <w:color w:val="auto"/>
              </w:rPr>
            </w:pPr>
            <w:r>
              <w:rPr>
                <w:rFonts w:ascii="Arial" w:cs="Arial" w:eastAsia="Arial" w:hAnsi="Arial"/>
                <w:sz w:val="14"/>
                <w:szCs w:val="14"/>
                <w:b w:val="1"/>
                <w:bCs w:val="1"/>
                <w:color w:val="auto"/>
              </w:rPr>
              <w:t>Services</w:t>
            </w:r>
          </w:p>
        </w:tc>
        <w:tc>
          <w:tcPr>
            <w:tcW w:w="2540" w:type="dxa"/>
            <w:vAlign w:val="bottom"/>
            <w:gridSpan w:val="2"/>
          </w:tcPr>
          <w:p>
            <w:pPr>
              <w:ind w:left="960"/>
              <w:spacing w:after="0"/>
              <w:rPr>
                <w:sz w:val="20"/>
                <w:szCs w:val="20"/>
                <w:color w:val="auto"/>
              </w:rPr>
            </w:pPr>
            <w:r>
              <w:rPr>
                <w:rFonts w:ascii="Arial" w:cs="Arial" w:eastAsia="Arial" w:hAnsi="Arial"/>
                <w:sz w:val="14"/>
                <w:szCs w:val="14"/>
                <w:b w:val="1"/>
                <w:bCs w:val="1"/>
                <w:color w:val="auto"/>
              </w:rPr>
              <w:t>Markets</w:t>
            </w:r>
          </w:p>
        </w:tc>
        <w:tc>
          <w:tcPr>
            <w:tcW w:w="1460" w:type="dxa"/>
            <w:vAlign w:val="bottom"/>
          </w:tcPr>
          <w:p>
            <w:pPr>
              <w:ind w:left="360"/>
              <w:spacing w:after="0"/>
              <w:rPr>
                <w:sz w:val="20"/>
                <w:szCs w:val="20"/>
                <w:color w:val="auto"/>
              </w:rPr>
            </w:pPr>
            <w:r>
              <w:rPr>
                <w:rFonts w:ascii="Arial" w:cs="Arial" w:eastAsia="Arial" w:hAnsi="Arial"/>
                <w:sz w:val="14"/>
                <w:szCs w:val="14"/>
                <w:b w:val="1"/>
                <w:bCs w:val="1"/>
                <w:color w:val="auto"/>
              </w:rPr>
              <w:t>Tradenames</w:t>
            </w:r>
          </w:p>
        </w:tc>
      </w:tr>
      <w:tr>
        <w:trPr>
          <w:trHeight w:val="195"/>
        </w:trPr>
        <w:tc>
          <w:tcPr>
            <w:tcW w:w="23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International Telecom</w:t>
            </w:r>
          </w:p>
        </w:tc>
        <w:tc>
          <w:tcPr>
            <w:tcW w:w="14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Mobility Services</w:t>
            </w:r>
          </w:p>
        </w:tc>
        <w:tc>
          <w:tcPr>
            <w:tcW w:w="12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Bermuda, Guyana, US Virgin</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One, GTT, Viya</w:t>
            </w:r>
          </w:p>
        </w:tc>
      </w:tr>
      <w:tr>
        <w:trPr>
          <w:trHeight w:val="230"/>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Islands</w:t>
            </w:r>
          </w:p>
        </w:tc>
        <w:tc>
          <w:tcPr>
            <w:tcW w:w="1460" w:type="dxa"/>
            <w:vAlign w:val="bottom"/>
            <w:shd w:val="clear" w:color="auto" w:fill="CCEEFF"/>
          </w:tcPr>
          <w:p>
            <w:pPr>
              <w:spacing w:after="0"/>
              <w:rPr>
                <w:sz w:val="20"/>
                <w:szCs w:val="20"/>
                <w:color w:val="auto"/>
              </w:rPr>
            </w:pPr>
          </w:p>
        </w:tc>
      </w:tr>
      <w:tr>
        <w:trPr>
          <w:trHeight w:val="202"/>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Fixed Services</w:t>
            </w:r>
          </w:p>
        </w:tc>
        <w:tc>
          <w:tcPr>
            <w:tcW w:w="25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Bermuda, Cayman Islands,</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One, Logic, GTT,</w:t>
            </w:r>
          </w:p>
        </w:tc>
      </w:tr>
      <w:tr>
        <w:trPr>
          <w:trHeight w:val="230"/>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Guyana, US Virgin Islands</w:t>
            </w:r>
          </w:p>
        </w:tc>
        <w:tc>
          <w:tcPr>
            <w:tcW w:w="1460" w:type="dxa"/>
            <w:vAlign w:val="bottom"/>
          </w:tcPr>
          <w:p>
            <w:pPr>
              <w:spacing w:after="0"/>
              <w:rPr>
                <w:sz w:val="20"/>
                <w:szCs w:val="20"/>
                <w:color w:val="auto"/>
              </w:rPr>
            </w:pPr>
            <w:r>
              <w:rPr>
                <w:rFonts w:ascii="Arial" w:cs="Arial" w:eastAsia="Arial" w:hAnsi="Arial"/>
                <w:sz w:val="18"/>
                <w:szCs w:val="18"/>
                <w:color w:val="auto"/>
              </w:rPr>
              <w:t>Viya</w:t>
            </w:r>
          </w:p>
        </w:tc>
      </w:tr>
      <w:tr>
        <w:trPr>
          <w:trHeight w:val="202"/>
        </w:trPr>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Carrier Services</w:t>
            </w:r>
          </w:p>
        </w:tc>
        <w:tc>
          <w:tcPr>
            <w:tcW w:w="25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Bermuda, Guyana, US Virgin</w:t>
            </w: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One, GTT, Viya</w:t>
            </w:r>
          </w:p>
        </w:tc>
      </w:tr>
      <w:tr>
        <w:trPr>
          <w:trHeight w:val="230"/>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Islands</w:t>
            </w:r>
          </w:p>
        </w:tc>
        <w:tc>
          <w:tcPr>
            <w:tcW w:w="1460" w:type="dxa"/>
            <w:vAlign w:val="bottom"/>
            <w:shd w:val="clear" w:color="auto" w:fill="CCEEFF"/>
          </w:tcPr>
          <w:p>
            <w:pPr>
              <w:spacing w:after="0"/>
              <w:rPr>
                <w:sz w:val="20"/>
                <w:szCs w:val="20"/>
                <w:color w:val="auto"/>
              </w:rPr>
            </w:pPr>
          </w:p>
        </w:tc>
      </w:tr>
      <w:tr>
        <w:trPr>
          <w:trHeight w:val="202"/>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Managed Services</w:t>
            </w:r>
          </w:p>
        </w:tc>
        <w:tc>
          <w:tcPr>
            <w:tcW w:w="25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Bermuda, Cayman Islands, US</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Fireminds, One,</w:t>
            </w:r>
          </w:p>
        </w:tc>
      </w:tr>
      <w:tr>
        <w:trPr>
          <w:trHeight w:val="230"/>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Virgin Islands, Guyana</w:t>
            </w:r>
          </w:p>
        </w:tc>
        <w:tc>
          <w:tcPr>
            <w:tcW w:w="1460" w:type="dxa"/>
            <w:vAlign w:val="bottom"/>
          </w:tcPr>
          <w:p>
            <w:pPr>
              <w:spacing w:after="0"/>
              <w:rPr>
                <w:sz w:val="20"/>
                <w:szCs w:val="20"/>
                <w:color w:val="auto"/>
              </w:rPr>
            </w:pPr>
            <w:r>
              <w:rPr>
                <w:rFonts w:ascii="Arial" w:cs="Arial" w:eastAsia="Arial" w:hAnsi="Arial"/>
                <w:sz w:val="18"/>
                <w:szCs w:val="18"/>
                <w:color w:val="auto"/>
              </w:rPr>
              <w:t>Logic, GTT, Viya</w:t>
            </w:r>
          </w:p>
        </w:tc>
      </w:tr>
      <w:tr>
        <w:trPr>
          <w:trHeight w:val="195"/>
        </w:trPr>
        <w:tc>
          <w:tcPr>
            <w:tcW w:w="23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US Telecom</w:t>
            </w:r>
          </w:p>
        </w:tc>
        <w:tc>
          <w:tcPr>
            <w:tcW w:w="14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Mobility Services</w:t>
            </w:r>
          </w:p>
        </w:tc>
        <w:tc>
          <w:tcPr>
            <w:tcW w:w="120" w:type="dxa"/>
            <w:vAlign w:val="bottom"/>
            <w:tcBorders>
              <w:top w:val="single" w:sz="8" w:color="CCEEFF"/>
            </w:tcBorders>
            <w:shd w:val="clear" w:color="auto" w:fill="CCEEFF"/>
          </w:tcPr>
          <w:p>
            <w:pPr>
              <w:spacing w:after="0"/>
              <w:rPr>
                <w:sz w:val="16"/>
                <w:szCs w:val="16"/>
                <w:color w:val="auto"/>
              </w:rPr>
            </w:pPr>
          </w:p>
        </w:tc>
        <w:tc>
          <w:tcPr>
            <w:tcW w:w="24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United States (rural markets)</w:t>
            </w:r>
          </w:p>
        </w:tc>
        <w:tc>
          <w:tcPr>
            <w:tcW w:w="1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Choice, Choice</w:t>
            </w:r>
          </w:p>
        </w:tc>
      </w:tr>
      <w:tr>
        <w:trPr>
          <w:trHeight w:val="230"/>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NTUA Wireless</w:t>
            </w:r>
          </w:p>
        </w:tc>
      </w:tr>
      <w:tr>
        <w:trPr>
          <w:trHeight w:val="202"/>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Fixed Services</w:t>
            </w:r>
          </w:p>
        </w:tc>
        <w:tc>
          <w:tcPr>
            <w:tcW w:w="25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United States</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Alaska</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Communications,</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6"/>
              </w:rPr>
              <w:t>Commnet, Choice,</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Choice NTUA</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Wireless, Sacred</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Wind</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Communications,</w:t>
            </w:r>
          </w:p>
        </w:tc>
      </w:tr>
      <w:tr>
        <w:trPr>
          <w:trHeight w:val="230"/>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Ethos</w:t>
            </w:r>
          </w:p>
        </w:tc>
      </w:tr>
      <w:tr>
        <w:trPr>
          <w:trHeight w:val="202"/>
        </w:trPr>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Carrier Services</w:t>
            </w:r>
          </w:p>
        </w:tc>
        <w:tc>
          <w:tcPr>
            <w:tcW w:w="25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United States</w:t>
            </w: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Alaska</w:t>
            </w:r>
          </w:p>
        </w:tc>
      </w:tr>
      <w:tr>
        <w:trPr>
          <w:trHeight w:val="216"/>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r>
      <w:tr>
        <w:trPr>
          <w:trHeight w:val="216"/>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89"/>
              </w:rPr>
              <w:t>Commnet, Essextel,</w:t>
            </w:r>
          </w:p>
        </w:tc>
      </w:tr>
      <w:tr>
        <w:trPr>
          <w:trHeight w:val="216"/>
        </w:trPr>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Sacred Wind</w:t>
            </w:r>
          </w:p>
        </w:tc>
      </w:tr>
      <w:tr>
        <w:trPr>
          <w:trHeight w:val="230"/>
        </w:trPr>
        <w:tc>
          <w:tcPr>
            <w:tcW w:w="2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r>
      <w:tr>
        <w:trPr>
          <w:trHeight w:val="202"/>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Managed Services</w:t>
            </w:r>
          </w:p>
        </w:tc>
        <w:tc>
          <w:tcPr>
            <w:tcW w:w="25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United States</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Alaska</w:t>
            </w:r>
          </w:p>
        </w:tc>
      </w:tr>
      <w:tr>
        <w:trPr>
          <w:trHeight w:val="216"/>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Communications,</w:t>
            </w:r>
          </w:p>
        </w:tc>
      </w:tr>
      <w:tr>
        <w:trPr>
          <w:trHeight w:val="230"/>
        </w:trPr>
        <w:tc>
          <w:tcPr>
            <w:tcW w:w="2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Choice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following chart summarizes the operating activities of our principal subsidiaries, the segments in which we report our revenue and the markets we served as of March 31, 2023:</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Sacred Wind Enterprises</w:t>
      </w:r>
    </w:p>
    <w:p>
      <w:pPr>
        <w:spacing w:after="0" w:line="266"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On November 7, 2022, we, via our newly formed wholly owned subsidiary Alloy, Inc. (“Alloy”), acquired all of the issued and outstanding stock of Sacred Wind Enterprises, Inc. (“Sacred Wind”), a rural telecommunications provider in New Mexico (the “Sacred Wind Transaction”) for $44.6 million of consideration. The purchase price allocation was finalized during the three months ended March 31, 2023. As part of the Sacred Wind Transaction, we transferred consideration of $18.0 million of cash, net of $9.4 million of cash acquired, $14.8 million of redeemable noncontrolling interests, and $3.7 million of contingent consideration, less $1.3 million of receivables related to working capital adjustments. Upon completion of the Sacred Wind Transaction, the former Sacred Wind shareholders own 6% of the Alloy equity. This equity is classified as redeemable noncontrolling interests in our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The fair value of the contingent consideration was calculated using discounted cash flow analysis based on a range of probability weighted outcomes. We funded the acquisition with borrowing under our CoBank Credit Facility and assumed $31.6 million of Sacred Wind debt, to the United States of America administered through the Rural Utilities Service.</w:t>
      </w:r>
    </w:p>
    <w:p>
      <w:pPr>
        <w:spacing w:after="0" w:line="209"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We believe that the acquisition of Sacred Wind will expand our infrastructure reach and broadband services in the rural Southwest and increase our wholesale carrier, residential and business broadband services.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FirstNet Agreement</w:t>
      </w:r>
    </w:p>
    <w:p>
      <w:pPr>
        <w:spacing w:after="0" w:line="26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July 2019, we entered into a Network Build and Maintenance Agreement with AT&amp;T Mobility, LLC (“AT&amp;T”) that we amended in August 2020, May 2021 and August 2022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We expect that total construction revenue related to FirstNet will approximate $80 million to $85 million. During the three months ended March 31, 2023 and 2022, we recorded $0.6 million and $2.0 million in construction revenue, respectively. Revenues from construction are expected to have minimal impact on operating income. As of March 31, 2023, approximately 75% of the cell sites related to the FirstNet Agreement were completed and we expect to substantially complete the build by the end of 2023 with the remainder to be completed in early 2024.</w:t>
      </w:r>
    </w:p>
    <w:p>
      <w:pPr>
        <w:spacing w:after="0" w:line="21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2029.</w:t>
      </w:r>
    </w:p>
    <w:p>
      <w:pPr>
        <w:spacing w:after="0" w:line="228"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AT&amp;T will continue to use our wholesale domestic mobility network for roaming services at a fixed rate per site during the construction period until such time as the cell site is transferred to AT&amp;T. Thereafter, revenue from the maintenance, leasing and transport services provided to AT&amp;T is expected to generally offset revenue from wholesale mobility roaming services. We are currently receiving revenue from the FirstNet Transaction and expect overall operating income contributions from the FirstNet Transaction to have a relatively steady impact going forward.</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Universal Service Fund and Connect America Fund Phase II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recognize revenue from several government funded programs including the USF, a subsidy program managed by the Federal Communications Commission (“FCC”), the Alaska Universal Service Fund (“AUSF”), a similar program managed by the Regulatory Commission of Alaska (the “RCA”), and the Emergency Connectivity Fund (“ECF”), a program to help schools and libraries support remote learning in underserved communities. USF funds are disbursed to telecommunication providers through four programs: the High Cost Program; the Low Income Program (“Lifeline Program”); the Schools and Libraries Program (“E-Rate Program”); and the Rural Health Care Support Program.</w:t>
      </w:r>
    </w:p>
    <w:p>
      <w:pPr>
        <w:spacing w:after="0" w:line="20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also recognize revenue from the Connect America Fund Phase II program (“CAF II”) which offers subsidies to carriers to expand broadband coverage in designated areas. Under CAF II, our US Telecom segment will receive an aggregate of $27.7 million annually through December 2025 and an aggregate of $8.0 million annually from January 2026 through July 2028.</w:t>
      </w:r>
    </w:p>
    <w:p>
      <w:pPr>
        <w:spacing w:after="0" w:line="22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All of the programs are subject to certain operational and reporting compliance requirements. We believe we are in compliance with these requirements as of March 31, 2023.</w:t>
      </w:r>
    </w:p>
    <w:p>
      <w:pPr>
        <w:spacing w:after="0" w:line="19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was reduced again to $5.5 million for the annual period through June 2023. In April of 2023, the FCC issued an order extending the high cost support in the US Virgin Islands at the current $5.5 million per year received from July 2023 through December 31, 2025. In connection with this order, the FCC requires that we maintain our current footprint for voice and broadband services in the US Virgin Islands.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RDOF (“Rural Digital Opportunities Fund”)</w:t>
      </w:r>
    </w:p>
    <w:p>
      <w:pPr>
        <w:spacing w:after="0" w:line="2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expect to receive approximately $22.7 million over 10 years to provide broadband and voice coverage to over 10,000 households in the United States (not including Alaska) under the 2020 Rural Digital Opportunity Fund Phase I Auction (“RDOF”). We recorded $0.6 million of revenue from the RDOF program during the three months ended March 31, 2023.</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Construction Grants</w:t>
      </w:r>
    </w:p>
    <w:p>
      <w:pPr>
        <w:spacing w:after="0" w:line="2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have also been awarded construction grants to build network connectivity for eligible communities. The funding of these grants, used to reimburse us for our construction costs, is generally distributed upon completion of a project. Completion deadlines begin in June 2023 and once these projects are constructed, we are obligated to provide service to the participants. We expect to meet all requirements associated with these grants. A roll forward of our grant awards is below (in thousands).</w:t>
      </w:r>
    </w:p>
    <w:p>
      <w:pPr>
        <w:spacing w:after="0" w:line="4"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rPr>
              <w:t>Amount</w:t>
            </w:r>
          </w:p>
        </w:tc>
      </w:tr>
      <w:tr>
        <w:trPr>
          <w:trHeight w:val="25"/>
        </w:trPr>
        <w:tc>
          <w:tcPr>
            <w:tcW w:w="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Grants awarded,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80,197</w:t>
            </w: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New grants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w:t>
            </w:r>
          </w:p>
        </w:tc>
      </w:tr>
      <w:tr>
        <w:trPr>
          <w:trHeight w:val="210"/>
        </w:trPr>
        <w:tc>
          <w:tcPr>
            <w:tcW w:w="2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Grants awarded,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84,561</w:t>
            </w: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we partner with tribal governments to obtain grants under the Tribal Broadband Connectivity Program ("TBCP"). The TBCP is a program administered by the National Telecommunications and Information Administration to deploy broadband connectivity on tribal lands. We were identified as a sub recipient of TBCP grants totaling $145.5 million as of March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Replace and Remove Program</w:t>
      </w:r>
    </w:p>
    <w:p>
      <w:pPr>
        <w:spacing w:after="0" w:line="266"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prohibited communications equipment and services in our U.S. networks and replace such equipment. The Replace and Remove Program requires that we complete our first request for reimbursement for services performed under the program no later than July 14, 2023 and that we complete the project no later than one year from submitting our initial reimbursement request. We anticipate that we will be able to meet the deadlines and requirements of the program. At March 31, 2023, we established a receivable for $6.7 million of costs for which we expect to be reimbursed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Selected Segment Financial Information</w:t>
      </w:r>
    </w:p>
    <w:p>
      <w:pPr>
        <w:spacing w:after="0" w:line="22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represents selected segment information for the three months ended March 31, 2023 and 2022 (in thousands):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International</w:t>
            </w:r>
          </w:p>
        </w:tc>
        <w:tc>
          <w:tcPr>
            <w:tcW w:w="220" w:type="dxa"/>
            <w:vAlign w:val="bottom"/>
          </w:tcPr>
          <w:p>
            <w:pPr>
              <w:spacing w:after="0"/>
              <w:rPr>
                <w:sz w:val="16"/>
                <w:szCs w:val="16"/>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Corporate and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Telecom</w:t>
            </w:r>
          </w:p>
        </w:tc>
        <w:tc>
          <w:tcPr>
            <w:tcW w:w="22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Telecom</w:t>
            </w:r>
          </w:p>
        </w:tc>
        <w:tc>
          <w:tcPr>
            <w:tcW w:w="10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7"/>
                <w:szCs w:val="17"/>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b w:val="1"/>
                <w:bCs w:val="1"/>
                <w:color w:val="auto"/>
                <w:w w:val="90"/>
              </w:rPr>
              <w:t>Consolidated</w:t>
            </w: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23,519</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53,433</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64,360</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58,891</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58,902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117,793</w:t>
            </w:r>
          </w:p>
        </w:tc>
      </w:tr>
      <w:tr>
        <w:trPr>
          <w:trHeight w:val="20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35,774</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181,308</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3,876</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90,408</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95,367</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185,774</w:t>
            </w:r>
          </w:p>
        </w:tc>
      </w:tr>
      <w:tr>
        <w:trPr>
          <w:trHeight w:val="197"/>
        </w:trPr>
        <w:tc>
          <w:tcPr>
            <w:tcW w:w="3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(8,847)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International</w:t>
            </w:r>
          </w:p>
        </w:tc>
        <w:tc>
          <w:tcPr>
            <w:tcW w:w="220" w:type="dxa"/>
            <w:vAlign w:val="bottom"/>
          </w:tcPr>
          <w:p>
            <w:pPr>
              <w:spacing w:after="0"/>
              <w:rPr>
                <w:sz w:val="16"/>
                <w:szCs w:val="16"/>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Corporate and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Telecom</w:t>
            </w:r>
          </w:p>
        </w:tc>
        <w:tc>
          <w:tcPr>
            <w:tcW w:w="22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Telecom</w:t>
            </w:r>
          </w:p>
        </w:tc>
        <w:tc>
          <w:tcPr>
            <w:tcW w:w="10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 (1)</w:t>
            </w:r>
          </w:p>
        </w:tc>
        <w:tc>
          <w:tcPr>
            <w:tcW w:w="100" w:type="dxa"/>
            <w:vAlign w:val="bottom"/>
          </w:tcPr>
          <w:p>
            <w:pPr>
              <w:spacing w:after="0"/>
              <w:rPr>
                <w:sz w:val="17"/>
                <w:szCs w:val="17"/>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b w:val="1"/>
                <w:bCs w:val="1"/>
                <w:color w:val="auto"/>
                <w:w w:val="90"/>
              </w:rPr>
              <w:t>Consolidated</w:t>
            </w: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Communication Services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Mobility - Business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Mobility - Consumer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21,426</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Mobility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25,416</w:t>
            </w:r>
          </w:p>
        </w:tc>
      </w:tr>
      <w:tr>
        <w:trPr>
          <w:trHeight w:val="210"/>
        </w:trPr>
        <w:tc>
          <w:tcPr>
            <w:tcW w:w="3500" w:type="dxa"/>
            <w:vAlign w:val="bottom"/>
          </w:tcPr>
          <w:p>
            <w:pPr>
              <w:ind w:left="220"/>
              <w:spacing w:after="0"/>
              <w:rPr>
                <w:sz w:val="20"/>
                <w:szCs w:val="20"/>
                <w:color w:val="auto"/>
              </w:rPr>
            </w:pPr>
            <w:r>
              <w:rPr>
                <w:rFonts w:ascii="Arial" w:cs="Arial" w:eastAsia="Arial" w:hAnsi="Arial"/>
                <w:sz w:val="18"/>
                <w:szCs w:val="18"/>
                <w:color w:val="auto"/>
              </w:rPr>
              <w:t>Fixed - Business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44,399</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 Consumer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60,061</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58,347</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46,113</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104,460</w:t>
            </w:r>
          </w:p>
        </w:tc>
      </w:tr>
      <w:tr>
        <w:trPr>
          <w:trHeight w:val="21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Carrier Services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36,391</w:t>
            </w: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Total Communication Services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166,543</w:t>
            </w:r>
          </w:p>
        </w:tc>
      </w:tr>
      <w:tr>
        <w:trPr>
          <w:trHeight w:val="21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Managed Services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86,787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85,232</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172,019</w:t>
            </w:r>
          </w:p>
        </w:tc>
      </w:tr>
      <w:tr>
        <w:trPr>
          <w:trHeight w:val="196"/>
        </w:trPr>
        <w:tc>
          <w:tcPr>
            <w:tcW w:w="3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(7,059)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Reconciling items refer to corporate overhead costs and consolidating adjustments.</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comparison of our segment results for the three months ended March 31, 2023, and 2022 is as follows:</w:t>
      </w:r>
    </w:p>
    <w:p>
      <w:pPr>
        <w:spacing w:after="0" w:line="264"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8"/>
          <w:szCs w:val="18"/>
          <w:i w:val="1"/>
          <w:iCs w:val="1"/>
          <w:color w:val="auto"/>
        </w:rPr>
        <w:t xml:space="preserve">International Telecom. </w:t>
      </w:r>
      <w:r>
        <w:rPr>
          <w:rFonts w:ascii="Arial" w:cs="Arial" w:eastAsia="Arial" w:hAnsi="Arial"/>
          <w:sz w:val="18"/>
          <w:szCs w:val="18"/>
          <w:color w:val="auto"/>
        </w:rPr>
        <w:t>Revenues within our International Telecom segment increased $3.6 million, or 4.1%, to</w:t>
      </w:r>
      <w:r>
        <w:rPr>
          <w:rFonts w:ascii="Arial" w:cs="Arial" w:eastAsia="Arial" w:hAnsi="Arial"/>
          <w:sz w:val="18"/>
          <w:szCs w:val="18"/>
          <w:i w:val="1"/>
          <w:iCs w:val="1"/>
          <w:color w:val="auto"/>
        </w:rPr>
        <w:t xml:space="preserve"> </w:t>
      </w:r>
      <w:r>
        <w:rPr>
          <w:rFonts w:ascii="Arial" w:cs="Arial" w:eastAsia="Arial" w:hAnsi="Arial"/>
          <w:sz w:val="18"/>
          <w:szCs w:val="18"/>
          <w:color w:val="auto"/>
        </w:rPr>
        <w:t>$90.4 million from $86.8 million for the three months ended March 31, 2023 and 2022, respectively, as a result of improved retail and marketing strategies which drove an increase in subscribers and equipment sales within all of our international markets. In addition, our US Virgin Islands and Bermuda markets recognized growth in Carrier Services revenue as a result of increased roaming revenues due to an increase in tourism in those markets. These increases, however, were partially offset by the scheduled $1.4 million reduction in federal high cost support revenues in the US Virgin Islands.</w:t>
      </w:r>
    </w:p>
    <w:p>
      <w:pPr>
        <w:spacing w:after="0" w:line="23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Operating expenses within our International Telecom segment increased by $1.6 million, or 2.1%, to $76.6 million from $75.0 million for the three months ended March 31, 2023 and 2022, respectively. The increase was primarily the result of an increase in equipment expenses and retail and marketing costs.</w:t>
      </w:r>
    </w:p>
    <w:p>
      <w:pPr>
        <w:spacing w:after="0" w:line="224" w:lineRule="exact"/>
        <w:rPr>
          <w:sz w:val="20"/>
          <w:szCs w:val="20"/>
          <w:color w:val="auto"/>
        </w:rPr>
      </w:pPr>
    </w:p>
    <w:p>
      <w:pPr>
        <w:ind w:left="60" w:right="459" w:firstLine="648"/>
        <w:spacing w:after="0" w:line="308" w:lineRule="auto"/>
        <w:rPr>
          <w:sz w:val="20"/>
          <w:szCs w:val="20"/>
          <w:color w:val="auto"/>
        </w:rPr>
      </w:pPr>
      <w:r>
        <w:rPr>
          <w:rFonts w:ascii="Arial" w:cs="Arial" w:eastAsia="Arial" w:hAnsi="Arial"/>
          <w:sz w:val="17"/>
          <w:szCs w:val="17"/>
          <w:color w:val="auto"/>
        </w:rPr>
        <w:t>As a result, our International Telecom segment’s operating income increased $2.0 million, or 16.9%, to $13.8 million from $11.8 million for the three months ended March 31, 2023 and 2022, respectively.</w:t>
      </w:r>
    </w:p>
    <w:p>
      <w:pPr>
        <w:spacing w:after="0" w:line="173"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i w:val="1"/>
          <w:iCs w:val="1"/>
          <w:color w:val="auto"/>
        </w:rPr>
        <w:t>US Telecom</w:t>
      </w:r>
      <w:r>
        <w:rPr>
          <w:rFonts w:ascii="Arial" w:cs="Arial" w:eastAsia="Arial" w:hAnsi="Arial"/>
          <w:sz w:val="16"/>
          <w:szCs w:val="16"/>
          <w:color w:val="auto"/>
        </w:rPr>
        <w:t>. Revenue within our US Telecom segment increased by $10.2 million, or 12.0%, to $95.4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$85.2 million for the three months ended March 31, 2023 and 2022, respectively. Increases in our Alaska subsidiary and the revenue impact of the Sacred Wind Transaction were partially offset by a reduction in construction revenue related to the FirstNet Transaction, reduction in roaming revenue due to the restructuring of certain carrier contracts in our western United States operations, and a reduction in our international long-distance service revenues.</w:t>
      </w:r>
    </w:p>
    <w:p>
      <w:pPr>
        <w:spacing w:after="0" w:line="202"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Operating expenses within our US Telecom segment increased $9.9 million, or 11.0%, to $99.7 million from $89.8 million for the three months ended March 31, 2023 and 2022, respectively, as a result of increases in expenses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59" w:lineRule="auto"/>
        <w:rPr>
          <w:sz w:val="20"/>
          <w:szCs w:val="20"/>
          <w:color w:val="auto"/>
        </w:rPr>
      </w:pPr>
      <w:r>
        <w:rPr>
          <w:rFonts w:ascii="Arial" w:cs="Arial" w:eastAsia="Arial" w:hAnsi="Arial"/>
          <w:sz w:val="18"/>
          <w:szCs w:val="18"/>
          <w:color w:val="auto"/>
        </w:rPr>
        <w:t>being incurred to support the increased revenues within our Alaska operations and the impact of the Sacred Wind Transaction partially offset by the decrease in FirstNet construction costs as fewer sites were completed in 2023 as compared to 2022 and a reduction in costs related to our wholesale long-distance business as a result of its decrease in revenues.</w:t>
      </w:r>
    </w:p>
    <w:p>
      <w:pPr>
        <w:spacing w:after="0" w:line="227" w:lineRule="exact"/>
        <w:rPr>
          <w:sz w:val="20"/>
          <w:szCs w:val="20"/>
          <w:color w:val="auto"/>
        </w:rPr>
      </w:pPr>
    </w:p>
    <w:p>
      <w:pPr>
        <w:ind w:left="60" w:right="99" w:firstLine="648"/>
        <w:spacing w:after="0" w:line="308" w:lineRule="auto"/>
        <w:rPr>
          <w:sz w:val="20"/>
          <w:szCs w:val="20"/>
          <w:color w:val="auto"/>
        </w:rPr>
      </w:pPr>
      <w:r>
        <w:rPr>
          <w:rFonts w:ascii="Arial" w:cs="Arial" w:eastAsia="Arial" w:hAnsi="Arial"/>
          <w:sz w:val="17"/>
          <w:szCs w:val="17"/>
          <w:color w:val="auto"/>
        </w:rPr>
        <w:t>As a result of the above, our US Telecom segment’s operating loss decreased by $0.3 million, or 6.5%, to a loss of $4.3 million from a loss of $4.6 million for the three months ended March 31, 2023 and 2022, respectively.</w:t>
      </w:r>
    </w:p>
    <w:p>
      <w:pPr>
        <w:spacing w:after="0" w:line="187"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represents a year over year discussion and analysis of our results of operations for the three months ended March 31, 2023 and 2022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(Decrease)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Communication services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181,308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166,543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$ 14,765</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185,774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172,019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line="182" w:lineRule="exact"/>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t>
            </w:r>
            <w:r>
              <w:rPr>
                <w:rFonts w:ascii="Arial" w:cs="Arial" w:eastAsia="Arial" w:hAnsi="Arial"/>
                <w:sz w:val="18"/>
                <w:szCs w:val="18"/>
                <w:i w:val="1"/>
                <w:iCs w:val="1"/>
                <w:color w:val="auto"/>
              </w:rPr>
              <w:t>excluding depreciation and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i w:val="1"/>
                <w:iCs w:val="1"/>
                <w:color w:val="auto"/>
              </w:rPr>
              <w:t>amortization unless otherwise indicated</w:t>
            </w: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communications services and 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Cost of construction 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Transaction-related charges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2,887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Amortization of intangibles from acquisitions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disposition of long-lived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185,138</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171,911</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13,227</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(5,444)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(8,431)</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(1,050.5)</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(3,692)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8"/>
              </w:rPr>
              <w:t>Net loss attributable to noncontrolling interests, net of tax:</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7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LOSS ATTRIBUTABLE TO ATN</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(4,937)</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520.8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INC. STOCKHOLDERS</w:t>
            </w:r>
          </w:p>
        </w:tc>
        <w:tc>
          <w:tcPr>
            <w:tcW w:w="4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Communications Services Revenue</w:t>
      </w:r>
    </w:p>
    <w:p>
      <w:pPr>
        <w:spacing w:after="0" w:line="262" w:lineRule="exact"/>
        <w:rPr>
          <w:sz w:val="20"/>
          <w:szCs w:val="20"/>
          <w:color w:val="auto"/>
        </w:rPr>
      </w:pPr>
    </w:p>
    <w:p>
      <w:pPr>
        <w:ind w:left="60" w:right="219" w:firstLine="648"/>
        <w:spacing w:after="0" w:line="261" w:lineRule="auto"/>
        <w:rPr>
          <w:sz w:val="20"/>
          <w:szCs w:val="20"/>
          <w:color w:val="auto"/>
        </w:rPr>
      </w:pPr>
      <w:r>
        <w:rPr>
          <w:rFonts w:ascii="Arial" w:cs="Arial" w:eastAsia="Arial" w:hAnsi="Arial"/>
          <w:sz w:val="18"/>
          <w:szCs w:val="18"/>
          <w:b w:val="1"/>
          <w:bCs w:val="1"/>
          <w:color w:val="auto"/>
        </w:rPr>
        <w:t xml:space="preserve">Mobility Revenue. </w:t>
      </w:r>
      <w:r>
        <w:rPr>
          <w:rFonts w:ascii="Arial" w:cs="Arial" w:eastAsia="Arial" w:hAnsi="Arial"/>
          <w:sz w:val="18"/>
          <w:szCs w:val="18"/>
          <w:color w:val="auto"/>
        </w:rPr>
        <w:t>Our Mobility revenue consists of retail revenue generated within both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Telecom and US Telecom segments by providing retail mobile voice and data services over our wireless networks as well as through the sale and repair services of related equipment, such as handsets and other accessories, to our retail subscribers.</w:t>
      </w:r>
    </w:p>
    <w:p>
      <w:pPr>
        <w:spacing w:after="0" w:line="224"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Mobility revenue increased by $1.9 million, or 7.5%, to $27.3 million for the three months ended March 31, 2023 from $25.4 million for the three months ended March 31, 2022. Of this increase, Mobility revenue from consumer customers increased by $2.1 million, partially offset by a reduction in Mobility revenue from business customers of $0.2 million.</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increase in Mobility revenue, within our segments, consisted of the following:</w:t>
      </w:r>
    </w:p>
    <w:p>
      <w:pPr>
        <w:spacing w:after="0" w:line="266" w:lineRule="exact"/>
        <w:rPr>
          <w:sz w:val="20"/>
          <w:szCs w:val="20"/>
          <w:color w:val="auto"/>
        </w:rPr>
      </w:pPr>
    </w:p>
    <w:p>
      <w:pPr>
        <w:ind w:left="720" w:right="79" w:hanging="319"/>
        <w:spacing w:after="0" w:line="275"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Telecom. </w:t>
      </w:r>
      <w:r>
        <w:rPr>
          <w:rFonts w:ascii="Arial" w:cs="Arial" w:eastAsia="Arial" w:hAnsi="Arial"/>
          <w:sz w:val="17"/>
          <w:szCs w:val="17"/>
          <w:color w:val="auto"/>
        </w:rPr>
        <w:t>Within our International Telecom segment, Mobility revenue increased by $2.5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10.6%, to $26.1 million for the three months ended March 31, 2023 from $23.6 million for the three months ended March 31, 2022. The increase in Mobility revenue within this segment was recognized in all of our international markets and was attributable to an increase in revenue from consumers as a result of improved retail and marketing strategies which led to an increase in subscribers and in equipment sales.</w:t>
      </w:r>
    </w:p>
    <w:p>
      <w:pPr>
        <w:spacing w:after="0" w:line="176" w:lineRule="exact"/>
        <w:rPr>
          <w:rFonts w:ascii="Arial" w:cs="Arial" w:eastAsia="Arial" w:hAnsi="Arial"/>
          <w:sz w:val="17"/>
          <w:szCs w:val="17"/>
          <w:color w:val="auto"/>
        </w:rPr>
      </w:pPr>
    </w:p>
    <w:p>
      <w:pPr>
        <w:ind w:left="720" w:right="139" w:hanging="319"/>
        <w:spacing w:after="0" w:line="25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Mobility revenue within our US Telecom segment decreased by $0.6 million, or 33.3%, to $1.2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$1.8 million for the three months ended March 31, 2023 and 2022, respectively. Substantially all of the decrease related to a decrease in revenue from consumers within our retail operations due to a decrease in subscribers.</w:t>
      </w:r>
    </w:p>
    <w:p>
      <w:pPr>
        <w:spacing w:after="0" w:line="22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expect that Mobility revenue within our International Telecom segment may increase as a result of our marketing efforts to increase the number of our subscribers. However, such growth may be partially offset due to increased competition in that segment. We expect that Mobility revenue within our US Telecom segment will decrease over time as we put more emphasis on other revenue sources within that segment.</w:t>
      </w:r>
    </w:p>
    <w:p>
      <w:pPr>
        <w:spacing w:after="0" w:line="21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7"/>
          <w:szCs w:val="17"/>
          <w:b w:val="1"/>
          <w:bCs w:val="1"/>
          <w:color w:val="auto"/>
        </w:rPr>
        <w:t xml:space="preserve">Fixed Revenue. </w:t>
      </w:r>
      <w:r>
        <w:rPr>
          <w:rFonts w:ascii="Arial" w:cs="Arial" w:eastAsia="Arial" w:hAnsi="Arial"/>
          <w:sz w:val="17"/>
          <w:szCs w:val="17"/>
          <w:color w:val="auto"/>
        </w:rPr>
        <w:t>Fixed revenue is primarily generated by broadband, voice, and video service revenues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to retail and business customers over our wireline networks. Fixed revenue within our US Telecom segment also includes awards from the Connect America Fund Phase II program in the western United States and Alaska, as well as revenue from the Alaska Universal Service Fund. Within our International Telecom segment, Fixed revenue also includes funding under the FCC’s High Cost Program in the US Virgin Islands.</w:t>
      </w:r>
    </w:p>
    <w:p>
      <w:pPr>
        <w:spacing w:after="0" w:line="21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Fixed revenue increased by $13.3 million, or 12.7%, to $117.8 million from $104.5 million for the three months ended March 31, 2023 and 2022, respectively. Of this increase, $9.0 million and $4.3 million relate to increases in revenue from business and consumer customers, respectively. The increase in Fixed revenue, within our segments, consisted of the following:</w:t>
      </w:r>
    </w:p>
    <w:p>
      <w:pPr>
        <w:spacing w:after="0" w:line="227"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International Telecom</w:t>
      </w:r>
      <w:r>
        <w:rPr>
          <w:rFonts w:ascii="Arial" w:cs="Arial" w:eastAsia="Arial" w:hAnsi="Arial"/>
          <w:sz w:val="17"/>
          <w:szCs w:val="17"/>
          <w:color w:val="auto"/>
        </w:rPr>
        <w:t>. Within our International Telecom segment, Fixed revenue increased by $0.6 million, or</w:t>
      </w:r>
    </w:p>
    <w:p>
      <w:pPr>
        <w:spacing w:after="0" w:line="34" w:lineRule="exact"/>
        <w:rPr>
          <w:rFonts w:ascii="Arial" w:cs="Arial" w:eastAsia="Arial" w:hAnsi="Arial"/>
          <w:sz w:val="17"/>
          <w:szCs w:val="17"/>
          <w:color w:val="auto"/>
        </w:rPr>
      </w:pPr>
    </w:p>
    <w:p>
      <w:pPr>
        <w:ind w:left="720" w:right="139"/>
        <w:spacing w:after="0" w:line="253" w:lineRule="auto"/>
        <w:rPr>
          <w:rFonts w:ascii="Arial" w:cs="Arial" w:eastAsia="Arial" w:hAnsi="Arial"/>
          <w:sz w:val="17"/>
          <w:szCs w:val="17"/>
          <w:color w:val="auto"/>
        </w:rPr>
      </w:pPr>
      <w:r>
        <w:rPr>
          <w:rFonts w:ascii="Arial" w:cs="Arial" w:eastAsia="Arial" w:hAnsi="Arial"/>
          <w:sz w:val="18"/>
          <w:szCs w:val="18"/>
          <w:color w:val="auto"/>
        </w:rPr>
        <w:t>1.0%, to $58.9 million from $58.3 million for the three months ended March 31, 2023 and 2022, respectively, as increases in fixed broadband subscribers in all of our international markets were partially offset by the previously disclosed and scheduled $1.4 million reduction in revenue from the FCC’s High Cost Program in the US Virgin Islands.</w:t>
      </w:r>
    </w:p>
    <w:p>
      <w:pPr>
        <w:spacing w:after="0" w:line="192" w:lineRule="exact"/>
        <w:rPr>
          <w:rFonts w:ascii="Arial" w:cs="Arial" w:eastAsia="Arial" w:hAnsi="Arial"/>
          <w:sz w:val="17"/>
          <w:szCs w:val="17"/>
          <w:color w:val="auto"/>
        </w:rPr>
      </w:pPr>
    </w:p>
    <w:p>
      <w:pPr>
        <w:ind w:left="720" w:right="139" w:hanging="319"/>
        <w:spacing w:after="0" w:line="311"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US Telecom</w:t>
      </w:r>
      <w:r>
        <w:rPr>
          <w:rFonts w:ascii="Arial" w:cs="Arial" w:eastAsia="Arial" w:hAnsi="Arial"/>
          <w:sz w:val="16"/>
          <w:szCs w:val="16"/>
          <w:color w:val="auto"/>
        </w:rPr>
        <w:t>. Fixed revenue within our US Telecom segment increased by $12.8 million, or 27.8%, to $58.9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$46.1 million for the three months ended March 31, 2023 and 2022, respectively. This increase was primarily related to an increase in revenue in Alaska and the revenue impact of the Sacred Wind Transaction.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Fixed revenue within our International Telecom segment may further decrease as a result of a decrease in demand for our video services due to subscribers using alternative methods to receive video content. Such decreases, however, may be offset as a result of an increase in demand for broadband and other data services from consumers, businesses and government, driven by such trends as the popularity of video and audio streaming, demand for cloud services and smart home, business and city solutions as well as macro-economic and population growth in places like the Cayman Islands and Guyana.</w:t>
      </w:r>
    </w:p>
    <w:p>
      <w:pPr>
        <w:spacing w:after="0" w:line="233"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Within our US Telecom segment, Fixed revenue is expected to increase as both our Alaska operations and our western United States operations, including the impact of the Sacred Wind Transaction, further deploy broadband access to both consumers and businesses.</w:t>
      </w:r>
    </w:p>
    <w:p>
      <w:pPr>
        <w:spacing w:after="0" w:line="220" w:lineRule="exact"/>
        <w:rPr>
          <w:sz w:val="20"/>
          <w:szCs w:val="20"/>
          <w:color w:val="auto"/>
        </w:rPr>
      </w:pPr>
    </w:p>
    <w:p>
      <w:pPr>
        <w:ind w:left="60" w:right="179" w:firstLine="648"/>
        <w:spacing w:after="0" w:line="294" w:lineRule="auto"/>
        <w:rPr>
          <w:sz w:val="20"/>
          <w:szCs w:val="20"/>
          <w:color w:val="auto"/>
        </w:rPr>
      </w:pPr>
      <w:r>
        <w:rPr>
          <w:rFonts w:ascii="Arial" w:cs="Arial" w:eastAsia="Arial" w:hAnsi="Arial"/>
          <w:sz w:val="16"/>
          <w:szCs w:val="16"/>
          <w:b w:val="1"/>
          <w:bCs w:val="1"/>
          <w:color w:val="auto"/>
        </w:rPr>
        <w:t xml:space="preserve">Carrier Services Revenue. </w:t>
      </w:r>
      <w:r>
        <w:rPr>
          <w:rFonts w:ascii="Arial" w:cs="Arial" w:eastAsia="Arial" w:hAnsi="Arial"/>
          <w:sz w:val="16"/>
          <w:szCs w:val="16"/>
          <w:color w:val="auto"/>
        </w:rPr>
        <w:t>Carrier Services revenue is generated by both our International Telecom and US</w:t>
      </w:r>
      <w:r>
        <w:rPr>
          <w:rFonts w:ascii="Arial" w:cs="Arial" w:eastAsia="Arial" w:hAnsi="Arial"/>
          <w:sz w:val="16"/>
          <w:szCs w:val="16"/>
          <w:b w:val="1"/>
          <w:bCs w:val="1"/>
          <w:color w:val="auto"/>
        </w:rPr>
        <w:t xml:space="preserve"> </w:t>
      </w:r>
      <w:r>
        <w:rPr>
          <w:rFonts w:ascii="Arial" w:cs="Arial" w:eastAsia="Arial" w:hAnsi="Arial"/>
          <w:sz w:val="16"/>
          <w:szCs w:val="16"/>
          <w:color w:val="auto"/>
        </w:rPr>
        <w:t>Telecom segments</w:t>
      </w:r>
      <w:r>
        <w:rPr>
          <w:rFonts w:ascii="Arial" w:cs="Arial" w:eastAsia="Arial" w:hAnsi="Arial"/>
          <w:sz w:val="16"/>
          <w:szCs w:val="16"/>
          <w:b w:val="1"/>
          <w:bCs w:val="1"/>
          <w:color w:val="auto"/>
        </w:rPr>
        <w:t>.</w:t>
      </w:r>
      <w:r>
        <w:rPr>
          <w:rFonts w:ascii="Arial" w:cs="Arial" w:eastAsia="Arial" w:hAnsi="Arial"/>
          <w:sz w:val="16"/>
          <w:szCs w:val="16"/>
          <w:color w:val="auto"/>
        </w:rPr>
        <w:t xml:space="preserve"> 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Transaction, wholesale roaming revenues, the provision of network switching services, tower lease revenue and other services provided to other carriers.</w:t>
      </w:r>
    </w:p>
    <w:p>
      <w:pPr>
        <w:spacing w:after="0" w:line="191"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color w:val="auto"/>
        </w:rPr>
        <w:t>Carrier Services revenue decreased by $0.6 million, or 1.6%, to $35.8 million from $36.4 million for the three months ended March 31, 2023 and 2022, respectively. The increase, within our segments, consisted of the following:</w:t>
      </w:r>
    </w:p>
    <w:p>
      <w:pPr>
        <w:spacing w:after="0" w:line="164" w:lineRule="exact"/>
        <w:rPr>
          <w:sz w:val="20"/>
          <w:szCs w:val="20"/>
          <w:color w:val="auto"/>
        </w:rPr>
      </w:pPr>
    </w:p>
    <w:p>
      <w:pPr>
        <w:ind w:left="720" w:right="339" w:hanging="319"/>
        <w:spacing w:after="0" w:line="25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International Telecom</w:t>
      </w:r>
      <w:r>
        <w:rPr>
          <w:rFonts w:ascii="Arial" w:cs="Arial" w:eastAsia="Arial" w:hAnsi="Arial"/>
          <w:sz w:val="18"/>
          <w:szCs w:val="18"/>
          <w:color w:val="auto"/>
        </w:rPr>
        <w:t>. Within our International Telecom segment, Carrier Services revenue increased by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8.8%, to $3.7 million, from $3.4 million for the three months ended March 31, 2023 and 2022, respectively, as a result of an increase in tourism, primarily within the US Virgin Islands and Bermuda, that resulted in an increase in roaming revenues.</w:t>
      </w:r>
    </w:p>
    <w:p>
      <w:pPr>
        <w:spacing w:after="0" w:line="186" w:lineRule="exact"/>
        <w:rPr>
          <w:rFonts w:ascii="Arial" w:cs="Arial" w:eastAsia="Arial" w:hAnsi="Arial"/>
          <w:sz w:val="18"/>
          <w:szCs w:val="18"/>
          <w:color w:val="auto"/>
        </w:rPr>
      </w:pPr>
    </w:p>
    <w:p>
      <w:pPr>
        <w:ind w:left="720" w:right="359" w:hanging="319"/>
        <w:spacing w:after="0" w:line="296"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US Telecom</w:t>
      </w:r>
      <w:r>
        <w:rPr>
          <w:rFonts w:ascii="Arial" w:cs="Arial" w:eastAsia="Arial" w:hAnsi="Arial"/>
          <w:sz w:val="16"/>
          <w:szCs w:val="16"/>
          <w:color w:val="auto"/>
        </w:rPr>
        <w:t>. Carrier Services revenue within our US Telecom segment decreased by $0.9 million, or 2.7%, to</w:t>
      </w:r>
      <w:r>
        <w:rPr>
          <w:rFonts w:ascii="Arial" w:cs="Arial" w:eastAsia="Arial" w:hAnsi="Arial"/>
          <w:sz w:val="16"/>
          <w:szCs w:val="16"/>
          <w:i w:val="1"/>
          <w:iCs w:val="1"/>
          <w:color w:val="auto"/>
        </w:rPr>
        <w:t xml:space="preserve"> </w:t>
      </w:r>
      <w:r>
        <w:rPr>
          <w:rFonts w:ascii="Arial" w:cs="Arial" w:eastAsia="Arial" w:hAnsi="Arial"/>
          <w:sz w:val="16"/>
          <w:szCs w:val="16"/>
          <w:color w:val="auto"/>
        </w:rPr>
        <w:t>$32.1 million from $33.0 million, for the three months ended March 31, 2023 and 2022, respectively. This decrease was the result of a decrease in our western United States operations, primarily as a result of the restructure of certain carrier contracts, and in our wholesale long-distance voice services business. Such decreases were partially offset by the impact of the Sacred Wind Transaction.</w:t>
      </w:r>
    </w:p>
    <w:p>
      <w:pPr>
        <w:spacing w:after="0" w:line="202"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Within our International Telecom segment, Carrier Services revenue may continue to increase if tourism continues to move toward a return to pre-pandemic levels. However, within our International Telecom segment, we expect that Carrier Services revenue from our international long distance business in Guyana may decrease as consumers seek to use alternative technology services to place long-distance calls. Further, such revenue may decline as the result of the implementation, by the Government of Guyana, of passed legislation which terminates our right to be the exclusive provider of domestic Fixed and international long-distance service in Guyana. While the loss of our exclusive rights in Guyana may cause an immediate reduction in our Carrier Services revenue, the complete impact of the new legislation to our operations will not be fully known until the Government of Guyana makes the terms and conditions of licenses issued to two of our competitors available to us. Over the longer term, such declines in Carrier Services revenue may be offset by increased Fixed revenue from broadband services to consumers and enterprises in Guyana, increased Mobility revenue from an increase in regulated local calling rates in Guyana or possible economic growth within that country.</w:t>
      </w:r>
    </w:p>
    <w:p>
      <w:pPr>
        <w:spacing w:after="0" w:line="199"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Within our US Telecom segment, Carrier Services revenue may decrease as a result of the impact of continued reduced contractual wholesale roaming rates and imposed revenue caps with our Carrier customers.</w:t>
      </w:r>
    </w:p>
    <w:p>
      <w:pPr>
        <w:spacing w:after="0" w:line="183" w:lineRule="exact"/>
        <w:rPr>
          <w:sz w:val="20"/>
          <w:szCs w:val="20"/>
          <w:color w:val="auto"/>
        </w:rPr>
      </w:pPr>
    </w:p>
    <w:p>
      <w:pPr>
        <w:ind w:left="60" w:right="139" w:firstLine="648"/>
        <w:spacing w:after="0" w:line="261" w:lineRule="auto"/>
        <w:rPr>
          <w:sz w:val="20"/>
          <w:szCs w:val="20"/>
          <w:color w:val="auto"/>
        </w:rPr>
      </w:pPr>
      <w:r>
        <w:rPr>
          <w:rFonts w:ascii="Arial" w:cs="Arial" w:eastAsia="Arial" w:hAnsi="Arial"/>
          <w:sz w:val="18"/>
          <w:szCs w:val="18"/>
          <w:b w:val="1"/>
          <w:bCs w:val="1"/>
          <w:color w:val="auto"/>
        </w:rPr>
        <w:t xml:space="preserve">Other Communications Services Revenue. </w:t>
      </w:r>
      <w:r>
        <w:rPr>
          <w:rFonts w:ascii="Arial" w:cs="Arial" w:eastAsia="Arial" w:hAnsi="Arial"/>
          <w:sz w:val="18"/>
          <w:szCs w:val="18"/>
          <w:color w:val="auto"/>
        </w:rPr>
        <w:t>Other Communications Services revenue includes 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that the operations within our International Telecom segment provide to retail subscribers. Other Communications Services revenue increased to $0.5 million from $0.3 million for the three months ended March 31, 2023 and 2022, respectively.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Construction Revenue</w:t>
      </w:r>
    </w:p>
    <w:p>
      <w:pPr>
        <w:spacing w:after="0" w:line="266" w:lineRule="exact"/>
        <w:rPr>
          <w:sz w:val="20"/>
          <w:szCs w:val="20"/>
          <w:color w:val="auto"/>
        </w:rPr>
      </w:pPr>
    </w:p>
    <w:p>
      <w:pPr>
        <w:ind w:left="60" w:right="259" w:firstLine="648"/>
        <w:spacing w:after="0" w:line="255" w:lineRule="auto"/>
        <w:rPr>
          <w:sz w:val="20"/>
          <w:szCs w:val="20"/>
          <w:color w:val="auto"/>
        </w:rPr>
      </w:pPr>
      <w:r>
        <w:rPr>
          <w:rFonts w:ascii="Arial" w:cs="Arial" w:eastAsia="Arial" w:hAnsi="Arial"/>
          <w:sz w:val="18"/>
          <w:szCs w:val="18"/>
          <w:color w:val="auto"/>
        </w:rPr>
        <w:t>Construction revenue represents revenue generated within our US Telecom segment for the construction of network cell sites related to the FirstNet Agreement. During the three months ended March 31, 2023 and 2022, Construction revenue decreased to $0.6 million from $2.0 million, respectively, as a result of a decrease in the number of sites completed during 2023 as compared to 2022. As of March 31, 2023, approximately 75% of the cell sites related to the FirstNet Agreement were completed and we expect to substantially complete the build by the end of 2023 with the remainder to be completed in early 2024.</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Revenue</w:t>
      </w:r>
    </w:p>
    <w:p>
      <w:pPr>
        <w:spacing w:after="0" w:line="248" w:lineRule="exact"/>
        <w:rPr>
          <w:sz w:val="20"/>
          <w:szCs w:val="20"/>
          <w:color w:val="auto"/>
        </w:rPr>
      </w:pPr>
    </w:p>
    <w:p>
      <w:pPr>
        <w:jc w:val="both"/>
        <w:ind w:left="60" w:right="459" w:firstLine="648"/>
        <w:spacing w:after="0" w:line="261" w:lineRule="auto"/>
        <w:rPr>
          <w:sz w:val="20"/>
          <w:szCs w:val="20"/>
          <w:color w:val="auto"/>
        </w:rPr>
      </w:pPr>
      <w:r>
        <w:rPr>
          <w:rFonts w:ascii="Arial" w:cs="Arial" w:eastAsia="Arial" w:hAnsi="Arial"/>
          <w:sz w:val="18"/>
          <w:szCs w:val="18"/>
          <w:b w:val="1"/>
          <w:bCs w:val="1"/>
          <w:color w:val="auto"/>
        </w:rPr>
        <w:t xml:space="preserve">Managed Services Revenue. </w:t>
      </w:r>
      <w:r>
        <w:rPr>
          <w:rFonts w:ascii="Arial" w:cs="Arial" w:eastAsia="Arial" w:hAnsi="Arial"/>
          <w:sz w:val="18"/>
          <w:szCs w:val="18"/>
          <w:color w:val="auto"/>
        </w:rPr>
        <w:t>Managed Services revenue is generated within both our International and US</w:t>
      </w:r>
      <w:r>
        <w:rPr>
          <w:rFonts w:ascii="Arial" w:cs="Arial" w:eastAsia="Arial" w:hAnsi="Arial"/>
          <w:sz w:val="18"/>
          <w:szCs w:val="18"/>
          <w:b w:val="1"/>
          <w:bCs w:val="1"/>
          <w:color w:val="auto"/>
        </w:rPr>
        <w:t xml:space="preserve"> </w:t>
      </w:r>
      <w:r>
        <w:rPr>
          <w:rFonts w:ascii="Arial" w:cs="Arial" w:eastAsia="Arial" w:hAnsi="Arial"/>
          <w:sz w:val="18"/>
          <w:szCs w:val="18"/>
          <w:color w:val="auto"/>
        </w:rPr>
        <w:t>Telecom segments and includes network, application, infrastructure, and hosting services. Managed Services revenue increased by $0.4 million, or 11.4%, to $3.9 million from $3.5 million for the three months ended March 31, 2023 and 2022, respectively.</w:t>
      </w:r>
    </w:p>
    <w:p>
      <w:pPr>
        <w:spacing w:after="0" w:line="224"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i w:val="1"/>
          <w:iCs w:val="1"/>
          <w:color w:val="auto"/>
        </w:rPr>
        <w:t xml:space="preserve">International Telecom. </w:t>
      </w:r>
      <w:r>
        <w:rPr>
          <w:rFonts w:ascii="Arial" w:cs="Arial" w:eastAsia="Arial" w:hAnsi="Arial"/>
          <w:sz w:val="17"/>
          <w:szCs w:val="17"/>
          <w:color w:val="auto"/>
        </w:rPr>
        <w:t>Managed Services revenue in our International Telecom segment increased $0.1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to $1.3 million, or 8.3%, from $1.2 million for the three months ended March 31, 2023 and 2022, respectively.</w:t>
      </w:r>
    </w:p>
    <w:p>
      <w:pPr>
        <w:spacing w:after="0" w:line="187" w:lineRule="exact"/>
        <w:rPr>
          <w:sz w:val="20"/>
          <w:szCs w:val="20"/>
          <w:color w:val="auto"/>
        </w:rPr>
      </w:pPr>
    </w:p>
    <w:p>
      <w:pPr>
        <w:ind w:left="60" w:right="319" w:firstLine="648"/>
        <w:spacing w:after="0" w:line="308" w:lineRule="auto"/>
        <w:rPr>
          <w:sz w:val="20"/>
          <w:szCs w:val="20"/>
          <w:color w:val="auto"/>
        </w:rPr>
      </w:pPr>
      <w:r>
        <w:rPr>
          <w:rFonts w:ascii="Arial" w:cs="Arial" w:eastAsia="Arial" w:hAnsi="Arial"/>
          <w:sz w:val="17"/>
          <w:szCs w:val="17"/>
          <w:i w:val="1"/>
          <w:iCs w:val="1"/>
          <w:color w:val="auto"/>
        </w:rPr>
        <w:t>US Telecom</w:t>
      </w:r>
      <w:r>
        <w:rPr>
          <w:rFonts w:ascii="Arial" w:cs="Arial" w:eastAsia="Arial" w:hAnsi="Arial"/>
          <w:sz w:val="17"/>
          <w:szCs w:val="17"/>
          <w:color w:val="auto"/>
        </w:rPr>
        <w:t>. Within our US Telecom segment, Managed Services revenue increased $0.3 million, or 13.0%, to</w:t>
      </w:r>
      <w:r>
        <w:rPr>
          <w:rFonts w:ascii="Arial" w:cs="Arial" w:eastAsia="Arial" w:hAnsi="Arial"/>
          <w:sz w:val="17"/>
          <w:szCs w:val="17"/>
          <w:i w:val="1"/>
          <w:iCs w:val="1"/>
          <w:color w:val="auto"/>
        </w:rPr>
        <w:t xml:space="preserve"> </w:t>
      </w:r>
      <w:r>
        <w:rPr>
          <w:rFonts w:ascii="Arial" w:cs="Arial" w:eastAsia="Arial" w:hAnsi="Arial"/>
          <w:sz w:val="17"/>
          <w:szCs w:val="17"/>
          <w:color w:val="auto"/>
        </w:rPr>
        <w:t>$2.6 million from $2.3 million for the three months ended March 31, 2023 and 2022, respectively.</w:t>
      </w:r>
    </w:p>
    <w:p>
      <w:pPr>
        <w:spacing w:after="0" w:line="173"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expect that Managed Services revenue may increase in both our US and International Telecom segments as a result of our continued effort to sell certain Managed Services solutions to both our consumer and business customers in all of our markets.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b w:val="1"/>
          <w:bCs w:val="1"/>
          <w:color w:val="auto"/>
        </w:rPr>
        <w:t xml:space="preserve">Cost of communication services and other. </w:t>
      </w:r>
      <w:r>
        <w:rPr>
          <w:rFonts w:ascii="Arial" w:cs="Arial" w:eastAsia="Arial" w:hAnsi="Arial"/>
          <w:sz w:val="17"/>
          <w:szCs w:val="17"/>
          <w:color w:val="auto"/>
        </w:rPr>
        <w:t>Cost of communication services and other are charges that we incur for voice</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 transport circuits (in particular, the circuits between our Mobility sites and our switches),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203"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Cost of communication services and other increased by $6.0 million, or 8.2%, to $79.0 million from $73.0 million for the three months ended March 31, 2023 and 2022, respectively. The net increase in cost of communication services and other, within our segments, consisted of the following:</w:t>
      </w:r>
    </w:p>
    <w:p>
      <w:pPr>
        <w:spacing w:after="0" w:line="224" w:lineRule="exact"/>
        <w:rPr>
          <w:sz w:val="20"/>
          <w:szCs w:val="20"/>
          <w:color w:val="auto"/>
        </w:rPr>
      </w:pPr>
    </w:p>
    <w:p>
      <w:pPr>
        <w:ind w:left="720" w:right="339" w:hanging="319"/>
        <w:spacing w:after="0" w:line="25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Telecom. </w:t>
      </w:r>
      <w:r>
        <w:rPr>
          <w:rFonts w:ascii="Arial" w:cs="Arial" w:eastAsia="Arial" w:hAnsi="Arial"/>
          <w:sz w:val="18"/>
          <w:szCs w:val="18"/>
          <w:color w:val="auto"/>
        </w:rPr>
        <w:t>Within our International Telecom segment, cost of communication services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$0.1 million, or 0.3%, to $34.2 million from $34.1 million, for the three months ended March 31, 2023 and 2022, respectively. This increase was the result of an increase in equipment expenses, primarily the cost of handsets, as a result of improved retail and marketing strategies which led to an increase in subscribers and handset sales.</w:t>
      </w:r>
    </w:p>
    <w:p>
      <w:pPr>
        <w:spacing w:after="0" w:line="120" w:lineRule="exact"/>
        <w:rPr>
          <w:rFonts w:ascii="Arial" w:cs="Arial" w:eastAsia="Arial" w:hAnsi="Arial"/>
          <w:sz w:val="18"/>
          <w:szCs w:val="18"/>
          <w:color w:val="auto"/>
        </w:rPr>
      </w:pPr>
    </w:p>
    <w:p>
      <w:pPr>
        <w:ind w:left="720" w:right="459" w:hanging="319"/>
        <w:spacing w:after="0" w:line="259"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Cost of communication services and other within our US Telecom segment increased by $5.7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14.5%, to $45.1 million from $39.4 million for the three months ended March 31, 2023 and 2022, respectively. Such increase was primarily related to an increase in direct costs in Alaska to support revenue growth and the impact of the Sacred Wind Transaction.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We expect that cost of communication services and other may increase within our International Telecom segment due to an expected increase in roaming costs if tourism continues to return to pre-pandemic levels. Within the US Telecom segment, these expenses are expected to increase in connection with our expected increase in fixed revenue, and anticipated expenses in connection with our performance related to the construction phase of our FirstNet Transaction which is expected to be substantially completed in 2023. In addition, we expect cost of services may increase as a result of continued inflationary pressure, issues facing the global supply chain and geopolitical uncertainty.</w:t>
      </w:r>
    </w:p>
    <w:p>
      <w:pPr>
        <w:spacing w:after="0" w:line="201" w:lineRule="exact"/>
        <w:rPr>
          <w:sz w:val="20"/>
          <w:szCs w:val="20"/>
          <w:color w:val="auto"/>
        </w:rPr>
      </w:pPr>
    </w:p>
    <w:p>
      <w:pPr>
        <w:ind w:left="60" w:right="139" w:firstLine="648"/>
        <w:spacing w:after="0" w:line="256" w:lineRule="auto"/>
        <w:rPr>
          <w:sz w:val="20"/>
          <w:szCs w:val="20"/>
          <w:color w:val="auto"/>
        </w:rPr>
      </w:pPr>
      <w:r>
        <w:rPr>
          <w:rFonts w:ascii="Arial" w:cs="Arial" w:eastAsia="Arial" w:hAnsi="Arial"/>
          <w:sz w:val="18"/>
          <w:szCs w:val="18"/>
          <w:b w:val="1"/>
          <w:bCs w:val="1"/>
          <w:color w:val="auto"/>
        </w:rPr>
        <w:t xml:space="preserve">Cost of construction revenue. </w:t>
      </w:r>
      <w:r>
        <w:rPr>
          <w:rFonts w:ascii="Arial" w:cs="Arial" w:eastAsia="Arial" w:hAnsi="Arial"/>
          <w:sz w:val="18"/>
          <w:szCs w:val="18"/>
          <w:color w:val="auto"/>
        </w:rPr>
        <w:t>Cost of construction revenue includes the expenses incurred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construction of and the delivery to AT&amp;T of cell sites in accordance with our FirstNet Agreement. During the three months ended March 31, 2023 and 2022, cost of construction revenue decreased to $0.6 million from $2.0 million as a result of a decrease in the number of sites completed during 2023 as compared to 2022. As of March 31, 2023, 75% of the cell sites related to the FirstNet Agreement and we expect to substantially complete the build by the end of 2023 with the remainder to be completed in early 2024.</w:t>
      </w:r>
    </w:p>
    <w:p>
      <w:pPr>
        <w:spacing w:after="0" w:line="228" w:lineRule="exact"/>
        <w:rPr>
          <w:sz w:val="20"/>
          <w:szCs w:val="20"/>
          <w:color w:val="auto"/>
        </w:rPr>
      </w:pPr>
    </w:p>
    <w:p>
      <w:pPr>
        <w:ind w:left="60" w:right="119" w:firstLine="648"/>
        <w:spacing w:after="0" w:line="294"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expenses include salaries and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91"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Selling, general and administrative expenses increased by $6.4 million, or 11.7%, to $61.3 million from $54.9 million for the three months ended March 31, 2023 and 2022, respectively. The net increase in selling, general and administrative expenses, within our segments, consisted of the following:</w:t>
      </w:r>
    </w:p>
    <w:p>
      <w:pPr>
        <w:spacing w:after="0" w:line="224" w:lineRule="exact"/>
        <w:rPr>
          <w:sz w:val="20"/>
          <w:szCs w:val="20"/>
          <w:color w:val="auto"/>
        </w:rPr>
      </w:pPr>
    </w:p>
    <w:p>
      <w:pPr>
        <w:ind w:left="720" w:right="479" w:hanging="319"/>
        <w:spacing w:after="0" w:line="25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International Telecom</w:t>
      </w:r>
      <w:r>
        <w:rPr>
          <w:rFonts w:ascii="Arial" w:cs="Arial" w:eastAsia="Arial" w:hAnsi="Arial"/>
          <w:sz w:val="18"/>
          <w:szCs w:val="18"/>
          <w:color w:val="auto"/>
        </w:rPr>
        <w:t>. Within our International Telecom segment, our 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increased by $2.2 million, or 8.6%, to $27.7 million from $25.5 million for the three months ended March 31, 2023 and 2022, respectively. This increase was incurred within all of our international markets primarily as a result of an increase in our sales and marketing capabilities to support the expansion of our subscriber base.</w:t>
      </w:r>
    </w:p>
    <w:p>
      <w:pPr>
        <w:spacing w:after="0" w:line="187" w:lineRule="exact"/>
        <w:rPr>
          <w:rFonts w:ascii="Arial" w:cs="Arial" w:eastAsia="Arial" w:hAnsi="Arial"/>
          <w:sz w:val="18"/>
          <w:szCs w:val="18"/>
          <w:color w:val="auto"/>
        </w:rPr>
      </w:pPr>
    </w:p>
    <w:p>
      <w:pPr>
        <w:jc w:val="both"/>
        <w:ind w:left="720" w:right="419" w:hanging="319"/>
        <w:spacing w:after="0" w:line="25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Selling, general and administrative expenses increased within our US Telecom segment by $2.8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11.6%, to $26.9 million from $24.1 million, for the three months ended March 31, 2023 and 2022, respectively. This increase was primarily related to expenses to support the operations from the Sacred Wind Transaction.</w:t>
      </w:r>
    </w:p>
    <w:p>
      <w:pPr>
        <w:spacing w:after="0" w:line="186" w:lineRule="exact"/>
        <w:rPr>
          <w:rFonts w:ascii="Arial" w:cs="Arial" w:eastAsia="Arial" w:hAnsi="Arial"/>
          <w:sz w:val="18"/>
          <w:szCs w:val="18"/>
          <w:color w:val="auto"/>
        </w:rPr>
      </w:pPr>
    </w:p>
    <w:p>
      <w:pPr>
        <w:jc w:val="both"/>
        <w:ind w:left="720" w:right="219" w:hanging="319"/>
        <w:spacing w:after="0" w:line="311"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Corporate Overhead. </w:t>
      </w:r>
      <w:r>
        <w:rPr>
          <w:rFonts w:ascii="Arial" w:cs="Arial" w:eastAsia="Arial" w:hAnsi="Arial"/>
          <w:sz w:val="16"/>
          <w:szCs w:val="16"/>
          <w:color w:val="auto"/>
        </w:rPr>
        <w:t>Selling, general and administrative expenses within our corporate overhead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$1.4 million, or 26.4%, to $6.7 million from $5.3 million, for the three months ended March 31, 2023 and 2022, respectively, primarily related to the support needed for our recent acquisitions and expanded operations.</w:t>
      </w:r>
    </w:p>
    <w:p>
      <w:pPr>
        <w:spacing w:after="0" w:line="189"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We expect that selling, general and administrative expenses may increase in our international telecom segment to support our expanded operations. Within the US Telecom segment, we expect an increase in these costs as a result of expected costs associated with the impact of the construction phase of the FirstNet Transaction, the Sacred Wind Transaction, our commitments under the Cares Act funding and other network expansions in Alaska and the southwest US. Our Corporate Overhead segment may also experience an increase in these expenses to support our recent acquisitions and expanding operations. In addition, we expect our selling, general, and administrative expenses may increase as a result of continued inflationary pressure, issues facing the global supply chain and geopolitical uncertainty.</w:t>
      </w:r>
    </w:p>
    <w:p>
      <w:pPr>
        <w:spacing w:after="0" w:line="189" w:lineRule="exact"/>
        <w:rPr>
          <w:sz w:val="20"/>
          <w:szCs w:val="20"/>
          <w:color w:val="auto"/>
        </w:rPr>
      </w:pPr>
    </w:p>
    <w:p>
      <w:pPr>
        <w:ind w:left="60" w:right="79" w:firstLine="648"/>
        <w:spacing w:after="0" w:line="28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Stock-based compensation represents a non-cash expense related to the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grants of equity awards to employees and directors.</w:t>
      </w:r>
    </w:p>
    <w:p>
      <w:pPr>
        <w:spacing w:after="0" w:line="206"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Stock-based compensation for the three months ended March 31, 2023 and 2022 was $1.8 million and $1.5 million, respectively.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7"/>
          <w:szCs w:val="17"/>
          <w:b w:val="1"/>
          <w:bCs w:val="1"/>
          <w:color w:val="auto"/>
        </w:rPr>
        <w:t xml:space="preserve">Transaction-related charges. </w:t>
      </w:r>
      <w:r>
        <w:rPr>
          <w:rFonts w:ascii="Arial" w:cs="Arial" w:eastAsia="Arial" w:hAnsi="Arial"/>
          <w:sz w:val="17"/>
          <w:szCs w:val="17"/>
          <w:color w:val="auto"/>
        </w:rPr>
        <w:t>Transaction-related charges include the external costs, such as legal, tax,</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and consulting fees directly associated with acquisition and disposition-related activities, which are expensed as incurred. Transaction-related charges also include certain internal personnel costs incurred as a result of the completion of an acquisition or disposition. Transaction-related charges do not include employee salary and travel-related expenses, incurred in connection with acquisitions or dispositions or any integration-related costs.</w:t>
      </w:r>
    </w:p>
    <w:p>
      <w:pPr>
        <w:spacing w:after="0" w:line="212"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incurred a nominal amount of transaction-related charges during the three months ended March 31, 2023 and $0.6 million during the three months ended March 31, 2022.</w:t>
      </w:r>
    </w:p>
    <w:p>
      <w:pPr>
        <w:spacing w:after="0" w:line="207" w:lineRule="exact"/>
        <w:rPr>
          <w:sz w:val="20"/>
          <w:szCs w:val="20"/>
          <w:color w:val="auto"/>
        </w:rPr>
      </w:pPr>
    </w:p>
    <w:p>
      <w:pPr>
        <w:ind w:left="60" w:right="99" w:firstLine="648"/>
        <w:spacing w:after="0" w:line="266" w:lineRule="auto"/>
        <w:rPr>
          <w:sz w:val="20"/>
          <w:szCs w:val="20"/>
          <w:color w:val="auto"/>
        </w:rPr>
      </w:pPr>
      <w:r>
        <w:rPr>
          <w:rFonts w:ascii="Arial" w:cs="Arial" w:eastAsia="Arial" w:hAnsi="Arial"/>
          <w:sz w:val="18"/>
          <w:szCs w:val="18"/>
          <w:b w:val="1"/>
          <w:bCs w:val="1"/>
          <w:color w:val="auto"/>
        </w:rPr>
        <w:t xml:space="preserve">Restructuring expenses. </w:t>
      </w:r>
      <w:r>
        <w:rPr>
          <w:rFonts w:ascii="Arial" w:cs="Arial" w:eastAsia="Arial" w:hAnsi="Arial"/>
          <w:sz w:val="18"/>
          <w:szCs w:val="18"/>
          <w:color w:val="auto"/>
        </w:rPr>
        <w:t>In connection with our repositioning of our legacy wholesale roaming operations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US Telecom segment, we recorded a $2.9 million restructuring charge during the three months ended March 31, 2023 related to the decommissioning of certain cell sites.</w:t>
      </w:r>
    </w:p>
    <w:p>
      <w:pPr>
        <w:spacing w:after="0" w:line="203" w:lineRule="exact"/>
        <w:rPr>
          <w:sz w:val="20"/>
          <w:szCs w:val="20"/>
          <w:color w:val="auto"/>
        </w:rPr>
      </w:pPr>
    </w:p>
    <w:p>
      <w:pPr>
        <w:ind w:left="60" w:right="279" w:firstLine="693"/>
        <w:spacing w:after="0" w:line="282" w:lineRule="auto"/>
        <w:rPr>
          <w:sz w:val="20"/>
          <w:szCs w:val="20"/>
          <w:color w:val="auto"/>
        </w:rPr>
      </w:pPr>
      <w:r>
        <w:rPr>
          <w:rFonts w:ascii="Arial" w:cs="Arial" w:eastAsia="Arial" w:hAnsi="Arial"/>
          <w:sz w:val="18"/>
          <w:szCs w:val="18"/>
          <w:b w:val="1"/>
          <w:bCs w:val="1"/>
          <w:color w:val="auto"/>
        </w:rPr>
        <w:t xml:space="preserve">Depreciation and amortization expenses. </w:t>
      </w:r>
      <w:r>
        <w:rPr>
          <w:rFonts w:ascii="Arial" w:cs="Arial" w:eastAsia="Arial" w:hAnsi="Arial"/>
          <w:sz w:val="18"/>
          <w:szCs w:val="18"/>
          <w:color w:val="auto"/>
        </w:rPr>
        <w:t>Depreciation and amortization expenses represent the depreciation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amortization charges we record on our property and equipment.</w:t>
      </w:r>
    </w:p>
    <w:p>
      <w:pPr>
        <w:spacing w:after="0" w:line="206"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Depreciation and amortization expenses increased by $3.1 million, or 9.3%, to $36.4 million from $33.3 million for the three months ended March 31, 2023 and 2022, respectively. The net increase in depreciation and amortization expenses, within our segments, consisted primarily of the following:</w:t>
      </w:r>
    </w:p>
    <w:p>
      <w:pPr>
        <w:spacing w:after="0" w:line="224" w:lineRule="exact"/>
        <w:rPr>
          <w:sz w:val="20"/>
          <w:szCs w:val="20"/>
          <w:color w:val="auto"/>
        </w:rPr>
      </w:pPr>
    </w:p>
    <w:p>
      <w:pPr>
        <w:ind w:left="720" w:right="319" w:hanging="319"/>
        <w:spacing w:after="0" w:line="25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International Telecom</w:t>
      </w:r>
      <w:r>
        <w:rPr>
          <w:rFonts w:ascii="Arial" w:cs="Arial" w:eastAsia="Arial" w:hAnsi="Arial"/>
          <w:sz w:val="18"/>
          <w:szCs w:val="18"/>
          <w:color w:val="auto"/>
        </w:rPr>
        <w:t>. Depreciation and amortization expenses increased within our International Telecom</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by $0.3 million, or 2.2%, to $14.2 million from $13.9 million, for the three months ended March 31, 2023 and 2022, respectively, as a result of recent capital expenditures used to expand and upgrade our network operations.</w:t>
      </w:r>
    </w:p>
    <w:p>
      <w:pPr>
        <w:spacing w:after="0" w:line="186" w:lineRule="exact"/>
        <w:rPr>
          <w:rFonts w:ascii="Arial" w:cs="Arial" w:eastAsia="Arial" w:hAnsi="Arial"/>
          <w:sz w:val="18"/>
          <w:szCs w:val="18"/>
          <w:color w:val="auto"/>
        </w:rPr>
      </w:pPr>
    </w:p>
    <w:p>
      <w:pPr>
        <w:ind w:left="720" w:right="179" w:hanging="319"/>
        <w:spacing w:after="0" w:line="25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Depreciation and amortization expenses increased within our US Telecom segment by $3.1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16.8%, to $21.5 million from $18.4 million, for the three months ended March 31, 2023 and 2022, respectively, primarily as a result of the impact of the Sacred Wind Transaction, which was completed in November 2022, and the depreciation expense recorded on recent capital expenditures.</w:t>
      </w:r>
    </w:p>
    <w:p>
      <w:pPr>
        <w:spacing w:after="0" w:line="186" w:lineRule="exact"/>
        <w:rPr>
          <w:rFonts w:ascii="Arial" w:cs="Arial" w:eastAsia="Arial" w:hAnsi="Arial"/>
          <w:sz w:val="18"/>
          <w:szCs w:val="18"/>
          <w:color w:val="auto"/>
        </w:rPr>
      </w:pPr>
    </w:p>
    <w:p>
      <w:pPr>
        <w:ind w:left="720" w:right="219" w:hanging="319"/>
        <w:spacing w:after="0" w:line="286"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Corporate Overhead</w:t>
      </w:r>
      <w:r>
        <w:rPr>
          <w:rFonts w:ascii="Arial" w:cs="Arial" w:eastAsia="Arial" w:hAnsi="Arial"/>
          <w:sz w:val="17"/>
          <w:szCs w:val="17"/>
          <w:color w:val="auto"/>
        </w:rPr>
        <w:t>. Depreciation and amortization expenses decreased within our corporate overhead by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22.2%, to $0.7 million from $0.9 million, for the three months ended March 31, 2023 and 2022, respectively, primarily as a result of certain assets becoming fully depreciated in recent periods.</w:t>
      </w:r>
    </w:p>
    <w:p>
      <w:pPr>
        <w:spacing w:after="0" w:line="192" w:lineRule="exact"/>
        <w:rPr>
          <w:sz w:val="20"/>
          <w:szCs w:val="20"/>
          <w:color w:val="auto"/>
        </w:rPr>
      </w:pPr>
    </w:p>
    <w:p>
      <w:pPr>
        <w:ind w:left="60" w:right="279" w:firstLine="648"/>
        <w:spacing w:after="0" w:line="308" w:lineRule="auto"/>
        <w:rPr>
          <w:sz w:val="20"/>
          <w:szCs w:val="20"/>
          <w:color w:val="auto"/>
        </w:rPr>
      </w:pPr>
      <w:r>
        <w:rPr>
          <w:rFonts w:ascii="Arial" w:cs="Arial" w:eastAsia="Arial" w:hAnsi="Arial"/>
          <w:sz w:val="17"/>
          <w:szCs w:val="17"/>
          <w:color w:val="auto"/>
        </w:rPr>
        <w:t>We expect depreciation and amortization expense to increase within our International Telecom and US Telecom segments as we acquire tangible assets to expand or upgrade our telecommunications networks.</w:t>
      </w:r>
    </w:p>
    <w:p>
      <w:pPr>
        <w:spacing w:after="0" w:line="183" w:lineRule="exact"/>
        <w:rPr>
          <w:sz w:val="20"/>
          <w:szCs w:val="20"/>
          <w:color w:val="auto"/>
        </w:rPr>
      </w:pPr>
    </w:p>
    <w:p>
      <w:pPr>
        <w:ind w:left="60" w:right="579" w:firstLine="648"/>
        <w:spacing w:after="0" w:line="312" w:lineRule="auto"/>
        <w:rPr>
          <w:sz w:val="20"/>
          <w:szCs w:val="20"/>
          <w:color w:val="auto"/>
        </w:rPr>
      </w:pPr>
      <w:r>
        <w:rPr>
          <w:rFonts w:ascii="Arial" w:cs="Arial" w:eastAsia="Arial" w:hAnsi="Arial"/>
          <w:sz w:val="17"/>
          <w:szCs w:val="17"/>
          <w:b w:val="1"/>
          <w:bCs w:val="1"/>
          <w:color w:val="auto"/>
        </w:rPr>
        <w:t xml:space="preserve">Amortization of intangibles from acquisitions. </w:t>
      </w:r>
      <w:r>
        <w:rPr>
          <w:rFonts w:ascii="Arial" w:cs="Arial" w:eastAsia="Arial" w:hAnsi="Arial"/>
          <w:sz w:val="17"/>
          <w:szCs w:val="17"/>
          <w:color w:val="auto"/>
        </w:rPr>
        <w:t>Amortization of intangibles from acquisitions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amortization of customer relationships and trade names related to our completed acquisitions.</w:t>
      </w:r>
    </w:p>
    <w:p>
      <w:pPr>
        <w:spacing w:after="0" w:line="184"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Amortization of intangibles from acquisitions decreased by $0.1 million to $3.2 million from $3.3 million for the three months ended March 31, 2023 and 2022, respectively.</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expect that amortization of intangibles from acquisitions will decrease as such costs continue to amortize.</w:t>
      </w:r>
    </w:p>
    <w:p>
      <w:pPr>
        <w:spacing w:after="0" w:line="273" w:lineRule="exact"/>
        <w:rPr>
          <w:sz w:val="20"/>
          <w:szCs w:val="20"/>
          <w:color w:val="auto"/>
        </w:rPr>
      </w:pPr>
    </w:p>
    <w:p>
      <w:pPr>
        <w:ind w:left="60" w:right="99" w:firstLine="648"/>
        <w:spacing w:after="0" w:line="282" w:lineRule="auto"/>
        <w:rPr>
          <w:sz w:val="20"/>
          <w:szCs w:val="20"/>
          <w:color w:val="auto"/>
        </w:rPr>
      </w:pPr>
      <w:r>
        <w:rPr>
          <w:rFonts w:ascii="Arial" w:cs="Arial" w:eastAsia="Arial" w:hAnsi="Arial"/>
          <w:sz w:val="18"/>
          <w:szCs w:val="18"/>
          <w:b w:val="1"/>
          <w:bCs w:val="1"/>
          <w:color w:val="auto"/>
        </w:rPr>
        <w:t>Loss on disposition of long-lived assets</w:t>
      </w:r>
      <w:r>
        <w:rPr>
          <w:rFonts w:ascii="Arial" w:cs="Arial" w:eastAsia="Arial" w:hAnsi="Arial"/>
          <w:sz w:val="18"/>
          <w:szCs w:val="18"/>
          <w:color w:val="auto"/>
        </w:rPr>
        <w:t>. During the three months ended March 31, 2023, we recorded a gain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disposition of long-lived assets of $0.2 million within our US Telecom segment.</w:t>
      </w:r>
    </w:p>
    <w:p>
      <w:pPr>
        <w:spacing w:after="0" w:line="206"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During the three months ended March 31, 2022, we recorded a loss on the disposition of long-lived assets of $3.4 million. Of this amount, $2.4 million was incurred in our US Telecom segment relating to the disposal of certain assets while $1.0 million was incurred in our International Telecom segment as a result of the modification of agreements for the use of other certain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firstLine="648"/>
        <w:spacing w:after="0" w:line="266"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Interest income represents interest earned on our cash, cash equivalents, restricted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investment balances. Interest income was a nominal amount for both the three months ended March 31, 2023 and 2022.</w:t>
      </w:r>
    </w:p>
    <w:p>
      <w:pPr>
        <w:spacing w:after="0" w:line="216" w:lineRule="exact"/>
        <w:rPr>
          <w:sz w:val="20"/>
          <w:szCs w:val="20"/>
          <w:color w:val="auto"/>
        </w:rPr>
      </w:pPr>
    </w:p>
    <w:p>
      <w:pPr>
        <w:ind w:left="60" w:right="59" w:firstLine="648"/>
        <w:spacing w:after="0" w:line="274"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We incur interest expense on the 2019 CoBank Credit Facility, the Alaska Credit and Term</w:t>
      </w:r>
      <w:r>
        <w:rPr>
          <w:rFonts w:ascii="Arial" w:cs="Arial" w:eastAsia="Arial" w:hAnsi="Arial"/>
          <w:sz w:val="17"/>
          <w:szCs w:val="17"/>
          <w:b w:val="1"/>
          <w:bCs w:val="1"/>
          <w:color w:val="auto"/>
        </w:rPr>
        <w:t xml:space="preserve"> </w:t>
      </w:r>
      <w:r>
        <w:rPr>
          <w:rFonts w:ascii="Arial" w:cs="Arial" w:eastAsia="Arial" w:hAnsi="Arial"/>
          <w:sz w:val="17"/>
          <w:szCs w:val="17"/>
          <w:color w:val="auto"/>
        </w:rPr>
        <w:t>Facilities, the Viya Debt, the One Communications Debt and the Receivables Credit Facility. Beginning in the fourth quarter of 2022 and the first quarter of 2023, interest expense also includes interest expense on the Sacred Wind Term Debt and the GTT Credit Facilities (each as defined below). Previously, we also incurred interest expense on the One Communications Debt, which matured on December 22, 2022. In addition, interest expense also includes commitment fees, letter of credit fees and the amortization of debt issuance costs.</w:t>
      </w:r>
    </w:p>
    <w:p>
      <w:pPr>
        <w:spacing w:after="0" w:line="21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Interest expense increased to $8.8 million from $3.4 million for the three months ended March 31, 2023 and 2022, respectively, as additional interest expense was incurred as a result an increase in borrowings under our credit facilities, the inclusion of Sacred Wind Term Debt and the GTT Credit Facilities, as well as an increase in interest rates on all floating-rate borrowings.</w:t>
      </w:r>
    </w:p>
    <w:p>
      <w:pPr>
        <w:spacing w:after="0" w:line="214"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We expect that interest expense may increase in future periods as a result of increased interest rates and borrowings.</w:t>
      </w:r>
    </w:p>
    <w:p>
      <w:pPr>
        <w:spacing w:after="0" w:line="207" w:lineRule="exact"/>
        <w:rPr>
          <w:sz w:val="20"/>
          <w:szCs w:val="20"/>
          <w:color w:val="auto"/>
        </w:rPr>
      </w:pPr>
    </w:p>
    <w:p>
      <w:pPr>
        <w:ind w:left="60" w:right="559" w:firstLine="648"/>
        <w:spacing w:after="0" w:line="282" w:lineRule="auto"/>
        <w:rPr>
          <w:sz w:val="20"/>
          <w:szCs w:val="20"/>
          <w:color w:val="auto"/>
        </w:rPr>
      </w:pPr>
      <w:r>
        <w:rPr>
          <w:rFonts w:ascii="Arial" w:cs="Arial" w:eastAsia="Arial" w:hAnsi="Arial"/>
          <w:sz w:val="18"/>
          <w:szCs w:val="18"/>
          <w:b w:val="1"/>
          <w:bCs w:val="1"/>
          <w:color w:val="auto"/>
        </w:rPr>
        <w:t xml:space="preserve">Other income (expenses). </w:t>
      </w:r>
      <w:r>
        <w:rPr>
          <w:rFonts w:ascii="Arial" w:cs="Arial" w:eastAsia="Arial" w:hAnsi="Arial"/>
          <w:sz w:val="18"/>
          <w:szCs w:val="18"/>
          <w:color w:val="auto"/>
        </w:rPr>
        <w:t>For the three months ended March 31, 2023, other income (expenses) was $0.2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income primarily related to gains from our noncontrolling investments.</w:t>
      </w:r>
    </w:p>
    <w:p>
      <w:pPr>
        <w:spacing w:after="0" w:line="206"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For the three months ended March 31, 2022, other income (expenses) was $4.8 million of income primarily related to gains from our non-controlling investments.</w:t>
      </w:r>
    </w:p>
    <w:p>
      <w:pPr>
        <w:spacing w:after="0" w:line="193" w:lineRule="exact"/>
        <w:rPr>
          <w:sz w:val="20"/>
          <w:szCs w:val="20"/>
          <w:color w:val="auto"/>
        </w:rPr>
      </w:pPr>
    </w:p>
    <w:p>
      <w:pPr>
        <w:ind w:left="60" w:right="79" w:firstLine="648"/>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Our effective tax rate for the three months ended March 31, 2023 and 2022 was 9.5% and 296.7%,</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w:t>
      </w:r>
    </w:p>
    <w:p>
      <w:pPr>
        <w:spacing w:after="0" w:line="206"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recorded an income tax benefit of $0.7 million in relation to a pretax loss of $7.8 million for the three months ended March 31, 2023. The effective tax rate for the three months ended March 31, 2023 was primarily impacted by the following items (i) the mix of income generated among the jurisdictions in which we operate, (ii) a net increase related to valuation allowances placed on certain deferred tax assets and (iii) discrete items including $0.6 million of expense for interest on unrecognized tax positions.</w:t>
      </w:r>
    </w:p>
    <w:p>
      <w:pPr>
        <w:spacing w:after="0" w:line="228" w:lineRule="exact"/>
        <w:rPr>
          <w:sz w:val="20"/>
          <w:szCs w:val="20"/>
          <w:color w:val="auto"/>
        </w:rPr>
      </w:pPr>
    </w:p>
    <w:p>
      <w:pPr>
        <w:ind w:left="60" w:right="259" w:firstLine="648"/>
        <w:spacing w:after="0" w:line="273" w:lineRule="auto"/>
        <w:rPr>
          <w:sz w:val="20"/>
          <w:szCs w:val="20"/>
          <w:color w:val="auto"/>
        </w:rPr>
      </w:pPr>
      <w:r>
        <w:rPr>
          <w:rFonts w:ascii="Arial" w:cs="Arial" w:eastAsia="Arial" w:hAnsi="Arial"/>
          <w:sz w:val="17"/>
          <w:szCs w:val="17"/>
          <w:color w:val="auto"/>
        </w:rPr>
        <w:t>We recorded an income tax provision of $3.0 million in relation to income before taxes of $1.0 million for the three months ended March 31, 2022. The effective tax rate for the three months ended March 31, 2022 was primarily impacted by the following items: (i) a $0.5 million net increase of unrecognized tax positions recognized discretely, (ii) a $2.1 million net expense recognized discretely to record a valuation allowance on certain deferred tax assets that are not expected to be realizable based on the weight of positive and negative evidence, and (iii) the mix of income generated among the jurisdictions in which we operate.</w:t>
      </w:r>
    </w:p>
    <w:p>
      <w:pPr>
        <w:spacing w:after="0" w:line="20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firstLine="648"/>
        <w:spacing w:after="0" w:line="281" w:lineRule="auto"/>
        <w:rPr>
          <w:sz w:val="20"/>
          <w:szCs w:val="20"/>
          <w:color w:val="auto"/>
        </w:rPr>
      </w:pPr>
      <w:r>
        <w:rPr>
          <w:rFonts w:ascii="Arial" w:cs="Arial" w:eastAsia="Arial" w:hAnsi="Arial"/>
          <w:sz w:val="17"/>
          <w:szCs w:val="17"/>
          <w:b w:val="1"/>
          <w:bCs w:val="1"/>
          <w:color w:val="auto"/>
        </w:rPr>
        <w:t xml:space="preserve">Net income attributable to noncontrolling interests, net of tax. </w:t>
      </w:r>
      <w:r>
        <w:rPr>
          <w:rFonts w:ascii="Arial" w:cs="Arial" w:eastAsia="Arial" w:hAnsi="Arial"/>
          <w:sz w:val="17"/>
          <w:szCs w:val="17"/>
          <w:color w:val="auto"/>
        </w:rPr>
        <w:t>Net income attributable to noncontrolling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net of tax reflected an allocation of losses of $1.2 million and $1.0 million generated by our less than wholly owned subsidiaries for the three months ended March 31, 2023 and 2022, respectively. Changes in net income attributable to noncontrolling interests, net of tax, within our segments, consisted of the following:</w:t>
      </w:r>
    </w:p>
    <w:p>
      <w:pPr>
        <w:spacing w:after="0" w:line="169" w:lineRule="exact"/>
        <w:rPr>
          <w:sz w:val="20"/>
          <w:szCs w:val="20"/>
          <w:color w:val="auto"/>
        </w:rPr>
      </w:pPr>
    </w:p>
    <w:p>
      <w:pPr>
        <w:ind w:left="720" w:right="119" w:hanging="319"/>
        <w:spacing w:after="0" w:line="30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International Telecom</w:t>
      </w:r>
      <w:r>
        <w:rPr>
          <w:rFonts w:ascii="Arial" w:cs="Arial" w:eastAsia="Arial" w:hAnsi="Arial"/>
          <w:sz w:val="16"/>
          <w:szCs w:val="16"/>
          <w:color w:val="auto"/>
        </w:rPr>
        <w:t>. Within our International Telecom segment, net income attributable to noncontrolling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net of tax increased by $0.3 million, or 20.0%, to an allocation of $1.8 million of income from an allocation of $1.5 million of income for the three months ended March 31, 2023 and 2022, respectively, primarily as a result of increased profitability at certain less than wholly owned subsidiaries within this segment.</w:t>
      </w:r>
    </w:p>
    <w:p>
      <w:pPr>
        <w:spacing w:after="0" w:line="157" w:lineRule="exact"/>
        <w:rPr>
          <w:rFonts w:ascii="Arial" w:cs="Arial" w:eastAsia="Arial" w:hAnsi="Arial"/>
          <w:sz w:val="16"/>
          <w:szCs w:val="16"/>
          <w:color w:val="auto"/>
        </w:rPr>
      </w:pPr>
    </w:p>
    <w:p>
      <w:pPr>
        <w:ind w:left="720" w:right="99" w:hanging="319"/>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US Telecom</w:t>
      </w:r>
      <w:r>
        <w:rPr>
          <w:rFonts w:ascii="Arial" w:cs="Arial" w:eastAsia="Arial" w:hAnsi="Arial"/>
          <w:sz w:val="18"/>
          <w:szCs w:val="18"/>
          <w:color w:val="auto"/>
        </w:rPr>
        <w:t>. Within our US Telecom segment, net income attributable to noncontrolling interests, net of tax</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by $0.5 million, or 20.0%, to an allocation of losses of $3.0 million from an allocation of losses of $2.5 million for the three months ended March 31, 2023 and 2022, respectively, as a result of the increased losses at our less than wholly owned subsidiaries within this segment.</w:t>
      </w:r>
    </w:p>
    <w:p>
      <w:pPr>
        <w:spacing w:after="0" w:line="223" w:lineRule="exact"/>
        <w:rPr>
          <w:sz w:val="20"/>
          <w:szCs w:val="20"/>
          <w:color w:val="auto"/>
        </w:rPr>
      </w:pPr>
    </w:p>
    <w:p>
      <w:pPr>
        <w:ind w:left="60" w:right="199" w:firstLine="693"/>
        <w:spacing w:after="0" w:line="266" w:lineRule="auto"/>
        <w:rPr>
          <w:sz w:val="20"/>
          <w:szCs w:val="20"/>
          <w:color w:val="auto"/>
        </w:rPr>
      </w:pPr>
      <w:r>
        <w:rPr>
          <w:rFonts w:ascii="Arial" w:cs="Arial" w:eastAsia="Arial" w:hAnsi="Arial"/>
          <w:sz w:val="18"/>
          <w:szCs w:val="18"/>
          <w:b w:val="1"/>
          <w:bCs w:val="1"/>
          <w:color w:val="auto"/>
        </w:rPr>
        <w:t xml:space="preserve">Net loss attributable to ATN International, Inc. stockholders. </w:t>
      </w:r>
      <w:r>
        <w:rPr>
          <w:rFonts w:ascii="Arial" w:cs="Arial" w:eastAsia="Arial" w:hAnsi="Arial"/>
          <w:sz w:val="18"/>
          <w:szCs w:val="18"/>
          <w:color w:val="auto"/>
        </w:rPr>
        <w:t>Net loss attributable to ATN International, Inc.</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was a loss of $5.9 million for the three months ended March 31, 2023 as compared to a loss of $0.9 million for the three months ended March 31, 2022.</w:t>
      </w:r>
    </w:p>
    <w:p>
      <w:pPr>
        <w:spacing w:after="0" w:line="220"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On a per diluted share basis, net loss was a loss of $0.44 per diluted share for the three months ended March 31, 2023 as compared to a loss of $0.13 per diluted share for the three months ended March 31, 2022. Such per share amounts were negatively impacted by accrued preferred dividends of $1.0 million and $1.1 million for the three months ended March 31, 2023 and 2022, respectively.</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Regulatory and Tax Issues</w:t>
      </w:r>
    </w:p>
    <w:p>
      <w:pPr>
        <w:spacing w:after="0" w:line="270"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We are involved in several regulatory and tax proceedings. A material and adverse outcome in one or more of these proceedings could have a material adverse impact on our financial condition and future operations. For a discussion of ongoing proceedings, see Note 14 of the Consolidated Financial Statements in this Report.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Historically, we have met our operational liquidity needs and have funded our capital expenditures and acquisitions through a combination of cash-on-hand, internally generated funds, proceeds from dispositions, borrowings under our credit facilities and seller financings. We believe our current cash, cash equivalents, short term investments and availability under our current credit facilities will be sufficient to meet our cash needs for at least the next twelve months for working capital needs and capital expenditures.</w:t>
      </w:r>
    </w:p>
    <w:p>
      <w:pPr>
        <w:spacing w:after="0" w:line="228"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i w:val="1"/>
          <w:iCs w:val="1"/>
          <w:color w:val="auto"/>
        </w:rPr>
        <w:t xml:space="preserve">Total liquidity. </w:t>
      </w:r>
      <w:r>
        <w:rPr>
          <w:rFonts w:ascii="Arial" w:cs="Arial" w:eastAsia="Arial" w:hAnsi="Arial"/>
          <w:sz w:val="18"/>
          <w:szCs w:val="18"/>
          <w:color w:val="auto"/>
        </w:rPr>
        <w:t>As of March 31, 2023, we had approximately $61.0 million in cash,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Of this amount, $25.7 million was held by our foreign subsidiaries and is indefinitely invested outside the United States. In addition, we had approximately $464.7 million of debt, net of unamortized deferred financing costs, as of March 31, 2023. How and when we deploy our balance sheet capacity will figure prominently in our longer-term growth prospects and stockholder returns.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Uses of Cash</w:t>
      </w:r>
    </w:p>
    <w:p>
      <w:pPr>
        <w:spacing w:after="0" w:line="266"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We have historically funded our acquisitions with a combination of cash-on-hand,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under our credit facilities as well as equity investor and seller financings.</w:t>
      </w:r>
    </w:p>
    <w:p>
      <w:pPr>
        <w:spacing w:after="0" w:line="197"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i w:val="1"/>
          <w:iCs w:val="1"/>
          <w:color w:val="auto"/>
        </w:rPr>
        <w:t xml:space="preserve">Sacred Wind Transaction. </w:t>
      </w:r>
      <w:r>
        <w:rPr>
          <w:rFonts w:ascii="Arial" w:cs="Arial" w:eastAsia="Arial" w:hAnsi="Arial"/>
          <w:sz w:val="18"/>
          <w:szCs w:val="18"/>
          <w:color w:val="auto"/>
        </w:rPr>
        <w:t>On November 7, 2022, we assumed $31.6 million of debt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Sacred Wind Transaction. See </w:t>
      </w:r>
      <w:r>
        <w:rPr>
          <w:rFonts w:ascii="Arial" w:cs="Arial" w:eastAsia="Arial" w:hAnsi="Arial"/>
          <w:sz w:val="18"/>
          <w:szCs w:val="18"/>
          <w:i w:val="1"/>
          <w:iCs w:val="1"/>
          <w:color w:val="auto"/>
        </w:rPr>
        <w:t>Acquisition of Sacred Wind Enterprises.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218"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i w:val="1"/>
          <w:iCs w:val="1"/>
          <w:color w:val="auto"/>
        </w:rPr>
        <w:t xml:space="preserve">Cash used in investing activities. </w:t>
      </w:r>
      <w:r>
        <w:rPr>
          <w:rFonts w:ascii="Arial" w:cs="Arial" w:eastAsia="Arial" w:hAnsi="Arial"/>
          <w:sz w:val="18"/>
          <w:szCs w:val="18"/>
          <w:color w:val="auto"/>
        </w:rPr>
        <w:t>Cash used in investing activities was $52.8 million and $34.5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2023 and 2022, respectively. The net increase in cash used for investing activities of $18.3 million was the result of an increase in capital expenditures of $18.3 million, which includes an increase in reimbursable capital expenditures under certain government programs of $1.9 million.</w:t>
      </w:r>
    </w:p>
    <w:p>
      <w:pPr>
        <w:spacing w:after="0" w:line="227"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i w:val="1"/>
          <w:iCs w:val="1"/>
          <w:color w:val="auto"/>
        </w:rPr>
        <w:t xml:space="preserve">Cash provided by financing activities. </w:t>
      </w:r>
      <w:r>
        <w:rPr>
          <w:rFonts w:ascii="Arial" w:cs="Arial" w:eastAsia="Arial" w:hAnsi="Arial"/>
          <w:sz w:val="18"/>
          <w:szCs w:val="18"/>
          <w:color w:val="auto"/>
        </w:rPr>
        <w:t>Cash provided by financing activities increased by $18.8 million to $38.0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$19.2 million for the three months ended March 31, 2023 and 2022, respectively. This increase was primarily related to an increase in borrowings, net of repayments, under our credit facilities of $22.4 million and a $1.9 million reduction in cash used to repurchase non-controlling interests in certain less than wholly-owned subsidiaries. These increases in cash provided by financing activities were partially offset by a reduction in borrowings, due to repayments under our customer receivable credit facility of $4.3 million and a $0.6 million increase in dividends paid on our common stock.</w:t>
      </w:r>
    </w:p>
    <w:p>
      <w:pPr>
        <w:spacing w:after="0" w:line="22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Historically, we have internally funded our working capital needs. Pursuant to the FirstNet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227"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Historically, a significant use of our cash has been for capital expenditures to expand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our telecommunications networks and business support systems.</w:t>
      </w:r>
    </w:p>
    <w:p>
      <w:pPr>
        <w:spacing w:after="0" w:line="211"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For the three months ended March 31, 2023 and 2022, we spent approximately $52.7 million and $34.5 million, respectively, on capital expenditures relating to our telecommunications networks and business support systems of which $2.1 million and $0.2 million, respectively, are reimbursable under various government programs. The following notes our capital expenditures, by operating segment, for these periods (in thousands):</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Capital Expenditures</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8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Arial" w:cs="Arial" w:eastAsia="Arial" w:hAnsi="Arial"/>
                <w:sz w:val="14"/>
                <w:szCs w:val="14"/>
                <w:b w:val="1"/>
                <w:bCs w:val="1"/>
                <w:color w:val="auto"/>
              </w:rPr>
              <w:t>Corporate and</w:t>
            </w:r>
          </w:p>
        </w:tc>
        <w:tc>
          <w:tcPr>
            <w:tcW w:w="36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Telecom</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Telecom</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Other (1)</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31,261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52,725</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15,170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19,095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203</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34,468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Corporate and other items refer to corporate overhead costs and consolidating adjustments.</w:t>
      </w:r>
    </w:p>
    <w:p>
      <w:pPr>
        <w:spacing w:after="0" w:line="266"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7"/>
          <w:szCs w:val="17"/>
          <w:color w:val="auto"/>
        </w:rPr>
        <w:t>We are continuing to invest in our telecommunication networks along with our operating and business support systems in many of our markets. For the year ended December 31, 2023, such investments are expected to total approximately $160 million to $170 million, net of reimbursable amounts, and will primarily relate to network expansion and upgrades which are expected to further drive subscriber and revenue growth in future periods.</w:t>
      </w:r>
    </w:p>
    <w:p>
      <w:pPr>
        <w:spacing w:after="0" w:line="212"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have historically used cash-on-hand to make payments for income taxes. Our policy is to</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accumulated earnings of foreign subsidiaries.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For the three months ended March 31, 2023, our Board of Directors declared $3.3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to our stockholders which includes a $0.21 per share dividend declared on March 14, 2023 and paid on April 7, 2023. We have declared quarterly dividends since the fourth quarter of 1998.</w:t>
      </w:r>
    </w:p>
    <w:p>
      <w:pPr>
        <w:spacing w:after="0" w:line="224"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i w:val="1"/>
          <w:iCs w:val="1"/>
          <w:color w:val="auto"/>
        </w:rPr>
        <w:t xml:space="preserve">Stock Repurchase Plan. </w:t>
      </w:r>
      <w:r>
        <w:rPr>
          <w:rFonts w:ascii="Arial" w:cs="Arial" w:eastAsia="Arial" w:hAnsi="Arial"/>
          <w:sz w:val="17"/>
          <w:szCs w:val="17"/>
          <w:color w:val="auto"/>
        </w:rPr>
        <w:t>On September 19, 2016, our Board of Directors authorized the repurchase of up to $50.0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our common stock from time to time on the open market or in privately negotiated transactions (the “2016 Repurchase Plan”). We repurchased $1.4 million and $0.9 million of our common stock under the 2016 Repurchase Plan during the three months ended March 31, 2023 and 2022, respectively. As of March 31, 2023, we had $18.0 million authorized and available for share repurchases under the 2016 Repurchase Plan.</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Cash</w:t>
      </w:r>
    </w:p>
    <w:p>
      <w:pPr>
        <w:spacing w:after="0" w:line="252"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i w:val="1"/>
          <w:iCs w:val="1"/>
          <w:color w:val="auto"/>
        </w:rPr>
        <w:t xml:space="preserve">Cash provided by operations. </w:t>
      </w:r>
      <w:r>
        <w:rPr>
          <w:rFonts w:ascii="Arial" w:cs="Arial" w:eastAsia="Arial" w:hAnsi="Arial"/>
          <w:sz w:val="18"/>
          <w:szCs w:val="18"/>
          <w:color w:val="auto"/>
        </w:rPr>
        <w:t>Cash provided by operating activities was $16.0 million for the year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2023 as compared to $11.4 million for the three months ended March 31, 2022. The increase of $4.6 million was primarily related to an increase in cash provided by operating assets and liabilities, primarily receivables of $1.9 million and certain accrued expenses of $2.9 million.</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CoBank Credit Facility</w:t>
      </w:r>
    </w:p>
    <w:p>
      <w:pPr>
        <w:spacing w:after="0" w:line="266" w:lineRule="exact"/>
        <w:rPr>
          <w:sz w:val="20"/>
          <w:szCs w:val="20"/>
          <w:color w:val="auto"/>
        </w:rPr>
      </w:pPr>
    </w:p>
    <w:p>
      <w:pPr>
        <w:ind w:left="60" w:right="359" w:firstLine="648"/>
        <w:spacing w:after="0" w:line="296" w:lineRule="auto"/>
        <w:rPr>
          <w:sz w:val="20"/>
          <w:szCs w:val="20"/>
          <w:color w:val="auto"/>
        </w:rPr>
      </w:pPr>
      <w:r>
        <w:rPr>
          <w:rFonts w:ascii="Arial" w:cs="Arial" w:eastAsia="Arial" w:hAnsi="Arial"/>
          <w:sz w:val="16"/>
          <w:szCs w:val="16"/>
          <w:color w:val="auto"/>
        </w:rPr>
        <w:t>On April 10, 2019, we entered into a credit facility, with CoBank, ACB and a syndicate of other lenders (as amended, the “2019 CoBank Credit Facility”). The 2019 CoBank Credit Facility provides for a $200 million revolving credit facility that includes (i) up to $75 million for standby or trade letters of credit and (ii) up to $10 million under a swingline sub-facility. Approximately $24.0 million of performance letters of credit have been issued and remain outstanding and undrawn as of March 31, 2023. The 2019 CoBank Credit Facility matures on April 10, 2024.</w:t>
      </w:r>
    </w:p>
    <w:p>
      <w:pPr>
        <w:spacing w:after="0" w:line="188"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Amounts borrowed under the 2019 CoBank Credit Facility bear interest at a rate equal to, at our option, either (i) the London Interbank Offered Rate (“LIBOR”) plus an applicable margin ranging between 1.25% to 2.25% or (ii) a base rate plus an applicable margin ranging from 0.25% to 1.25%. Swingline loans bear interest at the base rate plus the applicable margin for base rate loans. The base rate is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we must also pay a commitment fee ranging from 0.150% to 0.375% of the average daily unused portion of the 2019 CoBank Credit Facility over each calendar quarter.</w:t>
      </w:r>
    </w:p>
    <w:p>
      <w:pPr>
        <w:spacing w:after="0" w:line="23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On November 7, 2022, we further amended the 2019 CoBank Credit Facility to allow for the incurrence of certain indebtedness related to payment guarantees in connection with its Replace and Remove project.</w:t>
      </w:r>
    </w:p>
    <w:p>
      <w:pPr>
        <w:spacing w:after="0" w:line="211"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color w:val="auto"/>
        </w:rPr>
        <w:t>On December 28, 2022, we further amended the 2019 CoBank Credit Facility, effective November 7, 2022, to allow for certain transactions contemplated with our recently completed acquisition of Sacred Wind Enterprises, Inc.</w:t>
      </w:r>
    </w:p>
    <w:p>
      <w:pPr>
        <w:spacing w:after="0" w:line="151" w:lineRule="exact"/>
        <w:rPr>
          <w:sz w:val="20"/>
          <w:szCs w:val="20"/>
          <w:color w:val="auto"/>
        </w:rPr>
      </w:pPr>
    </w:p>
    <w:p>
      <w:pPr>
        <w:ind w:left="60" w:right="299" w:firstLine="690"/>
        <w:spacing w:after="0" w:line="290" w:lineRule="auto"/>
        <w:rPr>
          <w:sz w:val="20"/>
          <w:szCs w:val="20"/>
          <w:color w:val="auto"/>
        </w:rPr>
      </w:pPr>
      <w:r>
        <w:rPr>
          <w:rFonts w:ascii="Arial" w:cs="Arial" w:eastAsia="Arial" w:hAnsi="Arial"/>
          <w:sz w:val="16"/>
          <w:szCs w:val="16"/>
          <w:color w:val="auto"/>
        </w:rPr>
        <w:t>The 2019 CoBank Credit Facility contains customary representations, warranties and covenants, including a financial covenant that imposes a maximum ratio of indebtedness to EBITDA as well as covenants limiting additional indebtedness, liens, guaranties, mergers and consolidations, substantial asset sales, investments and loans, sale and leasebacks, transactions with affiliates and fundamental changes. Our investments in “unrestricted” subsidiaries and certain dividend payments to our stockholders are not limited unless the Total Net Leverage Ratio is equal to or greater than 1.75 to 1.0. The Total Net Leverage Ratio is measured each fiscal quarter and is required to be less than or equal to 2.75 to 1.0. In the event of a Qualifying Acquisition (as defined in the 2019 CoBank Credit Facility), the Total Net Leverage Ratio increases to 3.25 to 1.0 for the subsequent three fiscal quarters.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2019 CoBank Credit Facility also provides for the incurrence by us of incremental term loan facilities, when combined with increases to revolving loan commitments, in an aggregate amount not to exceed $200 million (the “Accordion”). Amounts borrowed under the Accordion are also subject to proforma compliance with a net leverage ratio financial covenant.</w:t>
      </w:r>
    </w:p>
    <w:p>
      <w:pPr>
        <w:spacing w:after="0" w:line="227"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As of March 31, 2023, we were in compliance with all of the financial covenants, had $122.0 million outstanding and $54.0 million of availability in connection with the 2019 CoBank Credit Facility. There were no outstanding interest rate hedge agreements under the 2019 CoBank Credit Facility as of March 31, 2023.</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 of Credit Facility</w:t>
      </w:r>
    </w:p>
    <w:p>
      <w:pPr>
        <w:spacing w:after="0" w:line="252"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On November 14, 2022, we entered into General Agreement of Indemnity to issue performance Standby Letters of Credit on behalf of us and our subsidiaries. As of March 31, 2023, $4.2 million of Standby Letters of Credit had been issued under this agreement.</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Alaska Credit Facility</w:t>
      </w:r>
    </w:p>
    <w:p>
      <w:pPr>
        <w:spacing w:after="0" w:line="266"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214"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 million to $230 million. As a part of the transaction, the Term Loan commitment was fully funded as the outstanding Revolving Credit Commitment balance was transferred.</w:t>
      </w:r>
    </w:p>
    <w:p>
      <w:pPr>
        <w:spacing w:after="0" w:line="228"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As of March 31, 2023, Alaska Communications had drawn $17.0 million on its Revolving Credit Commitment and had $58.0 million is available to draw. The Term Loan balance was $230.0 million and principal payments commence in the fourth quarter of 2023. Both facilities mature on July 22, 2026</w:t>
      </w:r>
    </w:p>
    <w:p>
      <w:pPr>
        <w:spacing w:after="0" w:line="224" w:lineRule="exact"/>
        <w:rPr>
          <w:sz w:val="20"/>
          <w:szCs w:val="20"/>
          <w:color w:val="auto"/>
        </w:rPr>
      </w:pPr>
    </w:p>
    <w:p>
      <w:pPr>
        <w:jc w:val="both"/>
        <w:ind w:left="60" w:right="399" w:firstLine="648"/>
        <w:spacing w:after="0" w:line="263" w:lineRule="auto"/>
        <w:rPr>
          <w:sz w:val="20"/>
          <w:szCs w:val="20"/>
          <w:color w:val="auto"/>
        </w:rPr>
      </w:pPr>
      <w:r>
        <w:rPr>
          <w:rFonts w:ascii="Arial" w:cs="Arial" w:eastAsia="Arial" w:hAnsi="Arial"/>
          <w:sz w:val="18"/>
          <w:szCs w:val="18"/>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211"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We capitalized $7.3 million of fees associated with the Alaska Credit Facility which are being amortized over the life of the debt and $5.0 million were unamortized as of March 31, 2023.</w:t>
      </w:r>
    </w:p>
    <w:p>
      <w:pPr>
        <w:spacing w:after="0" w:line="211" w:lineRule="exact"/>
        <w:rPr>
          <w:sz w:val="20"/>
          <w:szCs w:val="20"/>
          <w:color w:val="auto"/>
        </w:rPr>
      </w:pPr>
    </w:p>
    <w:p>
      <w:pPr>
        <w:jc w:val="both"/>
        <w:ind w:left="60" w:right="479" w:firstLine="648"/>
        <w:spacing w:after="0" w:line="263" w:lineRule="auto"/>
        <w:rPr>
          <w:sz w:val="20"/>
          <w:szCs w:val="20"/>
          <w:color w:val="auto"/>
        </w:rPr>
      </w:pPr>
      <w:r>
        <w:rPr>
          <w:rFonts w:ascii="Arial" w:cs="Arial" w:eastAsia="Arial" w:hAnsi="Arial"/>
          <w:sz w:val="18"/>
          <w:szCs w:val="18"/>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terms and conditions of the Alaska Credit Facility include the following:</w:t>
      </w:r>
    </w:p>
    <w:p>
      <w:pPr>
        <w:spacing w:after="0" w:line="252" w:lineRule="exact"/>
        <w:rPr>
          <w:sz w:val="20"/>
          <w:szCs w:val="20"/>
          <w:color w:val="auto"/>
        </w:rPr>
      </w:pPr>
    </w:p>
    <w:p>
      <w:pPr>
        <w:ind w:left="1380" w:right="219" w:hanging="331"/>
        <w:spacing w:after="0" w:line="291" w:lineRule="auto"/>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outstanding bear an interest rate of the forward-looking SOFR rate with a one-month interest period, plus the SOFR Spread Adjustment of 10 basis points, plus a margin ranging from 3.00% to</w:t>
      </w:r>
    </w:p>
    <w:p>
      <w:pPr>
        <w:ind w:left="1380" w:right="479"/>
        <w:spacing w:after="0" w:line="255" w:lineRule="auto"/>
        <w:rPr>
          <w:rFonts w:ascii="Arial" w:cs="Arial" w:eastAsia="Arial" w:hAnsi="Arial"/>
          <w:sz w:val="16"/>
          <w:szCs w:val="16"/>
          <w:color w:val="auto"/>
        </w:rPr>
      </w:pPr>
      <w:r>
        <w:rPr>
          <w:rFonts w:ascii="Arial" w:cs="Arial" w:eastAsia="Arial" w:hAnsi="Arial"/>
          <w:sz w:val="18"/>
          <w:szCs w:val="18"/>
          <w:color w:val="auto"/>
        </w:rPr>
        <w:t>4.00% based on Alaska Communications’ Consolidated Total Net Leverage Ratio (as defined in the Credit Agreement) or an alternate base rate may be selected at a margin that is 1% lower than the counterpart SOFR margin;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79" w:hanging="331"/>
        <w:spacing w:after="0" w:line="259"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Principal repayments are due quarterly commencing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86" w:lineRule="exact"/>
        <w:rPr>
          <w:rFonts w:ascii="Arial" w:cs="Arial" w:eastAsia="Arial" w:hAnsi="Arial"/>
          <w:sz w:val="18"/>
          <w:szCs w:val="18"/>
          <w:color w:val="auto"/>
        </w:rPr>
      </w:pPr>
    </w:p>
    <w:p>
      <w:pPr>
        <w:ind w:left="1380" w:right="79" w:hanging="331"/>
        <w:spacing w:after="0" w:line="259"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86" w:lineRule="exact"/>
        <w:rPr>
          <w:rFonts w:ascii="Arial" w:cs="Arial" w:eastAsia="Arial" w:hAnsi="Arial"/>
          <w:sz w:val="18"/>
          <w:szCs w:val="18"/>
          <w:color w:val="auto"/>
        </w:rPr>
      </w:pPr>
    </w:p>
    <w:p>
      <w:pPr>
        <w:ind w:left="1380" w:right="619" w:hanging="331"/>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Alaska Credit Facility is non-recourse to us and is secured by substantially all of the personal property and certain material real property owned by Alaska Communications.</w:t>
      </w:r>
    </w:p>
    <w:p>
      <w:pPr>
        <w:spacing w:after="0" w:line="211"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Alaska Communication’s interest rate swap, which had been designated as a cash flow hedge with an interest rate of 1.6735%, expired on June 30, 2022. As of March 31, 2023, there are no outstanding interest rate hedge agreements associated with the Alaska Credit Facility.</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Alaska Term Facility</w:t>
      </w:r>
    </w:p>
    <w:p>
      <w:pPr>
        <w:spacing w:after="0" w:line="252"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On June 15, 2022, Alaska Communications Systems Holdings, the parent company of Alaska Communications, entered a secured lending arrangement with Bristol Bay Industrial, LLC. (the “Alaska Term Facility”).</w:t>
      </w:r>
    </w:p>
    <w:p>
      <w:pPr>
        <w:spacing w:after="0" w:line="16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March 31, 2023. Scheduled quarterly payments of principal commenced on March 31, 2023. The Alaska Term Facility matures on June 30, 2024.</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Alaska Term Facility contains events of default customary for facilities of this type.</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March 31, 2023, we had $7.1 million outstanding and no available borrowings under the Alaska Term</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Facility.</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FirstNet Receivables Credit Facility</w:t>
      </w:r>
    </w:p>
    <w:p>
      <w:pPr>
        <w:spacing w:after="0" w:line="266" w:lineRule="exact"/>
        <w:rPr>
          <w:sz w:val="20"/>
          <w:szCs w:val="20"/>
          <w:color w:val="auto"/>
        </w:rPr>
      </w:pPr>
    </w:p>
    <w:p>
      <w:pPr>
        <w:ind w:left="60" w:right="779" w:firstLine="648"/>
        <w:spacing w:after="0" w:line="342" w:lineRule="auto"/>
        <w:rPr>
          <w:sz w:val="20"/>
          <w:szCs w:val="20"/>
          <w:color w:val="auto"/>
        </w:rPr>
      </w:pPr>
      <w:r>
        <w:rPr>
          <w:rFonts w:ascii="Arial" w:cs="Arial" w:eastAsia="Arial" w:hAnsi="Arial"/>
          <w:sz w:val="16"/>
          <w:szCs w:val="16"/>
          <w:color w:val="auto"/>
        </w:rPr>
        <w:t>On March 26, 2020, Commnet Finance, a wholly owned subsidiary of Commnet Wireless, entered into a receivables credit facility with us, Commnet Wireless, and CoBank, ACB (the “Receivables Credit Facility”).</w:t>
      </w:r>
    </w:p>
    <w:p>
      <w:pPr>
        <w:spacing w:after="0" w:line="151"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2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On December 23, 2022, CoBank amended the Receivables Credit Facility and extended the delayed draw period to December 31, 2023.</w:t>
      </w:r>
    </w:p>
    <w:p>
      <w:pPr>
        <w:spacing w:after="0" w:line="211"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maturity date for each loan will be set by CoBank and will match the weighted average maturity of the certain receivables financed.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on the loans accrues at a fixed annual interest rate to be quoted by CoBank.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11"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As of March 31, 2023, we had $48.9 million outstanding, of which $6.8 million was current, and $18.0 million of availability under the Receivables Credit Facility. We capitalized $0.8 million in fees associated with the Receivables Credit Facility which are being amortized over the life of the debt and $0.6 million were unamortized as of March 31, 2023.</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GTT Credit Facilities</w:t>
      </w:r>
    </w:p>
    <w:p>
      <w:pPr>
        <w:spacing w:after="0" w:line="25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On September 5, 2022, GTT received approval from Republic Bank (Guyana) Limited for a $2.9 million term facility and a $5.7 million overdraft facility (the “GTT Credit Facilities”) subject to the approval from the Minister of Finance at the Bank of Guyana. Such approval from the Minister of Finance was received during the quarter ended March 31, 2023.</w:t>
      </w:r>
    </w:p>
    <w:p>
      <w:pPr>
        <w:spacing w:after="0" w:line="227"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GTT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October 11, 2023.</w:t>
      </w:r>
    </w:p>
    <w:p>
      <w:pPr>
        <w:spacing w:after="0" w:line="227"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As of March 31, 2023, $3.6 million was outstanding under the overdraft facility and there were no outstanding amounts under the term facility.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Sacred Wind Term Debt</w:t>
      </w:r>
    </w:p>
    <w:p>
      <w:pPr>
        <w:spacing w:after="0" w:line="26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In connection with the Sacred Wind acquisition completed on November 7, 2022, we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228"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211"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Enterprises was not in compliance with as of December 31, 2021. Sacred Wind Enterprises submitted a corrective action plan to comply with the financial covenant as of December 31, 2025. On May 5, 2022, Sacred Wind Enterprise’s corrective action plan was accepted by the RUS. As of March 31, 2023, we were in compliance with that corrective action plan.</w:t>
      </w:r>
    </w:p>
    <w:p>
      <w:pPr>
        <w:spacing w:after="0" w:line="233"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As of March 31, 2023, $30.6 million was outstanding under the Sacred Wind Term Debt. Of that amount, $3.2 million was current and $27.4 million was long term.</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Viya Debt</w:t>
      </w:r>
    </w:p>
    <w:p>
      <w:pPr>
        <w:spacing w:after="0" w:line="252"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at a fixed rate of 4.0% per annum and principal repayment is not required until maturity on July 1,</w:t>
      </w:r>
    </w:p>
    <w:p>
      <w:pPr>
        <w:spacing w:after="0" w:line="23"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2026. Prepayment of the Viya Debt may be subject to a fee under certain circumstances. The debt is secured by certain assets of our Viya subsidiaries and is guaranteed by us.</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paid a fee of $0.9 million in 2016 to lock the interest rate at 4% per annum over the term of the Viya Debt.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fee was recorded as a reduction to the Viya Debt carrying amount and is being amortized over the life of the loan.</w:t>
      </w:r>
    </w:p>
    <w:p>
      <w:pPr>
        <w:spacing w:after="0" w:line="263"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 of March 31, 2023, $60.0 million of the Viya Debt remained outstanding and $0.3 million of the rate lock fee was unamortized.</w:t>
      </w:r>
    </w:p>
    <w:p>
      <w:pPr>
        <w:spacing w:after="0" w:line="197"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On May 5, 2022, RTFC agreed to amend the Net Leverage Ratio to 7.0 to 1.0 through the maturity date of July 1, 2026. The Ratio is tested annually and we were in compliance with the Net Leverage Ratio as of December 31, 2022.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One Communications Debt</w:t>
      </w:r>
    </w:p>
    <w:p>
      <w:pPr>
        <w:spacing w:after="0" w:line="266" w:lineRule="exact"/>
        <w:rPr>
          <w:sz w:val="20"/>
          <w:szCs w:val="20"/>
          <w:color w:val="auto"/>
        </w:rPr>
      </w:pPr>
    </w:p>
    <w:p>
      <w:pPr>
        <w:ind w:left="60" w:right="519" w:firstLine="648"/>
        <w:spacing w:after="0" w:line="263" w:lineRule="auto"/>
        <w:rPr>
          <w:sz w:val="20"/>
          <w:szCs w:val="20"/>
          <w:color w:val="auto"/>
        </w:rPr>
      </w:pPr>
      <w:r>
        <w:rPr>
          <w:rFonts w:ascii="Arial" w:cs="Arial" w:eastAsia="Arial" w:hAnsi="Arial"/>
          <w:sz w:val="18"/>
          <w:szCs w:val="18"/>
          <w:color w:val="auto"/>
        </w:rPr>
        <w:t>We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266"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demand for our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regulatory developments, economic conditions in the markets where we operate our businesses and industry trends within the telecommunications industry.</w:t>
      </w:r>
    </w:p>
    <w:p>
      <w:pPr>
        <w:spacing w:after="0" w:line="224" w:lineRule="exact"/>
        <w:rPr>
          <w:sz w:val="20"/>
          <w:szCs w:val="20"/>
          <w:color w:val="auto"/>
        </w:rPr>
      </w:pPr>
    </w:p>
    <w:p>
      <w:pPr>
        <w:ind w:left="60" w:right="739" w:firstLine="648"/>
        <w:spacing w:after="0" w:line="259" w:lineRule="auto"/>
        <w:rPr>
          <w:sz w:val="20"/>
          <w:szCs w:val="20"/>
          <w:color w:val="auto"/>
        </w:rPr>
      </w:pPr>
      <w:r>
        <w:rPr>
          <w:rFonts w:ascii="Arial" w:cs="Arial" w:eastAsia="Arial" w:hAnsi="Arial"/>
          <w:sz w:val="18"/>
          <w:szCs w:val="18"/>
          <w:i w:val="1"/>
          <w:iCs w:val="1"/>
          <w:color w:val="auto"/>
        </w:rPr>
        <w:t xml:space="preserve">Restrictions under Credit Facility. </w:t>
      </w:r>
      <w:r>
        <w:rPr>
          <w:rFonts w:ascii="Arial" w:cs="Arial" w:eastAsia="Arial" w:hAnsi="Arial"/>
          <w:sz w:val="18"/>
          <w:szCs w:val="18"/>
          <w:color w:val="auto"/>
        </w:rPr>
        <w:t>Our 2019 CoBank Credit Facility contains customary representations,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and covenants, including covenants limiting additional indebtedness, liens, guaranties, mergers and consolidations, substantial asset sales, investments and loans, sale and leasebacks, transactions with affiliates and fundamental changes.</w:t>
      </w:r>
    </w:p>
    <w:p>
      <w:pPr>
        <w:spacing w:after="0" w:line="21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i w:val="1"/>
          <w:iCs w:val="1"/>
          <w:color w:val="auto"/>
        </w:rPr>
        <w:t xml:space="preserve">Maturity of Credit Facility. </w:t>
      </w:r>
      <w:r>
        <w:rPr>
          <w:rFonts w:ascii="Arial" w:cs="Arial" w:eastAsia="Arial" w:hAnsi="Arial"/>
          <w:sz w:val="17"/>
          <w:szCs w:val="17"/>
          <w:color w:val="auto"/>
        </w:rPr>
        <w:t>Our 2019 CoBank Credit Facility matures on April 10, 2024, which is within twelve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the date these consolidated financial statements are available to be issued. At March 31, 2023, we owed $122.0 million for amounts drawn under the credit facility. For the year ended December 31, 2022, we generated positive cash flows from operating activities of $102.9 million. At March 31, 2023, we had $56.0 million of unrestricted cash and cash equivalents and $5.0 million of restricted cash. If we are unable to refinance our existing debt or obtain additional financing on or before the maturity of the 2019 CoBank Credit Facility, this could impact our ability to meet our obligations coming due within one year after issuance of these consolidated financial statements. We are actively pursuing debt financing options which would extend the maturity date of the 2019 CoBank Credit Facility and may increase its capacity, and we expect to complete this financing process during 2023. In the event that we are unable to refinance or replace our 2019 CoBank Credit Facility, we have additional actions at our discretion, including reducing capital expenditures not required to sustain current network operations, reducing operating cash flows such as marketing and general and administrative expenses, and pursuing equity financing through issuance of equity securities in public markets. However, we do not currently believe these additional actions will be required to be implemented due to our debt financing plans.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 light of the plans discussed above, we believe it is probable we will meet our obligations as they come due for a minimum of twelve months from the issuance of date of these consolidated financial statements. .However, if we are unable to refinance its existing debt, obtain additional financing, or implement the above plans, as needed, there could be an adverse impact on our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i w:val="1"/>
          <w:iCs w:val="1"/>
          <w:color w:val="auto"/>
        </w:rPr>
        <w:t xml:space="preserve">Capital markets. </w:t>
      </w:r>
      <w:r>
        <w:rPr>
          <w:rFonts w:ascii="Arial" w:cs="Arial" w:eastAsia="Arial" w:hAnsi="Arial"/>
          <w:sz w:val="17"/>
          <w:szCs w:val="17"/>
          <w:color w:val="auto"/>
        </w:rPr>
        <w:t>Our ability to raise funds in the capital markets depends on, among other things,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conditions, the conditions of the telecommunications industry, our financial performance, the state of the capital markets and our compliance with SEC requirements for the offering of securities. We may file a new “universal” shelf registration statement with the SEC, to register potential future offerings of our securities.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66"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each of the three months ended March 31, 2023 and 2022, we recorded $0.2 million in losses on foreign currency transactions. We will continue to assess the impact of our exposure to the Guyana Dollar.</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w:t>
      </w:r>
    </w:p>
    <w:p>
      <w:pPr>
        <w:spacing w:after="0" w:line="266"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 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139" w:firstLine="551"/>
        <w:spacing w:after="0" w:line="263" w:lineRule="auto"/>
        <w:rPr>
          <w:sz w:val="20"/>
          <w:szCs w:val="20"/>
          <w:color w:val="auto"/>
        </w:rPr>
      </w:pPr>
      <w:r>
        <w:rPr>
          <w:rFonts w:ascii="Arial" w:cs="Arial" w:eastAsia="Arial" w:hAnsi="Arial"/>
          <w:sz w:val="18"/>
          <w:szCs w:val="18"/>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2022.</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i w:val="1"/>
          <w:iCs w:val="1"/>
          <w:color w:val="auto"/>
        </w:rPr>
        <w:t xml:space="preserve">Translation and Remeasurement. </w:t>
      </w:r>
      <w:r>
        <w:rPr>
          <w:rFonts w:ascii="Arial" w:cs="Arial" w:eastAsia="Arial" w:hAnsi="Arial"/>
          <w:sz w:val="16"/>
          <w:szCs w:val="16"/>
          <w:color w:val="auto"/>
        </w:rPr>
        <w:t>We translate the assets and liabilities of our foreign subsidiaries from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Employee Benefit Plans. </w:t>
      </w:r>
      <w:r>
        <w:rPr>
          <w:rFonts w:ascii="Arial" w:cs="Arial" w:eastAsia="Arial" w:hAnsi="Arial"/>
          <w:sz w:val="18"/>
          <w:szCs w:val="18"/>
          <w:color w:val="auto"/>
        </w:rPr>
        <w:t>We sponsor pension and other postretirement benefit plans for employees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Net periodic 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228"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As of March 31, 2023, we had $372.6 million of variable rate debt outstanding,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fluctuations in interest rates. Our interest expense may be affected by changes in interest rates. We believe that a 100-basis-point change in the interest rates on our variable rate debt would result in a $3.7 million change in our annual interest expense. We may have additional exposure to fluctuations in interest rates if we again borrow amounts under our revolver loans within our credit facilities.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2023.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Chief Executive Officer and Chief Financial Officer concluded that, as of such date, our disclosure controls and procedures were effective at the reasonable assurance level.</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0"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2023 that have materially affected, or are reasonably likely to materially affect, our internal control over financial reporting.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 14 to the Unaudited Condensed Consolidated Financial Statements included in this Report.</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under Part I, Item 1A “Risk Factors” of our 2022 Annual Report on Form 10-K. The risks described herein and in our 2022 Annual Report on Form 10-K, as amended, are not the only risks facing our Company. Additional risks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uncertainties not currently known to us or that we currently deem to be immaterial also may materially adversely affect our business, financial condition and/or operating results.</w:t>
      </w:r>
    </w:p>
    <w:p>
      <w:pPr>
        <w:spacing w:after="0" w:line="21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i w:val="1"/>
          <w:iCs w:val="1"/>
          <w:color w:val="auto"/>
        </w:rPr>
        <w:t>We may not be able to refinance our existing credit facility on terms and conditions interest rates and credit markets could impact our ability to service and expand our financing.</w:t>
      </w:r>
    </w:p>
    <w:p>
      <w:pPr>
        <w:spacing w:after="0" w:line="211"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We require a significant amount of capital to expand our networks and grow our business that we fund partially from cash from operations and in part from borrowings under our credit facilities. On April 10, 2019, we entered into a credit facility, with CoBank, ACB and a syndicate of other lenders (as amended, the “2019 CoBank Credit Facility”). At March 31, 2023, we owed $122.0 million for amounts drawn under the 2019 CoBank Credit Facility. For the year ended December 31, 2022, we generated positive cash flows from operating activities of $102.9 million. At March 31, 2023, we had $56.0 million of unrestricted cash and cash equivalents and $5.0 million of restricted cash. The 2019 CoBank Credit Facility matures on April 10, 2024 at which point the full amount outstanding is due and payable. Management is actively pursuing debt financing options which would extend the maturity date of the 2019 CoBank Credit Facility and may increase its capacity, however, higher interest rates and less availability in the debt markets could increase our costs of borrowing. In the event we are unable to refinance or replace the 2019 CoBank Credit Facility on terms and conditions favorable to us or at all, we may need to take actions impacting our operations such as reducing capital expenditures not required to sustain current network operations, reducing operating cash outflows such as marketing and general and administrative expenses. If we are unable to refinance our existing debt, obtain additional financing through the debt or equity markets, as needed, there may be an adverse impact on our operations or financial results.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Purchases of Equity Securities by the Issuer</w:t>
      </w:r>
    </w:p>
    <w:p>
      <w:pPr>
        <w:spacing w:after="0" w:line="266"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On September 19, 2016, our Board of Directors authorized the repurchase of up to $50.0 million of our common stock from time to time on the open market or in privately negotiated transactions (the “2016 Repurchase Plan”). We have $18.0 million available to be repurchased under that plan as of March 31, 2023.</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reflects the repurchases by us of our common stock during the quarter ended March 31, 2023:</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 (or</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(b)</w:t>
            </w:r>
          </w:p>
        </w:tc>
        <w:tc>
          <w:tcPr>
            <w:tcW w:w="13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Total Number</w:t>
            </w: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of Shares</w:t>
            </w: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Paid per</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Announced Plans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201"/>
        </w:trPr>
        <w:tc>
          <w:tcPr>
            <w:tcW w:w="4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or Programs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2023 — January 31, 2023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19,451,514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February 1, 2023 — February 28, 2023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19,451,514</w:t>
            </w:r>
          </w:p>
        </w:tc>
        <w:tc>
          <w:tcPr>
            <w:tcW w:w="0" w:type="dxa"/>
            <w:vAlign w:val="bottom"/>
          </w:tcPr>
          <w:p>
            <w:pPr>
              <w:spacing w:after="0"/>
              <w:rPr>
                <w:sz w:val="1"/>
                <w:szCs w:val="1"/>
                <w:color w:val="auto"/>
              </w:rPr>
            </w:pPr>
          </w:p>
        </w:tc>
      </w:tr>
      <w:tr>
        <w:trPr>
          <w:trHeight w:val="432"/>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2023 — March 31, 2023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71,563 (1)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39.69</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35,656</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18,044,049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20" w:right="119" w:hanging="319"/>
        <w:spacing w:after="0" w:line="296" w:lineRule="auto"/>
        <w:tabs>
          <w:tab w:leader="none" w:pos="7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35,907 shares purchased on March 9, 2023, March 11, 2023, March 13, 2023 and March 25, 2023, from our executive officers and other employees who tendered these shares to us to satisfy their tax withholding obligations incurred in connection with the vesting of restricted stock awards at such date. These shares were not purchased under the 2016 Repurchase Plan discussed above. The price paid per share was the closing price per share of our common stock on the Nasdaq Stock Market on the date those shares were purchased.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Verizon Carrier Managed Services Agreement</w:t>
      </w:r>
    </w:p>
    <w:p>
      <w:pPr>
        <w:spacing w:after="0" w:line="25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May 10, 2023, Commnet Wireless, LLC (“Commnet”), a subsidiary of ATN International, Inc. (the “Company”) entered into a Carrier Managed Services Master Agreement (the “Agreement”) with Cellco Partnership d/b/a Verizon Wireless (“Verizon”), pursuant to which Commnet will provide a variety of network, infrastructure and technical services that will help deliver next generation wireless services to Verizon’s subscribers in Commnet’s current operating area in the southwestern United States.</w:t>
      </w:r>
    </w:p>
    <w:p>
      <w:pPr>
        <w:spacing w:after="0" w:line="22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Pursuant to the Agreement and subject to certain limitations contained therein, Commnet will upgrade its wireless service in specific areas and provide services to Verizon for an initial seven year term (the “Commitment Period”). The Commitment Period will automatically renew for up to two additional three year periods, unless Verizon provides no less than twelve months’ notice on non-renewal prior to the expiration of the then-current term.</w:t>
      </w:r>
    </w:p>
    <w:p>
      <w:pPr>
        <w:spacing w:after="0" w:line="21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connection with the Agreement, Commnet has also agreed to provide Verizon with high capacity transport in its coverage area. Verizon will continue to use Commnet’s wireless communications network for roaming services at a fixed rate per site during the build period until such time as upgrades to the network to meet certain performance service level agreements for both RAN operations and transport are met.</w:t>
      </w:r>
    </w:p>
    <w:p>
      <w:pPr>
        <w:spacing w:after="0" w:line="21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Verizon will pay Commnet an aggregate of an estimated approximately $200 million in total amounts for both non-recurring payments for upgrades and construction to its current RAN and transport network and in monthly recurring charges over the initial Commitment Period.</w:t>
      </w:r>
    </w:p>
    <w:p>
      <w:pPr>
        <w:spacing w:after="0" w:line="2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Agreement may be terminated at any time upon the mutual written consent of Commnet and Verizon. In addition, Verizon may terminate the Agreement upon the occurrence of certain events, including failure to meet certain milestones or completion dates with respect to network coverage, failure to meet certain SLAs with respect to the ongoing services, the declaration of a bankruptcy event by Commnet and breach of any other material terms of the Agreement.</w:t>
      </w:r>
    </w:p>
    <w:p>
      <w:pPr>
        <w:spacing w:after="0" w:line="19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foregoing summary of the Agreement is not intended to be complete and is qualified in its entirety by reference to the full text of the Agreement. The Company intends to file a redacted copy of the Agreement as an Exhibit to its Quarterly Report on Form 10-Q for the quarter ending June 30,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4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420" w:type="dxa"/>
            <w:vAlign w:val="bottom"/>
          </w:tcPr>
          <w:p>
            <w:pPr>
              <w:jc w:val="center"/>
              <w:ind w:right="470"/>
              <w:spacing w:after="0"/>
              <w:rPr>
                <w:sz w:val="20"/>
                <w:szCs w:val="20"/>
                <w:color w:val="auto"/>
              </w:rPr>
            </w:pPr>
            <w:r>
              <w:rPr>
                <w:rFonts w:ascii="Arial" w:cs="Arial" w:eastAsia="Arial" w:hAnsi="Arial"/>
                <w:sz w:val="18"/>
                <w:szCs w:val="18"/>
                <w:color w:val="auto"/>
                <w:w w:val="93"/>
              </w:rPr>
              <w:t>3.1*</w:t>
            </w:r>
          </w:p>
        </w:tc>
        <w:tc>
          <w:tcPr>
            <w:tcW w:w="7280" w:type="dxa"/>
            <w:vAlign w:val="bottom"/>
            <w:tcBorders>
              <w:bottom w:val="single" w:sz="8" w:color="0000EE"/>
            </w:tcBorders>
            <w:gridSpan w:val="7"/>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Amended and Restated Bylaws of ATN International, Inc. (as amended March 8, 2023), incorporated</w:t>
              </w:r>
            </w:hyperlink>
          </w:p>
        </w:tc>
        <w:tc>
          <w:tcPr>
            <w:tcW w:w="4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72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by reference to Exhibit 3.1 to the Company’s Current Report on Form 8-K (file No. 001-12593) filed</w:t>
              </w:r>
            </w:hyperlink>
          </w:p>
        </w:tc>
        <w:tc>
          <w:tcPr>
            <w:tcW w:w="60" w:type="dxa"/>
            <w:vAlign w:val="bottom"/>
            <w:gridSpan w:val="2"/>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7320" w:type="dxa"/>
            <w:vAlign w:val="bottom"/>
            <w:gridSpan w:val="8"/>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on March 14, 2023.</w:t>
              </w:r>
            </w:hyperlink>
          </w:p>
        </w:tc>
      </w:tr>
      <w:tr>
        <w:trPr>
          <w:trHeight w:val="20"/>
        </w:trPr>
        <w:tc>
          <w:tcPr>
            <w:tcW w:w="1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420" w:type="dxa"/>
            <w:vAlign w:val="bottom"/>
          </w:tcPr>
          <w:p>
            <w:pPr>
              <w:jc w:val="center"/>
              <w:ind w:right="470"/>
              <w:spacing w:after="0" w:line="196" w:lineRule="exact"/>
              <w:rPr>
                <w:sz w:val="20"/>
                <w:szCs w:val="20"/>
                <w:color w:val="auto"/>
              </w:rPr>
            </w:pPr>
            <w:r>
              <w:rPr>
                <w:rFonts w:ascii="Arial" w:cs="Arial" w:eastAsia="Arial" w:hAnsi="Arial"/>
                <w:sz w:val="18"/>
                <w:szCs w:val="18"/>
                <w:color w:val="auto"/>
                <w:w w:val="99"/>
              </w:rPr>
              <w:t>31.1*</w:t>
            </w:r>
          </w:p>
        </w:tc>
        <w:tc>
          <w:tcPr>
            <w:tcW w:w="73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Certification of Chief Executive Officer pursuant to Rule 13a-14(a) of the Securities Exchange Act of</w:t>
            </w:r>
          </w:p>
        </w:tc>
      </w:tr>
      <w:tr>
        <w:trPr>
          <w:trHeight w:val="196"/>
        </w:trPr>
        <w:tc>
          <w:tcPr>
            <w:tcW w:w="1420" w:type="dxa"/>
            <w:vAlign w:val="bottom"/>
          </w:tcPr>
          <w:p>
            <w:pPr>
              <w:spacing w:after="0"/>
              <w:rPr>
                <w:sz w:val="17"/>
                <w:szCs w:val="17"/>
                <w:color w:val="auto"/>
              </w:rPr>
            </w:pPr>
          </w:p>
        </w:tc>
        <w:tc>
          <w:tcPr>
            <w:tcW w:w="55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1934, as adopted pursuant to Section 302 of the Sarbanes-Oxley Act of 2002.</w:t>
            </w:r>
          </w:p>
        </w:tc>
        <w:tc>
          <w:tcPr>
            <w:tcW w:w="1760" w:type="dxa"/>
            <w:vAlign w:val="bottom"/>
            <w:gridSpan w:val="5"/>
          </w:tcPr>
          <w:p>
            <w:pPr>
              <w:spacing w:after="0"/>
              <w:rPr>
                <w:sz w:val="17"/>
                <w:szCs w:val="17"/>
                <w:color w:val="auto"/>
              </w:rPr>
            </w:pPr>
          </w:p>
        </w:tc>
      </w:tr>
      <w:tr>
        <w:trPr>
          <w:trHeight w:val="196"/>
        </w:trPr>
        <w:tc>
          <w:tcPr>
            <w:tcW w:w="1420" w:type="dxa"/>
            <w:vAlign w:val="bottom"/>
          </w:tcPr>
          <w:p>
            <w:pPr>
              <w:jc w:val="center"/>
              <w:ind w:right="470"/>
              <w:spacing w:after="0" w:line="196" w:lineRule="exact"/>
              <w:rPr>
                <w:sz w:val="20"/>
                <w:szCs w:val="20"/>
                <w:color w:val="auto"/>
              </w:rPr>
            </w:pPr>
            <w:r>
              <w:rPr>
                <w:rFonts w:ascii="Arial" w:cs="Arial" w:eastAsia="Arial" w:hAnsi="Arial"/>
                <w:sz w:val="18"/>
                <w:szCs w:val="18"/>
                <w:color w:val="auto"/>
                <w:w w:val="99"/>
              </w:rPr>
              <w:t>31.2*</w:t>
            </w:r>
          </w:p>
        </w:tc>
        <w:tc>
          <w:tcPr>
            <w:tcW w:w="7320" w:type="dxa"/>
            <w:vAlign w:val="bottom"/>
            <w:gridSpan w:val="8"/>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Rule 13a-14(a) of the Securities Exchange Act of</w:t>
            </w:r>
          </w:p>
        </w:tc>
      </w:tr>
      <w:tr>
        <w:trPr>
          <w:trHeight w:val="196"/>
        </w:trPr>
        <w:tc>
          <w:tcPr>
            <w:tcW w:w="142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1934, as adopted pursuant to Section 302 of the Sarbanes-Oxley Act of 2002.</w:t>
            </w:r>
          </w:p>
        </w:tc>
        <w:tc>
          <w:tcPr>
            <w:tcW w:w="1700" w:type="dxa"/>
            <w:vAlign w:val="bottom"/>
            <w:tcBorders>
              <w:top w:val="single" w:sz="8" w:color="0000EE"/>
            </w:tcBorders>
            <w:gridSpan w:val="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72"/>
        </w:trPr>
        <w:tc>
          <w:tcPr>
            <w:tcW w:w="1420" w:type="dxa"/>
            <w:vAlign w:val="bottom"/>
          </w:tcPr>
          <w:p>
            <w:pPr>
              <w:jc w:val="center"/>
              <w:ind w:right="470"/>
              <w:spacing w:after="0"/>
              <w:rPr>
                <w:sz w:val="20"/>
                <w:szCs w:val="20"/>
                <w:color w:val="auto"/>
              </w:rPr>
            </w:pPr>
            <w:r>
              <w:rPr>
                <w:rFonts w:ascii="Arial" w:cs="Arial" w:eastAsia="Arial" w:hAnsi="Arial"/>
                <w:sz w:val="18"/>
                <w:szCs w:val="18"/>
                <w:color w:val="auto"/>
              </w:rPr>
              <w:t>32.1**</w:t>
            </w:r>
          </w:p>
        </w:tc>
        <w:tc>
          <w:tcPr>
            <w:tcW w:w="70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Chief Executive Officer pursuant to 18 USC Section 1350, as adopted pursuant to</w:t>
            </w:r>
          </w:p>
        </w:tc>
        <w:tc>
          <w:tcPr>
            <w:tcW w:w="280" w:type="dxa"/>
            <w:vAlign w:val="bottom"/>
            <w:gridSpan w:val="3"/>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3860" w:type="dxa"/>
            <w:vAlign w:val="bottom"/>
            <w:gridSpan w:val="6"/>
          </w:tcPr>
          <w:p>
            <w:pPr>
              <w:spacing w:after="0"/>
              <w:rPr>
                <w:sz w:val="17"/>
                <w:szCs w:val="17"/>
                <w:color w:val="auto"/>
              </w:rPr>
            </w:pPr>
          </w:p>
        </w:tc>
      </w:tr>
      <w:tr>
        <w:trPr>
          <w:trHeight w:val="412"/>
        </w:trPr>
        <w:tc>
          <w:tcPr>
            <w:tcW w:w="1420" w:type="dxa"/>
            <w:vAlign w:val="bottom"/>
          </w:tcPr>
          <w:p>
            <w:pPr>
              <w:jc w:val="center"/>
              <w:ind w:right="470"/>
              <w:spacing w:after="0"/>
              <w:rPr>
                <w:sz w:val="20"/>
                <w:szCs w:val="20"/>
                <w:color w:val="auto"/>
              </w:rPr>
            </w:pPr>
            <w:r>
              <w:rPr>
                <w:rFonts w:ascii="Arial" w:cs="Arial" w:eastAsia="Arial" w:hAnsi="Arial"/>
                <w:sz w:val="18"/>
                <w:szCs w:val="18"/>
                <w:color w:val="auto"/>
              </w:rPr>
              <w:t>32.2**</w:t>
            </w:r>
          </w:p>
        </w:tc>
        <w:tc>
          <w:tcPr>
            <w:tcW w:w="7320" w:type="dxa"/>
            <w:vAlign w:val="bottom"/>
            <w:gridSpan w:val="8"/>
          </w:tcPr>
          <w:p>
            <w:pPr>
              <w:spacing w:after="0"/>
              <w:rPr>
                <w:sz w:val="20"/>
                <w:szCs w:val="20"/>
                <w:color w:val="auto"/>
              </w:rPr>
            </w:pPr>
            <w:r>
              <w:rPr>
                <w:rFonts w:ascii="Arial" w:cs="Arial" w:eastAsia="Arial" w:hAnsi="Arial"/>
                <w:sz w:val="18"/>
                <w:szCs w:val="18"/>
                <w:color w:val="0000EE"/>
                <w:w w:val="95"/>
              </w:rPr>
              <w:t>Certification of Chief Financial Officer pursuant to 18 USC Section 1350, as adopted pursuant to</w:t>
            </w:r>
          </w:p>
        </w:tc>
      </w:tr>
      <w:tr>
        <w:trPr>
          <w:trHeight w:val="196"/>
        </w:trPr>
        <w:tc>
          <w:tcPr>
            <w:tcW w:w="14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3520" w:type="dxa"/>
            <w:vAlign w:val="bottom"/>
            <w:tcBorders>
              <w:top w:val="single" w:sz="8" w:color="0000EE"/>
            </w:tcBorders>
            <w:gridSpan w:val="2"/>
          </w:tcPr>
          <w:p>
            <w:pPr>
              <w:spacing w:after="0"/>
              <w:rPr>
                <w:sz w:val="17"/>
                <w:szCs w:val="17"/>
                <w:color w:val="auto"/>
              </w:rPr>
            </w:pPr>
          </w:p>
        </w:tc>
        <w:tc>
          <w:tcPr>
            <w:tcW w:w="340" w:type="dxa"/>
            <w:vAlign w:val="bottom"/>
            <w:gridSpan w:val="4"/>
          </w:tcPr>
          <w:p>
            <w:pPr>
              <w:spacing w:after="0"/>
              <w:rPr>
                <w:sz w:val="17"/>
                <w:szCs w:val="17"/>
                <w:color w:val="auto"/>
              </w:rPr>
            </w:pPr>
          </w:p>
        </w:tc>
      </w:tr>
      <w:tr>
        <w:trPr>
          <w:trHeight w:val="438"/>
        </w:trPr>
        <w:tc>
          <w:tcPr>
            <w:tcW w:w="1420" w:type="dxa"/>
            <w:vAlign w:val="bottom"/>
          </w:tcPr>
          <w:p>
            <w:pPr>
              <w:jc w:val="center"/>
              <w:ind w:right="470"/>
              <w:spacing w:after="0"/>
              <w:rPr>
                <w:sz w:val="20"/>
                <w:szCs w:val="20"/>
                <w:color w:val="auto"/>
              </w:rPr>
            </w:pPr>
            <w:r>
              <w:rPr>
                <w:rFonts w:ascii="Arial" w:cs="Arial" w:eastAsia="Arial" w:hAnsi="Arial"/>
                <w:sz w:val="18"/>
                <w:szCs w:val="18"/>
                <w:color w:val="auto"/>
                <w:w w:val="95"/>
              </w:rPr>
              <w:t>101.INS</w:t>
            </w:r>
          </w:p>
        </w:tc>
        <w:tc>
          <w:tcPr>
            <w:tcW w:w="7320" w:type="dxa"/>
            <w:vAlign w:val="bottom"/>
            <w:gridSpan w:val="8"/>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w:t>
            </w:r>
          </w:p>
        </w:tc>
      </w:tr>
      <w:tr>
        <w:trPr>
          <w:trHeight w:val="230"/>
        </w:trPr>
        <w:tc>
          <w:tcPr>
            <w:tcW w:w="1420" w:type="dxa"/>
            <w:vAlign w:val="bottom"/>
          </w:tcPr>
          <w:p>
            <w:pPr>
              <w:spacing w:after="0"/>
              <w:rPr>
                <w:sz w:val="20"/>
                <w:szCs w:val="20"/>
                <w:color w:val="auto"/>
              </w:rPr>
            </w:pPr>
          </w:p>
        </w:tc>
        <w:tc>
          <w:tcPr>
            <w:tcW w:w="7320" w:type="dxa"/>
            <w:vAlign w:val="bottom"/>
            <w:gridSpan w:val="8"/>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392"/>
        </w:trPr>
        <w:tc>
          <w:tcPr>
            <w:tcW w:w="1420" w:type="dxa"/>
            <w:vAlign w:val="bottom"/>
          </w:tcPr>
          <w:p>
            <w:pPr>
              <w:jc w:val="center"/>
              <w:ind w:right="470"/>
              <w:spacing w:after="0"/>
              <w:rPr>
                <w:sz w:val="20"/>
                <w:szCs w:val="20"/>
                <w:color w:val="auto"/>
              </w:rPr>
            </w:pPr>
            <w:r>
              <w:rPr>
                <w:rFonts w:ascii="Arial" w:cs="Arial" w:eastAsia="Arial" w:hAnsi="Arial"/>
                <w:sz w:val="18"/>
                <w:szCs w:val="18"/>
                <w:color w:val="auto"/>
                <w:w w:val="92"/>
              </w:rPr>
              <w:t>101.SCH*</w:t>
            </w:r>
          </w:p>
        </w:tc>
        <w:tc>
          <w:tcPr>
            <w:tcW w:w="73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420" w:type="dxa"/>
            <w:vAlign w:val="bottom"/>
          </w:tcPr>
          <w:p>
            <w:pPr>
              <w:jc w:val="center"/>
              <w:ind w:right="470"/>
              <w:spacing w:after="0"/>
              <w:rPr>
                <w:sz w:val="20"/>
                <w:szCs w:val="20"/>
                <w:color w:val="auto"/>
              </w:rPr>
            </w:pPr>
            <w:r>
              <w:rPr>
                <w:rFonts w:ascii="Arial" w:cs="Arial" w:eastAsia="Arial" w:hAnsi="Arial"/>
                <w:sz w:val="18"/>
                <w:szCs w:val="18"/>
                <w:color w:val="auto"/>
              </w:rPr>
              <w:t>101.CAL*</w:t>
            </w:r>
          </w:p>
        </w:tc>
        <w:tc>
          <w:tcPr>
            <w:tcW w:w="732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420" w:type="dxa"/>
            <w:vAlign w:val="bottom"/>
          </w:tcPr>
          <w:p>
            <w:pPr>
              <w:jc w:val="center"/>
              <w:ind w:right="470"/>
              <w:spacing w:after="0"/>
              <w:rPr>
                <w:sz w:val="20"/>
                <w:szCs w:val="20"/>
                <w:color w:val="auto"/>
              </w:rPr>
            </w:pPr>
            <w:r>
              <w:rPr>
                <w:rFonts w:ascii="Arial" w:cs="Arial" w:eastAsia="Arial" w:hAnsi="Arial"/>
                <w:sz w:val="18"/>
                <w:szCs w:val="18"/>
                <w:color w:val="auto"/>
                <w:w w:val="94"/>
              </w:rPr>
              <w:t>101.DEF*</w:t>
            </w:r>
          </w:p>
        </w:tc>
        <w:tc>
          <w:tcPr>
            <w:tcW w:w="73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420" w:type="dxa"/>
            <w:vAlign w:val="bottom"/>
          </w:tcPr>
          <w:p>
            <w:pPr>
              <w:jc w:val="center"/>
              <w:ind w:right="470"/>
              <w:spacing w:after="0"/>
              <w:rPr>
                <w:sz w:val="20"/>
                <w:szCs w:val="20"/>
                <w:color w:val="auto"/>
              </w:rPr>
            </w:pPr>
            <w:r>
              <w:rPr>
                <w:rFonts w:ascii="Arial" w:cs="Arial" w:eastAsia="Arial" w:hAnsi="Arial"/>
                <w:sz w:val="18"/>
                <w:szCs w:val="18"/>
                <w:color w:val="auto"/>
              </w:rPr>
              <w:t>101.LAB*</w:t>
            </w:r>
          </w:p>
        </w:tc>
        <w:tc>
          <w:tcPr>
            <w:tcW w:w="73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420" w:type="dxa"/>
            <w:vAlign w:val="bottom"/>
          </w:tcPr>
          <w:p>
            <w:pPr>
              <w:jc w:val="center"/>
              <w:ind w:right="470"/>
              <w:spacing w:after="0"/>
              <w:rPr>
                <w:sz w:val="20"/>
                <w:szCs w:val="20"/>
                <w:color w:val="auto"/>
              </w:rPr>
            </w:pPr>
            <w:r>
              <w:rPr>
                <w:rFonts w:ascii="Arial" w:cs="Arial" w:eastAsia="Arial" w:hAnsi="Arial"/>
                <w:sz w:val="18"/>
                <w:szCs w:val="18"/>
                <w:color w:val="auto"/>
                <w:w w:val="93"/>
              </w:rPr>
              <w:t>101.PRE*</w:t>
            </w:r>
          </w:p>
        </w:tc>
        <w:tc>
          <w:tcPr>
            <w:tcW w:w="73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480" w:hanging="1127"/>
        <w:spacing w:after="0"/>
        <w:tabs>
          <w:tab w:leader="none" w:pos="14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embedded within Exhibit 101).</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7"/>
          <w:szCs w:val="17"/>
          <w:color w:val="auto"/>
        </w:rPr>
      </w:pPr>
    </w:p>
    <w:p>
      <w:pPr>
        <w:ind w:left="60" w:right="99" w:hanging="10"/>
        <w:spacing w:after="0" w:line="263" w:lineRule="auto"/>
        <w:tabs>
          <w:tab w:leader="none" w:pos="2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ATN International, Inc.</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Date: May 10,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T. Prior</w:t>
            </w:r>
          </w:p>
        </w:tc>
      </w:tr>
      <w:tr>
        <w:trPr>
          <w:trHeight w:val="195"/>
        </w:trPr>
        <w:tc>
          <w:tcPr>
            <w:tcW w:w="444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T. Prior</w:t>
            </w:r>
          </w:p>
        </w:tc>
      </w:tr>
      <w:tr>
        <w:trPr>
          <w:trHeight w:val="230"/>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Date: May 10,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D. Benincasa</w:t>
            </w:r>
          </w:p>
        </w:tc>
      </w:tr>
      <w:tr>
        <w:trPr>
          <w:trHeight w:val="195"/>
        </w:trPr>
        <w:tc>
          <w:tcPr>
            <w:tcW w:w="444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Justin D. Benincasa</w:t>
            </w:r>
          </w:p>
        </w:tc>
      </w:tr>
      <w:tr>
        <w:trPr>
          <w:trHeight w:val="230"/>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Michael T. Prior, certify that:</w:t>
      </w:r>
    </w:p>
    <w:p>
      <w:pPr>
        <w:spacing w:after="0" w:line="225" w:lineRule="exact"/>
        <w:rPr>
          <w:sz w:val="20"/>
          <w:szCs w:val="20"/>
          <w:color w:val="auto"/>
        </w:rPr>
      </w:pPr>
    </w:p>
    <w:p>
      <w:pPr>
        <w:ind w:left="880" w:hanging="438"/>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ATN International, Inc.;</w:t>
      </w:r>
    </w:p>
    <w:p>
      <w:pPr>
        <w:spacing w:after="0" w:line="157" w:lineRule="exact"/>
        <w:rPr>
          <w:rFonts w:ascii="Arial" w:cs="Arial" w:eastAsia="Arial" w:hAnsi="Arial"/>
          <w:sz w:val="18"/>
          <w:szCs w:val="18"/>
          <w:color w:val="auto"/>
        </w:rPr>
      </w:pPr>
    </w:p>
    <w:p>
      <w:pPr>
        <w:ind w:left="880" w:right="320" w:hanging="438"/>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80" w:right="40" w:hanging="438"/>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880" w:right="140" w:hanging="438"/>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880" w:right="400" w:hanging="439"/>
        <w:spacing w:after="0" w:line="259" w:lineRule="auto"/>
        <w:tabs>
          <w:tab w:leader="none" w:pos="1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1880" w:right="120" w:hanging="439"/>
        <w:spacing w:after="0" w:line="259" w:lineRule="auto"/>
        <w:tabs>
          <w:tab w:leader="none" w:pos="1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ind w:left="1880" w:right="20" w:hanging="439"/>
        <w:spacing w:after="0" w:line="263" w:lineRule="auto"/>
        <w:tabs>
          <w:tab w:leader="none" w:pos="1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80" w:right="140" w:hanging="439"/>
        <w:spacing w:after="0" w:line="259" w:lineRule="auto"/>
        <w:tabs>
          <w:tab w:leader="none" w:pos="1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880" w:right="480" w:hanging="438"/>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880" w:right="200" w:hanging="439"/>
        <w:spacing w:after="0" w:line="263" w:lineRule="auto"/>
        <w:tabs>
          <w:tab w:leader="none" w:pos="1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80" w:right="20" w:hanging="439"/>
        <w:spacing w:after="0" w:line="277" w:lineRule="auto"/>
        <w:tabs>
          <w:tab w:leader="none" w:pos="1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ATN International, Inc.</w:t>
            </w:r>
          </w:p>
        </w:tc>
      </w:tr>
      <w:tr>
        <w:trPr>
          <w:trHeight w:val="432"/>
        </w:trPr>
        <w:tc>
          <w:tcPr>
            <w:tcW w:w="5440" w:type="dxa"/>
            <w:vAlign w:val="bottom"/>
          </w:tcPr>
          <w:p>
            <w:pPr>
              <w:ind w:left="20"/>
              <w:spacing w:after="0"/>
              <w:rPr>
                <w:sz w:val="20"/>
                <w:szCs w:val="20"/>
                <w:color w:val="auto"/>
              </w:rPr>
            </w:pPr>
            <w:r>
              <w:rPr>
                <w:rFonts w:ascii="Arial" w:cs="Arial" w:eastAsia="Arial" w:hAnsi="Arial"/>
                <w:sz w:val="18"/>
                <w:szCs w:val="18"/>
                <w:color w:val="auto"/>
              </w:rPr>
              <w:t>Date: May 10, 2023</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/s/ Michael T. Prior</w:t>
            </w:r>
          </w:p>
        </w:tc>
      </w:tr>
      <w:tr>
        <w:trPr>
          <w:trHeight w:val="195"/>
        </w:trPr>
        <w:tc>
          <w:tcPr>
            <w:tcW w:w="5440" w:type="dxa"/>
            <w:vAlign w:val="bottom"/>
          </w:tcPr>
          <w:p>
            <w:pPr>
              <w:spacing w:after="0"/>
              <w:rPr>
                <w:sz w:val="16"/>
                <w:szCs w:val="16"/>
                <w:color w:val="auto"/>
              </w:rPr>
            </w:pPr>
          </w:p>
        </w:tc>
        <w:tc>
          <w:tcPr>
            <w:tcW w:w="47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Michael T. Prior</w:t>
            </w:r>
          </w:p>
        </w:tc>
        <w:tc>
          <w:tcPr>
            <w:tcW w:w="20" w:type="dxa"/>
            <w:vAlign w:val="bottom"/>
          </w:tcPr>
          <w:p>
            <w:pPr>
              <w:spacing w:after="0"/>
              <w:rPr>
                <w:sz w:val="16"/>
                <w:szCs w:val="16"/>
                <w:color w:val="auto"/>
              </w:rPr>
            </w:pPr>
          </w:p>
        </w:tc>
      </w:tr>
      <w:tr>
        <w:trPr>
          <w:trHeight w:val="230"/>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804"/>
        </w:trPr>
        <w:tc>
          <w:tcPr>
            <w:tcW w:w="54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Justin D. Benincasa, certify that:</w:t>
      </w:r>
    </w:p>
    <w:p>
      <w:pPr>
        <w:spacing w:after="0" w:line="225" w:lineRule="exact"/>
        <w:rPr>
          <w:sz w:val="20"/>
          <w:szCs w:val="20"/>
          <w:color w:val="auto"/>
        </w:rPr>
      </w:pPr>
    </w:p>
    <w:p>
      <w:pPr>
        <w:ind w:left="880" w:hanging="43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ATN International, Inc.;</w:t>
      </w:r>
    </w:p>
    <w:p>
      <w:pPr>
        <w:spacing w:after="0" w:line="157" w:lineRule="exact"/>
        <w:rPr>
          <w:rFonts w:ascii="Arial" w:cs="Arial" w:eastAsia="Arial" w:hAnsi="Arial"/>
          <w:sz w:val="18"/>
          <w:szCs w:val="18"/>
          <w:color w:val="auto"/>
        </w:rPr>
      </w:pPr>
    </w:p>
    <w:p>
      <w:pPr>
        <w:ind w:left="880" w:right="320" w:hanging="438"/>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880" w:right="40" w:hanging="438"/>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880" w:right="140" w:hanging="438"/>
        <w:spacing w:after="0" w:line="263"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880" w:right="400" w:hanging="439"/>
        <w:spacing w:after="0" w:line="259" w:lineRule="auto"/>
        <w:tabs>
          <w:tab w:leader="none" w:pos="1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1880" w:right="120" w:hanging="439"/>
        <w:spacing w:after="0" w:line="259" w:lineRule="auto"/>
        <w:tabs>
          <w:tab w:leader="none" w:pos="18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ind w:left="1880" w:right="20" w:hanging="439"/>
        <w:spacing w:after="0" w:line="263" w:lineRule="auto"/>
        <w:tabs>
          <w:tab w:leader="none" w:pos="18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60" w:right="160" w:hanging="432"/>
        <w:spacing w:after="0" w:line="259" w:lineRule="auto"/>
        <w:tabs>
          <w:tab w:leader="none" w:pos="1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880" w:right="480" w:hanging="438"/>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860" w:right="200" w:hanging="432"/>
        <w:spacing w:after="0" w:line="263" w:lineRule="auto"/>
        <w:tabs>
          <w:tab w:leader="none" w:pos="1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80" w:right="20" w:hanging="439"/>
        <w:spacing w:after="0" w:line="277" w:lineRule="auto"/>
        <w:tabs>
          <w:tab w:leader="none" w:pos="18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6940" w:type="dxa"/>
            <w:vAlign w:val="bottom"/>
            <w:gridSpan w:val="3"/>
          </w:tcPr>
          <w:p>
            <w:pPr>
              <w:ind w:left="1860"/>
              <w:spacing w:after="0"/>
              <w:rPr>
                <w:sz w:val="20"/>
                <w:szCs w:val="20"/>
                <w:color w:val="auto"/>
              </w:rPr>
            </w:pPr>
            <w:r>
              <w:rPr>
                <w:rFonts w:ascii="Arial" w:cs="Arial" w:eastAsia="Arial" w:hAnsi="Arial"/>
                <w:sz w:val="18"/>
                <w:szCs w:val="18"/>
                <w:color w:val="auto"/>
              </w:rPr>
              <w:t>ATN International, Inc.</w:t>
            </w:r>
          </w:p>
        </w:tc>
      </w:tr>
      <w:tr>
        <w:trPr>
          <w:trHeight w:val="432"/>
        </w:trPr>
        <w:tc>
          <w:tcPr>
            <w:tcW w:w="3300" w:type="dxa"/>
            <w:vAlign w:val="bottom"/>
          </w:tcPr>
          <w:p>
            <w:pPr>
              <w:ind w:left="20"/>
              <w:spacing w:after="0"/>
              <w:rPr>
                <w:sz w:val="20"/>
                <w:szCs w:val="20"/>
                <w:color w:val="auto"/>
              </w:rPr>
            </w:pPr>
            <w:r>
              <w:rPr>
                <w:rFonts w:ascii="Arial" w:cs="Arial" w:eastAsia="Arial" w:hAnsi="Arial"/>
                <w:sz w:val="18"/>
                <w:szCs w:val="18"/>
                <w:color w:val="auto"/>
              </w:rPr>
              <w:t>Date: May 10, 2023</w:t>
            </w:r>
          </w:p>
        </w:tc>
        <w:tc>
          <w:tcPr>
            <w:tcW w:w="6940" w:type="dxa"/>
            <w:vAlign w:val="bottom"/>
            <w:gridSpan w:val="3"/>
          </w:tcPr>
          <w:p>
            <w:pPr>
              <w:ind w:left="1860"/>
              <w:spacing w:after="0"/>
              <w:rPr>
                <w:sz w:val="20"/>
                <w:szCs w:val="20"/>
                <w:color w:val="auto"/>
              </w:rPr>
            </w:pPr>
            <w:r>
              <w:rPr>
                <w:rFonts w:ascii="Arial" w:cs="Arial" w:eastAsia="Arial" w:hAnsi="Arial"/>
                <w:sz w:val="18"/>
                <w:szCs w:val="18"/>
                <w:color w:val="auto"/>
              </w:rPr>
              <w:t>By:  /s/ Justin D. Benincasa</w:t>
            </w:r>
          </w:p>
        </w:tc>
      </w:tr>
      <w:tr>
        <w:trPr>
          <w:trHeight w:val="195"/>
        </w:trPr>
        <w:tc>
          <w:tcPr>
            <w:tcW w:w="3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Justin D. Benincasa</w:t>
            </w:r>
          </w:p>
        </w:tc>
        <w:tc>
          <w:tcPr>
            <w:tcW w:w="2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804"/>
        </w:trPr>
        <w:tc>
          <w:tcPr>
            <w:tcW w:w="3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1" w:right="839" w:bottom="1440" w:gutter="0" w:footer="0" w:header="0"/>
        </w:sectPr>
      </w:pPr>
    </w:p>
    <w:bookmarkStart w:id="64" w:name="page65"/>
    <w:bookmarkEnd w:id="6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0" w:right="139" w:firstLine="441"/>
        <w:spacing w:after="0" w:line="259" w:lineRule="auto"/>
        <w:rPr>
          <w:sz w:val="20"/>
          <w:szCs w:val="20"/>
          <w:color w:val="auto"/>
        </w:rPr>
      </w:pPr>
      <w:r>
        <w:rPr>
          <w:rFonts w:ascii="Arial" w:cs="Arial" w:eastAsia="Arial" w:hAnsi="Arial"/>
          <w:sz w:val="18"/>
          <w:szCs w:val="18"/>
          <w:color w:val="auto"/>
        </w:rPr>
        <w:t>In connection with the quarterly report on Form 10-Q of ATN International, Inc. (the “Company”) for the period ended March 31, 2023 as filed with the Securities and Exchange Commission on the date hereof (the “Report”), I, Michael T. Prior, President and Chief Executive Officer of the Company, certify, pursuant to 18 U.S.C. § 1350, as adopted pursuant to § 906 of the Sarbanes-Oxley Act of 2002, that:</w:t>
      </w:r>
    </w:p>
    <w:p>
      <w:pPr>
        <w:spacing w:after="0" w:line="187" w:lineRule="exact"/>
        <w:rPr>
          <w:sz w:val="20"/>
          <w:szCs w:val="20"/>
          <w:color w:val="auto"/>
        </w:rPr>
      </w:pPr>
    </w:p>
    <w:p>
      <w:pPr>
        <w:ind w:left="900" w:right="299" w:hanging="424"/>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00" w:right="419" w:hanging="424"/>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5920" w:type="dxa"/>
            <w:vAlign w:val="bottom"/>
            <w:gridSpan w:val="2"/>
          </w:tcPr>
          <w:p>
            <w:pPr>
              <w:jc w:val="center"/>
              <w:ind w:right="1070"/>
              <w:spacing w:after="0"/>
              <w:rPr>
                <w:sz w:val="20"/>
                <w:szCs w:val="20"/>
                <w:color w:val="auto"/>
              </w:rPr>
            </w:pPr>
            <w:r>
              <w:rPr>
                <w:rFonts w:ascii="Arial" w:cs="Arial" w:eastAsia="Arial" w:hAnsi="Arial"/>
                <w:sz w:val="18"/>
                <w:szCs w:val="18"/>
                <w:color w:val="auto"/>
                <w:w w:val="93"/>
              </w:rPr>
              <w:t>ATN International, Inc.</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 May 10, 2023</w:t>
            </w:r>
          </w:p>
        </w:tc>
        <w:tc>
          <w:tcPr>
            <w:tcW w:w="5920" w:type="dxa"/>
            <w:vAlign w:val="bottom"/>
            <w:gridSpan w:val="2"/>
          </w:tcPr>
          <w:p>
            <w:pPr>
              <w:jc w:val="center"/>
              <w:ind w:right="1090"/>
              <w:spacing w:after="0"/>
              <w:rPr>
                <w:sz w:val="20"/>
                <w:szCs w:val="20"/>
                <w:color w:val="auto"/>
              </w:rPr>
            </w:pPr>
            <w:r>
              <w:rPr>
                <w:rFonts w:ascii="Arial" w:cs="Arial" w:eastAsia="Arial" w:hAnsi="Arial"/>
                <w:sz w:val="18"/>
                <w:szCs w:val="18"/>
                <w:color w:val="auto"/>
                <w:w w:val="94"/>
              </w:rPr>
              <w:t>By:/s/ Michael T. Prior</w:t>
            </w:r>
          </w:p>
        </w:tc>
      </w:tr>
      <w:tr>
        <w:trPr>
          <w:trHeight w:val="195"/>
        </w:trPr>
        <w:tc>
          <w:tcPr>
            <w:tcW w:w="30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20" w:type="dxa"/>
            <w:vAlign w:val="bottom"/>
            <w:tcBorders>
              <w:top w:val="single" w:sz="8" w:color="auto"/>
            </w:tcBorders>
          </w:tcPr>
          <w:p>
            <w:pPr>
              <w:jc w:val="center"/>
              <w:ind w:right="2830"/>
              <w:spacing w:after="0" w:line="195" w:lineRule="exact"/>
              <w:rPr>
                <w:sz w:val="20"/>
                <w:szCs w:val="20"/>
                <w:color w:val="auto"/>
              </w:rPr>
            </w:pPr>
            <w:r>
              <w:rPr>
                <w:rFonts w:ascii="Arial" w:cs="Arial" w:eastAsia="Arial" w:hAnsi="Arial"/>
                <w:sz w:val="18"/>
                <w:szCs w:val="18"/>
                <w:color w:val="auto"/>
                <w:w w:val="95"/>
              </w:rPr>
              <w:t>Michael T. Prior</w:t>
            </w:r>
          </w:p>
        </w:tc>
      </w:tr>
      <w:tr>
        <w:trPr>
          <w:trHeight w:val="230"/>
        </w:trPr>
        <w:tc>
          <w:tcPr>
            <w:tcW w:w="3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803"/>
        </w:trPr>
        <w:tc>
          <w:tcPr>
            <w:tcW w:w="30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65" w:name="page66"/>
    <w:bookmarkEnd w:id="65"/>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0" w:right="99" w:firstLine="441"/>
        <w:spacing w:after="0" w:line="259" w:lineRule="auto"/>
        <w:rPr>
          <w:sz w:val="20"/>
          <w:szCs w:val="20"/>
          <w:color w:val="auto"/>
        </w:rPr>
      </w:pPr>
      <w:r>
        <w:rPr>
          <w:rFonts w:ascii="Arial" w:cs="Arial" w:eastAsia="Arial" w:hAnsi="Arial"/>
          <w:sz w:val="18"/>
          <w:szCs w:val="18"/>
          <w:color w:val="auto"/>
        </w:rPr>
        <w:t>In connection with the quarterly report on Form 10-Q of ATN International, Inc. (the “Company”) for the period ended March 31, 2023 as filed with the Securities and Exchange Commission on the date hereof (the “Report”), I, Justin D. Benincasa, Chief Financial Officer of the Company, certify, pursuant to 18 U.S.C. § 1350, as adopted pursuant to § 906 of the Sarbanes-Oxley Act of 2002, that:</w:t>
      </w:r>
    </w:p>
    <w:p>
      <w:pPr>
        <w:spacing w:after="0" w:line="187" w:lineRule="exact"/>
        <w:rPr>
          <w:sz w:val="20"/>
          <w:szCs w:val="20"/>
          <w:color w:val="auto"/>
        </w:rPr>
      </w:pPr>
    </w:p>
    <w:p>
      <w:pPr>
        <w:ind w:left="900" w:right="299" w:hanging="424"/>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00" w:right="419" w:hanging="424"/>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5920" w:type="dxa"/>
            <w:vAlign w:val="bottom"/>
            <w:gridSpan w:val="2"/>
          </w:tcPr>
          <w:p>
            <w:pPr>
              <w:ind w:left="1560"/>
              <w:spacing w:after="0"/>
              <w:rPr>
                <w:sz w:val="20"/>
                <w:szCs w:val="20"/>
                <w:color w:val="auto"/>
              </w:rPr>
            </w:pPr>
            <w:r>
              <w:rPr>
                <w:rFonts w:ascii="Arial" w:cs="Arial" w:eastAsia="Arial" w:hAnsi="Arial"/>
                <w:sz w:val="18"/>
                <w:szCs w:val="18"/>
                <w:color w:val="auto"/>
              </w:rPr>
              <w:t>ATN International, Inc.</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 May 10, 2023</w:t>
            </w:r>
          </w:p>
        </w:tc>
        <w:tc>
          <w:tcPr>
            <w:tcW w:w="5920" w:type="dxa"/>
            <w:vAlign w:val="bottom"/>
            <w:gridSpan w:val="2"/>
          </w:tcPr>
          <w:p>
            <w:pPr>
              <w:ind w:left="1560"/>
              <w:spacing w:after="0"/>
              <w:rPr>
                <w:sz w:val="20"/>
                <w:szCs w:val="20"/>
                <w:color w:val="auto"/>
              </w:rPr>
            </w:pPr>
            <w:r>
              <w:rPr>
                <w:rFonts w:ascii="Arial" w:cs="Arial" w:eastAsia="Arial" w:hAnsi="Arial"/>
                <w:sz w:val="18"/>
                <w:szCs w:val="18"/>
                <w:color w:val="auto"/>
              </w:rPr>
              <w:t>By: /s/ Justin D. Benincasa</w:t>
            </w:r>
          </w:p>
        </w:tc>
      </w:tr>
      <w:tr>
        <w:trPr>
          <w:trHeight w:val="195"/>
        </w:trPr>
        <w:tc>
          <w:tcPr>
            <w:tcW w:w="30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Justin D. Benincasa</w:t>
            </w:r>
          </w:p>
        </w:tc>
      </w:tr>
      <w:tr>
        <w:trPr>
          <w:trHeight w:val="230"/>
        </w:trPr>
        <w:tc>
          <w:tcPr>
            <w:tcW w:w="3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03"/>
        </w:trPr>
        <w:tc>
          <w:tcPr>
            <w:tcW w:w="3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Roman"/>
      <w:start w:val="2"/>
    </w:lvl>
  </w:abstractNum>
  <w:abstractNum w:abstractNumId="5">
    <w:nsid w:val="4E6AFB66"/>
    <w:multiLevelType w:val="hybridMultilevel"/>
    <w:lvl w:ilvl="0">
      <w:lvlJc w:val="left"/>
      <w:lvlText w:val="%1"/>
      <w:numFmt w:val="decimal"/>
      <w:start w:val="1"/>
    </w:lvl>
    <w:lvl w:ilvl="1">
      <w:lvlJc w:val="left"/>
      <w:lvlText w:val="(%2)"/>
      <w:numFmt w:val="decimal"/>
      <w:start w:val="1"/>
    </w:lvl>
  </w:abstractNum>
  <w:abstractNum w:abstractNumId="6">
    <w:nsid w:val="25E45D32"/>
    <w:multiLevelType w:val="hybridMultilevel"/>
    <w:lvl w:ilvl="0">
      <w:lvlJc w:val="left"/>
      <w:lvlText w:val="%1."/>
      <w:numFmt w:val="decimal"/>
      <w:start w:val="14"/>
    </w:lvl>
    <w:lvl w:ilvl="1">
      <w:lvlJc w:val="left"/>
      <w:lvlText w:val="%2"/>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lvl w:ilvl="1">
      <w:lvlJc w:val="left"/>
      <w:lvlText w:val="%2"/>
      <w:numFmt w:val="decimal"/>
      <w:start w:val="104"/>
    </w:lvl>
  </w:abstractNum>
  <w:abstractNum w:abstractNumId="20">
    <w:nsid w:val="75A2A8D4"/>
    <w:multiLevelType w:val="hybridMultilevel"/>
    <w:lvl w:ilvl="0">
      <w:lvlJc w:val="left"/>
      <w:lvlText w:val="**"/>
      <w:numFmt w:val="bullet"/>
      <w:start w:val="1"/>
    </w:lvl>
    <w:lvl w:ilvl="1">
      <w:lvlJc w:val="left"/>
      <w:lvlText w:val="%2"/>
      <w:numFmt w:val="decimal"/>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3">
    <w:nsid w:val="4353D0C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4">
    <w:nsid w:val="B03E0C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79" Type="http://schemas.openxmlformats.org/officeDocument/2006/relationships/hyperlink" Target="https://www.sec.gov/Archives/edgar/data/879585/000110465923032255/tm239573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2023-05-10T15:34:41Z</dcterms:created>
  <dcterms:modified xsi:type="dcterms:W3CDTF">2023-05-10T15:34:41Z</dcterms:modified>
</cp:coreProperties>
</file>