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1995d2_def14a.htm"/>
        <w:bookmarkStart w:id="1" w:name="kstm231995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spacing w:lineRule="atLeast" w:line="320" w:before="2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635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635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635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635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ATN International, Inc.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spacing w:lineRule="atLeast" w:line="240" w:before="12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60" w:after="283"/>
        <w:ind w:left="1393" w:right="0" w:hanging="0"/>
        <w:jc w:val="center"/>
        <w:rPr>
          <w:caps w:val="false"/>
          <w:smallCaps w:val="false"/>
          <w:color w:val="000000"/>
        </w:rPr>
      </w:pPr>
      <w:r>
        <w:rPr>
          <w:caps w:val="false"/>
          <w:smallCaps w:val="false"/>
          <w:color w:val="000000"/>
        </w:rPr>
        <w:drawing>
          <wp:inline distT="0" distB="0" distL="0" distR="0">
            <wp:extent cx="1733550" cy="6572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733550" cy="657225"/>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ATN INTERNATIONAL, INC. </w:t>
        <w:br/>
        <w:t xml:space="preserve">500 Cummings Center, Suite 2450 </w:t>
        <w:br/>
        <w:t>Beverly, MA 01915</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2023 ANNUAL MEETING OF STOCKHOLDERS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June 6,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27, 2023</w:t>
      </w:r>
      <w:r>
        <w:rPr>
          <w:rFonts w:ascii="Times New Roman;Times;serif" w:hAnsi="Times New Roman;Times;serif"/>
          <w:b w:val="false"/>
          <w:i w:val="false"/>
          <w:caps w:val="false"/>
          <w:smallCaps w:val="false"/>
          <w:color w:val="000000"/>
          <w:sz w:val="2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our Annual Meeting of Stockholders to be held at ATN’s headquarters location, 500 Cummings Center, Suite 2450, Beverly, MA 01915 on Tuesday, June 6, 2023 at 9:00 a.m. ET (the “Annual Meeting”). The Annual Meeting is scheduled to be held for the following purposes: </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seven directors to hold office until the next annual meeting of stockholders or until their respective successors are elected and qualified;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largest"/>
                <wp:docPr id="10" name="Frame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adoption of the Company’s 2023 Equity Compensation Plan and the reservation of 1,400,000 shares for issuance in accordance therewith;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11" name="Frame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hold an advisory vote (known as a “Say on Pay” vote) on the compensation of our named executive officers;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largest"/>
                <wp:docPr id="12" name="Frame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hold an advisory vote (known as a “Say When on Pay” vote) on the frequency of future advisory votes on the compensation of our named executive officers;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largest"/>
                <wp:docPr id="13" name="Frame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selection of PricewaterhouseCoopers LLP as our independent auditor for the fiscal year ending December 31, 2023; and </w:t>
      </w:r>
      <w:r>
        <mc:AlternateContent>
          <mc:Choice Requires="wps">
            <w:drawing>
              <wp:anchor behindDoc="0" distT="1016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largest"/>
                <wp:docPr id="14"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any other business that may properly come before the Annual Meeting or any adjournments or postponements thereof. </w:t>
      </w:r>
      <w:r>
        <mc:AlternateContent>
          <mc:Choice Requires="wps">
            <w:drawing>
              <wp:anchor behindDoc="0" distT="1016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largest"/>
                <wp:docPr id="15"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record at the close of business on April 14, 2023 are entitled to notice of, and to vote at, the Annual Meeting. During the ten days prior to the Annual Meeting, a list of such stockholders will be available for inspection during our ordinary business hours at our office at the address above.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expect to attend the meeting, please cast your vote via the Internet, telephone or mail to ensure that your shares are represented at the Annual Meeting. If you attend the meeting and vote in person, your proxy will not be used.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spacing w:lineRule="atLeast" w:line="240" w:before="48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Mary M. Mabey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Secretary</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7729"/>
        <w:gridCol w:w="109"/>
        <w:gridCol w:w="109"/>
        <w:gridCol w:w="109"/>
        <w:gridCol w:w="109"/>
        <w:gridCol w:w="383"/>
        <w:gridCol w:w="109"/>
        <w:gridCol w:w="155"/>
      </w:tblGrid>
      <w:tr>
        <w:trPr/>
        <w:tc>
          <w:tcPr>
            <w:tcW w:w="772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1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Page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jc w:val="left"/>
              <w:rPr/>
            </w:pPr>
            <w:hyperlink w:anchor="tGIAV">
              <w:r>
                <w:rPr>
                  <w:rStyle w:val="InternetLink"/>
                  <w:spacing w:val="4"/>
                </w:rPr>
                <w:t xml:space="preserve">GENERAL INFORMATION ABOUT VOTING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GIAV">
              <w:r>
                <w:rPr>
                  <w:rStyle w:val="InternetLink"/>
                  <w:spacing w:val="4"/>
                </w:rPr>
                <w:t>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WCV">
              <w:r>
                <w:rPr>
                  <w:rStyle w:val="InternetLink"/>
                  <w:spacing w:val="4"/>
                </w:rPr>
                <w:t xml:space="preserve">Who Can Vote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WCV">
              <w:r>
                <w:rPr>
                  <w:rStyle w:val="InternetLink"/>
                  <w:spacing w:val="4"/>
                </w:rPr>
                <w:t>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VOT">
              <w:r>
                <w:rPr>
                  <w:rStyle w:val="InternetLink"/>
                  <w:spacing w:val="4"/>
                </w:rPr>
                <w:t xml:space="preserve">Voting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VOT">
              <w:r>
                <w:rPr>
                  <w:rStyle w:val="InternetLink"/>
                  <w:spacing w:val="4"/>
                </w:rPr>
                <w:t>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QUO">
              <w:r>
                <w:rPr>
                  <w:rStyle w:val="InternetLink"/>
                  <w:spacing w:val="4"/>
                </w:rPr>
                <w:t xml:space="preserve">Quorum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QUO">
              <w:r>
                <w:rPr>
                  <w:rStyle w:val="InternetLink"/>
                  <w:spacing w:val="4"/>
                </w:rPr>
                <w:t>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VORE">
              <w:r>
                <w:rPr>
                  <w:rStyle w:val="InternetLink"/>
                  <w:spacing w:val="4"/>
                </w:rPr>
                <w:t xml:space="preserve">Votes Required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VORE">
              <w:r>
                <w:rPr>
                  <w:rStyle w:val="InternetLink"/>
                  <w:spacing w:val="4"/>
                </w:rPr>
                <w:t>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ROP">
              <w:r>
                <w:rPr>
                  <w:rStyle w:val="InternetLink"/>
                  <w:spacing w:val="4"/>
                </w:rPr>
                <w:t xml:space="preserve">Revocability of Proxies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ROP">
              <w:r>
                <w:rPr>
                  <w:rStyle w:val="InternetLink"/>
                  <w:spacing w:val="4"/>
                </w:rPr>
                <w:t>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WCIF">
              <w:r>
                <w:rPr>
                  <w:rStyle w:val="InternetLink"/>
                  <w:spacing w:val="4"/>
                </w:rPr>
                <w:t xml:space="preserve">Voting Results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WCIF">
              <w:r>
                <w:rPr>
                  <w:rStyle w:val="InternetLink"/>
                  <w:spacing w:val="4"/>
                </w:rPr>
                <w:t>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WCIF">
              <w:r>
                <w:rPr>
                  <w:rStyle w:val="InternetLink"/>
                  <w:spacing w:val="4"/>
                </w:rPr>
                <w:t>Where Can I Find the Voting Results of the Annual Meeting?</w:t>
              </w:r>
            </w:hyperlink>
            <w:hyperlink w:anchor="tWCIF">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WCIF">
              <w:r>
                <w:rPr>
                  <w:rStyle w:val="InternetLink"/>
                  <w:spacing w:val="4"/>
                </w:rPr>
                <w:t>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SOEX">
              <w:r>
                <w:rPr>
                  <w:rStyle w:val="InternetLink"/>
                  <w:spacing w:val="4"/>
                </w:rPr>
                <w:t xml:space="preserve">Solicitation Expenses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SOEX">
              <w:r>
                <w:rPr>
                  <w:rStyle w:val="InternetLink"/>
                  <w:spacing w:val="4"/>
                </w:rPr>
                <w:t>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WTCF">
              <w:r>
                <w:rPr>
                  <w:rStyle w:val="InternetLink"/>
                  <w:spacing w:val="4"/>
                </w:rPr>
                <w:t xml:space="preserve">Who to Contact for Additional Information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WTCF">
              <w:r>
                <w:rPr>
                  <w:rStyle w:val="InternetLink"/>
                  <w:spacing w:val="4"/>
                </w:rPr>
                <w:t>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jc w:val="left"/>
              <w:rPr/>
            </w:pPr>
            <w:hyperlink w:anchor="tSOOC">
              <w:r>
                <w:rPr>
                  <w:rStyle w:val="InternetLink"/>
                  <w:spacing w:val="4"/>
                </w:rPr>
                <w:t xml:space="preserve">SECURITY OWNERSHIP OF CERTAIN BENEFICIAL OWNERS AND MANAGEMENT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SOOC">
              <w:r>
                <w:rPr>
                  <w:rStyle w:val="InternetLink"/>
                  <w:spacing w:val="4"/>
                </w:rPr>
                <w:t>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jc w:val="left"/>
              <w:rPr/>
            </w:pPr>
            <w:hyperlink w:anchor="tP1EO">
              <w:r>
                <w:rPr>
                  <w:rStyle w:val="InternetLink"/>
                  <w:spacing w:val="4"/>
                </w:rPr>
                <w:t xml:space="preserve">PROPOSAL 1: ELECTION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P1EO">
              <w:r>
                <w:rPr>
                  <w:rStyle w:val="InternetLink"/>
                  <w:spacing w:val="4"/>
                </w:rPr>
                <w:t>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VORE1">
              <w:r>
                <w:rPr>
                  <w:rStyle w:val="InternetLink"/>
                  <w:spacing w:val="4"/>
                </w:rPr>
                <w:t xml:space="preserve">Vote Required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VORE1">
              <w:r>
                <w:rPr>
                  <w:rStyle w:val="InternetLink"/>
                  <w:spacing w:val="4"/>
                </w:rPr>
                <w:t>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ROOB">
              <w:r>
                <w:rPr>
                  <w:rStyle w:val="InternetLink"/>
                  <w:spacing w:val="4"/>
                </w:rPr>
                <w:t xml:space="preserve">Recommendation of our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ROOB">
              <w:r>
                <w:rPr>
                  <w:rStyle w:val="InternetLink"/>
                  <w:spacing w:val="4"/>
                </w:rPr>
                <w:t>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jc w:val="left"/>
              <w:rPr/>
            </w:pPr>
            <w:hyperlink w:anchor="tDANE">
              <w:r>
                <w:rPr>
                  <w:rStyle w:val="InternetLink"/>
                  <w:spacing w:val="4"/>
                </w:rPr>
                <w:t xml:space="preserve">DIRECTOR AND NOMINEE EXPERIENCE AND QUALIFICATIONS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DANE">
              <w:r>
                <w:rPr>
                  <w:rStyle w:val="InternetLink"/>
                  <w:spacing w:val="4"/>
                </w:rPr>
                <w:t>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200"/>
              <w:jc w:val="left"/>
              <w:rPr/>
            </w:pPr>
            <w:hyperlink w:anchor="tP2AO">
              <w:r>
                <w:rPr>
                  <w:rStyle w:val="InternetLink"/>
                  <w:spacing w:val="4"/>
                </w:rPr>
                <w:t xml:space="preserve">PROPOSAL 2: APPROVAL OF THE ADOPTION OF THE COMPANY’S 2023 EQUITY COMPENSATION PLAN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P2AO">
              <w:r>
                <w:rPr>
                  <w:rStyle w:val="InternetLink"/>
                  <w:spacing w:val="4"/>
                </w:rPr>
                <w:t>15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SOTC">
              <w:r>
                <w:rPr>
                  <w:rStyle w:val="InternetLink"/>
                  <w:spacing w:val="4"/>
                </w:rPr>
                <w:t xml:space="preserve">Summary of the Company’s 2022 Equity Compensation Plan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SOTC">
              <w:r>
                <w:rPr>
                  <w:rStyle w:val="InternetLink"/>
                  <w:spacing w:val="4"/>
                </w:rPr>
                <w:t>18</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RVAB">
              <w:r>
                <w:rPr>
                  <w:rStyle w:val="InternetLink"/>
                  <w:spacing w:val="4"/>
                </w:rPr>
                <w:t>Vote Required</w:t>
              </w:r>
            </w:hyperlink>
            <w:hyperlink w:anchor="tRVAB">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RVAB">
              <w:r>
                <w:rPr>
                  <w:rStyle w:val="InternetLink"/>
                  <w:spacing w:val="4"/>
                </w:rPr>
                <w:t>26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ROOB4">
              <w:r>
                <w:rPr>
                  <w:rStyle w:val="InternetLink"/>
                  <w:spacing w:val="4"/>
                </w:rPr>
                <w:t>Recommendation of our Board of Directors</w:t>
              </w:r>
            </w:hyperlink>
            <w:hyperlink w:anchor="tROOB4">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ROOB4">
              <w:r>
                <w:rPr>
                  <w:rStyle w:val="InternetLink"/>
                  <w:spacing w:val="4"/>
                </w:rPr>
                <w:t>26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jc w:val="left"/>
              <w:rPr/>
            </w:pPr>
            <w:hyperlink w:anchor="tP3AV">
              <w:r>
                <w:rPr>
                  <w:rStyle w:val="InternetLink"/>
                  <w:spacing w:val="4"/>
                </w:rPr>
                <w:t>PROPOSAL 3: ADVISORY VOTE ON EXECUTIVE COMPENSATION</w:t>
              </w:r>
            </w:hyperlink>
            <w:hyperlink w:anchor="tP3AV">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P3AV">
              <w:r>
                <w:rPr>
                  <w:rStyle w:val="InternetLink"/>
                  <w:spacing w:val="4"/>
                </w:rPr>
                <w:t>27</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REVO">
              <w:r>
                <w:rPr>
                  <w:rStyle w:val="InternetLink"/>
                  <w:spacing w:val="4"/>
                </w:rPr>
                <w:t xml:space="preserve">Vote Required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REVO">
              <w:r>
                <w:rPr>
                  <w:rStyle w:val="InternetLink"/>
                  <w:spacing w:val="4"/>
                </w:rPr>
                <w:t>27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ROOB2">
              <w:r>
                <w:rPr>
                  <w:rStyle w:val="InternetLink"/>
                  <w:spacing w:val="4"/>
                </w:rPr>
                <w:t xml:space="preserve">Recommendation of our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ROOB2">
              <w:r>
                <w:rPr>
                  <w:rStyle w:val="InternetLink"/>
                  <w:spacing w:val="4"/>
                </w:rPr>
                <w:t>27</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200"/>
              <w:jc w:val="left"/>
              <w:rPr/>
            </w:pPr>
            <w:hyperlink w:anchor="tP4AV">
              <w:r>
                <w:rPr>
                  <w:rStyle w:val="InternetLink"/>
                  <w:spacing w:val="4"/>
                </w:rPr>
                <w:t>PROPOSAL 4: ADVISORY VOTE ON FREQUENCY OF EXECUTIVE COMPENSATION VOTE</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P4AV">
              <w:r>
                <w:rPr>
                  <w:rStyle w:val="InternetLink"/>
                  <w:spacing w:val="4"/>
                </w:rPr>
                <w:t>28</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REVO1">
              <w:r>
                <w:rPr>
                  <w:rStyle w:val="InternetLink"/>
                  <w:spacing w:val="4"/>
                </w:rPr>
                <w:t xml:space="preserve">Vote Required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REVO1">
              <w:r>
                <w:rPr>
                  <w:rStyle w:val="InternetLink"/>
                  <w:spacing w:val="4"/>
                </w:rPr>
                <w:t>28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ROOB3">
              <w:r>
                <w:rPr>
                  <w:rStyle w:val="InternetLink"/>
                  <w:spacing w:val="4"/>
                </w:rPr>
                <w:t xml:space="preserve">Recommendation of our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ROOB3">
              <w:r>
                <w:rPr>
                  <w:rStyle w:val="InternetLink"/>
                  <w:spacing w:val="4"/>
                </w:rPr>
                <w:t>28</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jc w:val="left"/>
              <w:rPr/>
            </w:pPr>
            <w:hyperlink w:anchor="tP5RO">
              <w:r>
                <w:rPr>
                  <w:rStyle w:val="InternetLink"/>
                  <w:spacing w:val="4"/>
                </w:rPr>
                <w:t>PROPOSAL 5: RATIFICATION OF SELECTION OF INDEPENDENT AUDITOR</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P5RO">
              <w:r>
                <w:rPr>
                  <w:rStyle w:val="InternetLink"/>
                  <w:spacing w:val="4"/>
                </w:rPr>
                <w:t>29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VORE2">
              <w:r>
                <w:rPr>
                  <w:rStyle w:val="InternetLink"/>
                  <w:spacing w:val="4"/>
                </w:rPr>
                <w:t xml:space="preserve">Vote Required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VORE2">
              <w:r>
                <w:rPr>
                  <w:rStyle w:val="InternetLink"/>
                  <w:spacing w:val="4"/>
                </w:rPr>
                <w:t>29</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ROOB1">
              <w:r>
                <w:rPr>
                  <w:rStyle w:val="InternetLink"/>
                  <w:spacing w:val="4"/>
                </w:rPr>
                <w:t xml:space="preserve">Recommendation of our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ROOB1">
              <w:r>
                <w:rPr>
                  <w:rStyle w:val="InternetLink"/>
                  <w:spacing w:val="4"/>
                </w:rPr>
                <w:t>29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jc w:val="left"/>
              <w:rPr/>
            </w:pPr>
            <w:hyperlink w:anchor="tCOGO">
              <w:r>
                <w:rPr>
                  <w:rStyle w:val="InternetLink"/>
                  <w:spacing w:val="4"/>
                </w:rPr>
                <w:t xml:space="preserve">CORPORATE GOVERNANCE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COGO">
              <w:r>
                <w:rPr>
                  <w:rStyle w:val="InternetLink"/>
                  <w:spacing w:val="4"/>
                </w:rPr>
                <w:t>30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GEN">
              <w:r>
                <w:rPr>
                  <w:rStyle w:val="InternetLink"/>
                  <w:spacing w:val="4"/>
                </w:rPr>
                <w:t xml:space="preserve">General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GEN">
              <w:r>
                <w:rPr>
                  <w:rStyle w:val="InternetLink"/>
                  <w:spacing w:val="4"/>
                </w:rPr>
                <w:t>30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BLS">
              <w:r>
                <w:rPr>
                  <w:rStyle w:val="InternetLink"/>
                  <w:spacing w:val="4"/>
                </w:rPr>
                <w:t xml:space="preserve">Board Leadership Structure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BLS">
              <w:r>
                <w:rPr>
                  <w:rStyle w:val="InternetLink"/>
                  <w:spacing w:val="4"/>
                </w:rPr>
                <w:t>30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DNP">
              <w:r>
                <w:rPr>
                  <w:rStyle w:val="InternetLink"/>
                  <w:spacing w:val="4"/>
                </w:rPr>
                <w:t xml:space="preserve">Director Nomination Process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DNP">
              <w:r>
                <w:rPr>
                  <w:rStyle w:val="InternetLink"/>
                  <w:spacing w:val="4"/>
                </w:rPr>
                <w:t>31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BORE">
              <w:r>
                <w:rPr>
                  <w:rStyle w:val="InternetLink"/>
                  <w:spacing w:val="4"/>
                </w:rPr>
                <w:t>Board Refreshment</w:t>
              </w:r>
            </w:hyperlink>
            <w:hyperlink w:anchor="tBORE">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BORE">
              <w:r>
                <w:rPr>
                  <w:rStyle w:val="InternetLink"/>
                  <w:spacing w:val="4"/>
                </w:rPr>
                <w:t>31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DOI">
              <w:r>
                <w:rPr>
                  <w:rStyle w:val="InternetLink"/>
                  <w:spacing w:val="4"/>
                </w:rPr>
                <w:t xml:space="preserve">Determination of Independence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DOI">
              <w:r>
                <w:rPr>
                  <w:rStyle w:val="InternetLink"/>
                  <w:spacing w:val="4"/>
                </w:rPr>
                <w:t>32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RMAR">
              <w:r>
                <w:rPr>
                  <w:rStyle w:val="InternetLink"/>
                  <w:spacing w:val="4"/>
                </w:rPr>
                <w:t xml:space="preserve">Risk Management and Risk Assessment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RMAR">
              <w:r>
                <w:rPr>
                  <w:rStyle w:val="InternetLink"/>
                  <w:spacing w:val="4"/>
                </w:rPr>
                <w:t>32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CFSA">
              <w:r>
                <w:rPr>
                  <w:rStyle w:val="InternetLink"/>
                  <w:spacing w:val="4"/>
                </w:rPr>
                <w:t xml:space="preserve">Communications from Stockholders and Other Interested Parties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CFSA">
              <w:r>
                <w:rPr>
                  <w:rStyle w:val="InternetLink"/>
                  <w:spacing w:val="4"/>
                </w:rPr>
                <w:t>33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ind w:left="200" w:right="0" w:hanging="0"/>
              <w:jc w:val="left"/>
              <w:rPr/>
            </w:pPr>
            <w:hyperlink w:anchor="tBODM">
              <w:r>
                <w:rPr>
                  <w:rStyle w:val="InternetLink"/>
                  <w:spacing w:val="4"/>
                </w:rPr>
                <w:t xml:space="preserve">Board of Directors’ Meetings and Committees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BODM">
              <w:r>
                <w:rPr>
                  <w:rStyle w:val="InternetLink"/>
                  <w:spacing w:val="4"/>
                </w:rPr>
                <w:t>33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CCIA">
              <w:r>
                <w:rPr>
                  <w:rStyle w:val="InternetLink"/>
                  <w:spacing w:val="4"/>
                </w:rPr>
                <w:t xml:space="preserve">Compensation Committee Interlocks and Insider Participation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CCIA">
              <w:r>
                <w:rPr>
                  <w:rStyle w:val="InternetLink"/>
                  <w:spacing w:val="4"/>
                </w:rPr>
                <w:t>36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729" w:type="dxa"/>
            <w:tcBorders/>
            <w:shd w:fill="CCEEFF" w:val="clear"/>
            <w:tcMar>
              <w:bottom w:w="0" w:type="dxa"/>
            </w:tcMar>
            <w:vAlign w:val="center"/>
          </w:tcPr>
          <w:p>
            <w:pPr>
              <w:pStyle w:val="TableContents"/>
              <w:spacing w:before="0" w:after="0"/>
              <w:jc w:val="left"/>
              <w:rPr/>
            </w:pPr>
            <w:hyperlink w:anchor="tINAU">
              <w:r>
                <w:rPr>
                  <w:rStyle w:val="InternetLink"/>
                  <w:spacing w:val="4"/>
                </w:rPr>
                <w:t xml:space="preserve">INDEPENDENT AUDITOR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hyperlink w:anchor="tINAU">
              <w:r>
                <w:rPr>
                  <w:rStyle w:val="InternetLink"/>
                  <w:spacing w:val="4"/>
                </w:rPr>
                <w:t>38</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729" w:type="dxa"/>
            <w:tcBorders/>
            <w:shd w:fill="auto" w:val="clear"/>
            <w:tcMar>
              <w:bottom w:w="0" w:type="dxa"/>
            </w:tcMar>
            <w:vAlign w:val="center"/>
          </w:tcPr>
          <w:p>
            <w:pPr>
              <w:pStyle w:val="TableContents"/>
              <w:spacing w:before="0" w:after="0"/>
              <w:ind w:left="200" w:right="0" w:hanging="0"/>
              <w:jc w:val="left"/>
              <w:rPr/>
            </w:pPr>
            <w:hyperlink w:anchor="tIAFA">
              <w:r>
                <w:rPr>
                  <w:rStyle w:val="InternetLink"/>
                  <w:spacing w:val="4"/>
                </w:rPr>
                <w:t xml:space="preserve">Independent Auditor Fees and Services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hyperlink w:anchor="tIAFA">
              <w:r>
                <w:rPr>
                  <w:rStyle w:val="InternetLink"/>
                  <w:spacing w:val="4"/>
                </w:rPr>
                <w:t>38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210" w:type="dxa"/>
        <w:jc w:val="left"/>
        <w:tblInd w:w="1393" w:type="dxa"/>
        <w:tblCellMar>
          <w:top w:w="0" w:type="dxa"/>
          <w:left w:w="0" w:type="dxa"/>
          <w:bottom w:w="28" w:type="dxa"/>
          <w:right w:w="0" w:type="dxa"/>
        </w:tblCellMar>
      </w:tblPr>
      <w:tblGrid>
        <w:gridCol w:w="6970"/>
        <w:gridCol w:w="109"/>
        <w:gridCol w:w="109"/>
        <w:gridCol w:w="109"/>
        <w:gridCol w:w="109"/>
        <w:gridCol w:w="541"/>
        <w:gridCol w:w="109"/>
        <w:gridCol w:w="154"/>
      </w:tblGrid>
      <w:tr>
        <w:trPr/>
        <w:tc>
          <w:tcPr>
            <w:tcW w:w="69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6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Page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ACPP">
              <w:r>
                <w:rPr>
                  <w:rStyle w:val="InternetLink"/>
                  <w:spacing w:val="4"/>
                </w:rPr>
                <w:t xml:space="preserve">Audit Committee Pre-Approval Policy and Procedures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ACPP">
              <w:r>
                <w:rPr>
                  <w:rStyle w:val="InternetLink"/>
                  <w:spacing w:val="4"/>
                </w:rPr>
                <w:t>38</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ACR">
              <w:r>
                <w:rPr>
                  <w:rStyle w:val="InternetLink"/>
                  <w:spacing w:val="4"/>
                </w:rPr>
                <w:t xml:space="preserve">Audit Committee Report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ACR">
              <w:r>
                <w:rPr>
                  <w:rStyle w:val="InternetLink"/>
                  <w:spacing w:val="4"/>
                </w:rPr>
                <w:t>38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jc w:val="left"/>
              <w:rPr/>
            </w:pPr>
            <w:hyperlink w:anchor="tEXOF">
              <w:r>
                <w:rPr>
                  <w:rStyle w:val="InternetLink"/>
                  <w:spacing w:val="4"/>
                </w:rPr>
                <w:t xml:space="preserve">EXECUTIVE OFFICERS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EXOF">
              <w:r>
                <w:rPr>
                  <w:rStyle w:val="InternetLink"/>
                  <w:spacing w:val="4"/>
                </w:rPr>
                <w:t>40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jc w:val="left"/>
              <w:rPr/>
            </w:pPr>
            <w:hyperlink w:anchor="tEOC">
              <w:r>
                <w:rPr>
                  <w:rStyle w:val="InternetLink"/>
                  <w:spacing w:val="4"/>
                </w:rPr>
                <w:t xml:space="preserve">EXECUTIVE OFFICER COMPENSATION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EOC">
              <w:r>
                <w:rPr>
                  <w:rStyle w:val="InternetLink"/>
                  <w:spacing w:val="4"/>
                </w:rPr>
                <w:t>41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CDAA">
              <w:r>
                <w:rPr>
                  <w:rStyle w:val="InternetLink"/>
                  <w:spacing w:val="4"/>
                </w:rPr>
                <w:t xml:space="preserve">Compensation Discussion and Analysis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CDAA">
              <w:r>
                <w:rPr>
                  <w:rStyle w:val="InternetLink"/>
                  <w:spacing w:val="4"/>
                </w:rPr>
                <w:t>41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CCR">
              <w:r>
                <w:rPr>
                  <w:rStyle w:val="InternetLink"/>
                  <w:spacing w:val="4"/>
                </w:rPr>
                <w:t xml:space="preserve">Compensation Committee Report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CCR">
              <w:r>
                <w:rPr>
                  <w:rStyle w:val="InternetLink"/>
                  <w:spacing w:val="4"/>
                </w:rPr>
                <w:t>49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2SCT">
              <w:r>
                <w:rPr>
                  <w:rStyle w:val="InternetLink"/>
                  <w:spacing w:val="4"/>
                </w:rPr>
                <w:t xml:space="preserve">2022 Summary Compensation Table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2SCT">
              <w:r>
                <w:rPr>
                  <w:rStyle w:val="InternetLink"/>
                  <w:spacing w:val="4"/>
                </w:rPr>
                <w:t>50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GOPA">
              <w:r>
                <w:rPr>
                  <w:rStyle w:val="InternetLink"/>
                  <w:spacing w:val="4"/>
                </w:rPr>
                <w:t xml:space="preserve">Grants of Plan Based Awards in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GOPA">
              <w:r>
                <w:rPr>
                  <w:rStyle w:val="InternetLink"/>
                  <w:spacing w:val="4"/>
                </w:rPr>
                <w:t>51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OEAA">
              <w:r>
                <w:rPr>
                  <w:rStyle w:val="InternetLink"/>
                  <w:spacing w:val="4"/>
                </w:rPr>
                <w:t xml:space="preserve">Outstanding Equity Awards at Fiscal Year-End 2022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OEAA">
              <w:r>
                <w:rPr>
                  <w:rStyle w:val="InternetLink"/>
                  <w:spacing w:val="4"/>
                </w:rPr>
                <w:t>52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OEAS">
              <w:r>
                <w:rPr>
                  <w:rStyle w:val="InternetLink"/>
                  <w:spacing w:val="4"/>
                </w:rPr>
                <w:t xml:space="preserve">Option Exercises and Stock Vested in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OEAS">
              <w:r>
                <w:rPr>
                  <w:rStyle w:val="InternetLink"/>
                  <w:spacing w:val="4"/>
                </w:rPr>
                <w:t>53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SAFI">
              <w:r>
                <w:rPr>
                  <w:rStyle w:val="InternetLink"/>
                  <w:spacing w:val="4"/>
                </w:rPr>
                <w:t xml:space="preserve">Securities Authorized for Issuance Under Equity Compensation Plans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SAFI">
              <w:r>
                <w:rPr>
                  <w:rStyle w:val="InternetLink"/>
                  <w:spacing w:val="4"/>
                </w:rPr>
                <w:t>53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NDCP">
              <w:r>
                <w:rPr>
                  <w:rStyle w:val="InternetLink"/>
                  <w:spacing w:val="4"/>
                </w:rPr>
                <w:t xml:space="preserve">Non-Qualified Deferred Compensation Plan Transactions in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NDCP">
              <w:r>
                <w:rPr>
                  <w:rStyle w:val="InternetLink"/>
                  <w:spacing w:val="4"/>
                </w:rPr>
                <w:t>54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PPUT">
              <w:r>
                <w:rPr>
                  <w:rStyle w:val="InternetLink"/>
                  <w:spacing w:val="4"/>
                </w:rPr>
                <w:t xml:space="preserve">Potential Payments Upon Termination or Change of Control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PPUT">
              <w:r>
                <w:rPr>
                  <w:rStyle w:val="InternetLink"/>
                  <w:spacing w:val="4"/>
                </w:rPr>
                <w:t>54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PRD">
              <w:r>
                <w:rPr>
                  <w:rStyle w:val="InternetLink"/>
                  <w:spacing w:val="4"/>
                </w:rPr>
                <w:t xml:space="preserve">Pay Ratio Disclosure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PRD">
              <w:r>
                <w:rPr>
                  <w:rStyle w:val="InternetLink"/>
                  <w:spacing w:val="4"/>
                </w:rPr>
                <w:t>55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PVPT">
              <w:r>
                <w:rPr>
                  <w:rStyle w:val="InternetLink"/>
                  <w:spacing w:val="4"/>
                </w:rPr>
                <w:t xml:space="preserve">Pay Versus Performance Table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PVPT">
              <w:r>
                <w:rPr>
                  <w:rStyle w:val="InternetLink"/>
                  <w:spacing w:val="4"/>
                </w:rPr>
                <w:t>57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TLOI">
              <w:r>
                <w:rPr>
                  <w:rStyle w:val="InternetLink"/>
                  <w:spacing w:val="4"/>
                </w:rPr>
                <w:t xml:space="preserve">Tabular List of Important Financial Measures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TLOI">
              <w:r>
                <w:rPr>
                  <w:rStyle w:val="InternetLink"/>
                  <w:spacing w:val="4"/>
                </w:rPr>
                <w:t>58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jc w:val="left"/>
              <w:rPr/>
            </w:pPr>
            <w:hyperlink w:anchor="tDICO">
              <w:r>
                <w:rPr>
                  <w:rStyle w:val="InternetLink"/>
                  <w:spacing w:val="4"/>
                </w:rPr>
                <w:t xml:space="preserve">DIRECTOR COMPENSATION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DICO">
              <w:r>
                <w:rPr>
                  <w:rStyle w:val="InternetLink"/>
                  <w:spacing w:val="4"/>
                </w:rPr>
                <w:t>61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2DCT">
              <w:r>
                <w:rPr>
                  <w:rStyle w:val="InternetLink"/>
                  <w:spacing w:val="4"/>
                </w:rPr>
                <w:t xml:space="preserve">2022 Director Compensation Table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2DCT">
              <w:r>
                <w:rPr>
                  <w:rStyle w:val="InternetLink"/>
                  <w:spacing w:val="4"/>
                </w:rPr>
                <w:t>61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jc w:val="left"/>
              <w:rPr/>
            </w:pPr>
            <w:hyperlink w:anchor="tRPT">
              <w:r>
                <w:rPr>
                  <w:rStyle w:val="InternetLink"/>
                  <w:spacing w:val="4"/>
                </w:rPr>
                <w:t xml:space="preserve">RELATED PERSON TRANSACTIONS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RPT">
              <w:r>
                <w:rPr>
                  <w:rStyle w:val="InternetLink"/>
                  <w:spacing w:val="4"/>
                </w:rPr>
                <w:t>63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PORP">
              <w:r>
                <w:rPr>
                  <w:rStyle w:val="InternetLink"/>
                  <w:spacing w:val="4"/>
                </w:rPr>
                <w:t xml:space="preserve">Policy on Related Person Transactions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PORP">
              <w:r>
                <w:rPr>
                  <w:rStyle w:val="InternetLink"/>
                  <w:spacing w:val="4"/>
                </w:rPr>
                <w:t>63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jc w:val="left"/>
              <w:rPr/>
            </w:pPr>
            <w:hyperlink w:anchor="tADIN">
              <w:r>
                <w:rPr>
                  <w:rStyle w:val="InternetLink"/>
                  <w:spacing w:val="4"/>
                </w:rPr>
                <w:t xml:space="preserve">ADDITIONAL INFORMATION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ADIN">
              <w:r>
                <w:rPr>
                  <w:rStyle w:val="InternetLink"/>
                  <w:spacing w:val="4"/>
                </w:rPr>
                <w:t>64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ENVSO">
              <w:r>
                <w:rPr>
                  <w:rStyle w:val="InternetLink"/>
                  <w:spacing w:val="4"/>
                </w:rPr>
                <w:t>Environmental, Social and Governance Business Integration</w:t>
              </w:r>
            </w:hyperlink>
            <w:hyperlink w:anchor="tENVSO">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ENVSO">
              <w:r>
                <w:rPr>
                  <w:rStyle w:val="InternetLink"/>
                  <w:spacing w:val="4"/>
                </w:rPr>
                <w:t>64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SPF2">
              <w:r>
                <w:rPr>
                  <w:rStyle w:val="InternetLink"/>
                  <w:spacing w:val="4"/>
                </w:rPr>
                <w:t xml:space="preserve">Stockholder Proposals for 2024 Annual Meeting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SPF2">
              <w:r>
                <w:rPr>
                  <w:rStyle w:val="InternetLink"/>
                  <w:spacing w:val="4"/>
                </w:rPr>
                <w:t>66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ind w:left="200" w:right="0" w:hanging="0"/>
              <w:jc w:val="left"/>
              <w:rPr/>
            </w:pPr>
            <w:hyperlink w:anchor="tHOAM">
              <w:r>
                <w:rPr>
                  <w:rStyle w:val="InternetLink"/>
                  <w:spacing w:val="4"/>
                </w:rPr>
                <w:t xml:space="preserve">Householding of Annual Meeting Materials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HOAM">
              <w:r>
                <w:rPr>
                  <w:rStyle w:val="InternetLink"/>
                  <w:spacing w:val="4"/>
                </w:rPr>
                <w:t>66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ARAO">
              <w:r>
                <w:rPr>
                  <w:rStyle w:val="InternetLink"/>
                  <w:spacing w:val="4"/>
                </w:rPr>
                <w:t xml:space="preserve">Annual Report and Other SEC Filings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ARAO">
              <w:r>
                <w:rPr>
                  <w:rStyle w:val="InternetLink"/>
                  <w:spacing w:val="4"/>
                </w:rPr>
                <w:t>66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70" w:type="dxa"/>
            <w:tcBorders/>
            <w:shd w:fill="auto" w:val="clear"/>
            <w:tcMar>
              <w:bottom w:w="0" w:type="dxa"/>
            </w:tcMar>
            <w:vAlign w:val="center"/>
          </w:tcPr>
          <w:p>
            <w:pPr>
              <w:pStyle w:val="TableContents"/>
              <w:spacing w:before="0" w:after="0"/>
              <w:jc w:val="left"/>
              <w:rPr/>
            </w:pPr>
            <w:hyperlink w:anchor="tANA">
              <w:r>
                <w:rPr>
                  <w:rStyle w:val="InternetLink"/>
                  <w:spacing w:val="4"/>
                </w:rPr>
                <w:t xml:space="preserve">ANNEX A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41" w:type="dxa"/>
            <w:tcBorders/>
            <w:shd w:fill="auto" w:val="clear"/>
            <w:tcMar>
              <w:bottom w:w="0" w:type="dxa"/>
            </w:tcMar>
            <w:vAlign w:val="center"/>
          </w:tcPr>
          <w:p>
            <w:pPr>
              <w:pStyle w:val="TableContents"/>
              <w:spacing w:before="0" w:after="283"/>
              <w:jc w:val="right"/>
              <w:rPr/>
            </w:pPr>
            <w:hyperlink w:anchor="tANA">
              <w:r>
                <w:rPr>
                  <w:rStyle w:val="InternetLink"/>
                  <w:spacing w:val="4"/>
                </w:rPr>
                <w:t>A-1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70" w:type="dxa"/>
            <w:tcBorders/>
            <w:shd w:fill="CCEEFF" w:val="clear"/>
            <w:tcMar>
              <w:bottom w:w="0" w:type="dxa"/>
            </w:tcMar>
            <w:vAlign w:val="center"/>
          </w:tcPr>
          <w:p>
            <w:pPr>
              <w:pStyle w:val="TableContents"/>
              <w:spacing w:before="0" w:after="0"/>
              <w:ind w:left="200" w:right="0" w:hanging="0"/>
              <w:jc w:val="left"/>
              <w:rPr/>
            </w:pPr>
            <w:hyperlink w:anchor="tANA">
              <w:r>
                <w:rPr>
                  <w:rStyle w:val="InternetLink"/>
                  <w:spacing w:val="4"/>
                </w:rPr>
                <w:t xml:space="preserve">2023 Equity Compensation Plan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41" w:type="dxa"/>
            <w:tcBorders/>
            <w:shd w:fill="CCEEFF" w:val="clear"/>
            <w:tcMar>
              <w:bottom w:w="0" w:type="dxa"/>
            </w:tcMar>
            <w:vAlign w:val="center"/>
          </w:tcPr>
          <w:p>
            <w:pPr>
              <w:pStyle w:val="TableContents"/>
              <w:spacing w:before="0" w:after="283"/>
              <w:jc w:val="right"/>
              <w:rPr/>
            </w:pPr>
            <w:hyperlink w:anchor="tAN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GIAV"/>
      <w:bookmarkEnd w:id="4"/>
      <w:r>
        <w:rPr>
          <w:rFonts w:ascii="calibri;arial;sans-serif" w:hAnsi="calibri;arial;sans-serif"/>
          <w:b w:val="false"/>
          <w:i w:val="false"/>
          <w:caps w:val="false"/>
          <w:smallCaps w:val="false"/>
          <w:color w:val="000000"/>
          <w:sz w:val="16"/>
        </w:rPr>
        <w:t>​</w:t>
      </w:r>
      <w:bookmarkStart w:id="5" w:name="tWCV"/>
      <w:bookmarkEnd w:id="5"/>
      <w:r>
        <w:rPr>
          <w:rFonts w:ascii="calibri;arial;sans-serif" w:hAnsi="calibri;arial;sans-serif"/>
          <w:b w:val="false"/>
          <w:i w:val="false"/>
          <w:caps w:val="false"/>
          <w:smallCaps w:val="false"/>
          <w:color w:val="000000"/>
          <w:sz w:val="16"/>
        </w:rPr>
        <w:t>​</w:t>
      </w:r>
      <w:bookmarkStart w:id="6" w:name="tVOT"/>
      <w:bookmarkEnd w:id="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ATN INTERNATIONAL, INC. </w:t>
        <w:br/>
        <w:t xml:space="preserve">500 Cummings Center, Suite 2450 </w:t>
        <w:br/>
        <w:t>Beverly, MA 01915</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 xml:space="preserve">FOR THE 2023 ANNUAL MEETING OF STOCKHOLDERS </w:t>
        <w:br/>
        <w:t>TO BE HELD ON JUNE 6, 2023</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 ABOUT VOTING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in connection with the solicitation of proxies by the Board of Directors (the “Board”) of ATN International, Inc., a Delaware corporation (the “Company,” “we,” “us,” and “our”), for use at the 2023 Annual Meeting of Stockholders to be held on June 6, 2023, at 9:00 a.m. ET (the “Annual Meeting”), or any adjournments or postponements thereof.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certain rules of the U.S. Securities and Exchange Commission (“SEC”) that allow issuers to furnish proxy materials to stockholders over the Internet, we are posting our proxy materials on the Internet and delivering a Notice of Internet Availability of Proxy Materials (the “Notice”) containing instructions on how to access or request a copy of our Proxy Statement, our Annual Letter to Stockholders and our Annual Report on Form 10-K for the year ended December 31, 2022 (excluding exhibits). We first mailed the Notice to stockholders on April 27, 2023, unless they requested printed copies of our proxy materials. If you would like to receive a paper or e-mail copy of our proxy materials, please follow the instructions in the Notice. If you requested printed versions of these materials by mail, they will also include a proxy card for the Annual Meeting on June 6, 2023.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Annual Meeting of Stockholders to be held on June 6, 2023:</w:t>
      </w:r>
      <w:r>
        <w:rPr>
          <w:rFonts w:ascii="Times New Roman;Times;serif" w:hAnsi="Times New Roman;Times;serif"/>
          <w:b w:val="false"/>
          <w:i w:val="false"/>
          <w:caps w:val="false"/>
          <w:smallCaps w:val="false"/>
          <w:color w:val="000000"/>
          <w:spacing w:val="4"/>
          <w:sz w:val="20"/>
        </w:rPr>
        <w:t xml:space="preserve"> This Proxy Statement and our 2022 Annual Report on Form 10-K are available at http://ir.atni.com/financials.cfm.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document includes several website addresses. These website addresses are intended to provide inactive, textual references only. The information on these websites is not part of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at the close of business on April 14, 2023 are entitled to vote at the Annual Meeting. On that date, 15,787,337 shares of common stock, par value $0.01 per share (“Common Stock”),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your shares held of record either by attending the meeting and voting in person or voting by proxy. To vote in person, you must attend the Annual Meeting and cast your vote. You do not need to register in advance to attend the Annual Meeting. On April 27, 2023, we mailed the Notice to stockholders, unless they requested printed copies of our proxy materials. The Notice contains instructions on how to access our proxy materials and how to vote. You may vote over the Internet or by telephone prior to the Annual Meeting, or, if you requested printed copies of our proxy materials, by completing, dating and returning a proxy card. Please review the instructions on the Notice or on the proxy card regarding your voting options. Any proxy that is voted according to the instructions included in the Notice or on the proxy card will be voted in the manner instructed by the stockholder, and if no instructions are given, the shares represented thereby will be voted by the proxy holders as follows: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the director nominees named herein;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largest"/>
                <wp:docPr id="16" name="Frame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the adoption of the Company’s 2023 Equity Compensation Plan and the reservation of 1,400,000 shares of Company common stock for issuance therewith;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largest"/>
                <wp:docPr id="17" name="Frame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QUO"/>
      <w:bookmarkEnd w:id="7"/>
      <w:r>
        <w:rPr>
          <w:rFonts w:ascii="calibri;arial;sans-serif" w:hAnsi="calibri;arial;sans-serif"/>
          <w:b w:val="false"/>
          <w:i w:val="false"/>
          <w:caps w:val="false"/>
          <w:smallCaps w:val="false"/>
          <w:color w:val="000000"/>
          <w:sz w:val="16"/>
        </w:rPr>
        <w:t>​</w:t>
      </w:r>
      <w:bookmarkStart w:id="8" w:name="tVORE"/>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an advisory vote to approve the compensation of our named executive officers; </w:t>
      </w:r>
      <w:r>
        <mc:AlternateContent>
          <mc:Choice Requires="wps">
            <w:drawing>
              <wp:anchor behindDoc="0" distT="0" distB="0" distL="254000" distR="0" simplePos="0" locked="0" layoutInCell="1" allowOverlap="1" relativeHeight="27">
                <wp:simplePos x="0" y="0"/>
                <wp:positionH relativeFrom="column">
                  <wp:align>left</wp:align>
                </wp:positionH>
                <wp:positionV relativeFrom="line">
                  <wp:posOffset>635</wp:posOffset>
                </wp:positionV>
                <wp:extent cx="127000" cy="350520"/>
                <wp:effectExtent l="0" t="0" r="0" b="0"/>
                <wp:wrapSquare wrapText="largest"/>
                <wp:docPr id="18" name="Frame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frequency of an advisory vote to approve the compensation of our named executive officers to take place EVERY THREE YEARS; </w:t>
      </w:r>
      <w:r>
        <mc:AlternateContent>
          <mc:Choice Requires="wps">
            <w:drawing>
              <wp:anchor behindDoc="0" distT="8001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largest"/>
                <wp:docPr id="19" name="Frame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PricewaterhouseCoopers LLP as our independent auditor; and </w:t>
      </w:r>
      <w:r>
        <mc:AlternateContent>
          <mc:Choice Requires="wps">
            <w:drawing>
              <wp:anchor behindDoc="0" distT="8001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largest"/>
                <wp:docPr id="20" name="Frame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judgment of the proxy holders named on the proxy as to any other matter that is properly brought before the Annual Meeting, or any adjournments or postponements thereof. </w:t>
      </w:r>
      <w:r>
        <mc:AlternateContent>
          <mc:Choice Requires="wps">
            <w:drawing>
              <wp:anchor behindDoc="0" distT="8128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largest"/>
                <wp:docPr id="21"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or other nominee in advance of the Annual Meeting to vote your shares in person.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1</w:t>
      </w:r>
      <w:r>
        <w:rPr>
          <w:rFonts w:ascii="Times New Roman;Times;serif" w:hAnsi="Times New Roman;Times;serif"/>
          <w:b w:val="false"/>
          <w:i w:val="false"/>
          <w:caps w:val="false"/>
          <w:smallCaps w:val="false"/>
          <w:color w:val="000000"/>
          <w:spacing w:val="4"/>
          <w:sz w:val="20"/>
        </w:rPr>
        <w:t xml:space="preserve">, the election of each director nominee, requires the affirmative vote of a majority of the votes cast and entitled to vote at the Annual Meeting regarding such 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2</w:t>
      </w:r>
      <w:r>
        <w:rPr>
          <w:rFonts w:ascii="Times New Roman;Times;serif" w:hAnsi="Times New Roman;Times;serif"/>
          <w:b w:val="false"/>
          <w:i w:val="false"/>
          <w:caps w:val="false"/>
          <w:smallCaps w:val="false"/>
          <w:color w:val="000000"/>
          <w:spacing w:val="4"/>
          <w:sz w:val="20"/>
        </w:rPr>
        <w:t xml:space="preserve">, approval of the adoption of the Company’s 2023 Equity Compensation Plan and the reservation of 1,400,000 shares of Company common stock for issuance therewith requires the affirmative vote of a majority of the shares 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not be entitled to vote a customer’s shares in their discretion on Proposal 2, however, such broker non-votes will have no effect on Proposal 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3</w:t>
      </w:r>
      <w:r>
        <w:rPr>
          <w:rFonts w:ascii="Times New Roman;Times;serif" w:hAnsi="Times New Roman;Times;serif"/>
          <w:b w:val="false"/>
          <w:i w:val="false"/>
          <w:caps w:val="false"/>
          <w:smallCaps w:val="false"/>
          <w:color w:val="000000"/>
          <w:spacing w:val="4"/>
          <w:sz w:val="20"/>
        </w:rPr>
        <w:t xml:space="preserve">, the advisory vote on the compensation of our named executive officers, requires the affirmative vote of a majority of the shares present, or represented by proxy, and entitled to vote on the matter. Abstentions will be considered to be votes present and entitled to vote on this proposal and, therefore, they will have the effect of a vote against this proposal. Banks, brokers and other nominees will not be entitled to vote a customer’s shares in their discretion on Proposal 3, however, such broker non-votes will have no effect on Proposal 3.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4</w:t>
      </w:r>
      <w:r>
        <w:rPr>
          <w:rFonts w:ascii="Times New Roman;Times;serif" w:hAnsi="Times New Roman;Times;serif"/>
          <w:b w:val="false"/>
          <w:i w:val="false"/>
          <w:caps w:val="false"/>
          <w:smallCaps w:val="false"/>
          <w:color w:val="000000"/>
          <w:spacing w:val="4"/>
          <w:sz w:val="20"/>
        </w:rPr>
        <w:t xml:space="preserve">, the advisory vote to determine the frequency of future advisory votes on the compensation of our named executive officers, requires an affirmative vote of a plurality of the shares cast and entitled to vote on the matter. Abstentions and broker non-votes are not considered votes cast for the foregoing purpose, and will have no effect on the results of Proposal 4.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OP"/>
      <w:bookmarkEnd w:id="9"/>
      <w:r>
        <w:rPr>
          <w:rFonts w:ascii="calibri;arial;sans-serif" w:hAnsi="calibri;arial;sans-serif"/>
          <w:b w:val="false"/>
          <w:i w:val="false"/>
          <w:caps w:val="false"/>
          <w:smallCaps w:val="false"/>
          <w:color w:val="000000"/>
          <w:sz w:val="16"/>
        </w:rPr>
        <w:t>​</w:t>
      </w:r>
      <w:bookmarkStart w:id="10" w:name="tWCIF"/>
      <w:bookmarkEnd w:id="10"/>
      <w:r>
        <w:rPr>
          <w:rFonts w:ascii="calibri;arial;sans-serif" w:hAnsi="calibri;arial;sans-serif"/>
          <w:b w:val="false"/>
          <w:i w:val="false"/>
          <w:caps w:val="false"/>
          <w:smallCaps w:val="false"/>
          <w:color w:val="000000"/>
          <w:sz w:val="16"/>
        </w:rPr>
        <w:t>​</w:t>
      </w:r>
      <w:bookmarkStart w:id="11" w:name="tSOEX"/>
      <w:bookmarkEnd w:id="11"/>
      <w:r>
        <w:rPr>
          <w:rFonts w:ascii="calibri;arial;sans-serif" w:hAnsi="calibri;arial;sans-serif"/>
          <w:b w:val="false"/>
          <w:i w:val="false"/>
          <w:caps w:val="false"/>
          <w:smallCaps w:val="false"/>
          <w:color w:val="000000"/>
          <w:sz w:val="16"/>
        </w:rPr>
        <w:t>​</w:t>
      </w:r>
      <w:bookmarkStart w:id="12" w:name="tWTCF"/>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5,</w:t>
      </w:r>
      <w:r>
        <w:rPr>
          <w:rFonts w:ascii="Times New Roman;Times;serif" w:hAnsi="Times New Roman;Times;serif"/>
          <w:b w:val="false"/>
          <w:i w:val="false"/>
          <w:caps w:val="false"/>
          <w:smallCaps w:val="false"/>
          <w:color w:val="000000"/>
          <w:spacing w:val="4"/>
          <w:sz w:val="20"/>
        </w:rPr>
        <w:t xml:space="preserve"> the ratification of the appointment of PricewaterhouseCoopers LLP as our independent auditor for 2023 requires the affirmative vote of a majority of the shares 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be entitled to vote a customer’s shares in their discretion on Proposal 5, so there will be no broker non-votes on Proposal 5.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may be revoked at any time before it is exercised by delivering a written revocation to ATN International, Inc., Attn: Secretary, 500 Cummings Center, Suite 2450, Beverly, MA 01915. A proxy may also be revoked by re-voting by Internet or by telephone as instructed on your Notice or proxy card, as applicable, or by voting in person at the Annual Meeting. If you hold your shares through a bank, broker or other nominee, you must make arrangements with your bank, broker, or other nominee to revoke your proxy.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Expenses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solicitation is being made by us and as such, 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$20,000 for any such services, plus reasonable out-of-pocket expenses.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to Contact for Additional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how to submit your proxy, or if you received paper copies of our proxy materials and you need additional copies of this Proxy Statement or the enclosed proxy card, please contact our proxy solicitor: </w:t>
      </w:r>
    </w:p>
    <w:p>
      <w:pPr>
        <w:pStyle w:val="TextBody"/>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Broadridge Investor Communications Solutions, Inc. </w:t>
        <w:br/>
        <w:t xml:space="preserve">BY INTERNET: www.proxyvote.com </w:t>
        <w:br/>
        <w:t xml:space="preserve">BY TELEPHONE: 1-800-579-1639 </w:t>
        <w:br/>
        <w:t xml:space="preserve">BY E-MAIL: sendmaterial@proxyvote.com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attending the meeting in person or require directions, please contact us at the following address or telephone number: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ATN International, Inc. </w:t>
        <w:br/>
        <w:t xml:space="preserve">Attn: Investor Relations </w:t>
        <w:br/>
        <w:t xml:space="preserve">500 Cummings Center </w:t>
        <w:br/>
        <w:t xml:space="preserve">Suite 2450 </w:t>
        <w:br/>
        <w:t xml:space="preserve">Beverly, MA 01915 </w:t>
        <w:br/>
        <w:t xml:space="preserve">BY TELEPHONE: (978) 619-1300 </w:t>
        <w:br/>
        <w:t>BY E-MAIL: ir@atni.com</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OOC"/>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known to us as of April 14, 2023 (unless otherwise indicated in the footnotes to this table) with respect to the shares of our common stock that were beneficially owned as of such date by: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current directors and director nominees;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largest"/>
                <wp:docPr id="22"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as listed in the Summary Compensation Table herein;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23" name="Frame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directors and executive officers as a group; and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largest"/>
                <wp:docPr id="24" name="Frame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(including any partnership, syndicate or other group) known to us to be the beneficial owner of more than 5% of our outstanding shares of Common Stock.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largest"/>
                <wp:docPr id="25" name="Frame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person listed below includes any shares that the person has a right to acquire on or before June 13, 2023 by exercising rights to acquire shares. For each person listed below, the percentage set forth under “Percent of Class” was calculated based on 15,789,317 shares of Common Stock outstanding on April 14, 2023, plus any shares that person could acquire on or before June 13, 2023.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 </w:t>
      </w:r>
    </w:p>
    <w:tbl>
      <w:tblPr>
        <w:tblW w:w="8812" w:type="dxa"/>
        <w:jc w:val="left"/>
        <w:tblInd w:w="1393" w:type="dxa"/>
        <w:tblCellMar>
          <w:top w:w="0" w:type="dxa"/>
          <w:left w:w="0" w:type="dxa"/>
          <w:bottom w:w="28" w:type="dxa"/>
          <w:right w:w="0" w:type="dxa"/>
        </w:tblCellMar>
      </w:tblPr>
      <w:tblGrid>
        <w:gridCol w:w="5748"/>
        <w:gridCol w:w="109"/>
        <w:gridCol w:w="109"/>
        <w:gridCol w:w="109"/>
        <w:gridCol w:w="109"/>
        <w:gridCol w:w="1066"/>
        <w:gridCol w:w="109"/>
        <w:gridCol w:w="109"/>
        <w:gridCol w:w="109"/>
        <w:gridCol w:w="109"/>
        <w:gridCol w:w="109"/>
        <w:gridCol w:w="753"/>
        <w:gridCol w:w="109"/>
        <w:gridCol w:w="155"/>
      </w:tblGrid>
      <w:tr>
        <w:trPr/>
        <w:tc>
          <w:tcPr>
            <w:tcW w:w="5748"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91"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Shares Beneficially Owned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5748"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Beneficial Owners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8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Percent of </w:t>
              <w:br/>
              <w:t xml:space="preserve">Class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283"/>
              <w:jc w:val="left"/>
              <w:rPr/>
            </w:pPr>
            <w:r>
              <w:rPr>
                <w:spacing w:val="-4"/>
              </w:rPr>
              <w:t>Directors, Director Nominees, Named Executive Officers: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Michael T. Prior(1)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585,704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3.71%</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Bernard J. Bulkin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14,759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James S. Eisenstein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8,982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Richard J. Ganong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11,549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April V. Henry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Derek Hudson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Patricia Jacobs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Pamela F. Lenehan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7,628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Liane J. Pelletier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20,816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Justin D. Benincasa(2)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34,229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Justin M. Leon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3,094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Mary M. Mabey(3)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11,256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Brad W. Martin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15,062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All Current Directors, Director Nominees and Executive Officers as a group (13 persons)(4)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716,960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4.54%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283"/>
              <w:jc w:val="left"/>
              <w:rPr/>
            </w:pPr>
            <w:r>
              <w:rPr>
                <w:spacing w:val="-4"/>
              </w:rPr>
              <w:t>5% Stockholders: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Cornelius B. Prior, Jr.(5)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4,184,730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26.50%</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BlackRock, Inc.(6)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1,804,666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11.43%</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The Vanguard Group(7)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1,178,440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7.46%</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748" w:type="dxa"/>
            <w:tcBorders/>
            <w:shd w:fill="auto" w:val="clear"/>
            <w:tcMar>
              <w:bottom w:w="0" w:type="dxa"/>
            </w:tcMar>
            <w:vAlign w:val="center"/>
          </w:tcPr>
          <w:p>
            <w:pPr>
              <w:pStyle w:val="TableContents"/>
              <w:spacing w:before="0" w:after="0"/>
              <w:jc w:val="left"/>
              <w:rPr>
                <w:spacing w:val="4"/>
              </w:rPr>
            </w:pPr>
            <w:r>
              <w:rPr>
                <w:spacing w:val="4"/>
              </w:rPr>
              <w:t xml:space="preserve">Dimensional Fund Advisors LP(8)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1,117,532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53" w:type="dxa"/>
            <w:tcBorders/>
            <w:shd w:fill="auto" w:val="clear"/>
            <w:tcMar>
              <w:bottom w:w="0" w:type="dxa"/>
            </w:tcMar>
            <w:vAlign w:val="center"/>
          </w:tcPr>
          <w:p>
            <w:pPr>
              <w:pStyle w:val="TableContents"/>
              <w:spacing w:before="0" w:after="283"/>
              <w:jc w:val="right"/>
              <w:rPr/>
            </w:pPr>
            <w:r>
              <w:rPr/>
              <w:t>7.08%</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748" w:type="dxa"/>
            <w:tcBorders/>
            <w:shd w:fill="CCEEFF" w:val="clear"/>
            <w:tcMar>
              <w:bottom w:w="0" w:type="dxa"/>
            </w:tcMar>
            <w:vAlign w:val="center"/>
          </w:tcPr>
          <w:p>
            <w:pPr>
              <w:pStyle w:val="TableContents"/>
              <w:spacing w:before="0" w:after="0"/>
              <w:jc w:val="left"/>
              <w:rPr>
                <w:spacing w:val="4"/>
              </w:rPr>
            </w:pPr>
            <w:r>
              <w:rPr>
                <w:spacing w:val="4"/>
              </w:rPr>
              <w:t xml:space="preserve">Global Alpha Capital Management Ltd.(9)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1,151,352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53" w:type="dxa"/>
            <w:tcBorders/>
            <w:shd w:fill="CCEEFF" w:val="clear"/>
            <w:tcMar>
              <w:bottom w:w="0" w:type="dxa"/>
            </w:tcMar>
            <w:vAlign w:val="center"/>
          </w:tcPr>
          <w:p>
            <w:pPr>
              <w:pStyle w:val="TableContents"/>
              <w:spacing w:before="0" w:after="283"/>
              <w:jc w:val="right"/>
              <w:rPr/>
            </w:pPr>
            <w:r>
              <w:rPr/>
              <w:t>7.29%</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889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largest"/>
                <wp:docPr id="26" name="Frame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448,349 shares owned by Mr. Prior or the Michael T. Prior 2013 Trust and 128,847 shares owned by the Lauren T. Prior 2013 Trust, for each of which Mr. Prior serves as trustee. Also includes </w:t>
      </w:r>
      <w:r>
        <mc:AlternateContent>
          <mc:Choice Requires="wps">
            <w:drawing>
              <wp:anchor behindDoc="0" distT="381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largest"/>
                <wp:docPr id="27" name="Frame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200"/>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8,041 shares held by the RP 2014 Trust, 7,741 shares held by the WP 2015 Trust, 8,141 shares held by the JP 2018 Trust and 3,335 shares held by the Prior Family Trust 2019. Mr. Prior serves as trustee for each trust and disclaims beneficial ownership of all shares held by these trusts.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42,142 shares owned by Justin D. Benincasa Revocable Trust, for which Mr. Benincasa serves as trustee.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largest"/>
                <wp:docPr id="28" name="Frame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7,979 shares held jointly with Ms. Mabey’s spouse.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largest"/>
                <wp:docPr id="29" name="Frame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footnotes (1) through (3). </w:t>
      </w:r>
      <w:r>
        <mc:AlternateContent>
          <mc:Choice Requires="wps">
            <w:drawing>
              <wp:anchor behindDoc="0" distT="508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largest"/>
                <wp:docPr id="30" name="Frame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schedule 13G/A filed with the SEC on February 9, 2023. Mr. C.B. Prior has sole voting and dispositive power with respect to 4,184,730 shares and shared voting and dispositive power with respect to 500 shares. The business address for Mr. C.B. Prior is 5521 Curacao Gade, St. Thomas, Virgin Islands 00802. </w:t>
      </w:r>
      <w:r>
        <mc:AlternateContent>
          <mc:Choice Requires="wps">
            <w:drawing>
              <wp:anchor behindDoc="0" distT="508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largest"/>
                <wp:docPr id="31" name="Frame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information contained in this holder’s schedule 13G/A filed with the SEC on January 26, 2023, BlackRock, Inc. (“Blackrock”) has sole voting power with respect to 1,771,991 shares and sole dispositive power with respect to 1,804,666 shares. The address of Blackrock is 55 East 52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Street, New York, New York 10055. </w:t>
      </w:r>
      <w:r>
        <mc:AlternateContent>
          <mc:Choice Requires="wps">
            <w:drawing>
              <wp:anchor behindDoc="0" distT="508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largest"/>
                <wp:docPr id="32" name="Frame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schedule 13G/A filed with the SEC on February 9, 2023, The Vanguard Group (“Vanguard”) does not have sole voting power with respect to any shares, shared voting power with respect to 7,313 shares, sole dispositive power with respect to 1,162,873 shares and shared dispositive power with respect to 15,567 shares. The address of Vanguard is 100 Vanguard Blvd., Malvern, Pennsylvania 19355.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largest"/>
                <wp:docPr id="33" name="Frame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schedule 13G/A filed with the SEC on February 10, 2023, Dimensional Fund Advisors LP (“Dimensional”) has sole voting power with respect to 1,095,521 shares and sole dispositive power with respect to 1,117,532 shares. The address of Dimensional is Building One, 6300 Bee Cave Road, Austin, Texas 78746. </w:t>
      </w:r>
      <w:r>
        <mc:AlternateContent>
          <mc:Choice Requires="wps">
            <w:drawing>
              <wp:anchor behindDoc="0" distT="508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largest"/>
                <wp:docPr id="34" name="Frame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information contained in this holder’s schedule 13G/A filed with the SEC on February 10, 2023, Global Alpha Capital Management Ltd. (“Global Alpha”) has sole voting power with respect to 823,537 shares and sole dispositive power with respect to 1,151,352 shares. The address of Global Alpha is 1800 McGill College, Suite 1300, Montreal, Quebec, H3A 3J6, Canada.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largest"/>
                <wp:docPr id="35" name="Frame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1EO"/>
      <w:bookmarkEnd w:id="14"/>
      <w:r>
        <w:rPr>
          <w:rFonts w:ascii="calibri;arial;sans-serif" w:hAnsi="calibri;arial;sans-serif"/>
          <w:b w:val="false"/>
          <w:i w:val="false"/>
          <w:caps w:val="false"/>
          <w:smallCaps w:val="false"/>
          <w:color w:val="000000"/>
          <w:sz w:val="16"/>
        </w:rPr>
        <w:t>​</w:t>
      </w:r>
      <w:bookmarkStart w:id="15" w:name="tVORE1"/>
      <w:bookmarkEnd w:id="15"/>
      <w:r>
        <w:rPr>
          <w:rFonts w:ascii="calibri;arial;sans-serif" w:hAnsi="calibri;arial;sans-serif"/>
          <w:b w:val="false"/>
          <w:i w:val="false"/>
          <w:caps w:val="false"/>
          <w:smallCaps w:val="false"/>
          <w:color w:val="000000"/>
          <w:sz w:val="16"/>
        </w:rPr>
        <w:t>​</w:t>
      </w:r>
      <w:bookmarkStart w:id="16" w:name="tROOB"/>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ELECTION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being asked to elect the following seven members to our Board to hold office until our next annual meeting of stockholders or until their respective successors are elected and qualified, subject to their earlier retirement, resignation or removal: </w:t>
      </w:r>
    </w:p>
    <w:p>
      <w:pPr>
        <w:pStyle w:val="TextBody"/>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Bernard J. Bulkin </w:t>
        <w:br/>
        <w:t xml:space="preserve">Richard J. Ganong </w:t>
        <w:br/>
        <w:t xml:space="preserve">April V. Henry </w:t>
        <w:br/>
        <w:t xml:space="preserve">Derek Hudson </w:t>
        <w:br/>
        <w:t xml:space="preserve">Patricia Jacobs </w:t>
        <w:br/>
        <w:t xml:space="preserve">Pamela F. Lenehan </w:t>
        <w:br/>
        <w:t xml:space="preserve">Michael T. Prior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 Mr. Eisenstein and Ms. Pelletier are not standing for re-election as directors and accordingly, will cease to serve as directors following the Annual Meeting. The Board thanks Ms. Pelletier and Mr. Eisenstein for their years of service.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Nominating and Corporate Governance Committee in making its recommendation, and the Board in making its decision, each may consider any factors and other information that they consider appropriate and relevant.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UNANIMOUSLY RECOMMENDS THAT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EACH OF THESE NOMINEES.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ANE"/>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35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NOMINEE EXPERIENCE AND QUALIFICATIONS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believes that diversity among Board members in background, expertise and life experience is beneficial as it expands the range of perspectives brought to Board deliberations. Accordingly, our Nominating and Corporate Governance Committee utilizes a matrix of skills to consider a wide range of capabilities that each nominee may bring to the Board, as well as differences of viewpoint, professional experience, education, skill and other characteristics that are relevant to the current needs of the Company. Additional information about the Director candidates follows on page 9.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 candidates skills, experience, and attributes at a glance: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5457825" cy="537210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5457825" cy="5372100"/>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biographical information about each of the nominees for director: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 BERNARD J. BULKIN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Bulkin was selected as a candidate for the Board due to his extensive corporate board and governance experience and his work and board experience in infrastructure businesses, including renewable energy. Dr. Bulkin held several senior management roles in a highly regulated, capital intensive industry and brings particular expertise with respect to operational and general management oversight, as well as technology adoption and product development. He is also a shareholder director of a holding company for the Company’s renewable energy business, operating under the Vibrant name in India. </w:t>
      </w:r>
    </w:p>
    <w:p>
      <w:pPr>
        <w:pStyle w:val="TextBody"/>
        <w:spacing w:lineRule="atLeast" w:line="240" w:before="16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81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2016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Lead Director </w:t>
      </w:r>
      <w:r>
        <mc:AlternateContent>
          <mc:Choice Requires="wps">
            <w:drawing>
              <wp:anchor behindDoc="0" distT="77470" distB="0" distL="508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37"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Nominating and Corporate Governance Committee </w:t>
      </w:r>
      <w:r>
        <mc:AlternateContent>
          <mc:Choice Requires="wps">
            <w:drawing>
              <wp:anchor behindDoc="0" distT="77470" distB="0" distL="508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largest"/>
                <wp:docPr id="38"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Audit Committee </w:t>
      </w:r>
      <w:r>
        <mc:AlternateContent>
          <mc:Choice Requires="wps">
            <w:drawing>
              <wp:anchor behindDoc="0" distT="77470" distB="0" distL="508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39"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Governance </w:t>
      </w:r>
      <w:r>
        <mc:AlternateContent>
          <mc:Choice Requires="wps">
            <w:drawing>
              <wp:anchor behindDoc="0" distT="77470" distB="0" distL="508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40"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and Capital Allocation </w:t>
      </w:r>
      <w:r>
        <mc:AlternateContent>
          <mc:Choice Requires="wps">
            <w:drawing>
              <wp:anchor behindDoc="0" distT="77470" distB="0" distL="508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largest"/>
                <wp:docPr id="41"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Management </w:t>
      </w:r>
      <w:r>
        <mc:AlternateContent>
          <mc:Choice Requires="wps">
            <w:drawing>
              <wp:anchor behindDoc="0" distT="77470" distB="0" distL="508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largest"/>
                <wp:docPr id="42"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Bulkin has held several senior management roles throughout his approximately twenty-year career at British Petroleum, including Director of the refining business, Vice President Environmental Affairs, and Chief Scientist, and left BP in 2003. He is currently a Director VH-Global Sustainable Energy Opportunities Plc (LDN:GSEO) (Chairman), QLM Technology Ltd (Chairman). Dr. Bulkin has served on the boards of Severn Trent plc, Ludgate Investments Limited, HMN Colmworth Ltd., ARQ, Ltd., Chemrec AB, REAC Fuel AB, and Ze-gen Corporation,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Bulkin earned a B.S. in Chemistry from the Polytechnic Institute of Brooklyn and a Ph.D. in Physical Chemistry from Purdue University. Dr. Bulkin is Emeritus Professorial Fellow at the University of Cambridge and is the author of Crash Course (2015) and Solving Chemistry (2019). He was awarded the Honour of Officer of the Order of the British Empire (OBE) in the 2017 New Year Honours List.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RICHARD J. GANONG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Ganong was selected as a candidate for the Board due to his extensive investment background and his corporate advisory experience. In particular, Mr. Ganong’s experience in investment management brings particular expertise to the Board in advising management with respect to capital allocation discipline and review.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59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2018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Compensation Committee </w:t>
      </w:r>
      <w:r>
        <mc:AlternateContent>
          <mc:Choice Requires="wps">
            <w:drawing>
              <wp:anchor behindDoc="0" distT="77470" distB="0" distL="508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largest"/>
                <wp:docPr id="43"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Investment Committee </w:t>
      </w:r>
      <w:r>
        <mc:AlternateContent>
          <mc:Choice Requires="wps">
            <w:drawing>
              <wp:anchor behindDoc="0" distT="77470" distB="0" distL="508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largest"/>
                <wp:docPr id="44"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3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Development </w:t>
      </w:r>
      <w:r>
        <mc:AlternateContent>
          <mc:Choice Requires="wps">
            <w:drawing>
              <wp:anchor behindDoc="0" distT="82550" distB="0" distL="508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45"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5pt;mso-wrap-distance-bottom:0pt;margin-top:6.5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and Capital Allocation </w:t>
      </w:r>
      <w:r>
        <mc:AlternateContent>
          <mc:Choice Requires="wps">
            <w:drawing>
              <wp:anchor behindDoc="0" distT="91440" distB="0" distL="508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6"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Technology </w:t>
      </w:r>
      <w:r>
        <mc:AlternateContent>
          <mc:Choice Requires="wps">
            <w:drawing>
              <wp:anchor behindDoc="0" distT="91440" distB="0" distL="508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47" name="Frame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Ganong previously worked at the Tudor Investment Corporation, an internationally recognized diversified investment management firm, from 1993 to 2009, including as a Partner from 2000 to 2009,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an investment and advisory boutique. Mr. Ganong also is an emeritus member of the Board of Overseers at the Tuck School at Dartmouth. He is currently a member of the Board of Directors of LMCG Investments, LLC and the Secretary of the Gasparilla Island Conservation and Improvement Association.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Ganong holds a Bachelor of Arts from Bowdoin College and an MBA from the Tuck School at Dartmouth.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APRIL V. HENRY</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Henry was selected as a candidate for the Board due to her technology expertise and experience, with both smaller and larger companies, and her years sourcing and evaluating deals, mergers, acquisitions and strategic partnerships for major media companies. Ms. Henry’s experience brings particular emphasis to the Board with respect to corporate development and capital allocation advising. </w:t>
      </w:r>
    </w:p>
    <w:p>
      <w:pPr>
        <w:pStyle w:val="TextBody"/>
        <w:spacing w:lineRule="atLeast" w:line="25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53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2022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3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Audit Committee </w:t>
      </w:r>
      <w:r>
        <mc:AlternateContent>
          <mc:Choice Requires="wps">
            <w:drawing>
              <wp:anchor behindDoc="0" distT="82550" distB="0" distL="508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48"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5pt;mso-wrap-distance-bottom:0pt;margin-top:6.5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Investment Committee </w:t>
      </w:r>
      <w:r>
        <mc:AlternateContent>
          <mc:Choice Requires="wps">
            <w:drawing>
              <wp:anchor behindDoc="0" distT="91440" distB="0" distL="508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49"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3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Development </w:t>
      </w:r>
      <w:r>
        <mc:AlternateContent>
          <mc:Choice Requires="wps">
            <w:drawing>
              <wp:anchor behindDoc="0" distT="82550" distB="0" distL="508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50"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5pt;mso-wrap-distance-bottom:0pt;margin-top:6.5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and Capital Allocation </w:t>
      </w:r>
      <w:r>
        <mc:AlternateContent>
          <mc:Choice Requires="wps">
            <w:drawing>
              <wp:anchor behindDoc="0" distT="91440" distB="0" distL="508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51"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Technology </w:t>
      </w:r>
      <w:r>
        <mc:AlternateContent>
          <mc:Choice Requires="wps">
            <w:drawing>
              <wp:anchor behindDoc="0" distT="91440" distB="0" distL="508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2"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Henry is the General Partner of Defiance Capital, an early-stage venture capital fund as well as the Founder and Managing Partner of Hawkeye Digital, a management consulting firm that is focused on driving revenue growth, core decision-making and business and human capital transformation at critical points in their growth cycle. In addition, Ms. Henry is currently a director of SciPlay Corporation (Nasdaq: SCPL). Prior to her current roles, Ms. Henry was the Executive Vice President of Corporate Development for Science Inc. and Science Strategic Acquisition Corp. Alpha (Nasdaq: SSAA) from 2020 to 2022, Co-Founder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and a special advisor to S4 Capital, PLC.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Henry received her undergraduate degree in Political Science from Columbia University.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DEREK HUDSON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Hudson was selected as a candidate for the Board for his management and professional expertise in both a highly regulated industry and in the Caribbean. In particular, Mr. Hudson has over three decades of experience in the oil and gas industry.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67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and Capital Allocation </w:t>
      </w:r>
      <w:r>
        <mc:AlternateContent>
          <mc:Choice Requires="wps">
            <w:drawing>
              <wp:anchor behindDoc="0" distT="74930" distB="0" distL="508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53"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Development </w:t>
      </w:r>
      <w:r>
        <mc:AlternateContent>
          <mc:Choice Requires="wps">
            <w:drawing>
              <wp:anchor behindDoc="0" distT="74930" distB="0" distL="508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54"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Industry </w:t>
      </w:r>
      <w:r>
        <mc:AlternateContent>
          <mc:Choice Requires="wps">
            <w:drawing>
              <wp:anchor behindDoc="0" distT="74930" distB="0" distL="508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55"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Hudson currently serves as the Chairman of the Board of Scotia Bank Trinidad and Tobago Limited and has been a member of the Board since June 2016. Following his retirement from his role as Shell’s Vice President and Country Chairman, Trinidad &amp; Tobago from June 2016 to June 2019, Mr. Hudson most recently served as a Business Advisor to Shell’s Integrated Gas Business until June 2021. Prior to the combination of Royal Dutch Shell and BG Group in February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has also served on the board of Atlantic LNG, a joint venture owned by Shell, BP and the National Gas Company of Trinidad and Tobago, and at present is a non-Executive Director of Trinity Energy, a UK registered independent company focused on Trinidad and Tobago. He has also served on NGOs and other voluntary organizations in Trinidad and Tobago, and performed the role of Non-Executive Chairman of the Port Authority of Trinidad and Tobago from 2005 – 2010.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PATRICIA JACOBS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Jacobs was selected as a candidate to the Company’s board due to her extensive national and international expertise in leading corporate strategy and driving revenue growth in capital-intensive regulated industries, including communications, energy, and transportation.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59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Management </w:t>
      </w:r>
      <w:r>
        <mc:AlternateContent>
          <mc:Choice Requires="wps">
            <w:drawing>
              <wp:anchor behindDoc="0" distT="74930" distB="0" distL="508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56"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Development </w:t>
      </w:r>
      <w:r>
        <mc:AlternateContent>
          <mc:Choice Requires="wps">
            <w:drawing>
              <wp:anchor behindDoc="0" distT="74930" distB="0" distL="508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57"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w:t>
      </w:r>
      <w:r>
        <mc:AlternateContent>
          <mc:Choice Requires="wps">
            <w:drawing>
              <wp:anchor behindDoc="0" distT="76200" distB="0" distL="508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58"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Jacobs held several leadership positions during her 37-year career in telecommunications, energy, and government, including President, New England Region for AT&amp;T from 2010 to 2020, and President, Northern Region from March 2020 until her retirement from the company in November 2022. Prior to such positions, Ms. Jacobs also served as Vice President for International Public Affairs, where she led international initiatives and corporate reputation campaigns globally; and Regional Vice President for Federal Public Affairs, where she worked on several mergers and a wide range of federal legislative and regulatory matters. Prior to joining AT&amp;T, Ms. Jacobs served as an aide to then Congressman Edward J. Markey (D-MA) at the Subcommittee on Energy and Power, and as a member of the staff of the Massachusetts Senate’s Commerce and Labor Committee.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Jacobs was appointed to the Board of Directors the Massachusetts Port Authority in August of 2016, and she currently serves as Vice-Chair of the Board, and Chairs the Facilities and Construction, and Human Resources, Compensation, and Diversity Committees. Ms. Jacobs also serves on the board of Avangrid (NYSE: NGR), and is a member of the Compensation and Nominating and the Unaffiliated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Committees. Additionally, she is Vice Chair of the New England Council and serves on the boards of the JFK Presidential Library Foundation, the Greater Boston Chamber, the Boys and Girls Clubs of Boston, and is on the Leadership Council for Home Base (a partnership of Mass General Hospital and the Red Sox Foundation).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Jacobs holds a B.A. from the University of Texas at Austin, and an M.A. and Ph.D. in Political Science from Boston College.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PAMELA F. LENEHAN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Lenehan was selected as a candidate for the Board due to her broad financial, operating and board experience and her qualification as a financial expert. In particular, Ms. Lenehan’s corporate governance and financial oversight experience aid in her role as Chair of the Company’s Audit Committee.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70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2020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Audit Committee </w:t>
      </w:r>
      <w:r>
        <mc:AlternateContent>
          <mc:Choice Requires="wps">
            <w:drawing>
              <wp:anchor behindDoc="0" distT="77470" distB="0" distL="508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59"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Nominating and Corporate Governance </w:t>
      </w:r>
      <w:r>
        <mc:AlternateContent>
          <mc:Choice Requires="wps">
            <w:drawing>
              <wp:anchor behindDoc="0" distT="77470" distB="0" distL="508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largest"/>
                <wp:docPr id="60"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Finance and Accounting </w:t>
      </w:r>
      <w:r>
        <mc:AlternateContent>
          <mc:Choice Requires="wps">
            <w:drawing>
              <wp:anchor behindDoc="0" distT="77470" distB="0" distL="508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largest"/>
                <wp:docPr id="61"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and Capital Allocation </w:t>
      </w:r>
      <w:r>
        <mc:AlternateContent>
          <mc:Choice Requires="wps">
            <w:drawing>
              <wp:anchor behindDoc="0" distT="77470" distB="0" distL="508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largest"/>
                <wp:docPr id="62"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Management and Strategy </w:t>
      </w:r>
      <w:r>
        <mc:AlternateContent>
          <mc:Choice Requires="wps">
            <w:drawing>
              <wp:anchor behindDoc="0" distT="77470" distB="0" distL="508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largest"/>
                <wp:docPr id="63"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 Lenehan is also currently a director and chair of the audit committee of Rithm Capital (NYSE: RITM), a director of the Center for Women &amp; Enterprise, the National Association of Corporate Directors New England Chapter, and is co-chair of the Boston Chapter of Women Corporate Directors. Ms. Lenehan previously served on the boards of Monotype Imaging, Civitas Solutions, American Superconductor, Spartech Corporation and Avid Technology.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Lenehan earned a B.A. in Mathematical Economics, Cum Laude and with Honors, and a M.A. in Economics from Brown University. Ms. Lenehan holds a NACD Directorship Certification from the National Association of Corporate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T. PRIOR</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Prior was selected as a candidate for the Board due to his long tenure as Chief Executive Officer of the Company and his extensive experience in the telecommunications industry. Mr. Prior’s experience in corporate development as well as financial background assists the Board in capital allocation and investment management.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58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2008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w:t>
      </w:r>
      <w:r>
        <mc:AlternateContent>
          <mc:Choice Requires="wps">
            <w:drawing>
              <wp:anchor behindDoc="0" distT="76200" distB="0" distL="508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64"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Investment Committee </w:t>
      </w:r>
      <w:r>
        <mc:AlternateContent>
          <mc:Choice Requires="wps">
            <w:drawing>
              <wp:anchor behindDoc="0" distT="76200" distB="0" distL="508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65"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Top Three Identified Skills: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Management and Strategy </w:t>
      </w:r>
      <w:r>
        <mc:AlternateContent>
          <mc:Choice Requires="wps">
            <w:drawing>
              <wp:anchor behindDoc="0" distT="80010" distB="0" distL="508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66"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Development </w:t>
      </w:r>
      <w:r>
        <mc:AlternateContent>
          <mc:Choice Requires="wps">
            <w:drawing>
              <wp:anchor behindDoc="0" distT="80010" distB="0" distL="508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67"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and Capital Allocation </w:t>
      </w:r>
      <w:r>
        <mc:AlternateContent>
          <mc:Choice Requires="wps">
            <w:drawing>
              <wp:anchor behindDoc="0" distT="80010" distB="0" distL="508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largest"/>
                <wp:docPr id="68"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joining the Company, Mr. Prior was a partner with Q Advisors LLC, a Denver based investment banking and financial advisory firm focused on the technology and telecommunications sectors. Previous to that, Mr. Prior began his career as a corporate attorney with Cleary Gottlieb Steen &amp; Hamilton LLP in London and New York.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 Matrix</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we asked each of our directors and director candidates elected to provide information on certain background, gender identity and demographic background characteristics to disclose the diversity make up of our Board in line with Nasdaq’s Board Diversity Rule as set forth in the table below. Although the Board is disclosing this information in accordance with the Nasdaq Board Diversity Rules, the Board takes a broader view of diversity amongst its members including skillset, work and life experiences. </w:t>
      </w:r>
    </w:p>
    <w:tbl>
      <w:tblPr>
        <w:tblW w:w="8812" w:type="dxa"/>
        <w:jc w:val="left"/>
        <w:tblInd w:w="1393" w:type="dxa"/>
        <w:tblCellMar>
          <w:top w:w="0" w:type="dxa"/>
          <w:left w:w="0" w:type="dxa"/>
          <w:bottom w:w="50" w:type="dxa"/>
          <w:right w:w="0" w:type="dxa"/>
        </w:tblCellMar>
      </w:tblPr>
      <w:tblGrid>
        <w:gridCol w:w="3579"/>
        <w:gridCol w:w="109"/>
        <w:gridCol w:w="109"/>
        <w:gridCol w:w="132"/>
        <w:gridCol w:w="132"/>
        <w:gridCol w:w="421"/>
        <w:gridCol w:w="134"/>
        <w:gridCol w:w="109"/>
        <w:gridCol w:w="109"/>
        <w:gridCol w:w="109"/>
        <w:gridCol w:w="109"/>
        <w:gridCol w:w="346"/>
        <w:gridCol w:w="109"/>
        <w:gridCol w:w="109"/>
        <w:gridCol w:w="109"/>
        <w:gridCol w:w="203"/>
        <w:gridCol w:w="203"/>
        <w:gridCol w:w="646"/>
        <w:gridCol w:w="205"/>
        <w:gridCol w:w="109"/>
        <w:gridCol w:w="109"/>
        <w:gridCol w:w="233"/>
        <w:gridCol w:w="233"/>
        <w:gridCol w:w="747"/>
        <w:gridCol w:w="238"/>
        <w:gridCol w:w="161"/>
      </w:tblGrid>
      <w:tr>
        <w:trPr/>
        <w:tc>
          <w:tcPr>
            <w:tcW w:w="8651" w:type="dxa"/>
            <w:gridSpan w:val="25"/>
            <w:tcBorders>
              <w:bottom w:val="single" w:sz="2" w:space="0" w:color="000000"/>
            </w:tcBorders>
            <w:shd w:fill="auto" w:val="clear"/>
            <w:vAlign w:val="center"/>
          </w:tcPr>
          <w:p>
            <w:pPr>
              <w:pStyle w:val="TableContents"/>
              <w:spacing w:before="0" w:after="0"/>
              <w:jc w:val="center"/>
              <w:rPr>
                <w:spacing w:val="-3"/>
              </w:rPr>
            </w:pPr>
            <w:r>
              <w:rPr>
                <w:spacing w:val="-3"/>
              </w:rPr>
              <w:t xml:space="preserve">Board Diversity Matrix (as of April 27, 2023)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579" w:type="dxa"/>
            <w:tcBorders>
              <w:bottom w:val="single" w:sz="2" w:space="0" w:color="000000"/>
            </w:tcBorders>
            <w:shd w:fill="auto" w:val="clear"/>
            <w:vAlign w:val="center"/>
          </w:tcPr>
          <w:p>
            <w:pPr>
              <w:pStyle w:val="TableContents"/>
              <w:spacing w:before="0" w:after="0"/>
              <w:rPr>
                <w:spacing w:val="-3"/>
              </w:rPr>
            </w:pPr>
            <w:r>
              <w:rPr>
                <w:spacing w:val="-3"/>
              </w:rPr>
              <w:t xml:space="preserve">Total Number of Directors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854" w:type="dxa"/>
            <w:gridSpan w:val="22"/>
            <w:tcBorders>
              <w:bottom w:val="single" w:sz="2" w:space="0" w:color="000000"/>
            </w:tcBorders>
            <w:shd w:fill="auto" w:val="clear"/>
            <w:vAlign w:val="center"/>
          </w:tcPr>
          <w:p>
            <w:pPr>
              <w:pStyle w:val="TableContents"/>
              <w:spacing w:before="0" w:after="0"/>
              <w:jc w:val="center"/>
              <w:rPr>
                <w:spacing w:val="-3"/>
              </w:rPr>
            </w:pPr>
            <w:r>
              <w:rPr>
                <w:spacing w:val="-3"/>
              </w:rPr>
              <w:t xml:space="preserve">7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579" w:type="dxa"/>
            <w:tcBorders>
              <w:bottom w:val="single" w:sz="2" w:space="0" w:color="FFFFFF"/>
            </w:tcBorders>
            <w:shd w:fill="auto"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19"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57"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51"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w:t>
              <w:br/>
              <w:t xml:space="preserve">Disclose Gender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421"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jc w:val="right"/>
              <w:rPr/>
            </w:pPr>
            <w:r>
              <w:rPr/>
              <w:t>​</w:t>
            </w:r>
          </w:p>
        </w:tc>
        <w:tc>
          <w:tcPr>
            <w:tcW w:w="747" w:type="dxa"/>
            <w:tcBorders/>
            <w:shd w:fill="CCEEFF" w:val="clear"/>
            <w:tcMar>
              <w:bottom w:w="0" w:type="dxa"/>
            </w:tcMar>
            <w:vAlign w:val="center"/>
          </w:tcPr>
          <w:p>
            <w:pPr>
              <w:pStyle w:val="TableContents"/>
              <w:spacing w:before="0" w:after="283"/>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b/>
              </w:rPr>
            </w:pPr>
            <w:r>
              <w:rPr>
                <w:b/>
              </w:rPr>
              <w:t>3</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b/>
              </w:rPr>
            </w:pPr>
            <w:r>
              <w:rPr>
                <w:b/>
              </w:rPr>
              <w:t>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421"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jc w:val="right"/>
              <w:rPr/>
            </w:pPr>
            <w:r>
              <w:rPr/>
              <w:t>​</w:t>
            </w:r>
          </w:p>
        </w:tc>
        <w:tc>
          <w:tcPr>
            <w:tcW w:w="747" w:type="dxa"/>
            <w:tcBorders/>
            <w:shd w:fill="CCEEFF" w:val="clear"/>
            <w:tcMar>
              <w:bottom w:w="0" w:type="dxa"/>
            </w:tcMar>
            <w:vAlign w:val="center"/>
          </w:tcPr>
          <w:p>
            <w:pPr>
              <w:pStyle w:val="TableContents"/>
              <w:spacing w:before="0" w:after="283"/>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African American or Black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b/>
              </w:rPr>
            </w:pPr>
            <w:r>
              <w:rPr>
                <w:b/>
              </w:rPr>
              <w:t>1</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Alaskan Native or Native American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0"/>
              <w:jc w:val="right"/>
              <w:rPr/>
            </w:pPr>
            <w:r>
              <w:rPr/>
              <w:t>​</w:t>
            </w:r>
          </w:p>
        </w:tc>
        <w:tc>
          <w:tcPr>
            <w:tcW w:w="421" w:type="dxa"/>
            <w:tcBorders/>
            <w:shd w:fill="CCEEFF" w:val="clear"/>
            <w:tcMar>
              <w:bottom w:w="0" w:type="dxa"/>
            </w:tcMar>
            <w:vAlign w:val="center"/>
          </w:tcPr>
          <w:p>
            <w:pPr>
              <w:pStyle w:val="TableContents"/>
              <w:spacing w:before="0" w:after="0"/>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0"/>
              <w:jc w:val="right"/>
              <w:rPr/>
            </w:pPr>
            <w:r>
              <w:rPr/>
              <w:t>​</w:t>
            </w:r>
          </w:p>
        </w:tc>
        <w:tc>
          <w:tcPr>
            <w:tcW w:w="747" w:type="dxa"/>
            <w:tcBorders/>
            <w:shd w:fill="CCEEFF" w:val="clear"/>
            <w:tcMar>
              <w:bottom w:w="0" w:type="dxa"/>
            </w:tcMar>
            <w:vAlign w:val="center"/>
          </w:tcPr>
          <w:p>
            <w:pPr>
              <w:pStyle w:val="TableContents"/>
              <w:spacing w:before="0" w:after="0"/>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Asian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pPr>
            <w:r>
              <w:rPr/>
              <w:t>—</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Hispanic or Latinx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0"/>
              <w:jc w:val="right"/>
              <w:rPr/>
            </w:pPr>
            <w:r>
              <w:rPr/>
              <w:t>​</w:t>
            </w:r>
          </w:p>
        </w:tc>
        <w:tc>
          <w:tcPr>
            <w:tcW w:w="421" w:type="dxa"/>
            <w:tcBorders/>
            <w:shd w:fill="CCEEFF" w:val="clear"/>
            <w:tcMar>
              <w:bottom w:w="0" w:type="dxa"/>
            </w:tcMar>
            <w:vAlign w:val="center"/>
          </w:tcPr>
          <w:p>
            <w:pPr>
              <w:pStyle w:val="TableContents"/>
              <w:spacing w:before="0" w:after="0"/>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0"/>
              <w:jc w:val="right"/>
              <w:rPr/>
            </w:pPr>
            <w:r>
              <w:rPr/>
              <w:t>​</w:t>
            </w:r>
          </w:p>
        </w:tc>
        <w:tc>
          <w:tcPr>
            <w:tcW w:w="747" w:type="dxa"/>
            <w:tcBorders/>
            <w:shd w:fill="CCEEFF" w:val="clear"/>
            <w:tcMar>
              <w:bottom w:w="0" w:type="dxa"/>
            </w:tcMar>
            <w:vAlign w:val="center"/>
          </w:tcPr>
          <w:p>
            <w:pPr>
              <w:pStyle w:val="TableContents"/>
              <w:spacing w:before="0" w:after="0"/>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White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b/>
              </w:rPr>
            </w:pPr>
            <w:r>
              <w:rPr>
                <w:b/>
              </w:rPr>
              <w:t>2</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b/>
              </w:rPr>
            </w:pPr>
            <w:r>
              <w:rPr>
                <w:b/>
              </w:rPr>
              <w:t>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Two or More Races or Ethnicities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0"/>
              <w:jc w:val="right"/>
              <w:rPr/>
            </w:pPr>
            <w:r>
              <w:rPr/>
              <w:t>​</w:t>
            </w:r>
          </w:p>
        </w:tc>
        <w:tc>
          <w:tcPr>
            <w:tcW w:w="421" w:type="dxa"/>
            <w:tcBorders/>
            <w:shd w:fill="CCEEFF" w:val="clear"/>
            <w:tcMar>
              <w:bottom w:w="0" w:type="dxa"/>
            </w:tcMar>
            <w:vAlign w:val="center"/>
          </w:tcPr>
          <w:p>
            <w:pPr>
              <w:pStyle w:val="TableContents"/>
              <w:spacing w:before="0" w:after="0"/>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0"/>
              <w:jc w:val="right"/>
              <w:rPr/>
            </w:pPr>
            <w:r>
              <w:rPr/>
              <w:t>​</w:t>
            </w:r>
          </w:p>
        </w:tc>
        <w:tc>
          <w:tcPr>
            <w:tcW w:w="747" w:type="dxa"/>
            <w:tcBorders/>
            <w:shd w:fill="CCEEFF" w:val="clear"/>
            <w:tcMar>
              <w:bottom w:w="0" w:type="dxa"/>
            </w:tcMar>
            <w:vAlign w:val="center"/>
          </w:tcPr>
          <w:p>
            <w:pPr>
              <w:pStyle w:val="TableContents"/>
              <w:spacing w:before="0" w:after="0"/>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LGBTQ+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421" w:type="dxa"/>
            <w:tcBorders/>
            <w:shd w:fill="auto" w:val="clear"/>
            <w:tcMar>
              <w:bottom w:w="0" w:type="dxa"/>
            </w:tcMar>
            <w:vAlign w:val="center"/>
          </w:tcPr>
          <w:p>
            <w:pPr>
              <w:pStyle w:val="TableContents"/>
              <w:spacing w:before="0" w:after="283"/>
              <w:jc w:val="right"/>
              <w:rPr/>
            </w:pPr>
            <w:r>
              <w:rPr/>
              <w:t>—</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jc w:val="right"/>
              <w:rPr/>
            </w:pPr>
            <w:r>
              <w:rPr/>
              <w:t>​</w:t>
            </w:r>
          </w:p>
        </w:tc>
        <w:tc>
          <w:tcPr>
            <w:tcW w:w="747" w:type="dxa"/>
            <w:tcBorders/>
            <w:shd w:fill="auto" w:val="clear"/>
            <w:tcMar>
              <w:bottom w:w="0" w:type="dxa"/>
            </w:tcMar>
            <w:vAlign w:val="center"/>
          </w:tcPr>
          <w:p>
            <w:pPr>
              <w:pStyle w:val="TableContents"/>
              <w:spacing w:before="0" w:after="283"/>
              <w:jc w:val="right"/>
              <w:rPr/>
            </w:pPr>
            <w:r>
              <w:rPr/>
              <w:t xml:space="preserve">— </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Did Not Disclose Demographic Background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421"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jc w:val="right"/>
              <w:rPr/>
            </w:pPr>
            <w:r>
              <w:rPr/>
              <w:t>​</w:t>
            </w:r>
          </w:p>
        </w:tc>
        <w:tc>
          <w:tcPr>
            <w:tcW w:w="747" w:type="dxa"/>
            <w:tcBorders/>
            <w:shd w:fill="CCEEFF" w:val="clear"/>
            <w:tcMar>
              <w:bottom w:w="0" w:type="dxa"/>
            </w:tcMar>
            <w:vAlign w:val="center"/>
          </w:tcPr>
          <w:p>
            <w:pPr>
              <w:pStyle w:val="TableContents"/>
              <w:spacing w:before="0" w:after="283"/>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bl>
    <w:tbl>
      <w:tblPr>
        <w:tblW w:w="8812" w:type="dxa"/>
        <w:jc w:val="left"/>
        <w:tblInd w:w="1393" w:type="dxa"/>
        <w:tblCellMar>
          <w:top w:w="0" w:type="dxa"/>
          <w:left w:w="0" w:type="dxa"/>
          <w:bottom w:w="50" w:type="dxa"/>
          <w:right w:w="0" w:type="dxa"/>
        </w:tblCellMar>
      </w:tblPr>
      <w:tblGrid>
        <w:gridCol w:w="3802"/>
        <w:gridCol w:w="109"/>
        <w:gridCol w:w="109"/>
        <w:gridCol w:w="130"/>
        <w:gridCol w:w="130"/>
        <w:gridCol w:w="414"/>
        <w:gridCol w:w="132"/>
        <w:gridCol w:w="109"/>
        <w:gridCol w:w="109"/>
        <w:gridCol w:w="109"/>
        <w:gridCol w:w="109"/>
        <w:gridCol w:w="346"/>
        <w:gridCol w:w="109"/>
        <w:gridCol w:w="109"/>
        <w:gridCol w:w="109"/>
        <w:gridCol w:w="201"/>
        <w:gridCol w:w="201"/>
        <w:gridCol w:w="639"/>
        <w:gridCol w:w="203"/>
        <w:gridCol w:w="109"/>
        <w:gridCol w:w="109"/>
        <w:gridCol w:w="202"/>
        <w:gridCol w:w="202"/>
        <w:gridCol w:w="647"/>
        <w:gridCol w:w="206"/>
        <w:gridCol w:w="158"/>
      </w:tblGrid>
      <w:tr>
        <w:trPr/>
        <w:tc>
          <w:tcPr>
            <w:tcW w:w="8654" w:type="dxa"/>
            <w:gridSpan w:val="25"/>
            <w:tcBorders>
              <w:bottom w:val="single" w:sz="2" w:space="0" w:color="000000"/>
            </w:tcBorders>
            <w:shd w:fill="auto" w:val="clear"/>
            <w:vAlign w:val="center"/>
          </w:tcPr>
          <w:p>
            <w:pPr>
              <w:pStyle w:val="TableContents"/>
              <w:spacing w:before="0" w:after="0"/>
              <w:jc w:val="center"/>
              <w:rPr>
                <w:spacing w:val="-3"/>
              </w:rPr>
            </w:pPr>
            <w:r>
              <w:rPr>
                <w:spacing w:val="-3"/>
              </w:rPr>
              <w:t xml:space="preserve">Pro Forma Board Diversity Matrix (Current Director Candidates as of April 27, 2023)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02" w:type="dxa"/>
            <w:tcBorders>
              <w:bottom w:val="single" w:sz="2" w:space="0" w:color="000000"/>
            </w:tcBorders>
            <w:shd w:fill="auto" w:val="clear"/>
            <w:vAlign w:val="center"/>
          </w:tcPr>
          <w:p>
            <w:pPr>
              <w:pStyle w:val="TableContents"/>
              <w:spacing w:before="0" w:after="0"/>
              <w:rPr/>
            </w:pPr>
            <w:r>
              <w:rPr>
                <w:spacing w:val="-3"/>
              </w:rPr>
              <w:t>Total Number of Director Candidates for Election at the Annual Meeting</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634" w:type="dxa"/>
            <w:gridSpan w:val="22"/>
            <w:tcBorders>
              <w:bottom w:val="single" w:sz="2" w:space="0" w:color="000000"/>
            </w:tcBorders>
            <w:shd w:fill="auto" w:val="clear"/>
            <w:vAlign w:val="center"/>
          </w:tcPr>
          <w:p>
            <w:pPr>
              <w:pStyle w:val="TableContents"/>
              <w:spacing w:before="0" w:after="0"/>
              <w:jc w:val="center"/>
              <w:rPr>
                <w:spacing w:val="-3"/>
              </w:rPr>
            </w:pPr>
            <w:r>
              <w:rPr>
                <w:spacing w:val="-3"/>
              </w:rPr>
              <w:t xml:space="preserve">7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02" w:type="dxa"/>
            <w:tcBorders>
              <w:bottom w:val="single" w:sz="2" w:space="0" w:color="FFFFFF"/>
            </w:tcBorders>
            <w:shd w:fill="auto"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06"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44"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57"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w:t>
              <w:br/>
              <w:t xml:space="preserve">Disclose Gender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02" w:type="dxa"/>
            <w:tcBorders/>
            <w:shd w:fill="CCEEFF" w:val="clear"/>
            <w:tcMar>
              <w:bottom w:w="0" w:type="dxa"/>
            </w:tcMar>
            <w:vAlign w:val="center"/>
          </w:tcPr>
          <w:p>
            <w:pPr>
              <w:pStyle w:val="TableContents"/>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jc w:val="right"/>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283"/>
              <w:jc w:val="right"/>
              <w:rPr/>
            </w:pPr>
            <w:r>
              <w:rPr/>
              <w:t>​</w:t>
            </w:r>
          </w:p>
        </w:tc>
        <w:tc>
          <w:tcPr>
            <w:tcW w:w="647" w:type="dxa"/>
            <w:tcBorders/>
            <w:shd w:fill="CCEEFF" w:val="clear"/>
            <w:tcMar>
              <w:bottom w:w="0" w:type="dxa"/>
            </w:tcMar>
            <w:vAlign w:val="center"/>
          </w:tcPr>
          <w:p>
            <w:pPr>
              <w:pStyle w:val="TableContents"/>
              <w:spacing w:before="0" w:after="283"/>
              <w:jc w:val="right"/>
              <w:rPr/>
            </w:pPr>
            <w:r>
              <w:rPr/>
              <w:t>​</w:t>
            </w:r>
          </w:p>
        </w:tc>
        <w:tc>
          <w:tcPr>
            <w:tcW w:w="20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3802" w:type="dxa"/>
            <w:tcBorders/>
            <w:shd w:fill="auto"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0"/>
              <w:jc w:val="right"/>
              <w:rPr/>
            </w:pPr>
            <w:r>
              <w:rPr/>
              <w:t>​</w:t>
            </w:r>
          </w:p>
        </w:tc>
        <w:tc>
          <w:tcPr>
            <w:tcW w:w="414" w:type="dxa"/>
            <w:tcBorders/>
            <w:shd w:fill="auto" w:val="clear"/>
            <w:tcMar>
              <w:bottom w:w="0" w:type="dxa"/>
            </w:tcMar>
            <w:vAlign w:val="center"/>
          </w:tcPr>
          <w:p>
            <w:pPr>
              <w:pStyle w:val="TableContents"/>
              <w:spacing w:before="0" w:after="0"/>
              <w:jc w:val="right"/>
              <w:rPr>
                <w:b/>
              </w:rPr>
            </w:pPr>
            <w:r>
              <w:rPr>
                <w:b/>
              </w:rPr>
              <w:t>3</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b/>
              </w:rPr>
            </w:pPr>
            <w:r>
              <w:rPr>
                <w:b/>
              </w:rPr>
              <w:t>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1" w:type="dxa"/>
            <w:tcBorders/>
            <w:shd w:fill="auto" w:val="clear"/>
            <w:tcMar>
              <w:bottom w:w="0" w:type="dxa"/>
            </w:tcMar>
            <w:vAlign w:val="center"/>
          </w:tcPr>
          <w:p>
            <w:pPr>
              <w:pStyle w:val="TableContents"/>
              <w:spacing w:before="0" w:after="283"/>
              <w:rPr/>
            </w:pPr>
            <w:r>
              <w:rPr/>
              <w:t>​</w:t>
            </w:r>
          </w:p>
        </w:tc>
        <w:tc>
          <w:tcPr>
            <w:tcW w:w="201" w:type="dxa"/>
            <w:tcBorders/>
            <w:shd w:fill="auto" w:val="clear"/>
            <w:tcMar>
              <w:bottom w:w="0" w:type="dxa"/>
            </w:tcMar>
            <w:vAlign w:val="center"/>
          </w:tcPr>
          <w:p>
            <w:pPr>
              <w:pStyle w:val="TableContents"/>
              <w:spacing w:before="0" w:after="0"/>
              <w:jc w:val="right"/>
              <w:rPr/>
            </w:pPr>
            <w:r>
              <w:rPr/>
              <w:t>​</w:t>
            </w:r>
          </w:p>
        </w:tc>
        <w:tc>
          <w:tcPr>
            <w:tcW w:w="639" w:type="dxa"/>
            <w:tcBorders/>
            <w:shd w:fill="auto" w:val="clear"/>
            <w:tcMar>
              <w:bottom w:w="0" w:type="dxa"/>
            </w:tcMar>
            <w:vAlign w:val="center"/>
          </w:tcPr>
          <w:p>
            <w:pPr>
              <w:pStyle w:val="TableContents"/>
              <w:spacing w:before="0" w:after="0"/>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0"/>
              <w:jc w:val="right"/>
              <w:rPr/>
            </w:pPr>
            <w:r>
              <w:rPr/>
              <w:t>​</w:t>
            </w:r>
          </w:p>
        </w:tc>
        <w:tc>
          <w:tcPr>
            <w:tcW w:w="647" w:type="dxa"/>
            <w:tcBorders/>
            <w:shd w:fill="auto" w:val="clear"/>
            <w:tcMar>
              <w:bottom w:w="0" w:type="dxa"/>
            </w:tcMar>
            <w:vAlign w:val="center"/>
          </w:tcPr>
          <w:p>
            <w:pPr>
              <w:pStyle w:val="TableContents"/>
              <w:spacing w:before="0" w:after="0"/>
              <w:jc w:val="right"/>
              <w:rPr/>
            </w:pPr>
            <w:r>
              <w:rPr/>
              <w:t>—</w:t>
            </w:r>
          </w:p>
        </w:tc>
        <w:tc>
          <w:tcPr>
            <w:tcW w:w="20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3802" w:type="dxa"/>
            <w:tcBorders/>
            <w:shd w:fill="CCEEFF" w:val="clear"/>
            <w:tcMar>
              <w:bottom w:w="0" w:type="dxa"/>
            </w:tcMar>
            <w:vAlign w:val="center"/>
          </w:tcPr>
          <w:p>
            <w:pPr>
              <w:pStyle w:val="TableContents"/>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jc w:val="right"/>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283"/>
              <w:jc w:val="right"/>
              <w:rPr/>
            </w:pPr>
            <w:r>
              <w:rPr/>
              <w:t>​</w:t>
            </w:r>
          </w:p>
        </w:tc>
        <w:tc>
          <w:tcPr>
            <w:tcW w:w="647" w:type="dxa"/>
            <w:tcBorders/>
            <w:shd w:fill="CCEEFF" w:val="clear"/>
            <w:tcMar>
              <w:bottom w:w="0" w:type="dxa"/>
            </w:tcMar>
            <w:vAlign w:val="center"/>
          </w:tcPr>
          <w:p>
            <w:pPr>
              <w:pStyle w:val="TableContents"/>
              <w:spacing w:before="0" w:after="283"/>
              <w:jc w:val="right"/>
              <w:rPr/>
            </w:pPr>
            <w:r>
              <w:rPr/>
              <w:t>​</w:t>
            </w:r>
          </w:p>
        </w:tc>
        <w:tc>
          <w:tcPr>
            <w:tcW w:w="20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3802"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African American or Black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0"/>
              <w:jc w:val="right"/>
              <w:rPr/>
            </w:pPr>
            <w:r>
              <w:rPr/>
              <w:t>​</w:t>
            </w:r>
          </w:p>
        </w:tc>
        <w:tc>
          <w:tcPr>
            <w:tcW w:w="414" w:type="dxa"/>
            <w:tcBorders/>
            <w:shd w:fill="auto" w:val="clear"/>
            <w:tcMar>
              <w:bottom w:w="0" w:type="dxa"/>
            </w:tcMar>
            <w:vAlign w:val="center"/>
          </w:tcPr>
          <w:p>
            <w:pPr>
              <w:pStyle w:val="TableContents"/>
              <w:spacing w:before="0" w:after="0"/>
              <w:jc w:val="right"/>
              <w:rPr>
                <w:b/>
              </w:rPr>
            </w:pPr>
            <w:r>
              <w:rPr>
                <w:b/>
              </w:rPr>
              <w:t>1</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b/>
              </w:rPr>
            </w:pPr>
            <w:r>
              <w:rPr>
                <w:b/>
              </w:rPr>
              <w:t>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1" w:type="dxa"/>
            <w:tcBorders/>
            <w:shd w:fill="auto" w:val="clear"/>
            <w:tcMar>
              <w:bottom w:w="0" w:type="dxa"/>
            </w:tcMar>
            <w:vAlign w:val="center"/>
          </w:tcPr>
          <w:p>
            <w:pPr>
              <w:pStyle w:val="TableContents"/>
              <w:spacing w:before="0" w:after="283"/>
              <w:rPr/>
            </w:pPr>
            <w:r>
              <w:rPr/>
              <w:t>​</w:t>
            </w:r>
          </w:p>
        </w:tc>
        <w:tc>
          <w:tcPr>
            <w:tcW w:w="201" w:type="dxa"/>
            <w:tcBorders/>
            <w:shd w:fill="auto" w:val="clear"/>
            <w:tcMar>
              <w:bottom w:w="0" w:type="dxa"/>
            </w:tcMar>
            <w:vAlign w:val="center"/>
          </w:tcPr>
          <w:p>
            <w:pPr>
              <w:pStyle w:val="TableContents"/>
              <w:spacing w:before="0" w:after="0"/>
              <w:jc w:val="right"/>
              <w:rPr/>
            </w:pPr>
            <w:r>
              <w:rPr/>
              <w:t>​</w:t>
            </w:r>
          </w:p>
        </w:tc>
        <w:tc>
          <w:tcPr>
            <w:tcW w:w="639" w:type="dxa"/>
            <w:tcBorders/>
            <w:shd w:fill="auto" w:val="clear"/>
            <w:tcMar>
              <w:bottom w:w="0" w:type="dxa"/>
            </w:tcMar>
            <w:vAlign w:val="center"/>
          </w:tcPr>
          <w:p>
            <w:pPr>
              <w:pStyle w:val="TableContents"/>
              <w:spacing w:before="0" w:after="0"/>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0"/>
              <w:jc w:val="right"/>
              <w:rPr/>
            </w:pPr>
            <w:r>
              <w:rPr/>
              <w:t>​</w:t>
            </w:r>
          </w:p>
        </w:tc>
        <w:tc>
          <w:tcPr>
            <w:tcW w:w="647" w:type="dxa"/>
            <w:tcBorders/>
            <w:shd w:fill="auto" w:val="clear"/>
            <w:tcMar>
              <w:bottom w:w="0" w:type="dxa"/>
            </w:tcMar>
            <w:vAlign w:val="center"/>
          </w:tcPr>
          <w:p>
            <w:pPr>
              <w:pStyle w:val="TableContents"/>
              <w:spacing w:before="0" w:after="0"/>
              <w:jc w:val="right"/>
              <w:rPr/>
            </w:pPr>
            <w:r>
              <w:rPr/>
              <w:t>—</w:t>
            </w:r>
          </w:p>
        </w:tc>
        <w:tc>
          <w:tcPr>
            <w:tcW w:w="20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38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Alaskan Native or Native American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0"/>
              <w:jc w:val="right"/>
              <w:rPr/>
            </w:pPr>
            <w:r>
              <w:rPr/>
              <w:t>​</w:t>
            </w:r>
          </w:p>
        </w:tc>
        <w:tc>
          <w:tcPr>
            <w:tcW w:w="414" w:type="dxa"/>
            <w:tcBorders/>
            <w:shd w:fill="CCEEFF" w:val="clear"/>
            <w:tcMar>
              <w:bottom w:w="0" w:type="dxa"/>
            </w:tcMar>
            <w:vAlign w:val="center"/>
          </w:tcPr>
          <w:p>
            <w:pPr>
              <w:pStyle w:val="TableContents"/>
              <w:spacing w:before="0" w:after="0"/>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0"/>
              <w:jc w:val="right"/>
              <w:rPr/>
            </w:pPr>
            <w:r>
              <w:rPr/>
              <w:t>​</w:t>
            </w:r>
          </w:p>
        </w:tc>
        <w:tc>
          <w:tcPr>
            <w:tcW w:w="639" w:type="dxa"/>
            <w:tcBorders/>
            <w:shd w:fill="CCEEFF" w:val="clear"/>
            <w:tcMar>
              <w:bottom w:w="0" w:type="dxa"/>
            </w:tcMar>
            <w:vAlign w:val="center"/>
          </w:tcPr>
          <w:p>
            <w:pPr>
              <w:pStyle w:val="TableContents"/>
              <w:spacing w:before="0" w:after="0"/>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0"/>
              <w:jc w:val="right"/>
              <w:rPr/>
            </w:pPr>
            <w:r>
              <w:rPr/>
              <w:t>​</w:t>
            </w:r>
          </w:p>
        </w:tc>
        <w:tc>
          <w:tcPr>
            <w:tcW w:w="647" w:type="dxa"/>
            <w:tcBorders/>
            <w:shd w:fill="CCEEFF" w:val="clear"/>
            <w:tcMar>
              <w:bottom w:w="0" w:type="dxa"/>
            </w:tcMar>
            <w:vAlign w:val="center"/>
          </w:tcPr>
          <w:p>
            <w:pPr>
              <w:pStyle w:val="TableContents"/>
              <w:spacing w:before="0" w:after="0"/>
              <w:jc w:val="right"/>
              <w:rPr/>
            </w:pPr>
            <w:r>
              <w:rPr/>
              <w:t>—</w:t>
            </w:r>
          </w:p>
        </w:tc>
        <w:tc>
          <w:tcPr>
            <w:tcW w:w="20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3802"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Asian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0"/>
              <w:jc w:val="right"/>
              <w:rPr/>
            </w:pPr>
            <w:r>
              <w:rPr/>
              <w:t>​</w:t>
            </w:r>
          </w:p>
        </w:tc>
        <w:tc>
          <w:tcPr>
            <w:tcW w:w="414" w:type="dxa"/>
            <w:tcBorders/>
            <w:shd w:fill="auto" w:val="clear"/>
            <w:tcMar>
              <w:bottom w:w="0" w:type="dxa"/>
            </w:tcMar>
            <w:vAlign w:val="center"/>
          </w:tcPr>
          <w:p>
            <w:pPr>
              <w:pStyle w:val="TableContents"/>
              <w:spacing w:before="0" w:after="0"/>
              <w:jc w:val="right"/>
              <w:rPr/>
            </w:pPr>
            <w:r>
              <w:rPr/>
              <w:t>—</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1" w:type="dxa"/>
            <w:tcBorders/>
            <w:shd w:fill="auto" w:val="clear"/>
            <w:tcMar>
              <w:bottom w:w="0" w:type="dxa"/>
            </w:tcMar>
            <w:vAlign w:val="center"/>
          </w:tcPr>
          <w:p>
            <w:pPr>
              <w:pStyle w:val="TableContents"/>
              <w:spacing w:before="0" w:after="283"/>
              <w:rPr/>
            </w:pPr>
            <w:r>
              <w:rPr/>
              <w:t>​</w:t>
            </w:r>
          </w:p>
        </w:tc>
        <w:tc>
          <w:tcPr>
            <w:tcW w:w="201" w:type="dxa"/>
            <w:tcBorders/>
            <w:shd w:fill="auto" w:val="clear"/>
            <w:tcMar>
              <w:bottom w:w="0" w:type="dxa"/>
            </w:tcMar>
            <w:vAlign w:val="center"/>
          </w:tcPr>
          <w:p>
            <w:pPr>
              <w:pStyle w:val="TableContents"/>
              <w:spacing w:before="0" w:after="0"/>
              <w:jc w:val="right"/>
              <w:rPr/>
            </w:pPr>
            <w:r>
              <w:rPr/>
              <w:t>​</w:t>
            </w:r>
          </w:p>
        </w:tc>
        <w:tc>
          <w:tcPr>
            <w:tcW w:w="639" w:type="dxa"/>
            <w:tcBorders/>
            <w:shd w:fill="auto" w:val="clear"/>
            <w:tcMar>
              <w:bottom w:w="0" w:type="dxa"/>
            </w:tcMar>
            <w:vAlign w:val="center"/>
          </w:tcPr>
          <w:p>
            <w:pPr>
              <w:pStyle w:val="TableContents"/>
              <w:spacing w:before="0" w:after="0"/>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0"/>
              <w:jc w:val="right"/>
              <w:rPr/>
            </w:pPr>
            <w:r>
              <w:rPr/>
              <w:t>​</w:t>
            </w:r>
          </w:p>
        </w:tc>
        <w:tc>
          <w:tcPr>
            <w:tcW w:w="647" w:type="dxa"/>
            <w:tcBorders/>
            <w:shd w:fill="auto" w:val="clear"/>
            <w:tcMar>
              <w:bottom w:w="0" w:type="dxa"/>
            </w:tcMar>
            <w:vAlign w:val="center"/>
          </w:tcPr>
          <w:p>
            <w:pPr>
              <w:pStyle w:val="TableContents"/>
              <w:spacing w:before="0" w:after="0"/>
              <w:jc w:val="right"/>
              <w:rPr/>
            </w:pPr>
            <w:r>
              <w:rPr/>
              <w:t>—</w:t>
            </w:r>
          </w:p>
        </w:tc>
        <w:tc>
          <w:tcPr>
            <w:tcW w:w="20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38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Hispanic or Latinx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0"/>
              <w:jc w:val="right"/>
              <w:rPr/>
            </w:pPr>
            <w:r>
              <w:rPr/>
              <w:t>​</w:t>
            </w:r>
          </w:p>
        </w:tc>
        <w:tc>
          <w:tcPr>
            <w:tcW w:w="414" w:type="dxa"/>
            <w:tcBorders/>
            <w:shd w:fill="CCEEFF" w:val="clear"/>
            <w:tcMar>
              <w:bottom w:w="0" w:type="dxa"/>
            </w:tcMar>
            <w:vAlign w:val="center"/>
          </w:tcPr>
          <w:p>
            <w:pPr>
              <w:pStyle w:val="TableContents"/>
              <w:spacing w:before="0" w:after="0"/>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283"/>
              <w:rPr/>
            </w:pPr>
            <w:r>
              <w:rPr/>
              <w:t>​</w:t>
            </w:r>
          </w:p>
        </w:tc>
        <w:tc>
          <w:tcPr>
            <w:tcW w:w="201" w:type="dxa"/>
            <w:tcBorders/>
            <w:shd w:fill="CCEEFF" w:val="clear"/>
            <w:tcMar>
              <w:bottom w:w="0" w:type="dxa"/>
            </w:tcMar>
            <w:vAlign w:val="center"/>
          </w:tcPr>
          <w:p>
            <w:pPr>
              <w:pStyle w:val="TableContents"/>
              <w:spacing w:before="0" w:after="0"/>
              <w:jc w:val="right"/>
              <w:rPr/>
            </w:pPr>
            <w:r>
              <w:rPr/>
              <w:t>​</w:t>
            </w:r>
          </w:p>
        </w:tc>
        <w:tc>
          <w:tcPr>
            <w:tcW w:w="639" w:type="dxa"/>
            <w:tcBorders/>
            <w:shd w:fill="CCEEFF" w:val="clear"/>
            <w:tcMar>
              <w:bottom w:w="0" w:type="dxa"/>
            </w:tcMar>
            <w:vAlign w:val="center"/>
          </w:tcPr>
          <w:p>
            <w:pPr>
              <w:pStyle w:val="TableContents"/>
              <w:spacing w:before="0" w:after="0"/>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283"/>
              <w:rPr/>
            </w:pPr>
            <w:r>
              <w:rPr/>
              <w:t>​</w:t>
            </w:r>
          </w:p>
        </w:tc>
        <w:tc>
          <w:tcPr>
            <w:tcW w:w="202" w:type="dxa"/>
            <w:tcBorders/>
            <w:shd w:fill="CCEEFF" w:val="clear"/>
            <w:tcMar>
              <w:bottom w:w="0" w:type="dxa"/>
            </w:tcMar>
            <w:vAlign w:val="center"/>
          </w:tcPr>
          <w:p>
            <w:pPr>
              <w:pStyle w:val="TableContents"/>
              <w:spacing w:before="0" w:after="0"/>
              <w:jc w:val="right"/>
              <w:rPr/>
            </w:pPr>
            <w:r>
              <w:rPr/>
              <w:t>​</w:t>
            </w:r>
          </w:p>
        </w:tc>
        <w:tc>
          <w:tcPr>
            <w:tcW w:w="647" w:type="dxa"/>
            <w:tcBorders/>
            <w:shd w:fill="CCEEFF" w:val="clear"/>
            <w:tcMar>
              <w:bottom w:w="0" w:type="dxa"/>
            </w:tcMar>
            <w:vAlign w:val="center"/>
          </w:tcPr>
          <w:p>
            <w:pPr>
              <w:pStyle w:val="TableContents"/>
              <w:spacing w:before="0" w:after="0"/>
              <w:jc w:val="right"/>
              <w:rPr/>
            </w:pPr>
            <w:r>
              <w:rPr/>
              <w:t>—</w:t>
            </w:r>
          </w:p>
        </w:tc>
        <w:tc>
          <w:tcPr>
            <w:tcW w:w="20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50" w:type="dxa"/>
          <w:right w:w="0" w:type="dxa"/>
        </w:tblCellMar>
      </w:tblPr>
      <w:tblGrid>
        <w:gridCol w:w="3818"/>
        <w:gridCol w:w="109"/>
        <w:gridCol w:w="109"/>
        <w:gridCol w:w="129"/>
        <w:gridCol w:w="129"/>
        <w:gridCol w:w="413"/>
        <w:gridCol w:w="131"/>
        <w:gridCol w:w="109"/>
        <w:gridCol w:w="109"/>
        <w:gridCol w:w="109"/>
        <w:gridCol w:w="109"/>
        <w:gridCol w:w="346"/>
        <w:gridCol w:w="109"/>
        <w:gridCol w:w="109"/>
        <w:gridCol w:w="109"/>
        <w:gridCol w:w="200"/>
        <w:gridCol w:w="200"/>
        <w:gridCol w:w="638"/>
        <w:gridCol w:w="202"/>
        <w:gridCol w:w="109"/>
        <w:gridCol w:w="109"/>
        <w:gridCol w:w="200"/>
        <w:gridCol w:w="200"/>
        <w:gridCol w:w="640"/>
        <w:gridCol w:w="204"/>
        <w:gridCol w:w="163"/>
      </w:tblGrid>
      <w:tr>
        <w:trPr/>
        <w:tc>
          <w:tcPr>
            <w:tcW w:w="8649" w:type="dxa"/>
            <w:gridSpan w:val="25"/>
            <w:tcBorders>
              <w:bottom w:val="single" w:sz="2" w:space="0" w:color="000000"/>
            </w:tcBorders>
            <w:shd w:fill="auto" w:val="clear"/>
            <w:vAlign w:val="center"/>
          </w:tcPr>
          <w:p>
            <w:pPr>
              <w:pStyle w:val="TableContents"/>
              <w:spacing w:before="0" w:after="0"/>
              <w:jc w:val="center"/>
              <w:rPr>
                <w:spacing w:val="-3"/>
              </w:rPr>
            </w:pPr>
            <w:r>
              <w:rPr>
                <w:spacing w:val="-3"/>
              </w:rPr>
              <w:t xml:space="preserve">Pro Forma Board Diversity Matrix (Current Director Candidates as of April 27, 2023) </w:t>
            </w:r>
          </w:p>
        </w:tc>
        <w:tc>
          <w:tcPr>
            <w:tcW w:w="163"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18" w:type="dxa"/>
            <w:tcBorders>
              <w:bottom w:val="single" w:sz="2" w:space="0" w:color="000000"/>
            </w:tcBorders>
            <w:shd w:fill="auto" w:val="clear"/>
            <w:vAlign w:val="center"/>
          </w:tcPr>
          <w:p>
            <w:pPr>
              <w:pStyle w:val="TableContents"/>
              <w:spacing w:before="0" w:after="0"/>
              <w:rPr/>
            </w:pPr>
            <w:r>
              <w:rPr>
                <w:spacing w:val="-3"/>
              </w:rPr>
              <w:t>Total Number of Director Candidates for Election at the Annual Meeting</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613" w:type="dxa"/>
            <w:gridSpan w:val="22"/>
            <w:tcBorders>
              <w:bottom w:val="single" w:sz="2" w:space="0" w:color="000000"/>
            </w:tcBorders>
            <w:shd w:fill="auto" w:val="clear"/>
            <w:vAlign w:val="center"/>
          </w:tcPr>
          <w:p>
            <w:pPr>
              <w:pStyle w:val="TableContents"/>
              <w:spacing w:before="0" w:after="0"/>
              <w:jc w:val="center"/>
              <w:rPr>
                <w:spacing w:val="-3"/>
              </w:rPr>
            </w:pPr>
            <w:r>
              <w:rPr>
                <w:spacing w:val="-3"/>
              </w:rPr>
              <w:t xml:space="preserve">7 </w:t>
            </w:r>
          </w:p>
        </w:tc>
        <w:tc>
          <w:tcPr>
            <w:tcW w:w="163"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18" w:type="dxa"/>
            <w:tcBorders>
              <w:bottom w:val="single" w:sz="2" w:space="0" w:color="FFFFFF"/>
            </w:tcBorders>
            <w:shd w:fill="auto"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0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4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44"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w:t>
              <w:br/>
              <w:t xml:space="preserve">Disclose Gender </w:t>
            </w:r>
          </w:p>
        </w:tc>
        <w:tc>
          <w:tcPr>
            <w:tcW w:w="163"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18"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White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0"/>
              <w:jc w:val="right"/>
              <w:rPr/>
            </w:pPr>
            <w:r>
              <w:rPr/>
              <w:t>​</w:t>
            </w:r>
          </w:p>
        </w:tc>
        <w:tc>
          <w:tcPr>
            <w:tcW w:w="413" w:type="dxa"/>
            <w:tcBorders/>
            <w:shd w:fill="CCEEFF" w:val="clear"/>
            <w:tcMar>
              <w:bottom w:w="0" w:type="dxa"/>
            </w:tcMar>
            <w:vAlign w:val="center"/>
          </w:tcPr>
          <w:p>
            <w:pPr>
              <w:pStyle w:val="TableContents"/>
              <w:spacing w:before="0" w:after="0"/>
              <w:jc w:val="right"/>
              <w:rPr>
                <w:b/>
              </w:rPr>
            </w:pPr>
            <w:r>
              <w:rPr>
                <w:b/>
              </w:rPr>
              <w:t>2</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b/>
              </w:rPr>
            </w:pPr>
            <w:r>
              <w:rPr>
                <w:b/>
              </w:rPr>
              <w:t>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0"/>
              <w:jc w:val="right"/>
              <w:rPr/>
            </w:pPr>
            <w:r>
              <w:rPr/>
              <w:t>​</w:t>
            </w:r>
          </w:p>
        </w:tc>
        <w:tc>
          <w:tcPr>
            <w:tcW w:w="638" w:type="dxa"/>
            <w:tcBorders/>
            <w:shd w:fill="CCEEFF" w:val="clear"/>
            <w:tcMar>
              <w:bottom w:w="0" w:type="dxa"/>
            </w:tcMar>
            <w:vAlign w:val="center"/>
          </w:tcPr>
          <w:p>
            <w:pPr>
              <w:pStyle w:val="TableContents"/>
              <w:spacing w:before="0" w:after="0"/>
              <w:jc w:val="right"/>
              <w:rPr/>
            </w:pPr>
            <w:r>
              <w:rPr/>
              <w:t>—</w:t>
            </w:r>
          </w:p>
        </w:tc>
        <w:tc>
          <w:tcPr>
            <w:tcW w:w="2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0"/>
              <w:jc w:val="right"/>
              <w:rPr/>
            </w:pPr>
            <w:r>
              <w:rPr/>
              <w:t>​</w:t>
            </w:r>
          </w:p>
        </w:tc>
        <w:tc>
          <w:tcPr>
            <w:tcW w:w="640" w:type="dxa"/>
            <w:tcBorders/>
            <w:shd w:fill="CCEEFF" w:val="clear"/>
            <w:tcMar>
              <w:bottom w:w="0" w:type="dxa"/>
            </w:tcMar>
            <w:vAlign w:val="center"/>
          </w:tcPr>
          <w:p>
            <w:pPr>
              <w:pStyle w:val="TableContents"/>
              <w:spacing w:before="0" w:after="0"/>
              <w:jc w:val="right"/>
              <w:rPr/>
            </w:pPr>
            <w:r>
              <w:rPr/>
              <w:t>—</w:t>
            </w:r>
          </w:p>
        </w:tc>
        <w:tc>
          <w:tcPr>
            <w:tcW w:w="204"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r>
        <w:trPr/>
        <w:tc>
          <w:tcPr>
            <w:tcW w:w="3818"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Two or More Races or Ethnicities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0"/>
              <w:jc w:val="right"/>
              <w:rPr/>
            </w:pPr>
            <w:r>
              <w:rPr/>
              <w:t>​</w:t>
            </w:r>
          </w:p>
        </w:tc>
        <w:tc>
          <w:tcPr>
            <w:tcW w:w="413" w:type="dxa"/>
            <w:tcBorders/>
            <w:shd w:fill="auto" w:val="clear"/>
            <w:tcMar>
              <w:bottom w:w="0" w:type="dxa"/>
            </w:tcMar>
            <w:vAlign w:val="center"/>
          </w:tcPr>
          <w:p>
            <w:pPr>
              <w:pStyle w:val="TableContents"/>
              <w:spacing w:before="0" w:after="0"/>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0"/>
              <w:jc w:val="right"/>
              <w:rPr/>
            </w:pPr>
            <w:r>
              <w:rPr/>
              <w:t>​</w:t>
            </w:r>
          </w:p>
        </w:tc>
        <w:tc>
          <w:tcPr>
            <w:tcW w:w="638" w:type="dxa"/>
            <w:tcBorders/>
            <w:shd w:fill="auto" w:val="clear"/>
            <w:tcMar>
              <w:bottom w:w="0" w:type="dxa"/>
            </w:tcMar>
            <w:vAlign w:val="center"/>
          </w:tcPr>
          <w:p>
            <w:pPr>
              <w:pStyle w:val="TableContents"/>
              <w:spacing w:before="0" w:after="0"/>
              <w:jc w:val="right"/>
              <w:rPr/>
            </w:pPr>
            <w:r>
              <w:rPr/>
              <w:t>—</w:t>
            </w:r>
          </w:p>
        </w:tc>
        <w:tc>
          <w:tcPr>
            <w:tcW w:w="2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0"/>
              <w:jc w:val="right"/>
              <w:rPr/>
            </w:pPr>
            <w:r>
              <w:rPr/>
              <w:t>​</w:t>
            </w:r>
          </w:p>
        </w:tc>
        <w:tc>
          <w:tcPr>
            <w:tcW w:w="640" w:type="dxa"/>
            <w:tcBorders/>
            <w:shd w:fill="auto" w:val="clear"/>
            <w:tcMar>
              <w:bottom w:w="0" w:type="dxa"/>
            </w:tcMar>
            <w:vAlign w:val="center"/>
          </w:tcPr>
          <w:p>
            <w:pPr>
              <w:pStyle w:val="TableContents"/>
              <w:spacing w:before="0" w:after="0"/>
              <w:jc w:val="right"/>
              <w:rPr/>
            </w:pPr>
            <w:r>
              <w:rPr/>
              <w:t>—</w:t>
            </w:r>
          </w:p>
        </w:tc>
        <w:tc>
          <w:tcPr>
            <w:tcW w:w="204"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3818"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LGBTQ+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413" w:type="dxa"/>
            <w:tcBorders/>
            <w:shd w:fill="CCEEFF" w:val="clear"/>
            <w:tcMar>
              <w:bottom w:w="0" w:type="dxa"/>
            </w:tcMar>
            <w:vAlign w:val="center"/>
          </w:tcPr>
          <w:p>
            <w:pPr>
              <w:pStyle w:val="TableContents"/>
              <w:spacing w:before="0" w:after="283"/>
              <w:jc w:val="right"/>
              <w:rPr/>
            </w:pPr>
            <w:r>
              <w:rPr/>
              <w:t>—</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0"/>
              <w:jc w:val="right"/>
              <w:rPr/>
            </w:pPr>
            <w:r>
              <w:rPr/>
              <w:t>​</w:t>
            </w:r>
          </w:p>
        </w:tc>
        <w:tc>
          <w:tcPr>
            <w:tcW w:w="638" w:type="dxa"/>
            <w:tcBorders/>
            <w:shd w:fill="CCEEFF" w:val="clear"/>
            <w:tcMar>
              <w:bottom w:w="0" w:type="dxa"/>
            </w:tcMar>
            <w:vAlign w:val="center"/>
          </w:tcPr>
          <w:p>
            <w:pPr>
              <w:pStyle w:val="TableContents"/>
              <w:spacing w:before="0" w:after="0"/>
              <w:jc w:val="right"/>
              <w:rPr/>
            </w:pPr>
            <w:r>
              <w:rPr/>
              <w:t>—</w:t>
            </w:r>
          </w:p>
        </w:tc>
        <w:tc>
          <w:tcPr>
            <w:tcW w:w="2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283"/>
              <w:rPr/>
            </w:pPr>
            <w:r>
              <w:rPr/>
              <w:t>​</w:t>
            </w:r>
          </w:p>
        </w:tc>
        <w:tc>
          <w:tcPr>
            <w:tcW w:w="200" w:type="dxa"/>
            <w:tcBorders/>
            <w:shd w:fill="CCEEFF" w:val="clear"/>
            <w:tcMar>
              <w:bottom w:w="0" w:type="dxa"/>
            </w:tcMar>
            <w:vAlign w:val="center"/>
          </w:tcPr>
          <w:p>
            <w:pPr>
              <w:pStyle w:val="TableContents"/>
              <w:spacing w:before="0" w:after="283"/>
              <w:jc w:val="right"/>
              <w:rPr/>
            </w:pPr>
            <w:r>
              <w:rPr/>
              <w:t>​</w:t>
            </w:r>
          </w:p>
        </w:tc>
        <w:tc>
          <w:tcPr>
            <w:tcW w:w="640" w:type="dxa"/>
            <w:tcBorders/>
            <w:shd w:fill="CCEEFF" w:val="clear"/>
            <w:tcMar>
              <w:bottom w:w="0" w:type="dxa"/>
            </w:tcMar>
            <w:vAlign w:val="center"/>
          </w:tcPr>
          <w:p>
            <w:pPr>
              <w:pStyle w:val="TableContents"/>
              <w:spacing w:before="0" w:after="283"/>
              <w:jc w:val="right"/>
              <w:rPr/>
            </w:pPr>
            <w:r>
              <w:rPr/>
              <w:t xml:space="preserve">— </w:t>
            </w:r>
          </w:p>
        </w:tc>
        <w:tc>
          <w:tcPr>
            <w:tcW w:w="204"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r>
        <w:trPr/>
        <w:tc>
          <w:tcPr>
            <w:tcW w:w="3818"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Did Not Disclose Demographic Background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413"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0"/>
              <w:jc w:val="right"/>
              <w:rPr/>
            </w:pPr>
            <w:r>
              <w:rPr/>
              <w:t>​</w:t>
            </w:r>
          </w:p>
        </w:tc>
        <w:tc>
          <w:tcPr>
            <w:tcW w:w="638" w:type="dxa"/>
            <w:tcBorders/>
            <w:shd w:fill="auto" w:val="clear"/>
            <w:tcMar>
              <w:bottom w:w="0" w:type="dxa"/>
            </w:tcMar>
            <w:vAlign w:val="center"/>
          </w:tcPr>
          <w:p>
            <w:pPr>
              <w:pStyle w:val="TableContents"/>
              <w:spacing w:before="0" w:after="0"/>
              <w:jc w:val="right"/>
              <w:rPr/>
            </w:pPr>
            <w:r>
              <w:rPr/>
              <w:t>—</w:t>
            </w:r>
          </w:p>
        </w:tc>
        <w:tc>
          <w:tcPr>
            <w:tcW w:w="2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283"/>
              <w:rPr/>
            </w:pPr>
            <w:r>
              <w:rPr/>
              <w:t>​</w:t>
            </w:r>
          </w:p>
        </w:tc>
        <w:tc>
          <w:tcPr>
            <w:tcW w:w="200" w:type="dxa"/>
            <w:tcBorders/>
            <w:shd w:fill="auto" w:val="clear"/>
            <w:tcMar>
              <w:bottom w:w="0" w:type="dxa"/>
            </w:tcMar>
            <w:vAlign w:val="center"/>
          </w:tcPr>
          <w:p>
            <w:pPr>
              <w:pStyle w:val="TableContents"/>
              <w:spacing w:before="0" w:after="283"/>
              <w:jc w:val="right"/>
              <w:rPr/>
            </w:pPr>
            <w:r>
              <w:rPr/>
              <w:t>​</w:t>
            </w:r>
          </w:p>
        </w:tc>
        <w:tc>
          <w:tcPr>
            <w:tcW w:w="640" w:type="dxa"/>
            <w:tcBorders/>
            <w:shd w:fill="auto" w:val="clear"/>
            <w:tcMar>
              <w:bottom w:w="0" w:type="dxa"/>
            </w:tcMar>
            <w:vAlign w:val="center"/>
          </w:tcPr>
          <w:p>
            <w:pPr>
              <w:pStyle w:val="TableContents"/>
              <w:spacing w:before="0" w:after="283"/>
              <w:jc w:val="right"/>
              <w:rPr/>
            </w:pPr>
            <w:r>
              <w:rPr/>
              <w:t>—</w:t>
            </w:r>
          </w:p>
        </w:tc>
        <w:tc>
          <w:tcPr>
            <w:tcW w:w="204"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bl>
    <w:tbl>
      <w:tblPr>
        <w:tblW w:w="8812" w:type="dxa"/>
        <w:jc w:val="left"/>
        <w:tblInd w:w="1393" w:type="dxa"/>
        <w:tblCellMar>
          <w:top w:w="0" w:type="dxa"/>
          <w:left w:w="0" w:type="dxa"/>
          <w:bottom w:w="50" w:type="dxa"/>
          <w:right w:w="0" w:type="dxa"/>
        </w:tblCellMar>
      </w:tblPr>
      <w:tblGrid>
        <w:gridCol w:w="3579"/>
        <w:gridCol w:w="109"/>
        <w:gridCol w:w="109"/>
        <w:gridCol w:w="132"/>
        <w:gridCol w:w="132"/>
        <w:gridCol w:w="421"/>
        <w:gridCol w:w="134"/>
        <w:gridCol w:w="109"/>
        <w:gridCol w:w="109"/>
        <w:gridCol w:w="109"/>
        <w:gridCol w:w="109"/>
        <w:gridCol w:w="346"/>
        <w:gridCol w:w="109"/>
        <w:gridCol w:w="109"/>
        <w:gridCol w:w="109"/>
        <w:gridCol w:w="203"/>
        <w:gridCol w:w="203"/>
        <w:gridCol w:w="646"/>
        <w:gridCol w:w="205"/>
        <w:gridCol w:w="109"/>
        <w:gridCol w:w="109"/>
        <w:gridCol w:w="233"/>
        <w:gridCol w:w="233"/>
        <w:gridCol w:w="747"/>
        <w:gridCol w:w="238"/>
        <w:gridCol w:w="161"/>
      </w:tblGrid>
      <w:tr>
        <w:trPr/>
        <w:tc>
          <w:tcPr>
            <w:tcW w:w="8651" w:type="dxa"/>
            <w:gridSpan w:val="25"/>
            <w:tcBorders>
              <w:bottom w:val="single" w:sz="2" w:space="0" w:color="000000"/>
            </w:tcBorders>
            <w:shd w:fill="auto" w:val="clear"/>
            <w:vAlign w:val="center"/>
          </w:tcPr>
          <w:p>
            <w:pPr>
              <w:pStyle w:val="TableContents"/>
              <w:spacing w:before="0" w:after="0"/>
              <w:jc w:val="center"/>
              <w:rPr>
                <w:spacing w:val="-3"/>
              </w:rPr>
            </w:pPr>
            <w:r>
              <w:rPr>
                <w:spacing w:val="-3"/>
              </w:rPr>
              <w:t xml:space="preserve">Board Diversity Matrix (as of April 27, 2022)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579" w:type="dxa"/>
            <w:tcBorders>
              <w:bottom w:val="single" w:sz="2" w:space="0" w:color="000000"/>
            </w:tcBorders>
            <w:shd w:fill="auto" w:val="clear"/>
            <w:vAlign w:val="center"/>
          </w:tcPr>
          <w:p>
            <w:pPr>
              <w:pStyle w:val="TableContents"/>
              <w:spacing w:before="0" w:after="0"/>
              <w:rPr>
                <w:spacing w:val="-3"/>
              </w:rPr>
            </w:pPr>
            <w:r>
              <w:rPr>
                <w:spacing w:val="-3"/>
              </w:rPr>
              <w:t xml:space="preserve">Total Number of Directors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854" w:type="dxa"/>
            <w:gridSpan w:val="22"/>
            <w:tcBorders>
              <w:bottom w:val="single" w:sz="2" w:space="0" w:color="000000"/>
            </w:tcBorders>
            <w:shd w:fill="auto" w:val="clear"/>
            <w:vAlign w:val="center"/>
          </w:tcPr>
          <w:p>
            <w:pPr>
              <w:pStyle w:val="TableContents"/>
              <w:spacing w:before="0" w:after="0"/>
              <w:jc w:val="center"/>
              <w:rPr>
                <w:spacing w:val="-3"/>
              </w:rPr>
            </w:pPr>
            <w:r>
              <w:rPr>
                <w:spacing w:val="-3"/>
              </w:rPr>
              <w:t xml:space="preserve">8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579" w:type="dxa"/>
            <w:tcBorders>
              <w:bottom w:val="single" w:sz="2" w:space="0" w:color="FFFFFF"/>
            </w:tcBorders>
            <w:shd w:fill="auto"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19"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57"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51"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w:t>
              <w:br/>
              <w:t xml:space="preserve">Disclose Gender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421"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jc w:val="right"/>
              <w:rPr/>
            </w:pPr>
            <w:r>
              <w:rPr/>
              <w:t>​</w:t>
            </w:r>
          </w:p>
        </w:tc>
        <w:tc>
          <w:tcPr>
            <w:tcW w:w="747" w:type="dxa"/>
            <w:tcBorders/>
            <w:shd w:fill="CCEEFF" w:val="clear"/>
            <w:tcMar>
              <w:bottom w:w="0" w:type="dxa"/>
            </w:tcMar>
            <w:vAlign w:val="center"/>
          </w:tcPr>
          <w:p>
            <w:pPr>
              <w:pStyle w:val="TableContents"/>
              <w:spacing w:before="0" w:after="283"/>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b/>
              </w:rPr>
            </w:pPr>
            <w:r>
              <w:rPr>
                <w:b/>
              </w:rPr>
              <w:t>3</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b/>
              </w:rPr>
            </w:pPr>
            <w:r>
              <w:rPr>
                <w:b/>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421"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jc w:val="right"/>
              <w:rPr/>
            </w:pPr>
            <w:r>
              <w:rPr/>
              <w:t>​</w:t>
            </w:r>
          </w:p>
        </w:tc>
        <w:tc>
          <w:tcPr>
            <w:tcW w:w="747" w:type="dxa"/>
            <w:tcBorders/>
            <w:shd w:fill="CCEEFF" w:val="clear"/>
            <w:tcMar>
              <w:bottom w:w="0" w:type="dxa"/>
            </w:tcMar>
            <w:vAlign w:val="center"/>
          </w:tcPr>
          <w:p>
            <w:pPr>
              <w:pStyle w:val="TableContents"/>
              <w:spacing w:before="0" w:after="283"/>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African American or Black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b/>
              </w:rPr>
            </w:pPr>
            <w:r>
              <w:rPr>
                <w:b/>
              </w:rPr>
              <w:t>1</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Alaskan Native or Native American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0"/>
              <w:jc w:val="right"/>
              <w:rPr/>
            </w:pPr>
            <w:r>
              <w:rPr/>
              <w:t>​</w:t>
            </w:r>
          </w:p>
        </w:tc>
        <w:tc>
          <w:tcPr>
            <w:tcW w:w="421" w:type="dxa"/>
            <w:tcBorders/>
            <w:shd w:fill="CCEEFF" w:val="clear"/>
            <w:tcMar>
              <w:bottom w:w="0" w:type="dxa"/>
            </w:tcMar>
            <w:vAlign w:val="center"/>
          </w:tcPr>
          <w:p>
            <w:pPr>
              <w:pStyle w:val="TableContents"/>
              <w:spacing w:before="0" w:after="0"/>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0"/>
              <w:jc w:val="right"/>
              <w:rPr/>
            </w:pPr>
            <w:r>
              <w:rPr/>
              <w:t>​</w:t>
            </w:r>
          </w:p>
        </w:tc>
        <w:tc>
          <w:tcPr>
            <w:tcW w:w="747" w:type="dxa"/>
            <w:tcBorders/>
            <w:shd w:fill="CCEEFF" w:val="clear"/>
            <w:tcMar>
              <w:bottom w:w="0" w:type="dxa"/>
            </w:tcMar>
            <w:vAlign w:val="center"/>
          </w:tcPr>
          <w:p>
            <w:pPr>
              <w:pStyle w:val="TableContents"/>
              <w:spacing w:before="0" w:after="0"/>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Asian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pPr>
            <w:r>
              <w:rPr/>
              <w:t>—</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Hispanic or Latinx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0"/>
              <w:jc w:val="right"/>
              <w:rPr/>
            </w:pPr>
            <w:r>
              <w:rPr/>
              <w:t>​</w:t>
            </w:r>
          </w:p>
        </w:tc>
        <w:tc>
          <w:tcPr>
            <w:tcW w:w="421" w:type="dxa"/>
            <w:tcBorders/>
            <w:shd w:fill="CCEEFF" w:val="clear"/>
            <w:tcMar>
              <w:bottom w:w="0" w:type="dxa"/>
            </w:tcMar>
            <w:vAlign w:val="center"/>
          </w:tcPr>
          <w:p>
            <w:pPr>
              <w:pStyle w:val="TableContents"/>
              <w:spacing w:before="0" w:after="0"/>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0"/>
              <w:jc w:val="right"/>
              <w:rPr/>
            </w:pPr>
            <w:r>
              <w:rPr/>
              <w:t>​</w:t>
            </w:r>
          </w:p>
        </w:tc>
        <w:tc>
          <w:tcPr>
            <w:tcW w:w="747" w:type="dxa"/>
            <w:tcBorders/>
            <w:shd w:fill="CCEEFF" w:val="clear"/>
            <w:tcMar>
              <w:bottom w:w="0" w:type="dxa"/>
            </w:tcMar>
            <w:vAlign w:val="center"/>
          </w:tcPr>
          <w:p>
            <w:pPr>
              <w:pStyle w:val="TableContents"/>
              <w:spacing w:before="0" w:after="0"/>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White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0"/>
              <w:jc w:val="right"/>
              <w:rPr/>
            </w:pPr>
            <w:r>
              <w:rPr/>
              <w:t>​</w:t>
            </w:r>
          </w:p>
        </w:tc>
        <w:tc>
          <w:tcPr>
            <w:tcW w:w="421" w:type="dxa"/>
            <w:tcBorders/>
            <w:shd w:fill="auto" w:val="clear"/>
            <w:tcMar>
              <w:bottom w:w="0" w:type="dxa"/>
            </w:tcMar>
            <w:vAlign w:val="center"/>
          </w:tcPr>
          <w:p>
            <w:pPr>
              <w:pStyle w:val="TableContents"/>
              <w:spacing w:before="0" w:after="0"/>
              <w:jc w:val="right"/>
              <w:rPr>
                <w:b/>
              </w:rPr>
            </w:pPr>
            <w:r>
              <w:rPr>
                <w:b/>
              </w:rPr>
              <w:t>2</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b/>
              </w:rPr>
            </w:pPr>
            <w:r>
              <w:rPr>
                <w:b/>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0"/>
              <w:jc w:val="right"/>
              <w:rPr/>
            </w:pPr>
            <w:r>
              <w:rPr/>
              <w:t>​</w:t>
            </w:r>
          </w:p>
        </w:tc>
        <w:tc>
          <w:tcPr>
            <w:tcW w:w="747" w:type="dxa"/>
            <w:tcBorders/>
            <w:shd w:fill="auto" w:val="clear"/>
            <w:tcMar>
              <w:bottom w:w="0" w:type="dxa"/>
            </w:tcMar>
            <w:vAlign w:val="center"/>
          </w:tcPr>
          <w:p>
            <w:pPr>
              <w:pStyle w:val="TableContents"/>
              <w:spacing w:before="0" w:after="0"/>
              <w:jc w:val="right"/>
              <w:rPr/>
            </w:pPr>
            <w:r>
              <w:rPr/>
              <w:t>—</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Two or More Races or Ethnicities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0"/>
              <w:jc w:val="right"/>
              <w:rPr/>
            </w:pPr>
            <w:r>
              <w:rPr/>
              <w:t>​</w:t>
            </w:r>
          </w:p>
        </w:tc>
        <w:tc>
          <w:tcPr>
            <w:tcW w:w="421" w:type="dxa"/>
            <w:tcBorders/>
            <w:shd w:fill="CCEEFF" w:val="clear"/>
            <w:tcMar>
              <w:bottom w:w="0" w:type="dxa"/>
            </w:tcMar>
            <w:vAlign w:val="center"/>
          </w:tcPr>
          <w:p>
            <w:pPr>
              <w:pStyle w:val="TableContents"/>
              <w:spacing w:before="0" w:after="0"/>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0"/>
              <w:jc w:val="right"/>
              <w:rPr/>
            </w:pPr>
            <w:r>
              <w:rPr/>
              <w:t>​</w:t>
            </w:r>
          </w:p>
        </w:tc>
        <w:tc>
          <w:tcPr>
            <w:tcW w:w="747" w:type="dxa"/>
            <w:tcBorders/>
            <w:shd w:fill="CCEEFF" w:val="clear"/>
            <w:tcMar>
              <w:bottom w:w="0" w:type="dxa"/>
            </w:tcMar>
            <w:vAlign w:val="center"/>
          </w:tcPr>
          <w:p>
            <w:pPr>
              <w:pStyle w:val="TableContents"/>
              <w:spacing w:before="0" w:after="0"/>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57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LGBTQ+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421" w:type="dxa"/>
            <w:tcBorders/>
            <w:shd w:fill="auto" w:val="clear"/>
            <w:tcMar>
              <w:bottom w:w="0" w:type="dxa"/>
            </w:tcMar>
            <w:vAlign w:val="center"/>
          </w:tcPr>
          <w:p>
            <w:pPr>
              <w:pStyle w:val="TableContents"/>
              <w:spacing w:before="0" w:after="283"/>
              <w:jc w:val="right"/>
              <w:rPr/>
            </w:pPr>
            <w:r>
              <w:rPr/>
              <w:t>—</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283"/>
              <w:rPr/>
            </w:pPr>
            <w:r>
              <w:rPr/>
              <w:t>​</w:t>
            </w:r>
          </w:p>
        </w:tc>
        <w:tc>
          <w:tcPr>
            <w:tcW w:w="203" w:type="dxa"/>
            <w:tcBorders/>
            <w:shd w:fill="auto" w:val="clear"/>
            <w:tcMar>
              <w:bottom w:w="0" w:type="dxa"/>
            </w:tcMar>
            <w:vAlign w:val="center"/>
          </w:tcPr>
          <w:p>
            <w:pPr>
              <w:pStyle w:val="TableContents"/>
              <w:spacing w:before="0" w:after="0"/>
              <w:jc w:val="right"/>
              <w:rPr/>
            </w:pPr>
            <w:r>
              <w:rPr/>
              <w:t>​</w:t>
            </w:r>
          </w:p>
        </w:tc>
        <w:tc>
          <w:tcPr>
            <w:tcW w:w="646" w:type="dxa"/>
            <w:tcBorders/>
            <w:shd w:fill="auto" w:val="clear"/>
            <w:tcMar>
              <w:bottom w:w="0" w:type="dxa"/>
            </w:tcMar>
            <w:vAlign w:val="center"/>
          </w:tcPr>
          <w:p>
            <w:pPr>
              <w:pStyle w:val="TableContents"/>
              <w:spacing w:before="0" w:after="0"/>
              <w:jc w:val="right"/>
              <w:rPr/>
            </w:pPr>
            <w:r>
              <w:rPr/>
              <w:t>—</w:t>
            </w:r>
          </w:p>
        </w:tc>
        <w:tc>
          <w:tcPr>
            <w:tcW w:w="20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rPr/>
            </w:pPr>
            <w:r>
              <w:rPr/>
              <w:t>​</w:t>
            </w:r>
          </w:p>
        </w:tc>
        <w:tc>
          <w:tcPr>
            <w:tcW w:w="233" w:type="dxa"/>
            <w:tcBorders/>
            <w:shd w:fill="auto" w:val="clear"/>
            <w:tcMar>
              <w:bottom w:w="0" w:type="dxa"/>
            </w:tcMar>
            <w:vAlign w:val="center"/>
          </w:tcPr>
          <w:p>
            <w:pPr>
              <w:pStyle w:val="TableContents"/>
              <w:spacing w:before="0" w:after="283"/>
              <w:jc w:val="right"/>
              <w:rPr/>
            </w:pPr>
            <w:r>
              <w:rPr/>
              <w:t>​</w:t>
            </w:r>
          </w:p>
        </w:tc>
        <w:tc>
          <w:tcPr>
            <w:tcW w:w="747" w:type="dxa"/>
            <w:tcBorders/>
            <w:shd w:fill="auto" w:val="clear"/>
            <w:tcMar>
              <w:bottom w:w="0" w:type="dxa"/>
            </w:tcMar>
            <w:vAlign w:val="center"/>
          </w:tcPr>
          <w:p>
            <w:pPr>
              <w:pStyle w:val="TableContents"/>
              <w:spacing w:before="0" w:after="283"/>
              <w:jc w:val="right"/>
              <w:rPr/>
            </w:pPr>
            <w:r>
              <w:rPr/>
              <w:t xml:space="preserve">— </w:t>
            </w:r>
          </w:p>
        </w:tc>
        <w:tc>
          <w:tcPr>
            <w:tcW w:w="238"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579"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Did Not Disclose Demographic Background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421"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283"/>
              <w:rPr/>
            </w:pPr>
            <w:r>
              <w:rPr/>
              <w:t>​</w:t>
            </w:r>
          </w:p>
        </w:tc>
        <w:tc>
          <w:tcPr>
            <w:tcW w:w="203" w:type="dxa"/>
            <w:tcBorders/>
            <w:shd w:fill="CCEEFF" w:val="clear"/>
            <w:tcMar>
              <w:bottom w:w="0" w:type="dxa"/>
            </w:tcMar>
            <w:vAlign w:val="center"/>
          </w:tcPr>
          <w:p>
            <w:pPr>
              <w:pStyle w:val="TableContents"/>
              <w:spacing w:before="0" w:after="0"/>
              <w:jc w:val="right"/>
              <w:rPr/>
            </w:pPr>
            <w:r>
              <w:rPr/>
              <w:t>​</w:t>
            </w:r>
          </w:p>
        </w:tc>
        <w:tc>
          <w:tcPr>
            <w:tcW w:w="646" w:type="dxa"/>
            <w:tcBorders/>
            <w:shd w:fill="CCEEFF" w:val="clear"/>
            <w:tcMar>
              <w:bottom w:w="0" w:type="dxa"/>
            </w:tcMar>
            <w:vAlign w:val="center"/>
          </w:tcPr>
          <w:p>
            <w:pPr>
              <w:pStyle w:val="TableContents"/>
              <w:spacing w:before="0" w:after="0"/>
              <w:jc w:val="right"/>
              <w:rPr/>
            </w:pPr>
            <w:r>
              <w:rPr/>
              <w:t>—</w:t>
            </w:r>
          </w:p>
        </w:tc>
        <w:tc>
          <w:tcPr>
            <w:tcW w:w="20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rPr/>
            </w:pPr>
            <w:r>
              <w:rPr/>
              <w:t>​</w:t>
            </w:r>
          </w:p>
        </w:tc>
        <w:tc>
          <w:tcPr>
            <w:tcW w:w="233" w:type="dxa"/>
            <w:tcBorders/>
            <w:shd w:fill="CCEEFF" w:val="clear"/>
            <w:tcMar>
              <w:bottom w:w="0" w:type="dxa"/>
            </w:tcMar>
            <w:vAlign w:val="center"/>
          </w:tcPr>
          <w:p>
            <w:pPr>
              <w:pStyle w:val="TableContents"/>
              <w:spacing w:before="0" w:after="283"/>
              <w:jc w:val="right"/>
              <w:rPr/>
            </w:pPr>
            <w:r>
              <w:rPr/>
              <w:t>​</w:t>
            </w:r>
          </w:p>
        </w:tc>
        <w:tc>
          <w:tcPr>
            <w:tcW w:w="747" w:type="dxa"/>
            <w:tcBorders/>
            <w:shd w:fill="CCEEFF" w:val="clear"/>
            <w:tcMar>
              <w:bottom w:w="0" w:type="dxa"/>
            </w:tcMar>
            <w:vAlign w:val="center"/>
          </w:tcPr>
          <w:p>
            <w:pPr>
              <w:pStyle w:val="TableContents"/>
              <w:spacing w:before="0" w:after="283"/>
              <w:jc w:val="right"/>
              <w:rPr/>
            </w:pPr>
            <w:r>
              <w:rPr/>
              <w:t>—</w:t>
            </w:r>
          </w:p>
        </w:tc>
        <w:tc>
          <w:tcPr>
            <w:tcW w:w="238"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1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re-nomination of existing directors is not viewed by our Nominating and Corporate Governance Committee as automatic, but instead is based on continuing qualification. In addition, the Nominating and Corporate Governance Committee evaluates the performance of existing directors on the Board and any applicable committees, which includes consideration of the results of the Board’s biannual self-assessment process as well as the extent to which the directors undertook continuing director education, including with respect to the Company’s industry and operating environment. Our Board requires that the backgrounds and qualifications of the directors considered as a group provide a significant breadth of experience, knowledge and abilities that assist the Board in fulfilling its responsibilities. In determining the array of skills and attributes relevant to the Company, the Nominating and Corporate Governance Committee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89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maintains a matrix of all skills and attributes represented by current directors and director nominees, each of which fit into the categories as summarized below: </w:t>
      </w:r>
    </w:p>
    <w:tbl>
      <w:tblPr>
        <w:tblW w:w="8812" w:type="dxa"/>
        <w:jc w:val="left"/>
        <w:tblInd w:w="1393" w:type="dxa"/>
        <w:tblCellMar>
          <w:top w:w="0" w:type="dxa"/>
          <w:left w:w="0" w:type="dxa"/>
          <w:bottom w:w="0" w:type="dxa"/>
          <w:right w:w="0" w:type="dxa"/>
        </w:tblCellMar>
      </w:tblPr>
      <w:tblGrid>
        <w:gridCol w:w="124"/>
        <w:gridCol w:w="109"/>
        <w:gridCol w:w="4568"/>
        <w:gridCol w:w="109"/>
        <w:gridCol w:w="109"/>
        <w:gridCol w:w="109"/>
        <w:gridCol w:w="3420"/>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68" w:type="dxa"/>
            <w:tcBorders>
              <w:bottom w:val="single" w:sz="2" w:space="0" w:color="000000"/>
            </w:tcBorders>
            <w:shd w:fill="auto" w:val="clear"/>
            <w:tcMar>
              <w:bottom w:w="32" w:type="dxa"/>
            </w:tcMar>
            <w:vAlign w:val="center"/>
          </w:tcPr>
          <w:p>
            <w:pPr>
              <w:pStyle w:val="TableContents"/>
              <w:spacing w:before="0" w:after="283"/>
              <w:rPr/>
            </w:pPr>
            <w:r>
              <w:rPr>
                <w:b/>
                <w:spacing w:val="-4"/>
              </w:rPr>
              <w:t>Leadership experience.</w:t>
            </w:r>
            <w:r>
              <w:rPr>
                <w:spacing w:val="4"/>
              </w:rPr>
              <w:t xml:space="preserve">   Directors who have held significant corporate leadership positions bring valuable knowledge of organization, controls, strategy and risk management, and can provide insight as to how to drive change and growth. More than half of our directors have CEO experience, with most of the Board also including experience in general management, finance, operations, technology, or corporate development. Our skills matrix also tracks past and current director roles on other corporate boards and committees, ensuring we have the right mix of experience to advise and oversee the Company’s executive management.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420" w:type="dxa"/>
            <w:tcBorders>
              <w:bottom w:val="single" w:sz="2" w:space="0" w:color="000000"/>
            </w:tcBorders>
            <w:shd w:fill="auto" w:val="clear"/>
            <w:tcMar>
              <w:bottom w:w="32" w:type="dxa"/>
            </w:tcMar>
            <w:vAlign w:val="center"/>
          </w:tcPr>
          <w:p>
            <w:pPr>
              <w:pStyle w:val="TableContents"/>
              <w:spacing w:before="0" w:after="283"/>
              <w:rPr/>
            </w:pPr>
            <w:r>
              <w:rPr>
                <w:b/>
                <w:spacing w:val="-4"/>
              </w:rPr>
              <w:t>Finance experience.</w:t>
            </w:r>
            <w:r>
              <w:rPr>
                <w:spacing w:val="4"/>
              </w:rPr>
              <w:t xml:space="preserve">   We believe that as a public company, our Board must have an understanding of our financial reporting processes, risk management policies, and the way we measure our operating and strategic performance by reference to financial goals. Our current slate of director nominees includes a director who qualifies as an “audit committee financial expert” as defined in applicable SEC rules, and we expect all of our directors to be financially knowledgeable.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68" w:type="dxa"/>
            <w:tcBorders>
              <w:bottom w:val="single" w:sz="2" w:space="0" w:color="000000"/>
            </w:tcBorders>
            <w:shd w:fill="auto" w:val="clear"/>
            <w:tcMar>
              <w:bottom w:w="32" w:type="dxa"/>
            </w:tcMar>
            <w:vAlign w:val="center"/>
          </w:tcPr>
          <w:p>
            <w:pPr>
              <w:pStyle w:val="TableContents"/>
              <w:spacing w:before="0" w:after="283"/>
              <w:rPr/>
            </w:pPr>
            <w:r>
              <w:rPr>
                <w:b/>
                <w:spacing w:val="-4"/>
              </w:rPr>
              <w:t>Industry experience.</w:t>
            </w:r>
            <w:r>
              <w:rPr>
                <w:spacing w:val="4"/>
              </w:rPr>
              <w:t xml:space="preserve">   We seek to have directors with experience as executives, directors or in other leadership positions in the industries in which we operate and target for growth. For example, we specifically seek directors with experience in the telecommunications industry.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420" w:type="dxa"/>
            <w:tcBorders>
              <w:bottom w:val="single" w:sz="2" w:space="0" w:color="000000"/>
            </w:tcBorders>
            <w:shd w:fill="auto" w:val="clear"/>
            <w:tcMar>
              <w:bottom w:w="32" w:type="dxa"/>
            </w:tcMar>
            <w:vAlign w:val="center"/>
          </w:tcPr>
          <w:p>
            <w:pPr>
              <w:pStyle w:val="TableContents"/>
              <w:spacing w:before="0" w:after="283"/>
              <w:rPr/>
            </w:pPr>
            <w:r>
              <w:rPr>
                <w:b/>
                <w:spacing w:val="-4"/>
              </w:rPr>
              <w:t>Board Tenure.</w:t>
            </w:r>
            <w:r>
              <w:rPr>
                <w:spacing w:val="4"/>
              </w:rPr>
              <w:t>   We seek to vary the tenure of the directors on our Board, which we believe allows us to preserve continuity of oversight while introducing new insights to our group. In order to accomplish this, our Board engages in succession planning with respect to its current slate of directors, and seeks to maintain a roster of prospective Board nominees in the near- and mid-term. Our independent director nominees currently have an average tenure of 4.4 years.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Prior to making any nomination, our Nominating and Corporate Governance undergoes a rigorous review of a candidate’s background, engages in several in person meetings with our Chairman as well as the Chair and other members of our Nominating and Corporate Governance Committee, and typically conducts a background check. Our Nominating and Corporate Governance Committee then recommends director nominees to the Board for its consideration.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2AO"/>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APPROVAL OF THE ADOPTION OF THE COMPANY’S 2023 EQUITY COMPENSATION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approve a proposal to adopt the Company’s 2023 Equity Incentive Plan (the “2023 Equity Plan”) at our Annual Meeting. Our Board adopted the 2023 Equity Plan on March 8, 2023 upon recommendation of the Compensation Committee (the “Compensation Committee”), subject to stockholder approval at the Annual Meeting. If approved by our stockholders, the 2023 Equity Plan will become effective as of the date of the stockholder approval (the “Effective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Equity Plan is intended to replace the Company’s 2008 Equity Incentive Plan, as amended (the “Prior Plan”). No additional grants will be made under the Prior Plan on or after the effective date of the 2023 Equity Plan. Outstanding grants under the Prior Plan will continue to be in effect according to their terms.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do not approve the 2023 Equity Plan, we will continue to be able to grant awards under the Prior Plan. As of March 31, 2023, 32,070 shares of our Common Stock are available for grant under the Prior Plan (assuming maximum performance for the purposes of outstanding performance-based awards).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seeking stockholder approval of the 2023 Equity Plan in order to (i) meet Nasdaq listing requirements, (ii) allow incentive stock options awarded under the 2023 Equity Plan to meet the requirements of the Internal Revenue Code of 1986, as amended, and the regulations promulgated thereunder (the “Code”), (iii) continue to maintain a limit on annual compensation of non-employee directors, and (iv) conform to good corporate governance.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New 2023 Equity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 2023 Equity Plan will benefit us in the following ways: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equity incentives align the interests of our employees with the interests of our stockholders—when we perform well, that performance is reflected in our stock price, and employees are rewarded along with other stockholders.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69"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equity incentives motivate high levels of performance and provide an effective means of recognizing employee contributions to our success, and that the 2023 Equity Plan will assist us in attracting, motivating and retaining high-performing employees. Equity incentives also benefit us in a number of other ways, including tying compensation closely to our performance, conserving cash, and we are entitled to tax deductions in connection with most equity awards. We believe that plans such as the 2023 Equity Plan increase our ability to achieve the objectives above by allowing us to grant different forms of equity awards.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largest"/>
                <wp:docPr id="70"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2023 Equity Plan is not approved by stockholders, we will have the ability to grant equity awards only under our Prior Plan, which may provide an insufficient share reserve for Company needs. Without an appropriate reserve of shares of Common Stock to grant competitive equity awards, we would be forced to consider cash replacement alternatives to provide a market-competitive total compensation package necessary to attract, retain, and motivate the talent critical to our future successes.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1"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structured the 2023 Equity Plan to provide flexibility in designing equity incentive programs with a broad array of equity incentives, such as restricted stock units, performance stock units, stock options, stock appreciation rights (“SARs”), stock awards, and implement competitive incentive compensation programs for our employees and non-employee directors. If approved, the 2023 Equity Plan will be the only plan under which new equity awards may be granted to our employees and other service providers.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2"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Highlights of the 2023 Equity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Equity Plan contains a number of provisions that we believe are consistent with best practices in equity compensation and which protect the stockholders’ interests, as described below: </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evergreen authorization</w:t>
      </w:r>
      <w:r>
        <w:rPr>
          <w:rFonts w:ascii="Times New Roman;Times;serif" w:hAnsi="Times New Roman;Times;serif"/>
          <w:b w:val="false"/>
          <w:i w:val="false"/>
          <w:caps w:val="false"/>
          <w:smallCaps w:val="false"/>
          <w:color w:val="000000"/>
          <w:spacing w:val="4"/>
          <w:sz w:val="20"/>
        </w:rPr>
        <w:t xml:space="preserve">.   The 2023 Equity Plan does not contain an “evergreen” share reserve, meaning that the Share reserve will not be increased without further stockholder approval. </w:t>
      </w:r>
      <w:r>
        <mc:AlternateContent>
          <mc:Choice Requires="wps">
            <w:drawing>
              <wp:anchor behindDoc="0" distT="8255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largest"/>
                <wp:docPr id="73"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 on awards to non-employee directors</w:t>
      </w:r>
      <w:r>
        <w:rPr>
          <w:rFonts w:ascii="Times New Roman;Times;serif" w:hAnsi="Times New Roman;Times;serif"/>
          <w:b w:val="false"/>
          <w:i w:val="false"/>
          <w:caps w:val="false"/>
          <w:smallCaps w:val="false"/>
          <w:color w:val="000000"/>
          <w:spacing w:val="4"/>
          <w:sz w:val="20"/>
        </w:rPr>
        <w:t xml:space="preserve">.   The 2023 Equity Plan imposes an aggregate limit on the value of awards that may be granted, when aggregated with cash fees that may be paid, to each non-employee director for services as a non-employee director in any year to $1,050,000 in total value. </w:t>
      </w:r>
      <w:r>
        <mc:AlternateContent>
          <mc:Choice Requires="wps">
            <w:drawing>
              <wp:anchor behindDoc="0" distT="8255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74"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Ban on in-the-money stock options and SARs</w:t>
      </w:r>
      <w:r>
        <w:rPr>
          <w:rFonts w:ascii="Times New Roman;Times;serif" w:hAnsi="Times New Roman;Times;serif"/>
          <w:b w:val="false"/>
          <w:i w:val="false"/>
          <w:caps w:val="false"/>
          <w:smallCaps w:val="false"/>
          <w:color w:val="000000"/>
          <w:spacing w:val="4"/>
          <w:sz w:val="20"/>
        </w:rPr>
        <w:t xml:space="preserve">.   The 2023 Equity Plan prohibits the grant of stock options or stock appreciation rights with an exercise price or base price that is less than fair market value on the date of grant. </w:t>
      </w:r>
      <w:r>
        <mc:AlternateContent>
          <mc:Choice Requires="wps">
            <w:drawing>
              <wp:anchor behindDoc="0" distT="8255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75"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repricing or grant of discounted stock options or SARs</w:t>
      </w:r>
      <w:r>
        <w:rPr>
          <w:rFonts w:ascii="Times New Roman;Times;serif" w:hAnsi="Times New Roman;Times;serif"/>
          <w:b w:val="false"/>
          <w:i w:val="false"/>
          <w:caps w:val="false"/>
          <w:smallCaps w:val="false"/>
          <w:color w:val="000000"/>
          <w:spacing w:val="4"/>
          <w:sz w:val="20"/>
        </w:rPr>
        <w:t xml:space="preserve">.   The 2023 Equity Plan prohibits repricing of options or SARs either by amending an existing award or substituting a new award for a cancelled award that has an exercise price or base amount less than the exercise price or base amount applicable to the original award. </w:t>
      </w:r>
      <w:r>
        <mc:AlternateContent>
          <mc:Choice Requires="wps">
            <w:drawing>
              <wp:anchor behindDoc="0" distT="8255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76"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single-trigger acceleration</w:t>
      </w:r>
      <w:r>
        <w:rPr>
          <w:rFonts w:ascii="Times New Roman;Times;serif" w:hAnsi="Times New Roman;Times;serif"/>
          <w:b w:val="false"/>
          <w:i w:val="false"/>
          <w:caps w:val="false"/>
          <w:smallCaps w:val="false"/>
          <w:color w:val="000000"/>
          <w:spacing w:val="4"/>
          <w:sz w:val="20"/>
        </w:rPr>
        <w:t xml:space="preserve">.   The 2023 Equity Plan does not provide for automatic vesting acceleration of awards in connection with a change in control of the Company. </w:t>
      </w:r>
      <w:r>
        <mc:AlternateContent>
          <mc:Choice Requires="wps">
            <w:drawing>
              <wp:anchor behindDoc="0" distT="8255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77"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dividends on unvested awards</w:t>
      </w:r>
      <w:r>
        <w:rPr>
          <w:rFonts w:ascii="Times New Roman;Times;serif" w:hAnsi="Times New Roman;Times;serif"/>
          <w:b w:val="false"/>
          <w:i w:val="false"/>
          <w:caps w:val="false"/>
          <w:smallCaps w:val="false"/>
          <w:color w:val="000000"/>
          <w:spacing w:val="4"/>
          <w:sz w:val="20"/>
        </w:rPr>
        <w:t xml:space="preserve">.   The 2023 Equity Plan prohibits dividends or dividend equivalents to be granted in connection with stock options or SARs and prohibits payment of dividends or dividend equivalents on unvested awards until the underlying awards have vested. </w:t>
      </w:r>
      <w:r>
        <mc:AlternateContent>
          <mc:Choice Requires="wps">
            <w:drawing>
              <wp:anchor behindDoc="0" distT="8255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78"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Subject to applicable clawback policies</w:t>
      </w:r>
      <w:r>
        <w:rPr>
          <w:rFonts w:ascii="Times New Roman;Times;serif" w:hAnsi="Times New Roman;Times;serif"/>
          <w:b w:val="false"/>
          <w:i w:val="false"/>
          <w:caps w:val="false"/>
          <w:smallCaps w:val="false"/>
          <w:color w:val="000000"/>
          <w:spacing w:val="4"/>
          <w:sz w:val="20"/>
        </w:rPr>
        <w:t xml:space="preserve">.   Awards granted under the 2023 Equity Plan are subject to any applicable clawback or recoupment policies, share trading policies, and other policies that may be approved or implemented by the Board or the Compensation Committee from time to time. </w:t>
      </w:r>
      <w:r>
        <mc:AlternateContent>
          <mc:Choice Requires="wps">
            <w:drawing>
              <wp:anchor behindDoc="0" distT="8255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79"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Administered by an independent committee</w:t>
      </w:r>
      <w:r>
        <w:rPr>
          <w:rFonts w:ascii="Times New Roman;Times;serif" w:hAnsi="Times New Roman;Times;serif"/>
          <w:b w:val="false"/>
          <w:i w:val="false"/>
          <w:caps w:val="false"/>
          <w:smallCaps w:val="false"/>
          <w:color w:val="000000"/>
          <w:spacing w:val="4"/>
          <w:sz w:val="20"/>
        </w:rPr>
        <w:t xml:space="preserve">.   The 2023 Equity Plan will be administered by an independent committee of the Board, which the Board intends to be the Compensation Committee. </w:t>
      </w:r>
      <w:r>
        <mc:AlternateContent>
          <mc:Choice Requires="wps">
            <w:drawing>
              <wp:anchor behindDoc="0" distT="8255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80"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the Number of Shares Available for Awards under the 2023 Equity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Proposal 2 is approved by our stockholders, subject to adjustments as described below, the maximum aggregate number of shares that may be issued under the 2023 Equity Plan will be 1,400,000, plus any shares of Common Stock reserved for issuance under the Prior Plan that remain available for grant under the Prior Plan, as further described below. As of March 31, 2023, 32,070 shares of our Common Stock are available for grant under the Prior Plan (assuming maximum performance for the purposes of outstanding performance-based awards). Any other shares underlying any outstanding award granted under the Prior Plan that, following the adoption of the 2023 Equity Plan, expire, or are terminated, surrendered, cancelled, or forfeited or exchanged for any reason without issuance of such shares will also be available for new awards under the 2023 Equity Plan.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the number of shares of Common Stock to be authorized for issuance under the 2023 Equity Plan, the Board considered a number of factors, including burn rate, the number of shares needed for future awards, estimated dilution, competitive data from relevant peer companies, and input from both our stockholders and Compensia, the Company’s compensation consultant.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our potential dilution levels based on our Common Stock outstanding as of March 31, 2023, the new shares requested for issuance under the 2023 Equity Plan and our total equity awards outstanding as of March 31, 2023. The Board believes that the number of shares requested under the 2023 Equity Plan represents a reasonable amount of potential equity dilution and will allow us to continue granting equity awards.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28" w:type="dxa"/>
          <w:right w:w="0" w:type="dxa"/>
        </w:tblCellMar>
      </w:tblPr>
      <w:tblGrid>
        <w:gridCol w:w="124"/>
        <w:gridCol w:w="6803"/>
        <w:gridCol w:w="109"/>
        <w:gridCol w:w="109"/>
        <w:gridCol w:w="109"/>
        <w:gridCol w:w="109"/>
        <w:gridCol w:w="1186"/>
        <w:gridCol w:w="109"/>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6803"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Potential Overhang with 1,400,000 Requested 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118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6803" w:type="dxa"/>
            <w:tcBorders/>
            <w:shd w:fill="CCEEFF" w:val="clear"/>
            <w:tcMar>
              <w:bottom w:w="0" w:type="dxa"/>
            </w:tcMar>
            <w:vAlign w:val="center"/>
          </w:tcPr>
          <w:p>
            <w:pPr>
              <w:pStyle w:val="TableContents"/>
              <w:spacing w:before="0" w:after="0"/>
              <w:jc w:val="left"/>
              <w:rPr>
                <w:spacing w:val="4"/>
              </w:rPr>
            </w:pPr>
            <w:r>
              <w:rPr>
                <w:spacing w:val="4"/>
              </w:rPr>
              <w:t xml:space="preserve">Stock Options Outstanding as of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803" w:type="dxa"/>
            <w:tcBorders/>
            <w:shd w:fill="auto" w:val="clear"/>
            <w:tcMar>
              <w:bottom w:w="0" w:type="dxa"/>
            </w:tcMar>
            <w:vAlign w:val="center"/>
          </w:tcPr>
          <w:p>
            <w:pPr>
              <w:pStyle w:val="TableContents"/>
              <w:spacing w:before="0" w:after="0"/>
              <w:jc w:val="left"/>
              <w:rPr>
                <w:spacing w:val="4"/>
              </w:rPr>
            </w:pPr>
            <w:r>
              <w:rPr>
                <w:spacing w:val="4"/>
              </w:rPr>
              <w:t xml:space="preserve">Outstanding Full Value Awards as of March 31, 2023(1)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20,283,182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6803" w:type="dxa"/>
            <w:tcBorders/>
            <w:shd w:fill="CCEEFF" w:val="clear"/>
            <w:tcMar>
              <w:bottom w:w="0" w:type="dxa"/>
            </w:tcMar>
            <w:vAlign w:val="center"/>
          </w:tcPr>
          <w:p>
            <w:pPr>
              <w:pStyle w:val="TableContents"/>
              <w:spacing w:before="0" w:after="0"/>
              <w:jc w:val="left"/>
              <w:rPr>
                <w:spacing w:val="4"/>
              </w:rPr>
            </w:pPr>
            <w:r>
              <w:rPr>
                <w:spacing w:val="4"/>
              </w:rPr>
              <w:t xml:space="preserve">Total Equity Awards Outstanding as of March 31, 2023(2)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529,256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803" w:type="dxa"/>
            <w:tcBorders/>
            <w:shd w:fill="auto" w:val="clear"/>
            <w:tcMar>
              <w:bottom w:w="0" w:type="dxa"/>
            </w:tcMar>
            <w:vAlign w:val="center"/>
          </w:tcPr>
          <w:p>
            <w:pPr>
              <w:pStyle w:val="TableContents"/>
              <w:spacing w:before="0" w:after="0"/>
              <w:jc w:val="left"/>
              <w:rPr>
                <w:spacing w:val="4"/>
              </w:rPr>
            </w:pPr>
            <w:r>
              <w:rPr>
                <w:spacing w:val="4"/>
              </w:rPr>
              <w:t xml:space="preserve">Shares Available for Grant under the Prior Plan as of March 31, 2023(3)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32,070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6803" w:type="dxa"/>
            <w:tcBorders/>
            <w:shd w:fill="CCEEFF" w:val="clear"/>
            <w:tcMar>
              <w:bottom w:w="0" w:type="dxa"/>
            </w:tcMar>
            <w:vAlign w:val="center"/>
          </w:tcPr>
          <w:p>
            <w:pPr>
              <w:pStyle w:val="TableContents"/>
              <w:spacing w:before="0" w:after="0"/>
              <w:jc w:val="left"/>
              <w:rPr>
                <w:spacing w:val="4"/>
              </w:rPr>
            </w:pPr>
            <w:r>
              <w:rPr>
                <w:spacing w:val="4"/>
              </w:rPr>
              <w:t xml:space="preserve">Shares Requested for the 2023 Equity Plan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1,400,000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803" w:type="dxa"/>
            <w:tcBorders/>
            <w:shd w:fill="auto" w:val="clear"/>
            <w:tcMar>
              <w:bottom w:w="0" w:type="dxa"/>
            </w:tcMar>
            <w:vAlign w:val="center"/>
          </w:tcPr>
          <w:p>
            <w:pPr>
              <w:pStyle w:val="TableContents"/>
              <w:spacing w:before="0" w:after="0"/>
              <w:jc w:val="left"/>
              <w:rPr>
                <w:spacing w:val="4"/>
              </w:rPr>
            </w:pPr>
            <w:r>
              <w:rPr>
                <w:spacing w:val="4"/>
              </w:rPr>
              <w:t xml:space="preserve">Total Potential Overhang under the 2023 Equity Plan(4)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1,961,326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6803" w:type="dxa"/>
            <w:tcBorders/>
            <w:shd w:fill="CCEEFF" w:val="clear"/>
            <w:tcMar>
              <w:bottom w:w="0" w:type="dxa"/>
            </w:tcMar>
            <w:vAlign w:val="center"/>
          </w:tcPr>
          <w:p>
            <w:pPr>
              <w:pStyle w:val="TableContents"/>
              <w:spacing w:before="0" w:after="0"/>
              <w:jc w:val="left"/>
              <w:rPr>
                <w:spacing w:val="4"/>
              </w:rPr>
            </w:pPr>
            <w:r>
              <w:rPr>
                <w:spacing w:val="4"/>
              </w:rPr>
              <w:t xml:space="preserve">Shares of Common Stock Outstanding as of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15,787,337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803" w:type="dxa"/>
            <w:tcBorders/>
            <w:shd w:fill="auto" w:val="clear"/>
            <w:tcMar>
              <w:bottom w:w="0" w:type="dxa"/>
            </w:tcMar>
            <w:vAlign w:val="center"/>
          </w:tcPr>
          <w:p>
            <w:pPr>
              <w:pStyle w:val="TableContents"/>
              <w:spacing w:before="0" w:after="0"/>
              <w:jc w:val="left"/>
              <w:rPr>
                <w:spacing w:val="4"/>
              </w:rPr>
            </w:pPr>
            <w:r>
              <w:rPr>
                <w:spacing w:val="4"/>
              </w:rPr>
              <w:t xml:space="preserve">Fully Diluted Shares(5)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17,748,663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6803" w:type="dxa"/>
            <w:tcBorders/>
            <w:shd w:fill="CCEEFF" w:val="clear"/>
            <w:tcMar>
              <w:bottom w:w="0" w:type="dxa"/>
            </w:tcMar>
            <w:vAlign w:val="center"/>
          </w:tcPr>
          <w:p>
            <w:pPr>
              <w:pStyle w:val="TableContents"/>
              <w:spacing w:before="0" w:after="0"/>
              <w:jc w:val="left"/>
              <w:rPr>
                <w:spacing w:val="4"/>
              </w:rPr>
            </w:pPr>
            <w:r>
              <w:rPr>
                <w:spacing w:val="4"/>
              </w:rPr>
              <w:t xml:space="preserve">Potential Dilution of 1,400,000 Shares as a Percentage of Fully Diluted Shares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Full Value Awards” includes restricted stock unit and performance stock unit awards granted under the Prior Plan and as inducement awards that qualify for the inducement grant exception to the shareholder approval requirements of the Nasdaq Stock Market set forth in Rule 5635(c)(4) (“Inducement Awards”). The $20,283,182 Full Value Awards consist of (i) $11,925,357 time-based restricted stock units and (ii) $8,357,836 performance-based restricted stock units (assuming maximum performance). </w:t>
      </w:r>
      <w:r>
        <mc:AlternateContent>
          <mc:Choice Requires="wps">
            <w:drawing>
              <wp:anchor behindDoc="0" distT="10287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largest"/>
                <wp:docPr id="81" name="Frame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Equity Awards” represents outstanding Full Value Awards, in each case as of March 31, 2023. </w:t>
      </w:r>
      <w:r>
        <mc:AlternateContent>
          <mc:Choice Requires="wps">
            <w:drawing>
              <wp:anchor behindDoc="0" distT="5207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largest"/>
                <wp:docPr id="82" name="Frame8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Date, the shares of Common Stock available for grant on the Effective Date under the Prior Plan will be available for grant under the 2023 Equity Plan and no shares of Common Stock will be available for grant under the Prior Plan. </w:t>
      </w:r>
      <w:r>
        <mc:AlternateContent>
          <mc:Choice Requires="wps">
            <w:drawing>
              <wp:anchor behindDoc="0" distT="5207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largest"/>
                <wp:docPr id="83" name="Frame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Potential Overhang” includes the sum of the total number of equity awards outstanding as of March 31, 2023 (assuming maximum performance), the number of shares of Common Stock available for grant under the Prior Plan as of March 31, 2023, and the number of shares requested for the 2023 Equity Plan. </w:t>
      </w:r>
      <w:r>
        <mc:AlternateContent>
          <mc:Choice Requires="wps">
            <w:drawing>
              <wp:anchor behindDoc="0" distT="5207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largest"/>
                <wp:docPr id="84" name="Frame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Fully Diluted Shares” reflects the sum of the total number of shares of Common Stock outstanding as of March 31, 2023, the total number of equity awards outstanding as of March 31, 2023 (assuming maximum performance), the number of shares of Common Stock available for grant under the Prior Plan as of March 31, 2023, and the number of additional shares of Common Stock requested for grant under the 2023 Equity Plan. </w:t>
      </w:r>
      <w:r>
        <mc:AlternateContent>
          <mc:Choice Requires="wps">
            <w:drawing>
              <wp:anchor behindDoc="0" distT="5207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largest"/>
                <wp:docPr id="85" name="Frame8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Burn Rate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our stock-based compensation programs, we are committed to using equity incentive awards prudently and within reasonable limits. Accordingly, we closely monitor our past awards history (referred to as “burn rate”) each year and over time. The table below sets forth the following information regarding the awards granted under the Prior Plan and as Inducement Awards: (i) the burn rate for each of the last three calendar years and (ii) the average burn rate over the last three calendar years. The burn rate for a year has been calculated as follows: (1) all stock options and full value awards granted in the applicable year,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(2) the weighted average number of shares of Common Stock outstanding for the applicable year. </w:t>
      </w:r>
    </w:p>
    <w:tbl>
      <w:tblPr>
        <w:tblW w:w="8812" w:type="dxa"/>
        <w:jc w:val="left"/>
        <w:tblInd w:w="1393" w:type="dxa"/>
        <w:tblCellMar>
          <w:top w:w="0" w:type="dxa"/>
          <w:left w:w="0" w:type="dxa"/>
          <w:bottom w:w="50" w:type="dxa"/>
          <w:right w:w="0" w:type="dxa"/>
        </w:tblCellMar>
      </w:tblPr>
      <w:tblGrid>
        <w:gridCol w:w="2406"/>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109"/>
        <w:gridCol w:w="513"/>
        <w:gridCol w:w="109"/>
        <w:gridCol w:w="155"/>
      </w:tblGrid>
      <w:tr>
        <w:trPr/>
        <w:tc>
          <w:tcPr>
            <w:tcW w:w="2406" w:type="dxa"/>
            <w:tcBorders>
              <w:bottom w:val="single" w:sz="2" w:space="0" w:color="000000"/>
            </w:tcBorders>
            <w:shd w:fill="auto" w:val="clear"/>
            <w:vAlign w:val="center"/>
          </w:tcPr>
          <w:p>
            <w:pPr>
              <w:pStyle w:val="TableContents"/>
              <w:spacing w:before="0" w:after="0"/>
              <w:jc w:val="center"/>
              <w:rPr>
                <w:spacing w:val="-3"/>
              </w:rPr>
            </w:pPr>
            <w:r>
              <w:rPr>
                <w:spacing w:val="-3"/>
              </w:rPr>
              <w:t xml:space="preserve">Burn Rate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18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18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18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513"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406"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Element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4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3-Year </w:t>
              <w:br/>
              <w:t xml:space="preserve">average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406" w:type="dxa"/>
            <w:tcBorders/>
            <w:shd w:fill="CCEEFF" w:val="clear"/>
            <w:tcMar>
              <w:bottom w:w="0" w:type="dxa"/>
            </w:tcMar>
            <w:vAlign w:val="center"/>
          </w:tcPr>
          <w:p>
            <w:pPr>
              <w:pStyle w:val="TableContents"/>
              <w:spacing w:before="0" w:after="0"/>
              <w:jc w:val="left"/>
              <w:rPr>
                <w:spacing w:val="4"/>
              </w:rPr>
            </w:pPr>
            <w:r>
              <w:rPr>
                <w:spacing w:val="4"/>
              </w:rPr>
              <w:t xml:space="preserve">Restricted Stock Awards and Restricted Stock Units Granted(1)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208,880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160,794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116,404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406" w:type="dxa"/>
            <w:tcBorders/>
            <w:shd w:fill="auto" w:val="clear"/>
            <w:tcMar>
              <w:bottom w:w="0" w:type="dxa"/>
            </w:tcMar>
            <w:vAlign w:val="center"/>
          </w:tcPr>
          <w:p>
            <w:pPr>
              <w:pStyle w:val="TableContents"/>
              <w:spacing w:lineRule="atLeast" w:line="216" w:before="0" w:after="0"/>
              <w:ind w:left="180" w:right="0" w:hanging="180"/>
              <w:jc w:val="left"/>
              <w:rPr>
                <w:spacing w:val="4"/>
              </w:rPr>
            </w:pPr>
            <w:r>
              <w:rPr>
                <w:spacing w:val="4"/>
              </w:rPr>
              <w:t xml:space="preserve">Weighted Average Shares of Common Stock Outstanding as of applicable fiscal year-end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15,750,619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15,867,389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15,923,411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406" w:type="dxa"/>
            <w:tcBorders/>
            <w:shd w:fill="CCEEFF" w:val="clear"/>
            <w:tcMar>
              <w:bottom w:w="0" w:type="dxa"/>
            </w:tcMar>
            <w:vAlign w:val="center"/>
          </w:tcPr>
          <w:p>
            <w:pPr>
              <w:pStyle w:val="TableContents"/>
              <w:spacing w:before="0" w:after="0"/>
              <w:jc w:val="left"/>
              <w:rPr/>
            </w:pPr>
            <w:r>
              <w:rPr>
                <w:spacing w:val="-4"/>
              </w:rPr>
              <w:t>Burn Rate</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0.7%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3" w:type="dxa"/>
            <w:tcBorders/>
            <w:shd w:fill="CCEEFF" w:val="clear"/>
            <w:tcMar>
              <w:bottom w:w="0" w:type="dxa"/>
            </w:tcMar>
            <w:vAlign w:val="center"/>
          </w:tcPr>
          <w:p>
            <w:pPr>
              <w:pStyle w:val="TableContents"/>
              <w:spacing w:before="0" w:after="283"/>
              <w:jc w:val="right"/>
              <w:rPr/>
            </w:pPr>
            <w:r>
              <w:rPr/>
              <w:t>1.0%</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target performance.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largest"/>
                <wp:docPr id="86" name="Frame8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SOTC"/>
      <w:bookmarkEnd w:id="1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burn rate means that we used an annual average of 1.0% of the weighted average shares of Common Stock outstanding for awards granted or earned over the past three years.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Company’s 2023 Equity Incentive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material terms of the 2023 Equity Plan are summarized below. A copy of the full text of the 2023 Equity Plan is attached to this proxy statement as </w:t>
      </w:r>
      <w:r>
        <w:rPr>
          <w:rFonts w:ascii="Times New Roman;Times;serif" w:hAnsi="Times New Roman;Times;serif"/>
          <w:b/>
          <w:i/>
          <w:caps w:val="false"/>
          <w:smallCaps w:val="false"/>
          <w:color w:val="000000"/>
          <w:spacing w:val="-4"/>
          <w:sz w:val="20"/>
        </w:rPr>
        <w:t>Appendix A</w:t>
      </w:r>
      <w:r>
        <w:rPr>
          <w:rFonts w:ascii="Times New Roman;Times;serif" w:hAnsi="Times New Roman;Times;serif"/>
          <w:b w:val="false"/>
          <w:i/>
          <w:caps w:val="false"/>
          <w:smallCaps w:val="false"/>
          <w:color w:val="000000"/>
          <w:spacing w:val="4"/>
          <w:sz w:val="20"/>
        </w:rPr>
        <w:t xml:space="preserve">. This summary of the 2023 Equity Plan is not intended to be a complete description of the 2023 Equity Plan and is qualified in its entirety by the actual text of the 2023 Equity Plan to which reference is made. Capitalized terms used, but not defined, in the following summary have the meaning assigned to those terms in the 2023 Equity Plan.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Purpose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Equity Plan is intended to provide participants with an incentive to contribute materially to the Company’s growth by aligning the economic interests of the participants with those of the Company’s stockholders.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Types of Awards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Equity Plan provides for the issuance of stock units (including restricted stock units and performance stock units), stock options (including incentive stock options and nonqualified stock options), SARs, stock awards, and other stock-based awards to employees, non-employee directors, and consultants of the Company or its subsidiaries.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Administration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Equity Plan will be administered by a committee of independent directors, which the Board expects to delegate to the Compensation Committee. The Compensation Committee can delegate authority to administer the 2023 Equity Plan to one or more subcommittees of the Compensation Committee, as it determines to be appropriate. In addition, subject to compliance with applicable laws and applicable stock exchange requirements, the Compensation Committee may delegate some or all of its authority to our chief executive officer, with respect to grants of awards to employees or advisers and consultants who are not executive officers or directors subject to reporting obligations under Section 16 of the Exchange Act. Under the 2023 Equity Plan, subject to applicable law, the Compensation Committee has delegated authority to our chief executive officer the ability to approve continued vesting or lapse of restrictions for any participant following a termination of employment as long as the participant continues to provide post-employment services as an adviser.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will determine (1) the individuals who will receive awards under the 2023 Equity Plan; (2) the type, size, terms and conditions of awards under the 2023 Equity Plan; (3) when grants of awards will be made and the duration of any applicable exercise or restriction period, including the criteria for exercisability and the acceleration of exercisability; (4) when to amend previously granted awards, subject to the limitations set forth in the 2023 Equity Plan; (5) determine and adopt the terms and guidelines that apply to individuals living outside the United States who receive grants under the 2023 Equity Plan; and (6) deal with any other matters arising under the 2023 Equity Plan.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Shares Subject to the 2023 Equity Plan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described above, our 2023 Equity Plan authorizes the issuance or transfer of up to 1,400,000 shares of Common Stock, including pursuant to incentive stock options. The shares issuable under the 2023 Equity Plan may be drawn from shares of authorized but unissued common stock or from shares that we acquire, including shares purchased on the open market. If awards granted under the 2023 Equity Plan expire, terminate, or are surrendered, cancelled, forfeited, or exchanged without having been exercised, vested or paid in shares of Common Stock, shares of Common Stock subject to such awards will again be available for purposes of the 2023 Equity Plan.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 option or SAR, in the event that shares are surrendered in payment of the option’s exercise price or SAR’s base amount, the number of shares of Common Stock available for issuance under the 2023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Plan will only be reduced by the net number of shares of Common Stock actually issued by the Company rather than by the gross number of shares of Common Stock to which the option or SAR is exercised. Furthermore, if shares of Common Stock that are otherwise issuable by the Company are withheld for the payment of taxes in connection with the issuance, vesting, or exercise any awards (or issuance of common stock thereunder), then the number of shares of Common Stock available for issuance under the 2023 Equity Plan will be reduced by the net number of shares of Common Stock issued, vested, or exercised under such award, calculated after payment of any withholding. If grants of awards are settled in cash rather than shares of Common Stock, any shares of Common Stock that were previously subject to such awards will again be available for issuance or transfer under the 2023 Equity Plan. If we repurchase the shares of Common Stock on the open market with proceeds from an option’s exercise price, then such shares cannot be made available for issuance under the 2023 Equity Plan.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available under the 2023 Equity Plan will not be reduced by the shares of Common Stock that are issued or transferred under awards made pursuant to an assumption, substitution, or exchange for previously granted awards of a company that we acquired in a transaction. Additionally, subject to applicable stock exchange listing and Code requirements, shares of Common Stock available under an acquired company’s stockholder approved plan, as adjusted, may be used by the Company for grants of awards under the 2023 Equity Plan, and they will not reduce the 2023 Equity Plan’s share 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Non-Employee Director Limit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as described below, the maximum aggregate grant date value of shares of Common Stock (as determined for financial reporting purposes) granted to any non-employee director in a calendar year, taken together with any cash fees earned by such non-employee director for services during the calendar year, cannot exceed $1,050,000 in total value.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Adjustments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any change in the number or kind of shares of Common Stock outstanding because of (i) a stock dividend, spinoff, recapitalization, stock split, or combination or exchange of shares; (ii) a merger, reorganization, or consolidation; (iii) a reclassification or change in par value of shares of Common Stock; or (iv) any other extraordinary or unusual event affecting the outstanding common stock as a class without the Company’s receipt of consideration, or if the value of outstanding shares of Common Stock is substantially reduced because of a spinoff or the Company’s payment of an extraordinary dividend or distribution, the Compensation Committee will equitably adjust the following: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number and kind of shares of Common Stock available for issuance under the 2023 Equity Plan,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largest"/>
                <wp:docPr id="87"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grant date value of awards that a non-employee director may receive in a year (calculated as described above), </w:t>
      </w:r>
      <w:r>
        <mc:AlternateContent>
          <mc:Choice Requires="wps">
            <w:drawing>
              <wp:anchor behindDoc="0" distT="889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largest"/>
                <wp:docPr id="88"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kind of shares of Common Stock issued and to be issued under the 2023 Equity Plan, </w:t>
      </w:r>
      <w:r>
        <mc:AlternateContent>
          <mc:Choice Requires="wps">
            <w:drawing>
              <wp:anchor behindDoc="0" distT="889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89"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or applicable market value of awards will be equitably adjusted by the Compensation Committee, and </w:t>
      </w:r>
      <w:r>
        <mc:AlternateContent>
          <mc:Choice Requires="wps">
            <w:drawing>
              <wp:anchor behindDoc="0" distT="889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0"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price of options, base amount of SARs, performance goals or other terms and conditions that the Compensation Committee deems appropriate and subject to the 2023 Equity Plan’s repricing restrictions. </w:t>
      </w:r>
      <w:r>
        <mc:AlternateContent>
          <mc:Choice Requires="wps">
            <w:drawing>
              <wp:anchor behindDoc="0" distT="889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1"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will make adjustments to reflect changes in the number, kind, or value or shares of Common Stock issued to prevent, to the extent possible, the enlargement or dilution of rights and benefits under the 2023 Equity Plan and for any outstanding awards, in each case subject to and consistent with applicable law. The Compensation Committee will eliminate any fractional shares of Common Stock resulting from adjustment.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also make adjustments to the terms and conditions of outstanding awards in recognition of unusual or nonrecurring events, including acquisitions and dispositions of business assets, which affect the Company, its subsidiaries or business units, or any financial statements of the Company or its subsidiaries, or in response to changes in applicable laws, regulations, or accounting principles. In the event of certain transactions that represent a change in control (as described below), the change in control provisions of the 2023 Equity Plan apply.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Eligibility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employees and non-employee directors, and certain key advisers (including consultants and advisers of the Company) that provide services to us and our subsidiaries are eligible to participate in the 2023 Equity Plan. The Compensation Committee will select which eligible services providers will receive grants of awards under the 2023 Equity Plan. As of December 31, 2022, approximately 2,400 employees and 6 non-employee directors would have been eligible to participate in the 2023 Equity Plan if the 2023 Equity Plan were in effect on such date.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Vesting</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determines the vesting and exercisability terms of awards granted under the 2023 Equity Plan.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Units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grant stock units, including restricted stock units or performance stock units, to anyone eligible to participate in the 2023 Equity Plan. Stock units represent hypothetical shares of Common Stock, and each represents a right that a participant has to receive a Share or amount of cash based on the common stock’s value, if and when specified conditions are met.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units become payable if certain conditions or circumstances are met, including specified performance goals or the lapse of time. The Compensation Committee may accelerate vesting or payment for any reason and at any time, provided that the acceleration complies with Section 409A of the Code. Payment for stock units can be made in common stock, cash, or any combination of the two as determined by the Compensation Committee. All unvested stock units are forfeited if the participant’s employment or service is terminated for any reason, unless the Compensation Committee determines otherwise.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2023 Equity Plan, the Compensation Committee may grant incentive stock options and nonqualified stock options to employees of the Company or any parent or subsidiary of the Company, according to Section 424 of the Code. Nonqualified stock options may be granted to employees, non-employee directors, and key advisers. The exercise price of an option granted under the 2023 Equity Plan will be determined by the Compensation Committee but cannot be less than the fair market value of a Share on the date the option is granted.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will determine the term of an option, with a term limit of no more than 10 years from the date of grant. Subject to the minimum vesting requirements of the 2023 Equity Plan, options will become exercisable according to the terms and conditions set by the Compensation Committee in the award agreement. The Compensation Committee may accelerate the exercisability of any outstanding options at any time and for any reason. The Compensation Committee will determine in the award agreement under what circumstances and during what time periods a participant may exercise an option after termination of employment or service. Any options granted to non-exempt employees cannot be exercisable for at least six months after the grant date, except as determined by the Compensation Committee.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participant can exercise an option that has become exercisable by delivering a notice of exercise to the Company as set forth in the 2023 Equity Plan.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Awards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grant stock awards of our common stock to anyone eligible under the 2023 Equity Plan. Stock awards may be subject to restrictions as the Compensation Committee determines,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but not limited to, restrictions based on the achievement of performance goals or the lapse of time. The award agreement will set the period of time during which the stock awards will be subject to restrictions, during which time a participant cannot sell, assign, transfer, pledge, or otherwise dispose of the shares of a stock award, except as permitted by the Compensation Committee.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participant ceases to be employed by or provide services to the Company during any restricted period, or if other specified conditions are not met, any unvested portion of the stock award will be forfeited, unless the Compensation Committee determines otherwise.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Appreciation Rights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grant SARs to anyone eligible for the 2023 Equity Plan separately or in tandem with any option. Tandem SARs for non-qualified stock options may be granted at the time an option is granted or while an option is outstanding. In the case of incentive stock options, SARs may only be granted at the time the incentive stock option is granted. The Compensation Committee will establish the base amount of the SAR at the time the SAR is granted, which will be equal to or greater than the fair market value of a share of our common stock as of the date of grant, as well as the vesting and other restrictions applicable to the exercisability of a SAR.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SAR is granted in tandem with an option, the number of SARs that are exercisable during a specified period will not exceed the number of shares of Common Stock that the participant may purchase upon exercising the related option during such period. Upon exercising the related option, the related SARs will terminate, and upon the exercise of a SAR, the related option will terminate to the extent of an equal number of shares of Common Stock. Generally, SARs may only be exercised while the participant is employed by, or providing services to, us or during an applicable period following termination. If a SAR is granted to a non-exempt employee, it may not be exercisable for at least six months after the date of grant.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participant exercises a SAR, the participant will receive the excess of the fair market value of the underlying common stock over the base amount of the SAR. The appreciation of a SAR will be paid in shares of Common Stock, cash or both.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of any SAR cannot exceed 10 years from the date of grant. In the event that on the last day of the term of a SAR, the exercise is prohibited by applicable law, including a prohibition on purchases or sales of our common stock under our insider trading policy, the term of the SAR will be extended for a period of 30 days following the end of the legal prohibition, unless the Compensation Committee determines otherwise.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Stock-Based Awards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grant other stock-based awards that are based on or measured by our common stock to anyone who is eligible to participate in the 2023 Equity Plan, subject to terms and conditions set by the Compensation Committee. Other stock-based awards may be subject to the achievement of performance goals or criteria, and may be payable in cash, shares of Common Stock, or a combination of the two, as determined by the Compensation Committee.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Equivalents and Voting Rights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grant dividend equivalents in connection with stock units or other stock-based awards, either in the award agreement or at any point following the grant of the stock unit or other stock-based award. Dividends and dividend equivalents granted in connection with an award of stock units or other stock-based award will vest and be paid only if and to the extent that the underlying award of stock units or other stock-based award is vested and paid. Dividend equivalents may be payable in cash or shares of Common Stock and upon terms and conditions set by the Compensation Committee.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and dividend equivalents may not be granted in connections with options or SARs. Voting rights may be granted by the Compensation Committee only with respect to stock-based awards.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Prohibition on Repricing</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connection with a corporate transaction involving the Company, the Compensation Committee may not (i) amend the terms of any outstanding stock options or SARs to reduce the exercise price or base price, as applicable; (ii) cancel outstanding stock options or SARs in exchange for stock options or SARs with an exercise price or base price that is lower than the exercise price or base price of the original option or SAR; or (iii) cancel outstanding stock options or SARs with an exercise price or base price, as applicable, above the current stock price in exchange for cash or other securities.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in Control</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experience a change in control where we are not the surviving corporation (or survive only as a subsidiary of another corporation), unless the Compensation Committee determines otherwise, all outstanding grants that are not exercised, unvested or paid at the time of the change in control will be assumed by or replaced with grants (with respect to cash, securities or a combination thereof) that have comparable terms by the surviving corporation (or a parent or subsidiary of the surviving corporation).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applicable award agreement will provide the treatment, if any, of the applicable award in the event of a change in control.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change in control and all outstanding grants are not assumed by or replaced with grants that have comparable terms by the surviving company, then the Compensation Committee may (but is not required to) adjust the terms and conditions of outstanding awards, including, without limitation, taking any of the following actions (or combination thereof) without the consent of any participant: </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 that outstanding options and SARs will automatically accelerate and become fully exercisable and the restrictions and conditions on outstanding stock awards, stock units, other stock-based awards, and dividend equivalents immediately lapse; </w:t>
      </w:r>
      <w:r>
        <mc:AlternateContent>
          <mc:Choice Requires="wps">
            <w:drawing>
              <wp:anchor behindDoc="0" distT="8001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92"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 that participants will receive payment, in an amount and form determined by the Compensation Committee, in settlement of outstanding stock units, other stock-based awards, or dividend equivalents; </w:t>
      </w:r>
      <w:r>
        <mc:AlternateContent>
          <mc:Choice Requires="wps">
            <w:drawing>
              <wp:anchor behindDoc="0" distT="8001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3"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that participants surrender their outstanding stock options and SARs in exchange for a payment by the Company, in cash or shares of Common Stock, equal to the difference between the exercise price and the fair market value of the underlying shares of Common Stock; provided, however, if the per Share fair market value of our common stock does not exceed the per Share stock option exercise price or SAR base amount, as applicable, we will not be required to make any payment to the participant upon surrender of the stock option or SAR; or </w:t>
      </w:r>
      <w:r>
        <mc:AlternateContent>
          <mc:Choice Requires="wps">
            <w:drawing>
              <wp:anchor behindDoc="0" distT="8001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94"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giving participants an opportunity to exercise all of their outstanding stock options and SARs, terminate any unexercised stock options and SARs on the date determined by the Compensation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800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95"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terms, a change in control under the 2023 Equity Plan occurs if: </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entity or affiliated group, with certain exceptions, acquires beneficial ownership of more than 50% of the combined voting power of our then-outstanding voting securities by virtue of a merger, consolidation or similar transaction (excluding circumstances where the person, entity or affiliated group has exceeded the 50% threshold as a result of a reduction in outstanding shares of Common Stock or the repurchase of shares of Common Stock by the Company);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96"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merge into another entity unless the holders of our voting shares immediately prior to the merger have at least 50% of the combined voting power of the securities in the merged entity or its parent; </w:t>
      </w:r>
      <w:r>
        <mc:AlternateContent>
          <mc:Choice Requires="wps">
            <w:drawing>
              <wp:anchor behindDoc="0" distT="8001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97"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consummate a sale, lease, exclusive license or other disposition of all or substantially all of combined assets of the Company; or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98"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majority of the members of our Board is replaced during any 12-month period by directors whose appointment or election is not endorsed by a majority of the incumbent directors.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99"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Deferrals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permit or require participants to defer receipt of the payment of cash or the delivery of shares of Common Stock that would otherwise be due to the participant in connection with a grant under the 2023 Equity Plan. The Compensation Committee will establish the rules and procedures applicable to any such deferrals, consistent with the requirements of Section 409A of the Code.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market value per Share on any relevant date under the 2023 Equity Plan will be deemed to be equal to the closing sale price per Share during regular hours trading on the relevant date on Nasdaq (or any other national securities exchange on which our Common Stock is at the time primarily traded). If there is no closing selling price for Common Stock on the date in question, then the fair market value shall be the last reported sale price during regular trading hours on the last preceding date for which a sale was reported. On March 31, 2023, the fair market value per Share of our Common Stock was $40.92.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Withholding</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under the 2023 Equity Plan are subject to applicable U.S. federal (including FICA), state and local, foreign or other tax withholding requirements. We may require participants or other persons receiving or exercising awards to pay an amount sufficient to satisfy such tax withholding requirements with respect to such awards, or we may deduct from other wages and compensation paid by us the amount of any withholding taxes due with respect to such grant. We may also take any other actions that the Compensation Committee deems advisable to enable us to satisfy our withholding tax and other tax obligations with respect to any award made under the 2023 Equity Plan.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permit or require that our tax withholding obligation with respect to awards paid in our common stock be paid by having shares of Common Stock withheld up to an amount that does not exceed the participant’s minimum applicable withholding tax rate for U.S. federal (including FICA), state and local tax liabilities, or as otherwise determined by the Compensation Committee. In addition, the Compensation Committee may, in its discretion, and subject to such rules as the Compensation Committee may adopt, allow participants to elect to have such share withholding applied to all or a portion of the tax withholding obligation arising in connection with any particular grant.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Transferability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permitted by the Compensation Committee with respect to non-qualified stock options, only a participant may exercise rights under a grant during the participant’s lifetime. A participant cannot transfer those rights except by will or by the laws of descent and distribution or, with respect to awards other than incentive stock options, pursuant to a domestic relations order. Upon death, the personal representative or other person entitled to succeed to the rights of the participant may exercise such rights. The Compensation Committee may provide in an award agreement that a participant may transfer non-qualified stock options and stock awards to family members, or one or more trusts or other entities for the benefit of or owned by family members, consistent with applicable securities laws.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Termination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amend, suspend, or terminate the 2023 Equity Plan (or any portion thereof) at any time, except that the Board must receive stockholder approval to do so if required to comply with the Code, applicable law, or applicable stock exchange requirements.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termination or amendment occurs after an award is made, it will not materially impair the rights of a participant with respect to the award, unless the participant consents or the Compensation Committee acts in compliance with applicable law or other exceptions set forth in the 2023 Equity Plan.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grants of awards under the 2023 Equity Plan will be subject to any applicable clawback or recoupment policies, share trading policies, and other policies that the Board or Committee may implement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approve at any time. We may offset any payments due under the 2023 Equity Plan to a participant where repayment is required by an applicable clawback or recoupment policy, subject to applicable law.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the Compensation Committee may provide in any award agreement that if a participant breaches any restrictive covenant obligation or agreement between the participant and us, or otherwise engages in activities that constitute cause (as defined in the 2023 Equity Plan or an individual agreement) either while employed by, or providing services to, us or within a specified period thereafter, all awards held by the participant will terminate, and we may rescind any exercise of an option or SAR and the vesting of any other award and delivery of shares of Common Stock upon such exercise or vesting, as applicable on such terms as the Compensation Committee will determine, including the right to require that in the event of any rescission: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participant must return the shares of Common Stock received upon the exercise of any option or SAR or the vesting and payment of any other grants; or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00"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participant no longer owns the shares of Common Stock, the participant must pay to us the amount of any gain realized or payment received as a result of any sale or other disposition of the shares of Common Stock (if the participant transferred the shares of Common Stock by gift or without consideration, then the fair market value of the shares of Common Stock on the date of the breach of the restrictive covenant agreement or activity constituting cause), net of the price originally paid by the participant for the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101"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by the participant will be made in such manner and on such terms and conditions as may be required by the Compensation Committee. We will be entitled to set off against the amount of any such payment any amounts that we otherwise owe to the participant.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Federal Income Tax Aspects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is a summary of certain federal income tax consequences of awards under the 2023 Equity Plan. It does not purport to be a complete description of all applicable rules, and those rules (including those summarized here) are subject to change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optionee generally will not recognize taxable income upon the grant of a non-statutory option. Rather, at the time of exercise of the option, the optionee will recognize ordinary income for income tax purposes in an amount equal to the excess, if any, of the fair market value of the shares of Common Stock purchased over the exercise price. We generally will be entitled to a tax deduction at such time and in the same amount, if any, that the optionee recognizes as ordinary income. The optionee’s tax basis in any Shares received upon the exercise of an option will be the fair market value of the shares of Common Stock on the date of exercise, and if the shares of Common Stock are later sold or exchanged, then the difference between the amount received upon such sale or exchange and the fair market value of such shares of Common Stock on the date of exercise will generally be taxable as long-term or short-term capital gain or loss (if the shares of Common Stock are a capital asset of the optionee) depending upon the length of time such shares of Common Stock were held by the optionee.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stock options are eligible for favorable U.S. federal income tax treatment if certain requirements are satisfied. An incentive stock option must have an option price that is not less than the fair market value of the stock at the time the option is granted and must be exercisable within 10 years from the date of grant. An employee granted an incentive stock option generally does not realize compensation income for U.S.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of Common Stock acquired on exercise of an incentive stock option are held for at least two years after grant of the option and one year after exercise, the excess of the amount realized on the sale over the exercise price will be taxed as capital gain. If the shares of Common Stock acquired on exercise of an incentive stock option are disposed of within less than two years after grant or one year of exercise, the optionee will realize taxable compensation income equal to the lesser of (i) the excess of the fair market value of the shares of Common Stock 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exercise over the option price or (ii) the excess of the amount realized on the sale over the option price. Any additional amount realized will be taxed as capital gain.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Awards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participant generally will not be taxed upon the grant of stock awards subject to restrictions, but rather will recognize ordinary income in an amount equal to the fair market value of the shares of Common Stock at the time the shares of Common Stock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of Common Stock will equal their fair market value at the time the restrictions lapse, and the participant’s holding period for capital gains purposes will begin at that time. Any cash dividends paid on the restricted stock before the restrictions lapse will be taxable to the participant as additional compensation (and not as dividend income). Under Section 83(b) of the Code, a participant may elect to recognize ordinary income at the time the shares of Common Stock of stock are awarded in an amount equal to their fair market value at that time, notwithstanding the fact that such shares of Common Stock of stock are subject to restrictions and a substantial risk of forfeiture. If such an election is made, no additional taxable income will be recognized by such participant at the time the restrictions lapse, the participant will have a tax basis in the shares of Common Stock equal to their fair market value on the date of the participant’s award, and the participant’s holding period for capital gains purposes will begin at that time. We generally will be entitled to a tax deduction at the time when, and to the extent that, ordinary income is recognized by such participant.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Units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grant of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Appreciation Rights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participant who is granted a SAR generally will not recognize ordinary income upon receipt of the SAR. Rather, at the time of exercise of such SAR, the participant will recognize ordinary income for U.S. federal income tax purposes in an amount equal to the value of any cash received and the fair market value on the date of exercise of any shares of Common Stock received. We generally will be entitled to a tax deduction at such time and in the same amount, if any, that the participant recognizes as ordinary income. The participant’s tax basis in any shares of Common Stock received upon exercise of a SAR will be the fair market value of the shares of Common Stock on the date of exercise, and if the shares of Common Stock are later sold or exchanged, then the difference between the amount received upon such sale or exchange and the fair market value of such shares of Common Stock on the date of exercise will generally be taxable as long-term or short-term capital gain or loss (if the shares of Common Stock are a capital asset of the participant) depending upon the length of time such shares of Common Stock were held by the participant.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Stock-Based Awards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other stock-based awards granted under the 2023 Equity Plan, generally when the participant receives payment with respect to an award, the amount of cash and/or the fair market value of any shares of Common Stock or other property received will be ordinary income to the participant, and we generally will be entitled to a tax deduction at the same time and in the same amount.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Impact of Section 409A</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409A of the Code applies to deferred compensation, which is generally defined as compensation earned currently, the payment of which is deferred to a later taxable year. Awards under the 2023 Equity Plan are intended to be exempt from the requirements of Section 409A or to satisfy its requirements. An award that is subject to Section 409A and fails to satisfy its requirements will subject the holder of the award to immediate taxation, interest and an additional 20% tax on the vested amount underlying the award.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RVAB"/>
      <w:bookmarkEnd w:id="20"/>
      <w:r>
        <w:rPr>
          <w:rFonts w:ascii="calibri;arial;sans-serif" w:hAnsi="calibri;arial;sans-serif"/>
          <w:b w:val="false"/>
          <w:i w:val="false"/>
          <w:caps w:val="false"/>
          <w:smallCaps w:val="false"/>
          <w:color w:val="000000"/>
          <w:sz w:val="16"/>
        </w:rPr>
        <w:t>​</w:t>
      </w:r>
      <w:bookmarkStart w:id="21" w:name="tROOB4"/>
      <w:bookmarkEnd w:id="2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520"/>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162(m) of the Code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162(m) of the Code generally disallows a tax deduction to a publicly held company for compensation in excess of $1 million paid to its “covered employees” which generally includes all NEOs. While the Compensation Committee considers the tax deductibility of each element of executive compensation as a factor in our overall compensation program, the Compensation Committee retains the discretion to approve compensation that may not qualify for the compensation deduction.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Plan Benefits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benefits under the 2023 Equity Plan generally will be granted at the discretion of the Compensation Committee and are therefore not currently determinable.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future grants of awards under the 2023 Equity Plan, if approved, would be subject to the discretion of the Board or Committee, the amount and terms of future awards to particular participants or groups of participants are not determinable at this time. No awards have been previously granted that are contingent on the approval of the 2023 Equity Plan.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2 will be approved upon the affirmative vote of a majority of the outstanding shares present or represented by proxy at the Annual Meeting and entitled to vote on the proposal. Stockholders may vote “FOR” or “AGAINST,” or “ABSTAIN” from voting. Abstentions will be considered to be votes present and entitled to vote on this proposal and, therefore, they will have the effect of a vote against this proposal. Banks, brokers and other nominees will not be entitled to vote a customer’s shares in their discretion on Proposal 2, however, such broker non-votes will have no effect on Proposal 2.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RECOMMENDS THAT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THE 2023 EQUITY PLAN AS DISCLOSED IN THIS PROXY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3AV"/>
      <w:bookmarkEnd w:id="22"/>
      <w:r>
        <w:rPr>
          <w:rFonts w:ascii="calibri;arial;sans-serif" w:hAnsi="calibri;arial;sans-serif"/>
          <w:b w:val="false"/>
          <w:i w:val="false"/>
          <w:caps w:val="false"/>
          <w:smallCaps w:val="false"/>
          <w:color w:val="000000"/>
          <w:sz w:val="16"/>
        </w:rPr>
        <w:t>​</w:t>
      </w:r>
      <w:bookmarkStart w:id="23" w:name="tREVO"/>
      <w:bookmarkEnd w:id="23"/>
      <w:r>
        <w:rPr>
          <w:rFonts w:ascii="calibri;arial;sans-serif" w:hAnsi="calibri;arial;sans-serif"/>
          <w:b w:val="false"/>
          <w:i w:val="false"/>
          <w:caps w:val="false"/>
          <w:smallCaps w:val="false"/>
          <w:color w:val="000000"/>
          <w:sz w:val="16"/>
        </w:rPr>
        <w:t>​</w:t>
      </w:r>
      <w:bookmarkStart w:id="24" w:name="tROOB2"/>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providing stockholders with the opportunity to cast an advisory vote on the compensation of our named executive officers as described in the Compensation Discussion and Analysis, the compensation tables and related materials contained in this Proxy Statement. This proposal, also commonly referred to as a “Say on Pay” vote, gives our stockholders the opportunity to indicate whether they approve of or do not approve of our executive compensation policies and programs and the compensation actually paid to our named executive officers. This resolution is required pursuant to Section 14A of the Securities Exchange Act. We currently provide our stockholders the opportunity to indicate whether they approve of the compensation of our named executive officers every three years.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review the Compensation Discussion and Analysis beginning on page 41 and the accompanying tabular and other disclosures on executive compensation beginning on page 50,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Securities and Exchange Commission’s compensation disclosure rules in the Compensation Discussion and Analysis, the compensation tables, and any narrative executive compensation disclosure contained in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and the Board believe our executive compensation programs use appropriate structures and policies that are effective in achieving our Company goals and objectives. Accordingly, the Board recommends that you vote in favor of the following resolution: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approve of the compensation of the Company’s named executive officers, as disclosed in the Compensation Discussion and Analysis and Executive Compensation sections contained in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Say on Pay vote is advisory in nature, and therefore, it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on an advisory and non-binding basis, of the compensation of our named executive officers requires the affirmative vote of a majority of the shares present, or represented by proxy, and entitled to vote thereon. Abstentions will be considered to be votes present and entitled to vote on this proposal and, therefore, they will have the effect of a vote against this proposal. Banks, brokers and other nominees will not be entitled to vote a customer’s shares in their discretion on this proposal, however, such broker non-votes will have no effect on Proposal 3.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APPROVAL OF THE COMPENSATION OF OUR NAMED EXECUTIVE OFFICERS AS DISCLOSED IN THIS PROXY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4AV"/>
      <w:bookmarkEnd w:id="25"/>
      <w:r>
        <w:rPr>
          <w:rFonts w:ascii="calibri;arial;sans-serif" w:hAnsi="calibri;arial;sans-serif"/>
          <w:b w:val="false"/>
          <w:i w:val="false"/>
          <w:caps w:val="false"/>
          <w:smallCaps w:val="false"/>
          <w:color w:val="000000"/>
          <w:sz w:val="16"/>
        </w:rPr>
        <w:t>​</w:t>
      </w:r>
      <w:bookmarkStart w:id="26" w:name="tREVO1"/>
      <w:bookmarkEnd w:id="26"/>
      <w:r>
        <w:rPr>
          <w:rFonts w:ascii="calibri;arial;sans-serif" w:hAnsi="calibri;arial;sans-serif"/>
          <w:b w:val="false"/>
          <w:i w:val="false"/>
          <w:caps w:val="false"/>
          <w:smallCaps w:val="false"/>
          <w:color w:val="000000"/>
          <w:sz w:val="16"/>
        </w:rPr>
        <w:t>​</w:t>
      </w:r>
      <w:bookmarkStart w:id="27" w:name="tROOB3"/>
      <w:bookmarkEnd w:id="2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4: ADVISORY VOTE ON FREQUENCY OF EXECUTIVE COMPENSATION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Wall Street Reform and Consumer Protection Act (the “Dodd-Frank Act”) requires that at least once every six years, companies ask their stockholders how often they would like to be presented with the “Say on Pay” advisory vote on named executive officer compensation: every year, every two years, or every three years. This non-binding, advisory vote is commonly referred to as a “Say When on Pay” vote. As such, we are asking you to vote on the frequency with which we should seek an advisory say-on-pay vote on the compensation of its named executive officers, such as Proposal 3 of this Proxy Statement. As discussed in greater detail below, the Board believes that a triennial frequency (i.e., three years) is the optimal frequency for the “Say on Pay” vote. Stockholders are not voting to approve or disapprove the Board’s recommendation. Instead, stockholders may cast their votes on their preferred voting frequency by choosing any of the following four options with respect to this proposal: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year;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02"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years;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03"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Three years; or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largest"/>
                <wp:docPr id="104"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Abstain.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105"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Board intends to carefully consider the stockholder vote resulting from the proposal when making decisions regarding the inclusion of “Say on Pay” proposals in future proxy statements, the final vote is advisory in nature and will be non-binding. At least once every six years, stockholders will be asked to vote on the frequency with which a “Say on Pay” proposal should be included in future proxy statements. In accordance with Section 14A of the Exchange Act, the next “Say When on Pay” vote will be held at our 2029 Annual Meeting of Stockholders.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you vote to hold an advisory vote on executive compensation every three years. We believe that a triennial vote on executive compensation has in the past, and will continue to provide stockholders with a more accurate window for evaluating Company our performance trends and allows our Board the time for more thoughtful analysis in weighing our compensation policies against the Company’s performance. We believe in taking a long-term approach to operating our Company’s business and believe that our approach to management compensation should mirror this strategy. By reviewing executive compensation every three years, stockholders will have the benefit of multiple performance periods to better evaluate the way our Board has measured executive compensation against Company performance over that time period.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take the results of the vote into account when deciding when to call for the next advisory vote on executive compensation. However, because this vote is advisory and not binding on the Board in any way, the Board may decide that it is in the best interests of our stockholders and the Company to hold an advisory vote on executive compensation more or less frequently than the option receiving the highest number of votes.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Stockholders will indicate their selection, on an advisory and non-binding basis, of the frequency with which “Say on Pay” proposals are included in future proxy statements by a plurality of the shares cast and entitled to vote on the matter. Abstentions and broker non-votes are not considered votes cast for the foregoing purpose, and will have no effect on the results of this proposal. Banks, brokers and other nominees will not be entitled to vote a customer’s shares in their discretion on this proposal.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RECOMMENDS THAT YOU VOTE </w:t>
      </w:r>
      <w:r>
        <w:rPr>
          <w:rFonts w:ascii="Times New Roman;Times;serif" w:hAnsi="Times New Roman;Times;serif"/>
          <w:b/>
          <w:i w:val="false"/>
          <w:caps w:val="false"/>
          <w:smallCaps w:val="false"/>
          <w:color w:val="000000"/>
          <w:spacing w:val="-4"/>
          <w:sz w:val="20"/>
        </w:rPr>
        <w:t>TO APPROVE</w:t>
      </w:r>
      <w:r>
        <w:rPr>
          <w:rFonts w:ascii="Times New Roman;Times;serif" w:hAnsi="Times New Roman;Times;serif"/>
          <w:b w:val="false"/>
          <w:i w:val="false"/>
          <w:caps w:val="false"/>
          <w:smallCaps w:val="false"/>
          <w:color w:val="000000"/>
          <w:spacing w:val="4"/>
          <w:sz w:val="20"/>
        </w:rPr>
        <w:t xml:space="preserve"> AN ADVISORY VOTE ON EXECUTIVE COMPENSATION OCCURRING EVERY THREE YEARS.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5RO"/>
      <w:bookmarkEnd w:id="28"/>
      <w:r>
        <w:rPr>
          <w:rFonts w:ascii="calibri;arial;sans-serif" w:hAnsi="calibri;arial;sans-serif"/>
          <w:b w:val="false"/>
          <w:i w:val="false"/>
          <w:caps w:val="false"/>
          <w:smallCaps w:val="false"/>
          <w:color w:val="000000"/>
          <w:sz w:val="16"/>
        </w:rPr>
        <w:t>​</w:t>
      </w:r>
      <w:bookmarkStart w:id="29" w:name="tVORE2"/>
      <w:bookmarkEnd w:id="29"/>
      <w:r>
        <w:rPr>
          <w:rFonts w:ascii="calibri;arial;sans-serif" w:hAnsi="calibri;arial;sans-serif"/>
          <w:b w:val="false"/>
          <w:i w:val="false"/>
          <w:caps w:val="false"/>
          <w:smallCaps w:val="false"/>
          <w:color w:val="000000"/>
          <w:sz w:val="16"/>
        </w:rPr>
        <w:t>​</w:t>
      </w:r>
      <w:bookmarkStart w:id="30" w:name="tROOB1"/>
      <w:bookmarkEnd w:id="3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5: RATIFICATION OF SELECTION OF INDEPENDENT AUDITOR</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our Board has selected PricewaterhouseCoopers LLP as our independent auditor to perform the audits of our financial statements and of our internal control over financial reporting for the fiscal year ending December 31, 2023. In making its selection, the Audit Committee conducted a review of PricewaterhouseCoopers LLP’s performance, including consideration of the following: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LLP’s performance on the audits, including the quality of the engagement team and the firm’s experience, client service, responsiveness and technical expertise;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largest"/>
                <wp:docPr id="106"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of the firm against comparable accounting firms in various matters such as regulatory, litigation and accounting matters;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107"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firm’s financial strength and performance; and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108"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appropriateness of fees charged by the firm.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109"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 was our independent auditor for the year ended December 31,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ratification of the appointment of PricewaterhouseCoopers LLP as our independent auditor for 2023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Banks, brokers and other nominees will be entitled to vote a customer’s shares in their discretion on this proposal, so there will be no broker non-votes on this proposal.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UNANIMOUSLY RECOMMENDS THAT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SELECTION OF THE INDEPENDENT AUDITOR FOR 2023.</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OGO"/>
      <w:bookmarkEnd w:id="31"/>
      <w:r>
        <w:rPr>
          <w:rFonts w:ascii="calibri;arial;sans-serif" w:hAnsi="calibri;arial;sans-serif"/>
          <w:b w:val="false"/>
          <w:i w:val="false"/>
          <w:caps w:val="false"/>
          <w:smallCaps w:val="false"/>
          <w:color w:val="000000"/>
          <w:sz w:val="16"/>
        </w:rPr>
        <w:t>​</w:t>
      </w:r>
      <w:bookmarkStart w:id="32" w:name="tGEN"/>
      <w:bookmarkEnd w:id="32"/>
      <w:r>
        <w:rPr>
          <w:rFonts w:ascii="calibri;arial;sans-serif" w:hAnsi="calibri;arial;sans-serif"/>
          <w:b w:val="false"/>
          <w:i w:val="false"/>
          <w:caps w:val="false"/>
          <w:smallCaps w:val="false"/>
          <w:color w:val="000000"/>
          <w:sz w:val="16"/>
        </w:rPr>
        <w:t>​</w:t>
      </w:r>
      <w:bookmarkStart w:id="33" w:name="tBLS"/>
      <w:bookmarkEnd w:id="3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role of the Board is to ensure that we are managed for the long-term benefit of our stockholders. The Board periodically reviews and advises management with respect to our annual operating plans and strategic initiatives. The Board has adopted corporate governance principles to support compliance with all applicable corporate governance standards.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past year, we have reviewed our corporate governance practices in comparison to the practices of other public companies and to ensure they comport with guidance and interpretations provided by the SEC and the Nasdaq Stock Market (“Nasdaq”).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Investment Committee Charter, and Audit Committee Charter are available on our website at https://ir.atni.com/ and may be obtained free of charge upon request by writing to us at ATN International, Inc., Attn: Secretary, 500 Cummings Center, Suite 2450, Beverly, MA 01915.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work together to focus the Board on questions of governance, succession and setting the Company’s overall operating and investment strategy.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Michael Prior, our Chief Executive Officer, has served as our Chairman since June 2018, and the Nominating and Corporate Governance Committee intends to nominate him to continue to serve in such role for the next year, assuming he is re-elected to the Board. In 2018, the Board determined that its leadership structure, including Mr. Prior’s serving as Chairman of the Board and Chief Executive Officer, together with each of the Audit, Compensation, and Nominating and Corporate Governance Committees of the Board, being chaired by, and entirely composed of, independent directors best served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Our Board believes that having the Chairman and Chief Executive Officer positions combined aligns corporate strategy development with management oversight of the Board process and, taken together with our Board’s Lead Independent Director role, is the appropriate leadership structure for us at this time.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Chief Executive Officer and Chairman are combined, the Board determined to appoint a Lead Independent Director in 2018. In 2022, Dr. Bernard J. Bulkin was appointed by the Board as the Company’s Lead Independent Director to serve for a term of up to three years, assuming his re-election to the Board each year.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policy regarding the requirement to appoint a Lead Independent Director, it currently believes that in light of the combined roles of Chairman and Chief Executive Officer, it is appropriate for the Board to continue to have a Lead Independent Director. The Board’s practice has been that such role serves: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convene and chair meetings of independent directors at each Board meeting and as necessary in addition to regularly scheduled meetings;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110"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liaison between the Chief Executive Officer/Chairman and the independent directors, to provide feedback from executive sessions and keep the Board informed of other matters as necessary; and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11"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DNP"/>
      <w:bookmarkEnd w:id="34"/>
      <w:r>
        <w:rPr>
          <w:rFonts w:ascii="calibri;arial;sans-serif" w:hAnsi="calibri;arial;sans-serif"/>
          <w:b w:val="false"/>
          <w:i w:val="false"/>
          <w:caps w:val="false"/>
          <w:smallCaps w:val="false"/>
          <w:color w:val="000000"/>
          <w:sz w:val="16"/>
        </w:rPr>
        <w:t>​</w:t>
      </w:r>
      <w:bookmarkStart w:id="35" w:name="tBORE"/>
      <w:bookmarkEnd w:id="3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4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sounding board, if necessary, to the Chief Executive Officer/Chairman on Board agenda, materials and other matters. </w:t>
      </w:r>
      <w:r>
        <mc:AlternateContent>
          <mc:Choice Requires="wps">
            <w:drawing>
              <wp:anchor behindDoc="0" distT="0" distB="0" distL="254000" distR="0" simplePos="0" locked="0" layoutInCell="1" allowOverlap="1" relativeHeight="120">
                <wp:simplePos x="0" y="0"/>
                <wp:positionH relativeFrom="column">
                  <wp:align>left</wp:align>
                </wp:positionH>
                <wp:positionV relativeFrom="line">
                  <wp:posOffset>635</wp:posOffset>
                </wp:positionV>
                <wp:extent cx="127000" cy="350520"/>
                <wp:effectExtent l="0" t="0" r="0" b="0"/>
                <wp:wrapSquare wrapText="largest"/>
                <wp:docPr id="112"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Nomination Process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considers director nominees, whether proposed by a stockholder or identified through the Company’s processes, in accordance with its charter and our Corporate Governance Guidelines.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a reputation for integrity, honesty and adherence to high ethical standards;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largest"/>
                <wp:docPr id="113"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demonstrated business acumen, experience and the ability to exercise sound judgment in matters that relate to the current and long-term objectives of the Company, and should be willing and able to contribute positively to the decision-making process of the Board;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largest"/>
                <wp:docPr id="114"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a commitment to understanding the Company and its industries and to regularly attending and participating in meetings of the Board and its committees;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115"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an interest in and be capable of understanding the sometimes conflicting interests of the various constituencies of the Company, which include stockholders, employees, customers, governmental units, creditors and the general public, and to act in the interests of all stockholders; and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largest"/>
                <wp:docPr id="116"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not have, nor appear to have, any conflicts of interest that could impair the nominee’s ability to represent the interests of all of the Company’s stockholders and to fulfill the responsibilities of a director.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largest"/>
                <wp:docPr id="117"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will not be discriminated against on the basis of race, religion, national origin, gender, sexual orientation, disability or any other basis proscribed by law.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Prior to making any nomination, our Nominating and Corporate Governance undergoes a rigorous review of a candidate’s background, engages in several in person meetings with our Chairman as well as the Chair and other members of our Nominating and Corporate Governance Committee, and typically conducts a background check. Our Nominating and Corporate Governance Committee then recommends director nominees to the Board for its consideration.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Refreshment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undergone significant change as part of a conscious effort, led by the Nominating and Corporate Governance Committee, to refresh the Board and augment its composition with fresh, diverse perspectives and complementary skills and experiences that are aligned with the Company’s long-term strategy. In total, our Board has added five new directors—comprising a majority of the independent directors of the Board -since 2017, with several longer-tenured directors stepping down during that time.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DOI"/>
      <w:bookmarkEnd w:id="36"/>
      <w:r>
        <w:rPr>
          <w:rFonts w:ascii="calibri;arial;sans-serif" w:hAnsi="calibri;arial;sans-serif"/>
          <w:b w:val="false"/>
          <w:i w:val="false"/>
          <w:caps w:val="false"/>
          <w:smallCaps w:val="false"/>
          <w:color w:val="000000"/>
          <w:sz w:val="16"/>
        </w:rPr>
        <w:t>​</w:t>
      </w:r>
      <w:bookmarkStart w:id="37" w:name="tRMAR"/>
      <w:bookmarkEnd w:id="3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graphics below illustrate the efficacy of our Board refreshment in reducing the average tenure and age of the Board and enhancing the Board’s gender diversity: </w:t>
      </w:r>
    </w:p>
    <w:p>
      <w:pPr>
        <w:pStyle w:val="TextBody"/>
        <w:spacing w:before="198" w:after="283"/>
        <w:jc w:val="center"/>
        <w:rPr>
          <w:caps w:val="false"/>
          <w:smallCaps w:val="false"/>
          <w:color w:val="000000"/>
        </w:rPr>
      </w:pPr>
      <w:r>
        <w:rPr>
          <w:caps w:val="false"/>
          <w:smallCaps w:val="false"/>
          <w:color w:val="000000"/>
        </w:rPr>
        <w:drawing>
          <wp:inline distT="0" distB="0" distL="0" distR="0">
            <wp:extent cx="5381625" cy="2495550"/>
            <wp:effectExtent l="0" t="0" r="0" b="0"/>
            <wp:docPr id="1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 descr=""/>
                    <pic:cNvPicPr>
                      <a:picLocks noChangeAspect="1" noChangeArrowheads="1"/>
                    </pic:cNvPicPr>
                  </pic:nvPicPr>
                  <pic:blipFill>
                    <a:blip r:embed="rId4"/>
                    <a:stretch>
                      <a:fillRect/>
                    </a:stretch>
                  </pic:blipFill>
                  <pic:spPr bwMode="auto">
                    <a:xfrm>
                      <a:off x="0" y="0"/>
                      <a:ext cx="5381625" cy="2495550"/>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characteristics of the Director nominees in each of the years shown. </w:t>
      </w:r>
      <w:r>
        <mc:AlternateContent>
          <mc:Choice Requires="wps">
            <w:drawing>
              <wp:anchor behindDoc="0" distT="1016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largest"/>
                <wp:docPr id="119" name="Frame1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selecting director nominees, pursuant to our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 Suite 2450, Beverly, MA 01915 and must comply with applicable timing requirements.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Independence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rules require that a majority of our directors be “independent” and that we maintain a minimum three-person audit committee and a two-person compensation committee whose members satisfy heightened independence requirements. Pursuant to Nasdaq rules, independence is evaluated using both a subjective test and various objective standards, such as that the director is not an employee of the Company. Under the subjective test, a director qualifies as “independent” if our Board, upon the recommendation of our Nominating and Corporate Governance Committee and after evaluating the objective standards referenced above, affirmatively determines that the director does not have a relationship with us, an affiliate of ours, or otherwise that, in the opinion of the Board, would interfere with the exercise of independent judgment in discharging his or her duties as a director.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and the Board have determined that all of our current directors and director nominees, with the exception of Mr. Prior, are independent for purposes of applicable SEC and Nasdaq rules.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Management and Risk Assessment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primary responsibility for the oversight of risk management and risk assessment, including the Company’s major financial risk exposures, business continuity risks, cyber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CFSA"/>
      <w:bookmarkEnd w:id="38"/>
      <w:r>
        <w:rPr>
          <w:rFonts w:ascii="calibri;arial;sans-serif" w:hAnsi="calibri;arial;sans-serif"/>
          <w:b w:val="false"/>
          <w:i w:val="false"/>
          <w:caps w:val="false"/>
          <w:smallCaps w:val="false"/>
          <w:color w:val="000000"/>
          <w:sz w:val="16"/>
        </w:rPr>
        <w:t>​</w:t>
      </w:r>
      <w:bookmarkStart w:id="39" w:name="tBODM"/>
      <w:bookmarkEnd w:id="3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risks and the steps management has undertaken to control such risks. 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2022, the Compensation Committee, in consultation with the Chairman and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2022 achievements; (ii) management’s practice of prudent awards of annual cash bonus payments; and (iii) the use of restricted stock unit and performance stock unit awards to encourage management to balance “upside” and “downside” risk by including both time-based and performance-based vesting. While the Compensation Committee did not identify changes to its compensation programs specifically needed to mitigate risk, the Compensation Committee also determined this year to introduce performance-based vesting for a number of restricted stock units that are intended to further align the compensation of the Company’s senior management with stockholder returns over a multi-year period. For more information about the Company’s award of performance stock units, please see “</w:t>
      </w:r>
      <w:r>
        <w:rPr>
          <w:rFonts w:ascii="Times New Roman;Times;serif" w:hAnsi="Times New Roman;Times;serif"/>
          <w:b w:val="false"/>
          <w:i/>
          <w:caps w:val="false"/>
          <w:smallCaps w:val="false"/>
          <w:color w:val="000000"/>
          <w:spacing w:val="4"/>
          <w:sz w:val="20"/>
        </w:rPr>
        <w:t>Executive Compensation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Compensation Discussion and Analysis—Annual Cash and Equity Bonus.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Stockholders and Other Interested Parties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communicate with our Audit Committee regarding issues or complaints about questionable accounting, internal accounting controls or auditing matters, contact the Audit Committee by writing to Audit Committee, ATN International, Inc., 500 Cummings Center, Suite 2450, Beverly, MA 01915.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Meetings and Committees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our Board met four times. In 2022, no director attended fewer than 75% of the meetings of the Board and the meetings of the committee(s) on which he or she served. Although we do not have a policy requiring our directors to attend the Annual Meeting, all of our then-current directors attended last year’s annual meeting of stockholders.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established four standing committees: the Audit Committee, the Compensation Committee, the Nominating and Corporate Governance Committee, and the Investment Committee. The current membership of each committee is as follows: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28" w:type="dxa"/>
          <w:right w:w="0" w:type="dxa"/>
        </w:tblCellMar>
      </w:tblPr>
      <w:tblGrid>
        <w:gridCol w:w="124"/>
        <w:gridCol w:w="1940"/>
        <w:gridCol w:w="109"/>
        <w:gridCol w:w="109"/>
        <w:gridCol w:w="2006"/>
        <w:gridCol w:w="109"/>
        <w:gridCol w:w="109"/>
        <w:gridCol w:w="2045"/>
        <w:gridCol w:w="109"/>
        <w:gridCol w:w="109"/>
        <w:gridCol w:w="1887"/>
        <w:gridCol w:w="156"/>
      </w:tblGrid>
      <w:tr>
        <w:trPr/>
        <w:tc>
          <w:tcPr>
            <w:tcW w:w="124" w:type="dxa"/>
            <w:tcBorders>
              <w:bottom w:val="single" w:sz="2" w:space="0" w:color="FFFFFF"/>
            </w:tcBorders>
            <w:shd w:fill="auto" w:val="clear"/>
            <w:vAlign w:val="center"/>
          </w:tcPr>
          <w:p>
            <w:pPr>
              <w:pStyle w:val="TableContents"/>
              <w:spacing w:before="0" w:after="283"/>
              <w:rPr/>
            </w:pPr>
            <w:r>
              <w:rPr/>
              <w:t>​</w:t>
            </w:r>
          </w:p>
        </w:tc>
        <w:tc>
          <w:tcPr>
            <w:tcW w:w="1940"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Audit Committee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06"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Compensation Committee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45"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Nominating and Corporate </w:t>
              <w:br/>
              <w:t xml:space="preserve">Governance Committee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87"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Investment Committee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940" w:type="dxa"/>
            <w:tcBorders/>
            <w:shd w:fill="auto" w:val="clear"/>
            <w:tcMar>
              <w:bottom w:w="0" w:type="dxa"/>
            </w:tcMar>
            <w:vAlign w:val="center"/>
          </w:tcPr>
          <w:p>
            <w:pPr>
              <w:pStyle w:val="TableContents"/>
              <w:spacing w:before="0" w:after="0"/>
              <w:jc w:val="center"/>
              <w:rPr/>
            </w:pPr>
            <w:r>
              <w:rPr>
                <w:spacing w:val="4"/>
              </w:rPr>
              <w:t xml:space="preserve">Pamela F. Lenehan, </w:t>
            </w:r>
            <w:r>
              <w:rPr>
                <w:i/>
                <w:spacing w:val="4"/>
              </w:rPr>
              <w:t>Chair</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6" w:type="dxa"/>
            <w:tcBorders/>
            <w:shd w:fill="auto" w:val="clear"/>
            <w:tcMar>
              <w:bottom w:w="0" w:type="dxa"/>
            </w:tcMar>
            <w:vAlign w:val="center"/>
          </w:tcPr>
          <w:p>
            <w:pPr>
              <w:pStyle w:val="TableContents"/>
              <w:spacing w:before="0" w:after="0"/>
              <w:jc w:val="center"/>
              <w:rPr/>
            </w:pPr>
            <w:r>
              <w:rPr>
                <w:spacing w:val="4"/>
              </w:rPr>
              <w:t xml:space="preserve">Richard J. Ganong, </w:t>
            </w:r>
            <w:r>
              <w:rPr>
                <w:i/>
                <w:spacing w:val="4"/>
              </w:rPr>
              <w:t>Chair</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45" w:type="dxa"/>
            <w:tcBorders/>
            <w:shd w:fill="auto" w:val="clear"/>
            <w:tcMar>
              <w:bottom w:w="0" w:type="dxa"/>
            </w:tcMar>
            <w:vAlign w:val="center"/>
          </w:tcPr>
          <w:p>
            <w:pPr>
              <w:pStyle w:val="TableContents"/>
              <w:spacing w:before="0" w:after="0"/>
              <w:jc w:val="center"/>
              <w:rPr/>
            </w:pPr>
            <w:r>
              <w:rPr>
                <w:spacing w:val="4"/>
              </w:rPr>
              <w:t xml:space="preserve">Dr. Bernard J. Bulkin, </w:t>
            </w:r>
            <w:r>
              <w:rPr>
                <w:i/>
                <w:spacing w:val="4"/>
              </w:rPr>
              <w:t>Chair</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7" w:type="dxa"/>
            <w:tcBorders/>
            <w:shd w:fill="auto" w:val="clear"/>
            <w:tcMar>
              <w:bottom w:w="0" w:type="dxa"/>
            </w:tcMar>
            <w:vAlign w:val="center"/>
          </w:tcPr>
          <w:p>
            <w:pPr>
              <w:pStyle w:val="TableContents"/>
              <w:spacing w:before="0" w:after="0"/>
              <w:jc w:val="center"/>
              <w:rPr/>
            </w:pPr>
            <w:r>
              <w:rPr>
                <w:spacing w:val="4"/>
              </w:rPr>
              <w:t xml:space="preserve">James S. Eisenstein, </w:t>
            </w:r>
            <w:r>
              <w:rPr>
                <w:i/>
                <w:spacing w:val="4"/>
              </w:rPr>
              <w:t>Chair</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940" w:type="dxa"/>
            <w:tcBorders/>
            <w:shd w:fill="auto" w:val="clear"/>
            <w:tcMar>
              <w:bottom w:w="0" w:type="dxa"/>
            </w:tcMar>
            <w:vAlign w:val="center"/>
          </w:tcPr>
          <w:p>
            <w:pPr>
              <w:pStyle w:val="TableContents"/>
              <w:spacing w:before="0" w:after="0"/>
              <w:jc w:val="center"/>
              <w:rPr>
                <w:spacing w:val="4"/>
              </w:rPr>
            </w:pPr>
            <w:r>
              <w:rPr>
                <w:spacing w:val="4"/>
              </w:rPr>
              <w:t xml:space="preserve">Dr. Bernard J. Bulkin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6" w:type="dxa"/>
            <w:tcBorders/>
            <w:shd w:fill="auto" w:val="clear"/>
            <w:tcMar>
              <w:bottom w:w="0" w:type="dxa"/>
            </w:tcMar>
            <w:vAlign w:val="center"/>
          </w:tcPr>
          <w:p>
            <w:pPr>
              <w:pStyle w:val="TableContents"/>
              <w:spacing w:before="0" w:after="0"/>
              <w:jc w:val="center"/>
              <w:rPr>
                <w:spacing w:val="4"/>
              </w:rPr>
            </w:pPr>
            <w:r>
              <w:rPr>
                <w:spacing w:val="4"/>
              </w:rPr>
              <w:t xml:space="preserve">James S. Eisentein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45" w:type="dxa"/>
            <w:tcBorders/>
            <w:shd w:fill="auto" w:val="clear"/>
            <w:tcMar>
              <w:bottom w:w="0" w:type="dxa"/>
            </w:tcMar>
            <w:vAlign w:val="center"/>
          </w:tcPr>
          <w:p>
            <w:pPr>
              <w:pStyle w:val="TableContents"/>
              <w:spacing w:before="0" w:after="0"/>
              <w:jc w:val="center"/>
              <w:rPr>
                <w:spacing w:val="4"/>
              </w:rPr>
            </w:pPr>
            <w:r>
              <w:rPr>
                <w:spacing w:val="4"/>
              </w:rPr>
              <w:t xml:space="preserve">Pamela F. Lenehan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7" w:type="dxa"/>
            <w:tcBorders/>
            <w:shd w:fill="auto" w:val="clear"/>
            <w:tcMar>
              <w:bottom w:w="0" w:type="dxa"/>
            </w:tcMar>
            <w:vAlign w:val="center"/>
          </w:tcPr>
          <w:p>
            <w:pPr>
              <w:pStyle w:val="TableContents"/>
              <w:spacing w:before="0" w:after="0"/>
              <w:jc w:val="center"/>
              <w:rPr>
                <w:spacing w:val="4"/>
              </w:rPr>
            </w:pPr>
            <w:r>
              <w:rPr>
                <w:spacing w:val="4"/>
              </w:rPr>
              <w:t xml:space="preserve">Richard J. Ganong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940" w:type="dxa"/>
            <w:tcBorders/>
            <w:shd w:fill="auto" w:val="clear"/>
            <w:tcMar>
              <w:bottom w:w="0" w:type="dxa"/>
            </w:tcMar>
            <w:vAlign w:val="center"/>
          </w:tcPr>
          <w:p>
            <w:pPr>
              <w:pStyle w:val="TableContents"/>
              <w:spacing w:before="0" w:after="0"/>
              <w:jc w:val="center"/>
              <w:rPr>
                <w:spacing w:val="4"/>
              </w:rPr>
            </w:pPr>
            <w:r>
              <w:rPr>
                <w:spacing w:val="4"/>
              </w:rPr>
              <w:t xml:space="preserve">April V. Henry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6" w:type="dxa"/>
            <w:tcBorders/>
            <w:shd w:fill="auto" w:val="clear"/>
            <w:tcMar>
              <w:bottom w:w="0" w:type="dxa"/>
            </w:tcMar>
            <w:vAlign w:val="center"/>
          </w:tcPr>
          <w:p>
            <w:pPr>
              <w:pStyle w:val="TableContents"/>
              <w:spacing w:before="0" w:after="0"/>
              <w:jc w:val="center"/>
              <w:rPr>
                <w:spacing w:val="4"/>
              </w:rPr>
            </w:pPr>
            <w:r>
              <w:rPr>
                <w:spacing w:val="4"/>
              </w:rPr>
              <w:t xml:space="preserve">Liane J. Pelletier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45" w:type="dxa"/>
            <w:tcBorders/>
            <w:shd w:fill="auto" w:val="clear"/>
            <w:tcMar>
              <w:bottom w:w="0" w:type="dxa"/>
            </w:tcMar>
            <w:vAlign w:val="center"/>
          </w:tcPr>
          <w:p>
            <w:pPr>
              <w:pStyle w:val="TableContents"/>
              <w:spacing w:before="0" w:after="0"/>
              <w:jc w:val="center"/>
              <w:rPr>
                <w:spacing w:val="4"/>
              </w:rPr>
            </w:pPr>
            <w:r>
              <w:rPr>
                <w:spacing w:val="4"/>
              </w:rPr>
              <w:t xml:space="preserve">Liane J. Pelletier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7" w:type="dxa"/>
            <w:tcBorders/>
            <w:shd w:fill="auto" w:val="clear"/>
            <w:tcMar>
              <w:bottom w:w="0" w:type="dxa"/>
            </w:tcMar>
            <w:vAlign w:val="center"/>
          </w:tcPr>
          <w:p>
            <w:pPr>
              <w:pStyle w:val="TableContents"/>
              <w:spacing w:before="0" w:after="0"/>
              <w:jc w:val="center"/>
              <w:rPr>
                <w:spacing w:val="4"/>
              </w:rPr>
            </w:pPr>
            <w:r>
              <w:rPr>
                <w:spacing w:val="4"/>
              </w:rPr>
              <w:t xml:space="preserve">April V. Henry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9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0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7" w:type="dxa"/>
            <w:tcBorders/>
            <w:shd w:fill="auto" w:val="clear"/>
            <w:tcMar>
              <w:bottom w:w="0" w:type="dxa"/>
            </w:tcMar>
            <w:vAlign w:val="center"/>
          </w:tcPr>
          <w:p>
            <w:pPr>
              <w:pStyle w:val="TableContents"/>
              <w:spacing w:before="0" w:after="0"/>
              <w:jc w:val="center"/>
              <w:rPr/>
            </w:pPr>
            <w:r>
              <w:rPr>
                <w:spacing w:val="4"/>
              </w:rPr>
              <w:t>Michael T. Prior</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members of these committees, other than Mr. Prior, are independent as defined in applicable Nasdaq rules.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decisions of James S. Eisenstein and Liane J. Pelletier not to stand for reelection, our Board intends to fill their respective roles on the Compensation Committee and Nominating and Corporate Governance Committee with the appropriate directors immediately following the Annual Meeting and the Company will announce the new makeup of the committees at that time.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the Audit Committee met seven times, including separate private sessions with the Company’s independent auditors and management, as well as executive sessions with committee members only. Our Audit Committee operates under a written charter that satisfies the applicable standards of Nasdaq and is available on our website at https://ir.atni.com/. The functions of the Audit Committee include: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Appointing, approving the compensation of, evaluating and overseeing our independent auditor;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largest"/>
                <wp:docPr id="120"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our independent auditor the plan and scope of the audit, its status during the year and any recommendations the independent auditor may have for improving or changing the audit and control environment;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21"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Pre-approving the services provided by our independent auditor;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largest"/>
                <wp:docPr id="122"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Company’s internal audit department and its review and testing of the Company’s internal control policies, systems and procedures;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23"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our independent auditor the adequacy of internal accounting and financial controls and, if deemed necessary or appropriate, discussing with each of them, independently of the other, any recommendations on matters that any of them considers to be of importance;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24"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accounting principles, policies and practices and financial reporting policies and practices;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25"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Code of Ethics, the Audit Committee Charter, the Internal Audit Department Charter and any other relevant Company policies and overseeing other compliance matters;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largest"/>
                <wp:docPr id="126"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the effectiveness of the Company’s risk assessment and risk management policies and processes, including with respect to cyber security and environmental risks, and reporting to the Board thereon;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largest"/>
                <wp:docPr id="127"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if appropriate, approving related party transactions entered into by the Company;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28"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prior to publication or filing, our annual audited financial statements, quarterly earnings releases and the disclosures that are to be included in our reports on Form 10-Q and Form 10-K, as well as such other information as the Committee deems desirable; and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largest"/>
                <wp:docPr id="129"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other duties as assigned by our Board.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30"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that each current member of the Audit Committee meets the financial literacy requirements of Nasdaq. It has also determined that Ms. Lenehan, who is currently the Chair of the Audit Committee, qualifies as an “audit committee financial expert” under the rules of the SEC and meets the financial sophistication requirements of Nasdaq. In addition, our Nominating and Corporate Governance Committee has determined that each of the current members of our Audit Committee is independent under applicable Nasdaq and SEC rules for audit committee members.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met four times during 2022 to discuss executive compensation for the 2022 year, and the Chair of the Compensation Committee met several times with the Chief Executive Officer as well. Our Compensation Committee operates under a written charter that satisfies the applicable standards of Nasdaq and is available on our website at https://ir.atni.com/. The functions of the Compensation Committee include: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determining the compensation of our Chief Executive Officer and our other executive officers; </w:t>
      </w:r>
      <w:r>
        <mc:AlternateContent>
          <mc:Choice Requires="wps">
            <w:drawing>
              <wp:anchor behindDoc="0" distT="7239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largest"/>
                <wp:docPr id="131"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Chief Executive Officer the compensation of the managers of the Company’s key operating units;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132"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cash and equity incentive compensation plans and practices applicable to all employees to determine whether such programs create incentives that might motivate inappropriate or excessive risk-taking and reporting such findings to the Board; </w:t>
      </w:r>
      <w:r>
        <mc:AlternateContent>
          <mc:Choice Requires="wps">
            <w:drawing>
              <wp:anchor behindDoc="0" distT="7239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133" name="Frame1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our Compensation Discussion and Analysis to be included in our Proxy Statement; </w:t>
      </w:r>
      <w:r>
        <mc:AlternateContent>
          <mc:Choice Requires="wps">
            <w:drawing>
              <wp:anchor behindDoc="0" distT="7239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34" name="Frame1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administering and taking all action required or permitted to be taken by the Board under our stock-based incentive plan;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35" name="Frame1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the compensation of our directors;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36" name="Frame1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37" name="Frame1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Retaining and working with compensation consultants or other advisors as the Compensation Committee may deem appropriate to carry out its responsibilities;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largest"/>
                <wp:docPr id="138" name="Frame1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the results of the most recent stockholder advisory vote on executive compensation and recommending to the Board for approval the frequency with which the Company will conduct such vote;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largest"/>
                <wp:docPr id="139" name="Frame1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Company’s progress on its objectives with respect to human capital management;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largest"/>
                <wp:docPr id="140" name="Frame1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Compensation Committee Charter; and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largest"/>
                <wp:docPr id="141" name="Frame1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such other functions as are assigned to the Compensation Committee by the Board.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largest"/>
                <wp:docPr id="142" name="Frame1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meets several times each year to carry out these responsibilities.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Inc. (“Compensia”), a compensation consultant, to re-evaluate and make recommendations as to the Company’s peer group as well as to consult on executive and director compensation trends. Following this review, the Chief Executive Officer typically meets with the Chair of the Compensation Committee to discuss the draft compensation recommendations, performance analysis and future objectives of each of the executive officers of the Company and finalize, with the Chair,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the Company’s key operating units. The Compensation Committee has been authorized by the Board to delegate to the Chief Executive Officer the power to make limited awards under the Company’s 2008 Equity Incentive Plan (the “2008 Plan”) to employees of the Company. Our Board and our Nominating and Corporate Governance Committee have determined that each of the current members of our Compensation Committee is independent under applicable Nasdaq and SEC rules for compensation committee members.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CCIA"/>
      <w:bookmarkEnd w:id="4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further information about the Compensation Committee’s practices, please see “Compensation Discussion and Analysis,” under “Executive Officer Compensation,” below.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or prior to the fiscal year ended December 31, 2022, no member of our Compensation Committee was an officer or employee of ours or our subsidiaries or, to our knowledge, had relationships requiring disclosure under the SEC rules. In making these statements, we have relied in part upon representations of those directors.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our Board met four times in 2022. Our Nominating and Corporate Governance Committee operates under a written charter that satisfies the applicable standards of Nasdaq and is available on our website at https://ir.atni.com/. The functions of the Nominating and Corporate Governance Committee include: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the Board the persons to be considered for nomination for election as directors at any meeting of stockholders and the persons (if any) to be elected by the Board to fill any vacancies on the Board;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largest"/>
                <wp:docPr id="143" name="Frame1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independence of any director or director nominee to our Board;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largest"/>
                <wp:docPr id="144" name="Frame1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the Board the directors to be appointed to each committee of the Board;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largest"/>
                <wp:docPr id="145" name="Frame1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regarding any stockholder proposals submitted to the Company pertaining to Board governance and director nominations;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largest"/>
                <wp:docPr id="146" name="Frame1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making recommendations to the Board regarding changes to our Corporate Governance Guidelines;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largest"/>
                <wp:docPr id="147" name="Frame1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periodic Board self-evaluations;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largest"/>
                <wp:docPr id="148" name="Frame1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reporting to the Board concerning the Company’s corporate responsibility and sustainability efforts, including the impact of environmental and social issues on the Company; and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largest"/>
                <wp:docPr id="149" name="Frame1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such other functions as are assigned to the Nominating and Corporate Governance Committee by the Board.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largest"/>
                <wp:docPr id="150" name="Frame1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that each of the current members of the Nominating and Corporate Governance Committee is independent under applicable Nasdaq and SEC rules.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Investment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Investment Committee of our Board met four times in 2022. The Board established an Investment Committee in 2021 to assist the Board in its oversight of the Company’s significant internal and external investments and related matters, such as capital sourcing and significant sales or dispositions of business. Our Investment Committee operates under a charter that satisfies the applicable standards of Nasdaq and is available on our website at https://ir.atni.com/. The functions of the Investment Committee include: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annual capital plan, including capital allocation, funding, and capital expenditures;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largest"/>
                <wp:docPr id="151" name="Frame1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any material changes to the Company’s capital structure, including proposed capital and debt issuances and redemptions;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largest"/>
                <wp:docPr id="152" name="Frame1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by the Board, reviewing proposed Company credit facilities, letters of credit, borrowings and guarantees requiring Board approval;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largest"/>
                <wp:docPr id="153" name="Frame1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financial aspects of significant proposed transactions requiring Board approval such as mergers, acquisitions, joint ventures, divestitures and strategic investments; and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127000" cy="350520"/>
                <wp:effectExtent l="0" t="0" r="0" b="0"/>
                <wp:wrapSquare wrapText="largest"/>
                <wp:docPr id="154" name="Frame1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any action regarding dividends, stock splits and stock repurchases, to be recommended to the full Board.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largest"/>
                <wp:docPr id="155" name="Frame1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has determined that the current members of the Investment Committee other than Mr. Michael T. Prior are independent under applicable Nasdaq and SEC rules.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INAU"/>
      <w:bookmarkEnd w:id="41"/>
      <w:r>
        <w:rPr>
          <w:rFonts w:ascii="calibri;arial;sans-serif" w:hAnsi="calibri;arial;sans-serif"/>
          <w:b w:val="false"/>
          <w:i w:val="false"/>
          <w:caps w:val="false"/>
          <w:smallCaps w:val="false"/>
          <w:color w:val="000000"/>
          <w:sz w:val="16"/>
        </w:rPr>
        <w:t>​</w:t>
      </w:r>
      <w:bookmarkStart w:id="42" w:name="tIAFA"/>
      <w:bookmarkEnd w:id="42"/>
      <w:r>
        <w:rPr>
          <w:rFonts w:ascii="calibri;arial;sans-serif" w:hAnsi="calibri;arial;sans-serif"/>
          <w:b w:val="false"/>
          <w:i w:val="false"/>
          <w:caps w:val="false"/>
          <w:smallCaps w:val="false"/>
          <w:color w:val="000000"/>
          <w:sz w:val="16"/>
        </w:rPr>
        <w:t>​</w:t>
      </w:r>
      <w:bookmarkStart w:id="43" w:name="tACPP"/>
      <w:bookmarkEnd w:id="43"/>
      <w:r>
        <w:rPr>
          <w:rFonts w:ascii="calibri;arial;sans-serif" w:hAnsi="calibri;arial;sans-serif"/>
          <w:b w:val="false"/>
          <w:i w:val="false"/>
          <w:caps w:val="false"/>
          <w:smallCaps w:val="false"/>
          <w:color w:val="000000"/>
          <w:sz w:val="16"/>
        </w:rPr>
        <w:t>​</w:t>
      </w:r>
      <w:bookmarkStart w:id="44" w:name="tACR"/>
      <w:bookmarkEnd w:id="4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AUDITOR</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 has audited our financial statements since 2002. Our Audit Committee has appointed PricewaterhouseCoopers LLP to be our independent auditor for 2023 and we are asking stockholders to ratify this appointment in Proposal 5. The services provided by PricewaterhouseCoopers LLP in 2023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Auditor Fees and Services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aggregate fees for professional services rendered to us by PricewaterhouseCoopers LLP for the years ended December 31, 2022 and 2021: </w:t>
      </w:r>
    </w:p>
    <w:tbl>
      <w:tblPr>
        <w:tblW w:w="5496" w:type="dxa"/>
        <w:jc w:val="left"/>
        <w:tblInd w:w="1393" w:type="dxa"/>
        <w:tblCellMar>
          <w:top w:w="0" w:type="dxa"/>
          <w:left w:w="0" w:type="dxa"/>
          <w:bottom w:w="28" w:type="dxa"/>
          <w:right w:w="0" w:type="dxa"/>
        </w:tblCellMar>
      </w:tblPr>
      <w:tblGrid>
        <w:gridCol w:w="1886"/>
        <w:gridCol w:w="109"/>
        <w:gridCol w:w="109"/>
        <w:gridCol w:w="109"/>
        <w:gridCol w:w="226"/>
        <w:gridCol w:w="1066"/>
        <w:gridCol w:w="109"/>
        <w:gridCol w:w="109"/>
        <w:gridCol w:w="109"/>
        <w:gridCol w:w="109"/>
        <w:gridCol w:w="226"/>
        <w:gridCol w:w="1066"/>
        <w:gridCol w:w="109"/>
        <w:gridCol w:w="154"/>
      </w:tblGrid>
      <w:tr>
        <w:trPr/>
        <w:tc>
          <w:tcPr>
            <w:tcW w:w="188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886" w:type="dxa"/>
            <w:tcBorders/>
            <w:shd w:fill="CCEEFF" w:val="clear"/>
            <w:tcMar>
              <w:bottom w:w="0" w:type="dxa"/>
            </w:tcMar>
            <w:vAlign w:val="center"/>
          </w:tcPr>
          <w:p>
            <w:pPr>
              <w:pStyle w:val="TableContents"/>
              <w:spacing w:before="0" w:after="0"/>
              <w:jc w:val="left"/>
              <w:rPr>
                <w:spacing w:val="4"/>
              </w:rPr>
            </w:pPr>
            <w:r>
              <w:rPr>
                <w:spacing w:val="4"/>
              </w:rPr>
              <w:t xml:space="preserve">Audit Fees(1)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4,699,200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4,691,700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86" w:type="dxa"/>
            <w:tcBorders/>
            <w:shd w:fill="auto" w:val="clear"/>
            <w:tcMar>
              <w:bottom w:w="0" w:type="dxa"/>
            </w:tcMar>
            <w:vAlign w:val="center"/>
          </w:tcPr>
          <w:p>
            <w:pPr>
              <w:pStyle w:val="TableContents"/>
              <w:spacing w:before="0" w:after="0"/>
              <w:jc w:val="left"/>
              <w:rPr>
                <w:spacing w:val="4"/>
              </w:rPr>
            </w:pPr>
            <w:r>
              <w:rPr>
                <w:spacing w:val="4"/>
              </w:rPr>
              <w:t xml:space="preserve">Tax Fees(2)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86"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All Other Fees(3)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12,400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10,400</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1886"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Total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auto" w:val="clear"/>
            <w:tcMar>
              <w:bottom w:w="50" w:type="dxa"/>
            </w:tcMar>
            <w:vAlign w:val="center"/>
          </w:tcPr>
          <w:p>
            <w:pPr>
              <w:pStyle w:val="TableContents"/>
              <w:spacing w:before="0" w:after="283"/>
              <w:jc w:val="right"/>
              <w:rPr/>
            </w:pPr>
            <w:r>
              <w:rPr/>
              <w:t>4,711,600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auto" w:val="clear"/>
            <w:tcMar>
              <w:bottom w:w="50" w:type="dxa"/>
            </w:tcMar>
            <w:vAlign w:val="center"/>
          </w:tcPr>
          <w:p>
            <w:pPr>
              <w:pStyle w:val="TableContents"/>
              <w:spacing w:before="0" w:after="283"/>
              <w:jc w:val="right"/>
              <w:rPr/>
            </w:pPr>
            <w:r>
              <w:rPr/>
              <w:t>4,717,100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7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fees for professional services rendered for the audits of our consolidated financial statements, audits of certain subsidiaries and assistance with various documents filed with the SEC. Fees also include the audit of the opening balance sheet and related purchase accounting associated with our acquisitions of Sacred Wind Enterprises and Alaska Communications. </w:t>
      </w:r>
      <w:r>
        <mc:AlternateContent>
          <mc:Choice Requires="wps">
            <w:drawing>
              <wp:anchor behindDoc="0" distT="10033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largest"/>
                <wp:docPr id="156" name="Frame1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fees for tax compliance and consulting services. </w:t>
      </w:r>
      <w:r>
        <mc:AlternateContent>
          <mc:Choice Requires="wps">
            <w:drawing>
              <wp:anchor behindDoc="0" distT="4953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largest"/>
                <wp:docPr id="157" name="Frame1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fees for compensation surveys and access to online technical accounting and reporting research materials. </w:t>
      </w:r>
      <w:r>
        <mc:AlternateContent>
          <mc:Choice Requires="wps">
            <w:drawing>
              <wp:anchor behindDoc="0" distT="4953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largest"/>
                <wp:docPr id="158" name="Frame1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Pre-Approval Policy and Procedures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its written charter, our Audit Committee pre-approves all audit and permissible non-audit services, including the scope of contemplated services and the related fees that are to be performed by PricewaterhouseCoopers LLP, our independent auditor.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members of the Audit Committee of the Board of Directors of ATN International, Inc., we have reviewed and discussed with management the audited financial statements of the Company as of and for the year ended December 31,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discussed with the independent registered public accountants the matters required to be discussed by Statement of Auditing Standard No. 1301.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received from PricewaterhouseCoopers LLP the written disclosures and letter required by applicable requirements of the Public Company Accounting Oversight Board regarding their communications with the Audit Committee concerning independence, discussed PricewaterhouseCoopers LLP’s independence with PricewaterhouseCoopers LLP and satisfied itself as to PricewaterhouseCoopers LLP’s independence.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concluded that the provision of services by PricewaterhouseCoopers LLP not related to the audit of the financial statements referred to above and to the reviews of the interim financial statements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84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in our Quarterly Reports on Form 10-Q for the quarters ended March 31, 2022, June 30, 2022 and September 30, 2022 was compatible with maintaining the independence of PricewaterhouseCoopers LLP.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reviews and discussions referred to above, we have recommended to the Board of Directors that the audited financial statements referred to above be included in our Annual Report on Form 10-K for the year ended December 31, 2022.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the Audit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Pamela F. Lenehan, </w:t>
      </w:r>
      <w:r>
        <w:rPr>
          <w:rFonts w:ascii="Times New Roman;Times;serif" w:hAnsi="Times New Roman;Times;serif"/>
          <w:b w:val="false"/>
          <w:i/>
          <w:caps w:val="false"/>
          <w:smallCaps w:val="false"/>
          <w:color w:val="000000"/>
          <w:spacing w:val="4"/>
          <w:sz w:val="20"/>
        </w:rPr>
        <w:t>Chair</w:t>
      </w:r>
      <w:r>
        <w:rPr>
          <w:rFonts w:ascii="Times New Roman;Times;serif" w:hAnsi="Times New Roman;Times;serif"/>
          <w:b w:val="false"/>
          <w:i w:val="false"/>
          <w:caps w:val="false"/>
          <w:smallCaps w:val="false"/>
          <w:color w:val="000000"/>
          <w:spacing w:val="4"/>
          <w:sz w:val="20"/>
        </w:rPr>
        <w:t xml:space="preserve"> </w:t>
        <w:br/>
        <w:t xml:space="preserve">Dr. Bernard J. Bulkin </w:t>
        <w:br/>
        <w:t>April V. Henry</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XOF"/>
      <w:bookmarkEnd w:id="4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our executive officers as of April 27, 2023. </w:t>
      </w:r>
    </w:p>
    <w:tbl>
      <w:tblPr>
        <w:tblW w:w="8812" w:type="dxa"/>
        <w:jc w:val="left"/>
        <w:tblInd w:w="1393" w:type="dxa"/>
        <w:tblCellMar>
          <w:top w:w="0" w:type="dxa"/>
          <w:left w:w="0" w:type="dxa"/>
          <w:bottom w:w="50" w:type="dxa"/>
          <w:right w:w="0" w:type="dxa"/>
        </w:tblCellMar>
      </w:tblPr>
      <w:tblGrid>
        <w:gridCol w:w="2050"/>
        <w:gridCol w:w="109"/>
        <w:gridCol w:w="109"/>
        <w:gridCol w:w="561"/>
        <w:gridCol w:w="109"/>
        <w:gridCol w:w="109"/>
        <w:gridCol w:w="5610"/>
        <w:gridCol w:w="155"/>
      </w:tblGrid>
      <w:tr>
        <w:trPr/>
        <w:tc>
          <w:tcPr>
            <w:tcW w:w="2050"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1"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10"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0" w:type="dxa"/>
            <w:tcBorders/>
            <w:shd w:fill="auto" w:val="clear"/>
            <w:tcMar>
              <w:bottom w:w="0" w:type="dxa"/>
            </w:tcMar>
            <w:vAlign w:val="center"/>
          </w:tcPr>
          <w:p>
            <w:pPr>
              <w:pStyle w:val="TableContents"/>
              <w:spacing w:before="0" w:after="283"/>
              <w:rPr>
                <w:spacing w:val="4"/>
              </w:rPr>
            </w:pPr>
            <w:r>
              <w:rPr>
                <w:spacing w:val="4"/>
              </w:rPr>
              <w:t xml:space="preserve">Michael T. Prior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 w:type="dxa"/>
            <w:tcBorders/>
            <w:shd w:fill="auto" w:val="clear"/>
            <w:tcMar>
              <w:bottom w:w="0" w:type="dxa"/>
            </w:tcMar>
            <w:vAlign w:val="center"/>
          </w:tcPr>
          <w:p>
            <w:pPr>
              <w:pStyle w:val="TableContents"/>
              <w:spacing w:before="0" w:after="283"/>
              <w:rPr>
                <w:spacing w:val="4"/>
              </w:rPr>
            </w:pPr>
            <w:r>
              <w:rPr>
                <w:spacing w:val="4"/>
              </w:rPr>
              <w:t xml:space="preserve">58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0" w:type="dxa"/>
            <w:tcBorders/>
            <w:shd w:fill="auto" w:val="clear"/>
            <w:tcMar>
              <w:bottom w:w="0" w:type="dxa"/>
            </w:tcMar>
            <w:vAlign w:val="center"/>
          </w:tcPr>
          <w:p>
            <w:pPr>
              <w:pStyle w:val="TableContents"/>
              <w:spacing w:before="0" w:after="283"/>
              <w:rPr>
                <w:spacing w:val="4"/>
              </w:rPr>
            </w:pPr>
            <w:r>
              <w:rPr>
                <w:spacing w:val="4"/>
              </w:rPr>
              <w:t xml:space="preserve">Chairman, President, Chief Executive Officer and Director </w:t>
            </w:r>
          </w:p>
        </w:tc>
        <w:tc>
          <w:tcPr>
            <w:tcW w:w="155" w:type="dxa"/>
            <w:tcBorders/>
            <w:shd w:fill="auto" w:val="clear"/>
            <w:tcMar>
              <w:bottom w:w="0" w:type="dxa"/>
            </w:tcMar>
            <w:vAlign w:val="center"/>
          </w:tcPr>
          <w:p>
            <w:pPr>
              <w:pStyle w:val="TableContents"/>
              <w:spacing w:before="0" w:after="283"/>
              <w:rPr/>
            </w:pPr>
            <w:r>
              <w:rPr/>
              <w:t>​</w:t>
            </w:r>
          </w:p>
        </w:tc>
      </w:tr>
      <w:tr>
        <w:trPr/>
        <w:tc>
          <w:tcPr>
            <w:tcW w:w="2050" w:type="dxa"/>
            <w:tcBorders/>
            <w:shd w:fill="auto" w:val="clear"/>
            <w:tcMar>
              <w:bottom w:w="0" w:type="dxa"/>
            </w:tcMar>
            <w:vAlign w:val="center"/>
          </w:tcPr>
          <w:p>
            <w:pPr>
              <w:pStyle w:val="TableContents"/>
              <w:spacing w:before="0" w:after="283"/>
              <w:rPr>
                <w:spacing w:val="4"/>
              </w:rPr>
            </w:pPr>
            <w:r>
              <w:rPr>
                <w:spacing w:val="4"/>
              </w:rPr>
              <w:t xml:space="preserve">Justin D. Benincasa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 w:type="dxa"/>
            <w:tcBorders/>
            <w:shd w:fill="auto" w:val="clear"/>
            <w:tcMar>
              <w:bottom w:w="0" w:type="dxa"/>
            </w:tcMar>
            <w:vAlign w:val="center"/>
          </w:tcPr>
          <w:p>
            <w:pPr>
              <w:pStyle w:val="TableContents"/>
              <w:spacing w:before="0" w:after="283"/>
              <w:rPr>
                <w:spacing w:val="4"/>
              </w:rPr>
            </w:pPr>
            <w:r>
              <w:rPr>
                <w:spacing w:val="4"/>
              </w:rPr>
              <w:t xml:space="preserve">61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0" w:type="dxa"/>
            <w:tcBorders/>
            <w:shd w:fill="auto" w:val="clear"/>
            <w:tcMar>
              <w:bottom w:w="0" w:type="dxa"/>
            </w:tcMar>
            <w:vAlign w:val="center"/>
          </w:tcPr>
          <w:p>
            <w:pPr>
              <w:pStyle w:val="TableContents"/>
              <w:spacing w:before="0" w:after="283"/>
              <w:rPr>
                <w:spacing w:val="4"/>
              </w:rPr>
            </w:pPr>
            <w:r>
              <w:rPr>
                <w:spacing w:val="4"/>
              </w:rPr>
              <w:t xml:space="preserve">Chief Financial Officer </w:t>
            </w:r>
          </w:p>
        </w:tc>
        <w:tc>
          <w:tcPr>
            <w:tcW w:w="155" w:type="dxa"/>
            <w:tcBorders/>
            <w:shd w:fill="auto" w:val="clear"/>
            <w:tcMar>
              <w:bottom w:w="0" w:type="dxa"/>
            </w:tcMar>
            <w:vAlign w:val="center"/>
          </w:tcPr>
          <w:p>
            <w:pPr>
              <w:pStyle w:val="TableContents"/>
              <w:spacing w:before="0" w:after="283"/>
              <w:rPr/>
            </w:pPr>
            <w:r>
              <w:rPr/>
              <w:t>​</w:t>
            </w:r>
          </w:p>
        </w:tc>
      </w:tr>
      <w:tr>
        <w:trPr/>
        <w:tc>
          <w:tcPr>
            <w:tcW w:w="2050" w:type="dxa"/>
            <w:tcBorders/>
            <w:shd w:fill="auto" w:val="clear"/>
            <w:tcMar>
              <w:bottom w:w="0" w:type="dxa"/>
            </w:tcMar>
            <w:vAlign w:val="center"/>
          </w:tcPr>
          <w:p>
            <w:pPr>
              <w:pStyle w:val="TableContents"/>
              <w:spacing w:before="0" w:after="283"/>
              <w:rPr>
                <w:spacing w:val="4"/>
              </w:rPr>
            </w:pPr>
            <w:r>
              <w:rPr>
                <w:spacing w:val="4"/>
              </w:rPr>
              <w:t xml:space="preserve">Brad W. Martin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 w:type="dxa"/>
            <w:tcBorders/>
            <w:shd w:fill="auto" w:val="clear"/>
            <w:tcMar>
              <w:bottom w:w="0" w:type="dxa"/>
            </w:tcMar>
            <w:vAlign w:val="center"/>
          </w:tcPr>
          <w:p>
            <w:pPr>
              <w:pStyle w:val="TableContents"/>
              <w:spacing w:before="0" w:after="283"/>
              <w:rPr>
                <w:spacing w:val="4"/>
              </w:rPr>
            </w:pPr>
            <w:r>
              <w:rPr>
                <w:spacing w:val="4"/>
              </w:rPr>
              <w:t xml:space="preserve">47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0" w:type="dxa"/>
            <w:tcBorders/>
            <w:shd w:fill="auto" w:val="clear"/>
            <w:tcMar>
              <w:bottom w:w="0" w:type="dxa"/>
            </w:tcMar>
            <w:vAlign w:val="center"/>
          </w:tcPr>
          <w:p>
            <w:pPr>
              <w:pStyle w:val="TableContents"/>
              <w:spacing w:before="0" w:after="283"/>
              <w:rPr>
                <w:spacing w:val="4"/>
              </w:rPr>
            </w:pPr>
            <w:r>
              <w:rPr>
                <w:spacing w:val="4"/>
              </w:rPr>
              <w:t xml:space="preserve">Chief Operating Officer </w:t>
            </w:r>
          </w:p>
        </w:tc>
        <w:tc>
          <w:tcPr>
            <w:tcW w:w="155" w:type="dxa"/>
            <w:tcBorders/>
            <w:shd w:fill="auto" w:val="clear"/>
            <w:tcMar>
              <w:bottom w:w="0" w:type="dxa"/>
            </w:tcMar>
            <w:vAlign w:val="center"/>
          </w:tcPr>
          <w:p>
            <w:pPr>
              <w:pStyle w:val="TableContents"/>
              <w:spacing w:before="0" w:after="283"/>
              <w:rPr/>
            </w:pPr>
            <w:r>
              <w:rPr/>
              <w:t>​</w:t>
            </w:r>
          </w:p>
        </w:tc>
      </w:tr>
      <w:tr>
        <w:trPr/>
        <w:tc>
          <w:tcPr>
            <w:tcW w:w="2050" w:type="dxa"/>
            <w:tcBorders/>
            <w:shd w:fill="auto" w:val="clear"/>
            <w:tcMar>
              <w:bottom w:w="0" w:type="dxa"/>
            </w:tcMar>
            <w:vAlign w:val="center"/>
          </w:tcPr>
          <w:p>
            <w:pPr>
              <w:pStyle w:val="TableContents"/>
              <w:spacing w:before="0" w:after="283"/>
              <w:rPr>
                <w:spacing w:val="4"/>
              </w:rPr>
            </w:pPr>
            <w:r>
              <w:rPr>
                <w:spacing w:val="4"/>
              </w:rPr>
              <w:t xml:space="preserve">Mary M. Mabey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 w:type="dxa"/>
            <w:tcBorders/>
            <w:shd w:fill="auto" w:val="clear"/>
            <w:tcMar>
              <w:bottom w:w="0" w:type="dxa"/>
            </w:tcMar>
            <w:vAlign w:val="center"/>
          </w:tcPr>
          <w:p>
            <w:pPr>
              <w:pStyle w:val="TableContents"/>
              <w:spacing w:before="0" w:after="283"/>
              <w:rPr>
                <w:spacing w:val="4"/>
              </w:rPr>
            </w:pPr>
            <w:r>
              <w:rPr>
                <w:spacing w:val="4"/>
              </w:rPr>
              <w:t xml:space="preserve">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0" w:type="dxa"/>
            <w:tcBorders/>
            <w:shd w:fill="auto" w:val="clear"/>
            <w:tcMar>
              <w:bottom w:w="0" w:type="dxa"/>
            </w:tcMar>
            <w:vAlign w:val="center"/>
          </w:tcPr>
          <w:p>
            <w:pPr>
              <w:pStyle w:val="TableContents"/>
              <w:spacing w:before="0" w:after="283"/>
              <w:rPr>
                <w:spacing w:val="4"/>
              </w:rPr>
            </w:pPr>
            <w:r>
              <w:rPr>
                <w:spacing w:val="4"/>
              </w:rPr>
              <w:t xml:space="preserve">Senior Vice President, General Counsel and Secretary </w:t>
            </w:r>
          </w:p>
        </w:tc>
        <w:tc>
          <w:tcPr>
            <w:tcW w:w="155" w:type="dxa"/>
            <w:tcBorders/>
            <w:shd w:fill="auto" w:val="clear"/>
            <w:tcMar>
              <w:bottom w:w="0" w:type="dxa"/>
            </w:tcMar>
            <w:vAlign w:val="center"/>
          </w:tcPr>
          <w:p>
            <w:pPr>
              <w:pStyle w:val="TableContents"/>
              <w:spacing w:before="0" w:after="283"/>
              <w:rPr/>
            </w:pPr>
            <w:r>
              <w:rPr/>
              <w:t>​</w:t>
            </w:r>
          </w:p>
        </w:tc>
      </w:tr>
      <w:tr>
        <w:trPr/>
        <w:tc>
          <w:tcPr>
            <w:tcW w:w="2050" w:type="dxa"/>
            <w:tcBorders/>
            <w:shd w:fill="auto" w:val="clear"/>
            <w:tcMar>
              <w:bottom w:w="0" w:type="dxa"/>
            </w:tcMar>
            <w:vAlign w:val="center"/>
          </w:tcPr>
          <w:p>
            <w:pPr>
              <w:pStyle w:val="TableContents"/>
              <w:spacing w:before="0" w:after="283"/>
              <w:rPr>
                <w:spacing w:val="4"/>
              </w:rPr>
            </w:pPr>
            <w:r>
              <w:rPr>
                <w:spacing w:val="4"/>
              </w:rPr>
              <w:t xml:space="preserve">Justin M. Leon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 w:type="dxa"/>
            <w:tcBorders/>
            <w:shd w:fill="auto" w:val="clear"/>
            <w:tcMar>
              <w:bottom w:w="0" w:type="dxa"/>
            </w:tcMar>
            <w:vAlign w:val="center"/>
          </w:tcPr>
          <w:p>
            <w:pPr>
              <w:pStyle w:val="TableContents"/>
              <w:spacing w:before="0" w:after="283"/>
              <w:rPr>
                <w:spacing w:val="4"/>
              </w:rPr>
            </w:pPr>
            <w:r>
              <w:rPr>
                <w:spacing w:val="4"/>
              </w:rPr>
              <w:t xml:space="preserve">37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10" w:type="dxa"/>
            <w:tcBorders/>
            <w:shd w:fill="auto" w:val="clear"/>
            <w:tcMar>
              <w:bottom w:w="0" w:type="dxa"/>
            </w:tcMar>
            <w:vAlign w:val="center"/>
          </w:tcPr>
          <w:p>
            <w:pPr>
              <w:pStyle w:val="TableContents"/>
              <w:spacing w:before="0" w:after="283"/>
              <w:rPr/>
            </w:pPr>
            <w:r>
              <w:rPr>
                <w:spacing w:val="4"/>
              </w:rPr>
              <w:t>Senior Vice President, Corporate Development</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4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Michael T. Prior.</w:t>
      </w:r>
      <w:r>
        <w:rPr>
          <w:rFonts w:ascii="Times New Roman;Times;serif" w:hAnsi="Times New Roman;Times;serif"/>
          <w:b w:val="false"/>
          <w:i w:val="false"/>
          <w:caps w:val="false"/>
          <w:smallCaps w:val="false"/>
          <w:color w:val="000000"/>
          <w:spacing w:val="4"/>
          <w:sz w:val="20"/>
        </w:rPr>
        <w:t xml:space="preserve"> Mr. Prior’s biography appears in the section entitled “Director and Nominee Experience and Qualifications” herein.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Justin D. Benincasa</w:t>
      </w:r>
      <w:r>
        <w:rPr>
          <w:rFonts w:ascii="Times New Roman;Times;serif" w:hAnsi="Times New Roman;Times;serif"/>
          <w:b w:val="false"/>
          <w:i w:val="false"/>
          <w:caps w:val="false"/>
          <w:smallCaps w:val="false"/>
          <w:color w:val="000000"/>
          <w:spacing w:val="4"/>
          <w:sz w:val="20"/>
        </w:rPr>
        <w:t xml:space="preserve"> is our Chief Financial Officer. Prior to joining us in May 2006, Mr. Benincasa was a Principal at Windover Development, LLC since 2004. From 1998 to 2004, he 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from Bentley University and a Bachelor of Arts from the University of Massachusetts.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Brad W. Martin</w:t>
      </w:r>
      <w:r>
        <w:rPr>
          <w:rFonts w:ascii="Times New Roman;Times;serif" w:hAnsi="Times New Roman;Times;serif"/>
          <w:b w:val="false"/>
          <w:i w:val="false"/>
          <w:caps w:val="false"/>
          <w:smallCaps w:val="false"/>
          <w:color w:val="000000"/>
          <w:spacing w:val="4"/>
          <w:sz w:val="20"/>
        </w:rPr>
        <w:t xml:space="preserve"> is our Chief Operating Officer. Prior to joining us in April 2018 as our Executive Vice President, Operations, he previously served as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From 2008 to 2013, Mr. Martin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Mary M. Mabey</w:t>
      </w:r>
      <w:r>
        <w:rPr>
          <w:rFonts w:ascii="Times New Roman;Times;serif" w:hAnsi="Times New Roman;Times;serif"/>
          <w:b w:val="false"/>
          <w:i w:val="false"/>
          <w:caps w:val="false"/>
          <w:smallCaps w:val="false"/>
          <w:color w:val="000000"/>
          <w:spacing w:val="4"/>
          <w:sz w:val="20"/>
        </w:rPr>
        <w:t xml:space="preserve"> is our Senior Vice President, General Counsel and Secretary. Ms. Mabey joined the Company’s legal department in 2009 and was appointed General Counsel in March 2018, previously serving as our Deputy General Counsel. Prior to joining us, Ms. Mabey was with the law firm of Edwards Angell Palmer &amp; Dodge LLP (now Locke Lord LLP) in Boston, Massachusetts, where she advised public and private companies in domestic and international transactions on corporate and securities law matters, merger, acquisition and financing transactions, corporate governance, and other general corporate matters. Ms. Mabey received a Bachelor of Arts from the University of Notre Dame and a Juris Doctor from the University of Texas School of Law.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Justin M. Leon</w:t>
      </w:r>
      <w:r>
        <w:rPr>
          <w:rFonts w:ascii="Times New Roman;Times;serif" w:hAnsi="Times New Roman;Times;serif"/>
          <w:b w:val="false"/>
          <w:i w:val="false"/>
          <w:caps w:val="false"/>
          <w:smallCaps w:val="false"/>
          <w:color w:val="000000"/>
          <w:spacing w:val="4"/>
          <w:sz w:val="20"/>
        </w:rPr>
        <w:t xml:space="preserve"> is our Senior Vice President of Corporate Development. He joined the Company in 2015 and brings over fifteen years of investing experience to the team. Prior to joining ATN, Justin worked in Corporate Strategy &amp; Development for Nuance Communications, a publicly traded software company focused on speech recognition and machine learning, where he executed over $1 billion in acquisitions in the healthcare, mobile, and enterprise software verticals. Justin started his career at Stonebridge Associates, a boutique investment bank in Boston advising clients in technology, medical device, and consumer products verticals. Justin earned a degree in corporate finance from Bentley College and an MBA from the Tuck School of Business at Dartmouth.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EOC"/>
      <w:bookmarkEnd w:id="46"/>
      <w:r>
        <w:rPr>
          <w:rFonts w:ascii="calibri;arial;sans-serif" w:hAnsi="calibri;arial;sans-serif"/>
          <w:b w:val="false"/>
          <w:i w:val="false"/>
          <w:caps w:val="false"/>
          <w:smallCaps w:val="false"/>
          <w:color w:val="000000"/>
          <w:sz w:val="16"/>
        </w:rPr>
        <w:t>​</w:t>
      </w:r>
      <w:bookmarkStart w:id="47" w:name="tCDAA"/>
      <w:bookmarkEnd w:id="4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who served as our Chief Executive Officer and Chief Financial Officer during the fiscal year ended December 31, 2022, as well as the other individuals included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below.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Philosophy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core principle of our compensation philosophy to date is that a successful compensation program requires the application of judgment and subjective determinations of individual performance. With respect to our annual cash bonus opportunity, while we do assign an indicative weight to individual and general Company performance in determining an executive officer’s compensation, we do not apply a strictly formulaic or mathematical approach to our compensation program.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does take into consideration certain financial and operational goals and metrics in determining annual cash performance bonus payments and seeks to link executive compensation actually paid to the Company’s actual performance. For bonus payments awarded to executive officers for 2022 performance, the Compensation Committee looked at the Company’s revenue, Adjusted EBITDA, and Adjusted EBITDA margin for the year, as well as increases in high-speed data subscribers, high-speed data homes passed, and mobile subscribers, as part of its determination of the appropriate levels of such awards. Generally, the Compensation Committee attaches more weight to financial performance than the individual operating metrics.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determining annual equity grants, the Compensation Committee reviews both the equity compensation of the Company’s peer group listed below and the Company’s actual and relative performance in terms of TSR as compared to the TSR for the Russell 2000 as well as for such peer group. It also looks to the Company’s TSR related to the Nasdaq Telecom Index. However, historically, even in years of TSR outperformance, the Company has kept executive equity and “total” ​(all cash and equity compensation) compensation at or below the 50th percentile of peers and in recent years our CEO’s total compensation has been well below the 25th percentile of peers. In March 2023, the Compensation Committee increased the level of Mr. Prior’s equity compensation following a relative reduction the year before and a determination that Mr. Prior’s total compensation had fallen below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the peer group. This change increased Mr. Prior’s 2023 equity compensation to a level approximately equal to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such peer group.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annual changes to base salary, excluding promotions, the Compensation Committee primarily looks at peer group data, targeting the 25th to 50th percentile, and changes in the cost of living. In 2023, consistent with broader efforts to maintain control of costs at the Company, the Compensation Committee approved raises for the executive officers at or around 2.9%, a level well below the recent changes in the cost of living.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2022, the committee took the same approach, and accordingly, equity grants to executive officers made in March 2023 for 2022 performance were split equally between time vested restricted stock units and time and performance vested performance stock units. A description of the terms of the restricted stock units and performance stock units can be found in the “</w:t>
      </w:r>
      <w:r>
        <w:rPr>
          <w:rFonts w:ascii="Times New Roman;Times;serif" w:hAnsi="Times New Roman;Times;serif"/>
          <w:b w:val="false"/>
          <w:i/>
          <w:caps w:val="false"/>
          <w:smallCaps w:val="false"/>
          <w:color w:val="000000"/>
          <w:spacing w:val="4"/>
          <w:sz w:val="20"/>
        </w:rPr>
        <w:t>Annual Cash and Equity Bonuses—Annual Equity Awards</w:t>
      </w:r>
      <w:r>
        <w:rPr>
          <w:rFonts w:ascii="Times New Roman;Times;serif" w:hAnsi="Times New Roman;Times;serif"/>
          <w:b w:val="false"/>
          <w:i w:val="false"/>
          <w:caps w:val="false"/>
          <w:smallCaps w:val="false"/>
          <w:color w:val="000000"/>
          <w:spacing w:val="4"/>
          <w:sz w:val="20"/>
        </w:rPr>
        <w:t>” discussion on page 45 and relating to all long-term equity grants can be found in the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xml:space="preserve">” table located on page 53 of this Proxy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other elements of compensation,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communications between our Board and our senior management team and our corporate culture make this approach an effective method of determining compensation and protecting stockholder interests.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does consider the compensation of executive officers at other companies in order to assess the compensation that we offer our executive officers, as discussed below.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Compensation Consultant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has retained the advisory services of Compensia, a national executive compensation consulting firm. For the past six years,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the Compensation Committee asked Compensia to gather peer group data, give advice on any possible changes to the peer group based on that data, advise on the structure of a performance stock unit award program update the Compensation Committee on recent or pending changes to the rules and industry trends on executive compensation, and advise on broader compensation trends among public companies.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 Compensation Committee have raised any conflicts of interest, and the Compensation Committee believes that Compensia is independent.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External Sources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seek to offer executive compensation that is reasonably competitive with telecommunications companies of a similar size. Defining a relevant “peer group” for us has been historically difficult because we have the complexity and geographic diversity of large multi-national companies but have similar total revenues and market capitalization to companies that tend to be focused on a very limited geographic area and provide limited services. Nonetheless, we believe that comparisons to certain other companies can provide us with useful information regarding appropriate compensation of our named executive officers and directors.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our Compensation Committee referred to the executive compensation paid at the following group of companies: </w:t>
      </w:r>
    </w:p>
    <w:tbl>
      <w:tblPr>
        <w:tblW w:w="8812" w:type="dxa"/>
        <w:jc w:val="left"/>
        <w:tblInd w:w="1393" w:type="dxa"/>
        <w:tblCellMar>
          <w:top w:w="0" w:type="dxa"/>
          <w:left w:w="0" w:type="dxa"/>
          <w:bottom w:w="0" w:type="dxa"/>
          <w:right w:w="0" w:type="dxa"/>
        </w:tblCellMar>
      </w:tblPr>
      <w:tblGrid>
        <w:gridCol w:w="124"/>
        <w:gridCol w:w="2329"/>
        <w:gridCol w:w="109"/>
        <w:gridCol w:w="109"/>
        <w:gridCol w:w="2724"/>
        <w:gridCol w:w="109"/>
        <w:gridCol w:w="109"/>
        <w:gridCol w:w="3043"/>
        <w:gridCol w:w="156"/>
      </w:tblGrid>
      <w:tr>
        <w:trPr/>
        <w:tc>
          <w:tcPr>
            <w:tcW w:w="124" w:type="dxa"/>
            <w:tcBorders/>
            <w:shd w:fill="auto" w:val="clear"/>
            <w:vAlign w:val="center"/>
          </w:tcPr>
          <w:p>
            <w:pPr>
              <w:pStyle w:val="TableContents"/>
              <w:spacing w:before="0" w:after="283"/>
              <w:rPr/>
            </w:pPr>
            <w:r>
              <w:rPr/>
              <w:t>​</w:t>
            </w:r>
          </w:p>
        </w:tc>
        <w:tc>
          <w:tcPr>
            <w:tcW w:w="2329" w:type="dxa"/>
            <w:tcBorders/>
            <w:shd w:fill="auto" w:val="clear"/>
            <w:vAlign w:val="center"/>
          </w:tcPr>
          <w:p>
            <w:pPr>
              <w:pStyle w:val="TableContents"/>
              <w:spacing w:before="0" w:after="283"/>
              <w:rPr>
                <w:spacing w:val="4"/>
              </w:rPr>
            </w:pPr>
            <w:r>
              <w:rPr>
                <w:spacing w:val="4"/>
              </w:rPr>
              <w:t xml:space="preserve">8x8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4" w:type="dxa"/>
            <w:tcBorders/>
            <w:shd w:fill="auto" w:val="clear"/>
            <w:vAlign w:val="center"/>
          </w:tcPr>
          <w:p>
            <w:pPr>
              <w:pStyle w:val="TableContents"/>
              <w:spacing w:before="0" w:after="283"/>
              <w:rPr>
                <w:spacing w:val="4"/>
              </w:rPr>
            </w:pPr>
            <w:r>
              <w:rPr>
                <w:spacing w:val="4"/>
              </w:rPr>
              <w:t xml:space="preserve">Consolidated Communications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43" w:type="dxa"/>
            <w:tcBorders/>
            <w:shd w:fill="auto" w:val="clear"/>
            <w:vAlign w:val="center"/>
          </w:tcPr>
          <w:p>
            <w:pPr>
              <w:pStyle w:val="TableContents"/>
              <w:spacing w:before="0" w:after="283"/>
              <w:rPr>
                <w:spacing w:val="4"/>
              </w:rPr>
            </w:pPr>
            <w:r>
              <w:rPr>
                <w:spacing w:val="4"/>
              </w:rPr>
              <w:t xml:space="preserve">Liberty Latin America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329" w:type="dxa"/>
            <w:tcBorders/>
            <w:shd w:fill="auto" w:val="clear"/>
            <w:vAlign w:val="center"/>
          </w:tcPr>
          <w:p>
            <w:pPr>
              <w:pStyle w:val="TableContents"/>
              <w:spacing w:before="0" w:after="283"/>
              <w:rPr>
                <w:spacing w:val="4"/>
              </w:rPr>
            </w:pPr>
            <w:r>
              <w:rPr>
                <w:spacing w:val="4"/>
              </w:rPr>
              <w:t xml:space="preserve">Bandwidth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4" w:type="dxa"/>
            <w:tcBorders/>
            <w:shd w:fill="auto" w:val="clear"/>
            <w:vAlign w:val="center"/>
          </w:tcPr>
          <w:p>
            <w:pPr>
              <w:pStyle w:val="TableContents"/>
              <w:spacing w:before="0" w:after="283"/>
              <w:rPr>
                <w:spacing w:val="4"/>
              </w:rPr>
            </w:pPr>
            <w:r>
              <w:rPr>
                <w:spacing w:val="4"/>
              </w:rPr>
              <w:t xml:space="preserve">Echostar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43" w:type="dxa"/>
            <w:tcBorders/>
            <w:shd w:fill="auto" w:val="clear"/>
            <w:vAlign w:val="center"/>
          </w:tcPr>
          <w:p>
            <w:pPr>
              <w:pStyle w:val="TableContents"/>
              <w:spacing w:before="0" w:after="283"/>
              <w:rPr>
                <w:spacing w:val="4"/>
              </w:rPr>
            </w:pPr>
            <w:r>
              <w:rPr>
                <w:spacing w:val="4"/>
              </w:rPr>
              <w:t xml:space="preserve">Ooma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329" w:type="dxa"/>
            <w:tcBorders/>
            <w:shd w:fill="auto" w:val="clear"/>
            <w:vAlign w:val="center"/>
          </w:tcPr>
          <w:p>
            <w:pPr>
              <w:pStyle w:val="TableContents"/>
              <w:spacing w:before="0" w:after="283"/>
              <w:rPr>
                <w:spacing w:val="4"/>
              </w:rPr>
            </w:pPr>
            <w:r>
              <w:rPr>
                <w:spacing w:val="4"/>
              </w:rPr>
              <w:t xml:space="preserve">Brightcove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4" w:type="dxa"/>
            <w:tcBorders/>
            <w:shd w:fill="auto" w:val="clear"/>
            <w:vAlign w:val="center"/>
          </w:tcPr>
          <w:p>
            <w:pPr>
              <w:pStyle w:val="TableContents"/>
              <w:spacing w:before="0" w:after="283"/>
              <w:rPr>
                <w:spacing w:val="4"/>
              </w:rPr>
            </w:pPr>
            <w:r>
              <w:rPr>
                <w:spacing w:val="4"/>
              </w:rPr>
              <w:t xml:space="preserve">Edgio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43" w:type="dxa"/>
            <w:tcBorders/>
            <w:shd w:fill="auto" w:val="clear"/>
            <w:vAlign w:val="center"/>
          </w:tcPr>
          <w:p>
            <w:pPr>
              <w:pStyle w:val="TableContents"/>
              <w:spacing w:before="0" w:after="0"/>
              <w:rPr>
                <w:spacing w:val="4"/>
              </w:rPr>
            </w:pPr>
            <w:r>
              <w:rPr>
                <w:spacing w:val="4"/>
              </w:rPr>
              <w:t xml:space="preserve">Shenandoah Telecommunications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329" w:type="dxa"/>
            <w:tcBorders/>
            <w:shd w:fill="auto" w:val="clear"/>
            <w:vAlign w:val="center"/>
          </w:tcPr>
          <w:p>
            <w:pPr>
              <w:pStyle w:val="TableContents"/>
              <w:spacing w:before="0" w:after="283"/>
              <w:rPr>
                <w:spacing w:val="4"/>
              </w:rPr>
            </w:pPr>
            <w:r>
              <w:rPr>
                <w:spacing w:val="4"/>
              </w:rPr>
              <w:t xml:space="preserve">Cable One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4" w:type="dxa"/>
            <w:tcBorders/>
            <w:shd w:fill="auto" w:val="clear"/>
            <w:vAlign w:val="center"/>
          </w:tcPr>
          <w:p>
            <w:pPr>
              <w:pStyle w:val="TableContents"/>
              <w:spacing w:before="0" w:after="283"/>
              <w:rPr>
                <w:spacing w:val="4"/>
              </w:rPr>
            </w:pPr>
            <w:r>
              <w:rPr>
                <w:spacing w:val="4"/>
              </w:rPr>
              <w:t xml:space="preserve">Gogo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43" w:type="dxa"/>
            <w:tcBorders/>
            <w:shd w:fill="auto" w:val="clear"/>
            <w:vAlign w:val="center"/>
          </w:tcPr>
          <w:p>
            <w:pPr>
              <w:pStyle w:val="TableContents"/>
              <w:spacing w:before="0" w:after="283"/>
              <w:rPr>
                <w:spacing w:val="4"/>
              </w:rPr>
            </w:pPr>
            <w:r>
              <w:rPr>
                <w:spacing w:val="4"/>
              </w:rPr>
              <w:t xml:space="preserve">ViaSat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329" w:type="dxa"/>
            <w:tcBorders/>
            <w:shd w:fill="auto" w:val="clear"/>
            <w:vAlign w:val="center"/>
          </w:tcPr>
          <w:p>
            <w:pPr>
              <w:pStyle w:val="TableContents"/>
              <w:spacing w:before="0" w:after="283"/>
              <w:rPr>
                <w:spacing w:val="4"/>
              </w:rPr>
            </w:pPr>
            <w:r>
              <w:rPr>
                <w:spacing w:val="4"/>
              </w:rPr>
              <w:t xml:space="preserve">Charge Enterprises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4" w:type="dxa"/>
            <w:tcBorders/>
            <w:shd w:fill="auto" w:val="clear"/>
            <w:vAlign w:val="center"/>
          </w:tcPr>
          <w:p>
            <w:pPr>
              <w:pStyle w:val="TableContents"/>
              <w:spacing w:before="0" w:after="283"/>
              <w:rPr>
                <w:spacing w:val="4"/>
              </w:rPr>
            </w:pPr>
            <w:r>
              <w:rPr>
                <w:spacing w:val="4"/>
              </w:rPr>
              <w:t xml:space="preserve">IDT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43" w:type="dxa"/>
            <w:tcBorders/>
            <w:shd w:fill="auto" w:val="clear"/>
            <w:vAlign w:val="center"/>
          </w:tcPr>
          <w:p>
            <w:pPr>
              <w:pStyle w:val="TableContents"/>
              <w:spacing w:before="0" w:after="283"/>
              <w:rPr>
                <w:spacing w:val="4"/>
              </w:rPr>
            </w:pPr>
            <w:r>
              <w:rPr>
                <w:spacing w:val="4"/>
              </w:rPr>
              <w:t xml:space="preserve">Wide Open West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329" w:type="dxa"/>
            <w:tcBorders/>
            <w:shd w:fill="auto" w:val="clear"/>
            <w:vAlign w:val="center"/>
          </w:tcPr>
          <w:p>
            <w:pPr>
              <w:pStyle w:val="TableContents"/>
              <w:spacing w:before="0" w:after="283"/>
              <w:rPr>
                <w:spacing w:val="4"/>
              </w:rPr>
            </w:pPr>
            <w:r>
              <w:rPr>
                <w:spacing w:val="4"/>
              </w:rPr>
              <w:t xml:space="preserve">Cogent Communications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24" w:type="dxa"/>
            <w:tcBorders/>
            <w:shd w:fill="auto" w:val="clear"/>
            <w:vAlign w:val="center"/>
          </w:tcPr>
          <w:p>
            <w:pPr>
              <w:pStyle w:val="TableContents"/>
              <w:spacing w:before="0" w:after="283"/>
              <w:rPr>
                <w:spacing w:val="4"/>
              </w:rPr>
            </w:pPr>
            <w:r>
              <w:rPr>
                <w:spacing w:val="4"/>
              </w:rPr>
              <w:t xml:space="preserve">KORE Group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43"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30" w:before="15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believes that these companies provide it with helpful indicators of competitive executive compensation levels and pay mix because, as a group, they had the following characteristics that are similar to ours: (1) they are primarily telecommunications companies; (2) several of them have both wireless and wireline operations; (3) several of them are of similar size to the Company; and (4) several have a mix of domestic and international operations. However, finding close peers for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is difficult because the Company’s diverse group of operations in wide-ranging international and domestic geographies adds a level of complexity above that of the Company’s single-market or single-industry peers. This year, the Compensation Committee determined to make certain changes to the Company’s peer group, such as removing Cincinnati Bell, ORBCOMM Inc. and Vonage Holdings which were each acquired, and adding Charge Enterprises, Echostar, and KORE Group. Our Compensation Committee regards comparisons of us to these companies as reference points only—as such, we did not seek to establish any firm benchmark in reference to these companies or to require changes in our executive compensation to match changes in those companies’ compensation.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Chief Executive Officer in Compensation Decisions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Elements of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focused on three separate elements: </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w:t>
      </w:r>
      <w:r>
        <mc:AlternateContent>
          <mc:Choice Requires="wps">
            <w:drawing>
              <wp:anchor behindDoc="0" distT="8255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largest"/>
                <wp:docPr id="159" name="Frame1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bonuses; and </w:t>
      </w:r>
      <w:r>
        <mc:AlternateContent>
          <mc:Choice Requires="wps">
            <w:drawing>
              <wp:anchor behindDoc="0" distT="1016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largest"/>
                <wp:docPr id="160" name="Frame1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w:t>
      </w:r>
      <w:r>
        <mc:AlternateContent>
          <mc:Choice Requires="wps">
            <w:drawing>
              <wp:anchor behindDoc="0" distT="1016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largest"/>
                <wp:docPr id="161" name="Frame1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described below, our Compensation Committee does not have any specific policies or targets for the allocation or “pay mix” of these compensation elements.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Base Salary</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seek to set the base salary of each executive at a level that is competitive, taking into account the overall compensation history of the particular executive and our other executives and the base salaries paid by similarly situated companies for such roles. In addition to merit-based changes when warranted, our Compensation Committee generally believes that base salaries should increase annually at a rate that is generally commensurate with cost-of-living adjustments, as represented by indicators like the Consumer Price Index. In addition to merit-based changes, larger increases (or decreases) may be made based on a change in the responsibilities of the executive. Factors such as the expansion or contraction of the Company and the financial condition and prospects of the Company may also influence annual salary adjustments. From time to time, comparative market factors also may cause the Compensation Committee to make increases above or below the normal cost-of-living adjustment.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is a chart showing the base salary rates for 2021 for our named executive officers, in comparison to those in effect in 2022. For 2022, the Compensation Committee decided to provide basic cost-of-living increases for Messrs. Prior, Benincasa, and Martin. For 2022, the Compensation Committee increased Ms. Mabey’s salary in line with that of the Company’s peer companies. In March 2022, Mr. Leon was promoted to Senior Vice President of Corporate Development of the Company and in June 2022, Mr. Leon was appointed an executive officer of the Company by the Board. As a result, Mr. Leon received a significant increase in 2022 to his base salary, cash bonus potential and equity compensation.      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656" w:type="dxa"/>
        <w:jc w:val="left"/>
        <w:tblInd w:w="1393" w:type="dxa"/>
        <w:tblCellMar>
          <w:top w:w="0" w:type="dxa"/>
          <w:left w:w="0" w:type="dxa"/>
          <w:bottom w:w="43" w:type="dxa"/>
          <w:right w:w="0" w:type="dxa"/>
        </w:tblCellMar>
      </w:tblPr>
      <w:tblGrid>
        <w:gridCol w:w="2557"/>
        <w:gridCol w:w="109"/>
        <w:gridCol w:w="109"/>
        <w:gridCol w:w="109"/>
        <w:gridCol w:w="226"/>
        <w:gridCol w:w="886"/>
        <w:gridCol w:w="109"/>
        <w:gridCol w:w="109"/>
        <w:gridCol w:w="109"/>
        <w:gridCol w:w="109"/>
        <w:gridCol w:w="226"/>
        <w:gridCol w:w="886"/>
        <w:gridCol w:w="109"/>
        <w:gridCol w:w="109"/>
        <w:gridCol w:w="109"/>
        <w:gridCol w:w="208"/>
        <w:gridCol w:w="208"/>
        <w:gridCol w:w="1005"/>
        <w:gridCol w:w="210"/>
        <w:gridCol w:w="154"/>
      </w:tblGrid>
      <w:tr>
        <w:trPr/>
        <w:tc>
          <w:tcPr>
            <w:tcW w:w="2557"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Named Executive Officer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Annualized </w:t>
              <w:br/>
              <w:t xml:space="preserve">Percent Change </w:t>
              <w:br/>
              <w:t xml:space="preserve">from 2021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557" w:type="dxa"/>
            <w:tcBorders/>
            <w:shd w:fill="CCEEFF" w:val="clear"/>
            <w:tcMar>
              <w:bottom w:w="0" w:type="dxa"/>
            </w:tcMar>
            <w:vAlign w:val="center"/>
          </w:tcPr>
          <w:p>
            <w:pPr>
              <w:pStyle w:val="TableContents"/>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674,000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661,000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jc w:val="right"/>
              <w:rPr/>
            </w:pPr>
            <w:r>
              <w:rPr/>
              <w:t>​</w:t>
            </w:r>
          </w:p>
        </w:tc>
        <w:tc>
          <w:tcPr>
            <w:tcW w:w="1005" w:type="dxa"/>
            <w:tcBorders/>
            <w:shd w:fill="CCEEFF" w:val="clear"/>
            <w:tcMar>
              <w:bottom w:w="0" w:type="dxa"/>
            </w:tcMar>
            <w:vAlign w:val="center"/>
          </w:tcPr>
          <w:p>
            <w:pPr>
              <w:pStyle w:val="TableContents"/>
              <w:spacing w:before="0" w:after="283"/>
              <w:jc w:val="right"/>
              <w:rPr/>
            </w:pPr>
            <w:r>
              <w:rPr/>
              <w:t>2.0%</w:t>
            </w:r>
          </w:p>
        </w:tc>
        <w:tc>
          <w:tcPr>
            <w:tcW w:w="21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57" w:type="dxa"/>
            <w:tcBorders/>
            <w:shd w:fill="auto" w:val="clear"/>
            <w:tcMar>
              <w:bottom w:w="0" w:type="dxa"/>
            </w:tcMar>
            <w:vAlign w:val="center"/>
          </w:tcPr>
          <w:p>
            <w:pPr>
              <w:pStyle w:val="TableContents"/>
              <w:spacing w:before="0" w:after="0"/>
              <w:jc w:val="left"/>
              <w:rPr>
                <w:spacing w:val="4"/>
              </w:rPr>
            </w:pPr>
            <w:r>
              <w:rPr>
                <w:spacing w:val="4"/>
              </w:rPr>
              <w:t xml:space="preserve">Justin D. Benincasa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408,000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398,000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jc w:val="right"/>
              <w:rPr/>
            </w:pPr>
            <w:r>
              <w:rPr/>
              <w:t>​</w:t>
            </w:r>
          </w:p>
        </w:tc>
        <w:tc>
          <w:tcPr>
            <w:tcW w:w="1005" w:type="dxa"/>
            <w:tcBorders/>
            <w:shd w:fill="auto" w:val="clear"/>
            <w:tcMar>
              <w:bottom w:w="0" w:type="dxa"/>
            </w:tcMar>
            <w:vAlign w:val="center"/>
          </w:tcPr>
          <w:p>
            <w:pPr>
              <w:pStyle w:val="TableContents"/>
              <w:spacing w:before="0" w:after="283"/>
              <w:jc w:val="right"/>
              <w:rPr/>
            </w:pPr>
            <w:r>
              <w:rPr/>
              <w:t>2.5%</w:t>
            </w:r>
          </w:p>
        </w:tc>
        <w:tc>
          <w:tcPr>
            <w:tcW w:w="21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7" w:type="dxa"/>
            <w:tcBorders/>
            <w:shd w:fill="CCEEFF" w:val="clear"/>
            <w:tcMar>
              <w:bottom w:w="0" w:type="dxa"/>
            </w:tcMar>
            <w:vAlign w:val="center"/>
          </w:tcPr>
          <w:p>
            <w:pPr>
              <w:pStyle w:val="TableContents"/>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374,000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365,000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jc w:val="right"/>
              <w:rPr/>
            </w:pPr>
            <w:r>
              <w:rPr/>
              <w:t>​</w:t>
            </w:r>
          </w:p>
        </w:tc>
        <w:tc>
          <w:tcPr>
            <w:tcW w:w="1005" w:type="dxa"/>
            <w:tcBorders/>
            <w:shd w:fill="CCEEFF" w:val="clear"/>
            <w:tcMar>
              <w:bottom w:w="0" w:type="dxa"/>
            </w:tcMar>
            <w:vAlign w:val="center"/>
          </w:tcPr>
          <w:p>
            <w:pPr>
              <w:pStyle w:val="TableContents"/>
              <w:spacing w:before="0" w:after="283"/>
              <w:jc w:val="right"/>
              <w:rPr/>
            </w:pPr>
            <w:r>
              <w:rPr/>
              <w:t>2.5%</w:t>
            </w:r>
          </w:p>
        </w:tc>
        <w:tc>
          <w:tcPr>
            <w:tcW w:w="21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57" w:type="dxa"/>
            <w:tcBorders/>
            <w:shd w:fill="auto" w:val="clear"/>
            <w:tcMar>
              <w:bottom w:w="0" w:type="dxa"/>
            </w:tcMar>
            <w:vAlign w:val="center"/>
          </w:tcPr>
          <w:p>
            <w:pPr>
              <w:pStyle w:val="TableContents"/>
              <w:spacing w:before="0" w:after="0"/>
              <w:jc w:val="left"/>
              <w:rPr>
                <w:spacing w:val="4"/>
              </w:rPr>
            </w:pPr>
            <w:r>
              <w:rPr>
                <w:spacing w:val="4"/>
              </w:rPr>
              <w:t xml:space="preserve">Mary M. Mabey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285,000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jc w:val="right"/>
              <w:rPr/>
            </w:pPr>
            <w:r>
              <w:rPr/>
              <w:t>​</w:t>
            </w:r>
          </w:p>
        </w:tc>
        <w:tc>
          <w:tcPr>
            <w:tcW w:w="1005" w:type="dxa"/>
            <w:tcBorders/>
            <w:shd w:fill="auto" w:val="clear"/>
            <w:tcMar>
              <w:bottom w:w="0" w:type="dxa"/>
            </w:tcMar>
            <w:vAlign w:val="center"/>
          </w:tcPr>
          <w:p>
            <w:pPr>
              <w:pStyle w:val="TableContents"/>
              <w:spacing w:before="0" w:after="283"/>
              <w:jc w:val="right"/>
              <w:rPr/>
            </w:pPr>
            <w:r>
              <w:rPr/>
              <w:t>14.0%</w:t>
            </w:r>
          </w:p>
        </w:tc>
        <w:tc>
          <w:tcPr>
            <w:tcW w:w="21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7" w:type="dxa"/>
            <w:tcBorders/>
            <w:shd w:fill="CCEEFF" w:val="clear"/>
            <w:tcMar>
              <w:bottom w:w="0" w:type="dxa"/>
            </w:tcMar>
            <w:vAlign w:val="center"/>
          </w:tcPr>
          <w:p>
            <w:pPr>
              <w:pStyle w:val="TableContents"/>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190,035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jc w:val="right"/>
              <w:rPr/>
            </w:pPr>
            <w:r>
              <w:rPr/>
              <w:t>​</w:t>
            </w:r>
          </w:p>
        </w:tc>
        <w:tc>
          <w:tcPr>
            <w:tcW w:w="1005" w:type="dxa"/>
            <w:tcBorders/>
            <w:shd w:fill="CCEEFF" w:val="clear"/>
            <w:tcMar>
              <w:bottom w:w="0" w:type="dxa"/>
            </w:tcMar>
            <w:vAlign w:val="center"/>
          </w:tcPr>
          <w:p>
            <w:pPr>
              <w:pStyle w:val="TableContents"/>
              <w:spacing w:before="0" w:after="283"/>
              <w:jc w:val="right"/>
              <w:rPr/>
            </w:pPr>
            <w:r>
              <w:rPr/>
              <w:t>31.6%</w:t>
            </w:r>
          </w:p>
        </w:tc>
        <w:tc>
          <w:tcPr>
            <w:tcW w:w="21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46"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Cash and Equity Bonuses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Bonus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the annual bonus opportunity for each of our named executive officers was as follows: </w:t>
      </w:r>
    </w:p>
    <w:tbl>
      <w:tblPr>
        <w:tblW w:w="5230" w:type="dxa"/>
        <w:jc w:val="left"/>
        <w:tblInd w:w="1393" w:type="dxa"/>
        <w:tblCellMar>
          <w:top w:w="0" w:type="dxa"/>
          <w:left w:w="0" w:type="dxa"/>
          <w:bottom w:w="43" w:type="dxa"/>
          <w:right w:w="0" w:type="dxa"/>
        </w:tblCellMar>
      </w:tblPr>
      <w:tblGrid>
        <w:gridCol w:w="2557"/>
        <w:gridCol w:w="109"/>
        <w:gridCol w:w="109"/>
        <w:gridCol w:w="316"/>
        <w:gridCol w:w="316"/>
        <w:gridCol w:w="1352"/>
        <w:gridCol w:w="317"/>
        <w:gridCol w:w="154"/>
      </w:tblGrid>
      <w:tr>
        <w:trPr/>
        <w:tc>
          <w:tcPr>
            <w:tcW w:w="2557" w:type="dxa"/>
            <w:tcBorders>
              <w:bottom w:val="single" w:sz="2" w:space="0" w:color="000000"/>
            </w:tcBorders>
            <w:shd w:fill="auto" w:val="clear"/>
            <w:vAlign w:val="center"/>
          </w:tcPr>
          <w:p>
            <w:pPr>
              <w:pStyle w:val="TableContents"/>
              <w:spacing w:before="0" w:after="0"/>
              <w:rPr>
                <w:spacing w:val="-3"/>
              </w:rPr>
            </w:pPr>
            <w:r>
              <w:rPr>
                <w:spacing w:val="-3"/>
              </w:rPr>
              <w:t xml:space="preserve">Named Executive Officer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30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2022 Annual Bonus </w:t>
              <w:br/>
              <w:t xml:space="preserve">Opportunity Expressed </w:t>
              <w:br/>
              <w:t xml:space="preserve">as % of Base Salary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557" w:type="dxa"/>
            <w:tcBorders/>
            <w:shd w:fill="CCEEFF" w:val="clear"/>
            <w:tcMar>
              <w:bottom w:w="0" w:type="dxa"/>
            </w:tcMar>
            <w:vAlign w:val="center"/>
          </w:tcPr>
          <w:p>
            <w:pPr>
              <w:pStyle w:val="TableContents"/>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16" w:type="dxa"/>
            <w:tcBorders/>
            <w:shd w:fill="CCEEFF" w:val="clear"/>
            <w:tcMar>
              <w:bottom w:w="0" w:type="dxa"/>
            </w:tcMar>
            <w:vAlign w:val="center"/>
          </w:tcPr>
          <w:p>
            <w:pPr>
              <w:pStyle w:val="TableContents"/>
              <w:spacing w:before="0" w:after="283"/>
              <w:rPr/>
            </w:pPr>
            <w:r>
              <w:rPr/>
              <w:t>​</w:t>
            </w:r>
          </w:p>
        </w:tc>
        <w:tc>
          <w:tcPr>
            <w:tcW w:w="316" w:type="dxa"/>
            <w:tcBorders/>
            <w:shd w:fill="CCEEFF" w:val="clear"/>
            <w:tcMar>
              <w:bottom w:w="0" w:type="dxa"/>
            </w:tcMar>
            <w:vAlign w:val="center"/>
          </w:tcPr>
          <w:p>
            <w:pPr>
              <w:pStyle w:val="TableContents"/>
              <w:spacing w:before="0" w:after="283"/>
              <w:jc w:val="right"/>
              <w:rPr/>
            </w:pPr>
            <w:r>
              <w:rPr/>
              <w:t>​</w:t>
            </w:r>
          </w:p>
        </w:tc>
        <w:tc>
          <w:tcPr>
            <w:tcW w:w="1352" w:type="dxa"/>
            <w:tcBorders/>
            <w:shd w:fill="CCEEFF" w:val="clear"/>
            <w:tcMar>
              <w:bottom w:w="0" w:type="dxa"/>
            </w:tcMar>
            <w:vAlign w:val="center"/>
          </w:tcPr>
          <w:p>
            <w:pPr>
              <w:pStyle w:val="TableContents"/>
              <w:spacing w:before="0" w:after="283"/>
              <w:jc w:val="right"/>
              <w:rPr/>
            </w:pPr>
            <w:r>
              <w:rPr/>
              <w:t>100%</w:t>
            </w:r>
          </w:p>
        </w:tc>
        <w:tc>
          <w:tcPr>
            <w:tcW w:w="31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57" w:type="dxa"/>
            <w:tcBorders/>
            <w:shd w:fill="auto" w:val="clear"/>
            <w:tcMar>
              <w:bottom w:w="0" w:type="dxa"/>
            </w:tcMar>
            <w:vAlign w:val="center"/>
          </w:tcPr>
          <w:p>
            <w:pPr>
              <w:pStyle w:val="TableContents"/>
              <w:spacing w:before="0" w:after="0"/>
              <w:jc w:val="left"/>
              <w:rPr>
                <w:spacing w:val="4"/>
              </w:rPr>
            </w:pPr>
            <w:r>
              <w:rPr>
                <w:spacing w:val="4"/>
              </w:rPr>
              <w:t xml:space="preserve">Justin D. Benincasa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6" w:type="dxa"/>
            <w:tcBorders/>
            <w:shd w:fill="auto" w:val="clear"/>
            <w:tcMar>
              <w:bottom w:w="0" w:type="dxa"/>
            </w:tcMar>
            <w:vAlign w:val="center"/>
          </w:tcPr>
          <w:p>
            <w:pPr>
              <w:pStyle w:val="TableContents"/>
              <w:spacing w:before="0" w:after="283"/>
              <w:rPr/>
            </w:pPr>
            <w:r>
              <w:rPr/>
              <w:t>​</w:t>
            </w:r>
          </w:p>
        </w:tc>
        <w:tc>
          <w:tcPr>
            <w:tcW w:w="316" w:type="dxa"/>
            <w:tcBorders/>
            <w:shd w:fill="auto" w:val="clear"/>
            <w:tcMar>
              <w:bottom w:w="0" w:type="dxa"/>
            </w:tcMar>
            <w:vAlign w:val="center"/>
          </w:tcPr>
          <w:p>
            <w:pPr>
              <w:pStyle w:val="TableContents"/>
              <w:spacing w:before="0" w:after="283"/>
              <w:jc w:val="right"/>
              <w:rPr/>
            </w:pPr>
            <w:r>
              <w:rPr/>
              <w:t>​</w:t>
            </w:r>
          </w:p>
        </w:tc>
        <w:tc>
          <w:tcPr>
            <w:tcW w:w="1352" w:type="dxa"/>
            <w:tcBorders/>
            <w:shd w:fill="auto" w:val="clear"/>
            <w:tcMar>
              <w:bottom w:w="0" w:type="dxa"/>
            </w:tcMar>
            <w:vAlign w:val="center"/>
          </w:tcPr>
          <w:p>
            <w:pPr>
              <w:pStyle w:val="TableContents"/>
              <w:spacing w:before="0" w:after="283"/>
              <w:jc w:val="right"/>
              <w:rPr/>
            </w:pPr>
            <w:r>
              <w:rPr/>
              <w:t>75%</w:t>
            </w:r>
          </w:p>
        </w:tc>
        <w:tc>
          <w:tcPr>
            <w:tcW w:w="31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7" w:type="dxa"/>
            <w:tcBorders/>
            <w:shd w:fill="CCEEFF" w:val="clear"/>
            <w:tcMar>
              <w:bottom w:w="0" w:type="dxa"/>
            </w:tcMar>
            <w:vAlign w:val="center"/>
          </w:tcPr>
          <w:p>
            <w:pPr>
              <w:pStyle w:val="TableContents"/>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16" w:type="dxa"/>
            <w:tcBorders/>
            <w:shd w:fill="CCEEFF" w:val="clear"/>
            <w:tcMar>
              <w:bottom w:w="0" w:type="dxa"/>
            </w:tcMar>
            <w:vAlign w:val="center"/>
          </w:tcPr>
          <w:p>
            <w:pPr>
              <w:pStyle w:val="TableContents"/>
              <w:spacing w:before="0" w:after="283"/>
              <w:rPr/>
            </w:pPr>
            <w:r>
              <w:rPr/>
              <w:t>​</w:t>
            </w:r>
          </w:p>
        </w:tc>
        <w:tc>
          <w:tcPr>
            <w:tcW w:w="316" w:type="dxa"/>
            <w:tcBorders/>
            <w:shd w:fill="CCEEFF" w:val="clear"/>
            <w:tcMar>
              <w:bottom w:w="0" w:type="dxa"/>
            </w:tcMar>
            <w:vAlign w:val="center"/>
          </w:tcPr>
          <w:p>
            <w:pPr>
              <w:pStyle w:val="TableContents"/>
              <w:spacing w:before="0" w:after="283"/>
              <w:jc w:val="right"/>
              <w:rPr/>
            </w:pPr>
            <w:r>
              <w:rPr/>
              <w:t>​</w:t>
            </w:r>
          </w:p>
        </w:tc>
        <w:tc>
          <w:tcPr>
            <w:tcW w:w="1352" w:type="dxa"/>
            <w:tcBorders/>
            <w:shd w:fill="CCEEFF" w:val="clear"/>
            <w:tcMar>
              <w:bottom w:w="0" w:type="dxa"/>
            </w:tcMar>
            <w:vAlign w:val="center"/>
          </w:tcPr>
          <w:p>
            <w:pPr>
              <w:pStyle w:val="TableContents"/>
              <w:spacing w:before="0" w:after="283"/>
              <w:jc w:val="right"/>
              <w:rPr/>
            </w:pPr>
            <w:r>
              <w:rPr/>
              <w:t>75%</w:t>
            </w:r>
          </w:p>
        </w:tc>
        <w:tc>
          <w:tcPr>
            <w:tcW w:w="31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57" w:type="dxa"/>
            <w:tcBorders/>
            <w:shd w:fill="auto" w:val="clear"/>
            <w:tcMar>
              <w:bottom w:w="0" w:type="dxa"/>
            </w:tcMar>
            <w:vAlign w:val="center"/>
          </w:tcPr>
          <w:p>
            <w:pPr>
              <w:pStyle w:val="TableContents"/>
              <w:spacing w:before="0" w:after="0"/>
              <w:jc w:val="left"/>
              <w:rPr>
                <w:spacing w:val="4"/>
              </w:rPr>
            </w:pPr>
            <w:r>
              <w:rPr>
                <w:spacing w:val="4"/>
              </w:rPr>
              <w:t xml:space="preserve">Mary M. Mabey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6" w:type="dxa"/>
            <w:tcBorders/>
            <w:shd w:fill="auto" w:val="clear"/>
            <w:tcMar>
              <w:bottom w:w="0" w:type="dxa"/>
            </w:tcMar>
            <w:vAlign w:val="center"/>
          </w:tcPr>
          <w:p>
            <w:pPr>
              <w:pStyle w:val="TableContents"/>
              <w:spacing w:before="0" w:after="283"/>
              <w:rPr/>
            </w:pPr>
            <w:r>
              <w:rPr/>
              <w:t>​</w:t>
            </w:r>
          </w:p>
        </w:tc>
        <w:tc>
          <w:tcPr>
            <w:tcW w:w="316" w:type="dxa"/>
            <w:tcBorders/>
            <w:shd w:fill="auto" w:val="clear"/>
            <w:tcMar>
              <w:bottom w:w="0" w:type="dxa"/>
            </w:tcMar>
            <w:vAlign w:val="center"/>
          </w:tcPr>
          <w:p>
            <w:pPr>
              <w:pStyle w:val="TableContents"/>
              <w:spacing w:before="0" w:after="283"/>
              <w:jc w:val="right"/>
              <w:rPr/>
            </w:pPr>
            <w:r>
              <w:rPr/>
              <w:t>​</w:t>
            </w:r>
          </w:p>
        </w:tc>
        <w:tc>
          <w:tcPr>
            <w:tcW w:w="1352" w:type="dxa"/>
            <w:tcBorders/>
            <w:shd w:fill="auto" w:val="clear"/>
            <w:tcMar>
              <w:bottom w:w="0" w:type="dxa"/>
            </w:tcMar>
            <w:vAlign w:val="center"/>
          </w:tcPr>
          <w:p>
            <w:pPr>
              <w:pStyle w:val="TableContents"/>
              <w:spacing w:before="0" w:after="283"/>
              <w:jc w:val="right"/>
              <w:rPr/>
            </w:pPr>
            <w:r>
              <w:rPr/>
              <w:t>50%</w:t>
            </w:r>
          </w:p>
        </w:tc>
        <w:tc>
          <w:tcPr>
            <w:tcW w:w="31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7" w:type="dxa"/>
            <w:tcBorders/>
            <w:shd w:fill="CCEEFF" w:val="clear"/>
            <w:tcMar>
              <w:bottom w:w="0" w:type="dxa"/>
            </w:tcMar>
            <w:vAlign w:val="center"/>
          </w:tcPr>
          <w:p>
            <w:pPr>
              <w:pStyle w:val="TableContents"/>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16" w:type="dxa"/>
            <w:tcBorders/>
            <w:shd w:fill="CCEEFF" w:val="clear"/>
            <w:tcMar>
              <w:bottom w:w="0" w:type="dxa"/>
            </w:tcMar>
            <w:vAlign w:val="center"/>
          </w:tcPr>
          <w:p>
            <w:pPr>
              <w:pStyle w:val="TableContents"/>
              <w:spacing w:before="0" w:after="283"/>
              <w:rPr/>
            </w:pPr>
            <w:r>
              <w:rPr/>
              <w:t>​</w:t>
            </w:r>
          </w:p>
        </w:tc>
        <w:tc>
          <w:tcPr>
            <w:tcW w:w="316" w:type="dxa"/>
            <w:tcBorders/>
            <w:shd w:fill="CCEEFF" w:val="clear"/>
            <w:tcMar>
              <w:bottom w:w="0" w:type="dxa"/>
            </w:tcMar>
            <w:vAlign w:val="center"/>
          </w:tcPr>
          <w:p>
            <w:pPr>
              <w:pStyle w:val="TableContents"/>
              <w:spacing w:before="0" w:after="283"/>
              <w:jc w:val="right"/>
              <w:rPr/>
            </w:pPr>
            <w:r>
              <w:rPr/>
              <w:t>​</w:t>
            </w:r>
          </w:p>
        </w:tc>
        <w:tc>
          <w:tcPr>
            <w:tcW w:w="1352" w:type="dxa"/>
            <w:tcBorders/>
            <w:shd w:fill="CCEEFF" w:val="clear"/>
            <w:tcMar>
              <w:bottom w:w="0" w:type="dxa"/>
            </w:tcMar>
            <w:vAlign w:val="center"/>
          </w:tcPr>
          <w:p>
            <w:pPr>
              <w:pStyle w:val="TableContents"/>
              <w:spacing w:before="0" w:after="283"/>
              <w:jc w:val="right"/>
              <w:rPr/>
            </w:pPr>
            <w:r>
              <w:rPr/>
              <w:t>50%</w:t>
            </w:r>
          </w:p>
        </w:tc>
        <w:tc>
          <w:tcPr>
            <w:tcW w:w="31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6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In recognition of his promotion to Senior Vice President, Mr. Leon’s target bonus opportunity was increased in March 2022 from 30% to 50%. The target amounts of the bonuses for all other executive officers for the 2022 year were unchanged from the levels existing as of December 31, 2021, based upon the Compensation Committee’s assessment that such targets were reasonable and appropriate for such executive officers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named executive officers, the actual amount of annual cash bonus awarded for 2022 was based on a review of a number of factors that are each assigned a recommended weight for each executive, which varies based on the roles and duties of each individual. In general, the Compensation Committee believes that annual bonuses should be tied to overall Company performance such as significant strategic developments (as assessed by the Compensation Committee) and financial performance, particularly for the most senior members of our management team, such as our Chief Executive Officer, Chief Financial Officer, and Chief Operating Officer.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performance has historically been reviewed by reference to year-over-year consolidated Company performance and our Compensation Committee takes note of additional significant overall Company achievements or weaknesses which may or may not have impacted or been reflected in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Company’s financial or operational results. For 2022, the weight assigned to each performance factor varied according to the role of each of our executive officers, and generally fell into the following ranges: </w:t>
      </w:r>
    </w:p>
    <w:tbl>
      <w:tblPr>
        <w:tblW w:w="8812" w:type="dxa"/>
        <w:jc w:val="left"/>
        <w:tblInd w:w="1393" w:type="dxa"/>
        <w:tblCellMar>
          <w:top w:w="0" w:type="dxa"/>
          <w:left w:w="0" w:type="dxa"/>
          <w:bottom w:w="50" w:type="dxa"/>
          <w:right w:w="0" w:type="dxa"/>
        </w:tblCellMar>
      </w:tblPr>
      <w:tblGrid>
        <w:gridCol w:w="2010"/>
        <w:gridCol w:w="109"/>
        <w:gridCol w:w="109"/>
        <w:gridCol w:w="773"/>
        <w:gridCol w:w="109"/>
        <w:gridCol w:w="109"/>
        <w:gridCol w:w="5438"/>
        <w:gridCol w:w="155"/>
      </w:tblGrid>
      <w:tr>
        <w:trPr/>
        <w:tc>
          <w:tcPr>
            <w:tcW w:w="2010" w:type="dxa"/>
            <w:tcBorders>
              <w:bottom w:val="single" w:sz="2" w:space="0" w:color="000000"/>
            </w:tcBorders>
            <w:shd w:fill="auto" w:val="clear"/>
            <w:vAlign w:val="center"/>
          </w:tcPr>
          <w:p>
            <w:pPr>
              <w:pStyle w:val="TableContents"/>
              <w:spacing w:before="0" w:after="0"/>
              <w:jc w:val="left"/>
              <w:rPr>
                <w:spacing w:val="-3"/>
              </w:rPr>
            </w:pPr>
            <w:r>
              <w:rPr>
                <w:spacing w:val="-3"/>
              </w:rPr>
              <w:t xml:space="preserve">Performance Factor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73" w:type="dxa"/>
            <w:tcBorders>
              <w:bottom w:val="single" w:sz="2" w:space="0" w:color="000000"/>
            </w:tcBorders>
            <w:shd w:fill="auto" w:val="clear"/>
            <w:vAlign w:val="center"/>
          </w:tcPr>
          <w:p>
            <w:pPr>
              <w:pStyle w:val="TableContents"/>
              <w:spacing w:before="0" w:after="0"/>
              <w:jc w:val="center"/>
              <w:rPr>
                <w:spacing w:val="-3"/>
              </w:rPr>
            </w:pPr>
            <w:r>
              <w:rPr>
                <w:spacing w:val="-3"/>
              </w:rPr>
              <w:t xml:space="preserve">Range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43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Description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10" w:type="dxa"/>
            <w:tcBorders/>
            <w:shd w:fill="auto" w:val="clear"/>
            <w:tcMar>
              <w:bottom w:w="0" w:type="dxa"/>
            </w:tcMar>
            <w:vAlign w:val="center"/>
          </w:tcPr>
          <w:p>
            <w:pPr>
              <w:pStyle w:val="TableContents"/>
              <w:spacing w:before="0" w:after="283"/>
              <w:rPr/>
            </w:pPr>
            <w:r>
              <w:rPr>
                <w:spacing w:val="4"/>
              </w:rPr>
              <w:t>Company Performance</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 w:type="dxa"/>
            <w:tcBorders/>
            <w:shd w:fill="auto" w:val="clear"/>
            <w:tcMar>
              <w:bottom w:w="0" w:type="dxa"/>
            </w:tcMar>
            <w:vAlign w:val="center"/>
          </w:tcPr>
          <w:p>
            <w:pPr>
              <w:pStyle w:val="TableContents"/>
              <w:spacing w:before="0" w:after="283"/>
              <w:rPr>
                <w:spacing w:val="4"/>
              </w:rPr>
            </w:pPr>
            <w:r>
              <w:rPr>
                <w:spacing w:val="4"/>
              </w:rPr>
              <w:t xml:space="preserve">35-75%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38" w:type="dxa"/>
            <w:tcBorders/>
            <w:shd w:fill="auto" w:val="clear"/>
            <w:tcMar>
              <w:bottom w:w="0" w:type="dxa"/>
            </w:tcMar>
            <w:vAlign w:val="center"/>
          </w:tcPr>
          <w:p>
            <w:pPr>
              <w:pStyle w:val="TableContents"/>
              <w:spacing w:before="0" w:after="283"/>
              <w:rPr>
                <w:spacing w:val="4"/>
              </w:rPr>
            </w:pPr>
            <w:r>
              <w:rPr>
                <w:spacing w:val="4"/>
              </w:rPr>
              <w:t xml:space="preserve">Accomplishment of Company-wide goals set for operational and financial performance, such as revenue or Adjusted EBITDA for such year </w:t>
            </w:r>
          </w:p>
        </w:tc>
        <w:tc>
          <w:tcPr>
            <w:tcW w:w="155" w:type="dxa"/>
            <w:tcBorders/>
            <w:shd w:fill="auto" w:val="clear"/>
            <w:tcMar>
              <w:bottom w:w="0" w:type="dxa"/>
            </w:tcMar>
            <w:vAlign w:val="center"/>
          </w:tcPr>
          <w:p>
            <w:pPr>
              <w:pStyle w:val="TableContents"/>
              <w:spacing w:before="0" w:after="283"/>
              <w:rPr/>
            </w:pPr>
            <w:r>
              <w:rPr/>
              <w:t>​</w:t>
            </w:r>
          </w:p>
        </w:tc>
      </w:tr>
      <w:tr>
        <w:trPr/>
        <w:tc>
          <w:tcPr>
            <w:tcW w:w="2010" w:type="dxa"/>
            <w:tcBorders/>
            <w:shd w:fill="auto" w:val="clear"/>
            <w:tcMar>
              <w:bottom w:w="0" w:type="dxa"/>
            </w:tcMar>
            <w:vAlign w:val="center"/>
          </w:tcPr>
          <w:p>
            <w:pPr>
              <w:pStyle w:val="TableContents"/>
              <w:spacing w:before="0" w:after="0"/>
              <w:rPr>
                <w:spacing w:val="4"/>
              </w:rPr>
            </w:pPr>
            <w:r>
              <w:rPr>
                <w:spacing w:val="4"/>
              </w:rPr>
              <w:t xml:space="preserve">Achievement of Individual Goals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 w:type="dxa"/>
            <w:tcBorders/>
            <w:shd w:fill="auto" w:val="clear"/>
            <w:tcMar>
              <w:bottom w:w="0" w:type="dxa"/>
            </w:tcMar>
            <w:vAlign w:val="center"/>
          </w:tcPr>
          <w:p>
            <w:pPr>
              <w:pStyle w:val="TableContents"/>
              <w:spacing w:before="0" w:after="283"/>
              <w:rPr>
                <w:spacing w:val="4"/>
              </w:rPr>
            </w:pPr>
            <w:r>
              <w:rPr>
                <w:spacing w:val="4"/>
              </w:rPr>
              <w:t xml:space="preserve">25-50%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38" w:type="dxa"/>
            <w:tcBorders/>
            <w:shd w:fill="auto" w:val="clear"/>
            <w:tcMar>
              <w:bottom w:w="0" w:type="dxa"/>
            </w:tcMar>
            <w:vAlign w:val="center"/>
          </w:tcPr>
          <w:p>
            <w:pPr>
              <w:pStyle w:val="TableContents"/>
              <w:spacing w:before="0" w:after="283"/>
              <w:rPr>
                <w:spacing w:val="4"/>
              </w:rPr>
            </w:pPr>
            <w:r>
              <w:rPr>
                <w:spacing w:val="4"/>
              </w:rPr>
              <w:t xml:space="preserve">Accomplishment of individual goals set for operational measures, such as strategic initiatives set by the Company for achievement in a given year </w:t>
            </w:r>
          </w:p>
        </w:tc>
        <w:tc>
          <w:tcPr>
            <w:tcW w:w="155" w:type="dxa"/>
            <w:tcBorders/>
            <w:shd w:fill="auto" w:val="clear"/>
            <w:tcMar>
              <w:bottom w:w="0" w:type="dxa"/>
            </w:tcMar>
            <w:vAlign w:val="center"/>
          </w:tcPr>
          <w:p>
            <w:pPr>
              <w:pStyle w:val="TableContents"/>
              <w:spacing w:before="0" w:after="283"/>
              <w:rPr/>
            </w:pPr>
            <w:r>
              <w:rPr/>
              <w:t>​</w:t>
            </w:r>
          </w:p>
        </w:tc>
      </w:tr>
      <w:tr>
        <w:trPr/>
        <w:tc>
          <w:tcPr>
            <w:tcW w:w="2010" w:type="dxa"/>
            <w:tcBorders/>
            <w:shd w:fill="auto" w:val="clear"/>
            <w:tcMar>
              <w:bottom w:w="0" w:type="dxa"/>
            </w:tcMar>
            <w:vAlign w:val="center"/>
          </w:tcPr>
          <w:p>
            <w:pPr>
              <w:pStyle w:val="TableContents"/>
              <w:spacing w:before="0" w:after="0"/>
              <w:rPr>
                <w:spacing w:val="4"/>
              </w:rPr>
            </w:pPr>
            <w:r>
              <w:rPr>
                <w:spacing w:val="4"/>
              </w:rPr>
              <w:t xml:space="preserve">General Individual Performance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 w:type="dxa"/>
            <w:tcBorders/>
            <w:shd w:fill="auto" w:val="clear"/>
            <w:tcMar>
              <w:bottom w:w="0" w:type="dxa"/>
            </w:tcMar>
            <w:vAlign w:val="center"/>
          </w:tcPr>
          <w:p>
            <w:pPr>
              <w:pStyle w:val="TableContents"/>
              <w:spacing w:before="0" w:after="283"/>
              <w:rPr>
                <w:spacing w:val="4"/>
              </w:rPr>
            </w:pPr>
            <w:r>
              <w:rPr>
                <w:spacing w:val="4"/>
              </w:rPr>
              <w:t xml:space="preserve">15%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38" w:type="dxa"/>
            <w:tcBorders/>
            <w:shd w:fill="auto" w:val="clear"/>
            <w:tcMar>
              <w:bottom w:w="0" w:type="dxa"/>
            </w:tcMar>
            <w:vAlign w:val="center"/>
          </w:tcPr>
          <w:p>
            <w:pPr>
              <w:pStyle w:val="TableContents"/>
              <w:spacing w:before="0" w:after="283"/>
              <w:rPr/>
            </w:pPr>
            <w:r>
              <w:rPr>
                <w:spacing w:val="4"/>
              </w:rPr>
              <w:t>General assessment of the individual’s work performance through the year, including leadership and contribution to Company culture</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each individual’s performance and relevant job responsibilities. For the Chief Executive Officer, the Committee generally assigns a higher weight to Company performance than the foregoing range indicates. In 2022, the Committee also took into consideration the work performed around certain significant unplanned strategic initiatives.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Typically, the Company has paid bonuses at levels at or below the target opportunity with the Compensation Committee treating the target bonus opportunity percentage as more of a ceiling in most years. For 2022, we paid the annual bonuses to our named executive officers described under the column entitled “Non-Equity Incentive Plan Compensation”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for the reasons described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Prior, our Chief Executive Officer, was paid an annual bonus of $640,000, representing 95% of his 2022 annual target bonus opportunity. In determining the annual bonus and annual equity award for the Chief Executive Officer, and, to a lesser extent, all named executive officers, the Compensation Committee considered a number of factors, including: (i) actual performance against the Company’s financial plan for the year, (ii) the progress made on the Company’s three year strategy of fiber and other network expansions, (iii) strategic initiatives pursued for the Company’s operating companies, including the signing and closing of the Sacred Wind Enterprises acquisition, and (iv) progress by the Company on key operational objectives.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reviewing with the Chief Executive Officer the recommendations for annual bonuses to be paid to the other executives, the Compensation Committee considered each named executive officer’s contribution to achieving the Company’s financial performance and strategic goals, using the weight ranges described above as a general guide.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Justin Benincasa, our Chief Financial Officer, was paid an annual bonus of $290,000 or 95% of his 2022 annual target bonus opportunity. The Compensation Committee noted, among other things, in recognizing his performance for the 2022 year: (i) the successful re-financing of debt facilities at ACS, (ii) the public launch of the Company’s three-year strategic plan and financial targets, (iii) his work towards improving the Company’s financial and spending discipline at various levels, including improving such spending discipline at certain subsidiaries, (iv) the closing and initial financial integration of Sacred Wind Enterprises, and (v) his work on several other significant strategic transactions.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Brad Martin, our Chief Operating Officer, was paid an annual bonus of $267,000, or 95% of his annual bonus opportunity for 2022. Among other things, the Compensation Committee considered: (i) his operational leadership of the execution of the Company’s strategic network expansions, (ii) his role in ensuring a good start to the Company’s investment in ACS, and (iii) his leadership around the Company’s efforts to make various support services more operationally and financially efficient.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determined to pay Mary Mabey, Senior Vice President and General Counsel, $150,000, or 92% of her 2022 annual target bonus opportunity, reflecting her work leading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and external legal teams on a number of major initiatives, included the Company’s acquisition of Sacred Wind Enterprises, several substantial and complex commercial contracts, and major regulatory matters, including the securing of a number of substantial network construction grants in the United States.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determined to pay Justin Leon, Senior Vice President of Corporate Development, $125,000, or 100% of his 2022 annual target bonus opportunity, reflecting his leadership on the execution of the Company’s acquisition of Sacred Wind Enterprises, including the evaluation, analysis, and structuring, and a number of other investment and strategic matters.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Equity Awards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2008 Plan, we may grant stock options, restricted stock and other equity awards to our directors, consultants and employees, including our named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2008 Plan. Our Chief Executive Officer also has authority to make limited grants under the 2008 Plan to employees of the Company.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annual equity awards to our officers, we have awarded significant equity compensation in connection with the hiring or promotions of named executive officers. For new hires, the awards typically are made at the next regularly scheduled Compensation Committee meeting following the hire or promotion. In general, we have awarded restricted stock and stock options with time-based vesting schedules of four years, and, in the case of stock options, having a term of 10 years. Since 2013, the majority of the equity awards granted by the Compensation Committee have been in the form of restricted stock and restricted stock units and the Compensation Committee has not granted option awards to our named executive officers during that period.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reviewing the practices of the Company’s peers and the broader market and taking into account a year in which the Company’s common stock underperformed the broader market, the Compensation Committee decided, in 2021, to introduce performance stock units as an element of long-term incentive compensation for executive officers. At the same time, the committee decided to reduce awards of strictly time-vested restricted stock units—both in absolute terms and as a relative portion of an executive’s total compensation potential. The Compensation Committee believes that this change results in better alignment between executive compensation and stockholder returns and with a three-year “cliff” vesting period for the performance stock units, does not encourage undue risk taking or a short-term planning horizon.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half of the annual equity compensation award to each executive officer in March 2023 was composed of performance stock units (based on target level of performance) and half was composed of restricted stock units. As in the past, the restricted stock units vest ratably over four years on each anniversary of the grant date. The performance stock units vest after the end of the three-year performance period, with the actual number of shares to vest and be issued following vesting based on the relative returns earned by the Company’s stockholders during the performance period compared to the returns earned by the broader market of “small cap” stocks that comprise the Russell 2000 Index, as described in more detail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our performance stock unit award agreement, the Company issued a target number of performance stock units on March 7, 2023, with the actual number of performance stock units earned to be determined by comparing the Company’s total stockholder return (“TSR”) over a three-year period ending March 7, 2026 to the total shareholder return of the Russell 2000 Index for the same period. The relative performance is calculated based on the average closing prices for the 40-day trading period immediately preceding and including each of the first and last days of the three-year performance period ending on March 7, 2026.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number of shares to be issued upon vesting of the performance stock units in the event the Company’s TSR for such period is greater than or equal to zero at the end of the measurement period ranges from 0% (if the Company’s TSR is in the bottom 25% of the peer group) to 150% (if the Company’s stock performance is in the top 25% of the peer group). In the event the Company’s TSR is less than zero for that period, the number of shares to be issued is capped at 100% of target regardless of the level of relative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outperformance. Subject to requirements relating to continued employment with the Company through the last day of the performance period ending on March 7, 2026, and to special vesting provisions in case of a change of control, death, disability or retirement, the shares will be delivered on the date (which will be no later than March 7, 2027) that the Compensation Committee makes the determination of the Company’s performance relative to the Russell 2000 Index.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keeping with its practice adopted in 2020, after noting the fairly wide swings in share prices that occurred in the weeks leading up to the equity award determination and similar movements in previous years, the Compensation Committee determined the number of restricted stock units (“RSUs”) and performance stock units (“PSUs”) to award each recipient by reference to the average closing price for the Company’s common stock for the 20 trading days up to and including the Friday in advance of the Compensation Committee’s meeting during the subsequent week. For RSU grants made on March 7, 2023 for 2022 performance, this amount was $39.94 per share, and for grants made on March 25, 2022 for 2021 performance, this amount was $39.52 per share. For PSU grants made on March 7, 2023 for 2022 performance, this price was $45.10 per share, and for grants made on March 25, 2022 for 2021 performance this price was $47.03 per share. The Compensation Committee believes that this practice is a fair manner of dealing with the positive or negative impact of short term movements in the Company’s share price.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equity compensation awards and value of the awards, utilizing the 20-trading day average per share, for grants made in each of the 2023 and 2022 years, is set forth below: </w:t>
      </w:r>
    </w:p>
    <w:tbl>
      <w:tblPr>
        <w:tblW w:w="8812" w:type="dxa"/>
        <w:jc w:val="left"/>
        <w:tblInd w:w="1393" w:type="dxa"/>
        <w:tblCellMar>
          <w:top w:w="0" w:type="dxa"/>
          <w:left w:w="0" w:type="dxa"/>
          <w:bottom w:w="28" w:type="dxa"/>
          <w:right w:w="0" w:type="dxa"/>
        </w:tblCellMar>
      </w:tblPr>
      <w:tblGrid>
        <w:gridCol w:w="1828"/>
        <w:gridCol w:w="109"/>
        <w:gridCol w:w="109"/>
        <w:gridCol w:w="640"/>
        <w:gridCol w:w="109"/>
        <w:gridCol w:w="109"/>
        <w:gridCol w:w="109"/>
        <w:gridCol w:w="109"/>
        <w:gridCol w:w="766"/>
        <w:gridCol w:w="109"/>
        <w:gridCol w:w="109"/>
        <w:gridCol w:w="109"/>
        <w:gridCol w:w="114"/>
        <w:gridCol w:w="238"/>
        <w:gridCol w:w="935"/>
        <w:gridCol w:w="114"/>
        <w:gridCol w:w="109"/>
        <w:gridCol w:w="109"/>
        <w:gridCol w:w="109"/>
        <w:gridCol w:w="109"/>
        <w:gridCol w:w="766"/>
        <w:gridCol w:w="109"/>
        <w:gridCol w:w="109"/>
        <w:gridCol w:w="109"/>
        <w:gridCol w:w="109"/>
        <w:gridCol w:w="226"/>
        <w:gridCol w:w="1066"/>
        <w:gridCol w:w="109"/>
        <w:gridCol w:w="157"/>
      </w:tblGrid>
      <w:tr>
        <w:trPr/>
        <w:tc>
          <w:tcPr>
            <w:tcW w:w="182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40"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RSU </w:t>
              <w:br/>
              <w:t xml:space="preserve">Awards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01"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Grant Date </w:t>
              <w:br/>
              <w:t xml:space="preserve">Value of </w:t>
              <w:br/>
              <w:t xml:space="preserve">RSU Awards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PSU </w:t>
              <w:br/>
              <w:t xml:space="preserve">Awards </w:t>
              <w:br/>
              <w:t xml:space="preserve">(at 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Grant Date </w:t>
              <w:br/>
              <w:t xml:space="preserve">Value of </w:t>
              <w:br/>
              <w:t xml:space="preserve">PSU Awards </w:t>
              <w:br/>
              <w:t xml:space="preserve">(at target) </w:t>
              <w:br/>
              <w:t xml:space="preserve">($)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1828" w:type="dxa"/>
            <w:vMerge w:val="restart"/>
            <w:tcBorders/>
            <w:shd w:fill="CCEEFF" w:val="clear"/>
            <w:tcMar>
              <w:bottom w:w="0" w:type="dxa"/>
            </w:tcMar>
            <w:vAlign w:val="center"/>
          </w:tcPr>
          <w:p>
            <w:pPr>
              <w:pStyle w:val="TableContents"/>
              <w:spacing w:lineRule="atLeast" w:line="240" w:before="0" w:after="0"/>
              <w:ind w:left="200" w:right="0" w:hanging="0"/>
              <w:jc w:val="left"/>
              <w:rPr>
                <w:spacing w:val="4"/>
              </w:rPr>
            </w:pPr>
            <w:r>
              <w:rPr>
                <w:spacing w:val="4"/>
              </w:rPr>
              <w:t xml:space="preserve">Michael T. Prior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40" w:type="dxa"/>
            <w:tcBorders/>
            <w:shd w:fill="CCEEFF" w:val="clear"/>
            <w:tcMar>
              <w:bottom w:w="0" w:type="dxa"/>
            </w:tcMar>
            <w:vAlign w:val="center"/>
          </w:tcPr>
          <w:p>
            <w:pPr>
              <w:pStyle w:val="TableContents"/>
              <w:spacing w:lineRule="atLeast" w:line="240" w:before="0" w:after="0"/>
              <w:jc w:val="center"/>
              <w:rPr>
                <w:spacing w:val="4"/>
              </w:rPr>
            </w:pPr>
            <w:r>
              <w:rPr>
                <w:spacing w:val="4"/>
              </w:rPr>
              <w:t xml:space="preserve">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66" w:type="dxa"/>
            <w:tcBorders/>
            <w:shd w:fill="CCEEFF" w:val="clear"/>
            <w:tcMar>
              <w:bottom w:w="0" w:type="dxa"/>
            </w:tcMar>
            <w:vAlign w:val="center"/>
          </w:tcPr>
          <w:p>
            <w:pPr>
              <w:pStyle w:val="TableContents"/>
              <w:spacing w:lineRule="atLeast" w:line="240" w:before="0" w:after="283"/>
              <w:jc w:val="right"/>
              <w:rPr/>
            </w:pPr>
            <w:r>
              <w:rPr/>
              <w:t>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8" w:type="dxa"/>
            <w:tcBorders/>
            <w:shd w:fill="CCEEFF" w:val="clear"/>
            <w:tcMar>
              <w:bottom w:w="0" w:type="dxa"/>
            </w:tcMar>
            <w:vAlign w:val="center"/>
          </w:tcPr>
          <w:p>
            <w:pPr>
              <w:pStyle w:val="TableContents"/>
              <w:spacing w:lineRule="atLeast" w:line="240" w:before="0" w:after="283"/>
              <w:jc w:val="right"/>
              <w:rPr/>
            </w:pPr>
            <w:r>
              <w:rPr/>
              <w:t>$</w:t>
            </w:r>
          </w:p>
        </w:tc>
        <w:tc>
          <w:tcPr>
            <w:tcW w:w="935" w:type="dxa"/>
            <w:tcBorders/>
            <w:shd w:fill="CCEEFF" w:val="clear"/>
            <w:tcMar>
              <w:bottom w:w="0" w:type="dxa"/>
            </w:tcMar>
            <w:vAlign w:val="center"/>
          </w:tcPr>
          <w:p>
            <w:pPr>
              <w:pStyle w:val="TableContents"/>
              <w:spacing w:lineRule="atLeast" w:line="240" w:before="0" w:after="283"/>
              <w:jc w:val="right"/>
              <w:rPr/>
            </w:pPr>
            <w:r>
              <w:rPr/>
              <w:t>998,500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66" w:type="dxa"/>
            <w:tcBorders/>
            <w:shd w:fill="CCEEFF" w:val="clear"/>
            <w:tcMar>
              <w:bottom w:w="0" w:type="dxa"/>
            </w:tcMar>
            <w:vAlign w:val="center"/>
          </w:tcPr>
          <w:p>
            <w:pPr>
              <w:pStyle w:val="TableContents"/>
              <w:spacing w:lineRule="atLeast" w:line="240" w:before="0" w:after="283"/>
              <w:jc w:val="right"/>
              <w:rPr/>
            </w:pPr>
            <w:r>
              <w:rPr/>
              <w:t>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1,127,500</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1828"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640" w:type="dxa"/>
            <w:tcBorders/>
            <w:shd w:fill="CCEEFF"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21,450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8" w:type="dxa"/>
            <w:tcBorders/>
            <w:shd w:fill="CCEEFF" w:val="clear"/>
            <w:tcMar>
              <w:bottom w:w="0" w:type="dxa"/>
            </w:tcMar>
            <w:vAlign w:val="center"/>
          </w:tcPr>
          <w:p>
            <w:pPr>
              <w:pStyle w:val="TableContents"/>
              <w:spacing w:before="0" w:after="283"/>
              <w:jc w:val="right"/>
              <w:rPr/>
            </w:pPr>
            <w:r>
              <w:rPr/>
              <w:t>$</w:t>
            </w:r>
          </w:p>
        </w:tc>
        <w:tc>
          <w:tcPr>
            <w:tcW w:w="935" w:type="dxa"/>
            <w:tcBorders/>
            <w:shd w:fill="CCEEFF" w:val="clear"/>
            <w:tcMar>
              <w:bottom w:w="0" w:type="dxa"/>
            </w:tcMar>
            <w:vAlign w:val="center"/>
          </w:tcPr>
          <w:p>
            <w:pPr>
              <w:pStyle w:val="TableContents"/>
              <w:spacing w:before="0" w:after="283"/>
              <w:jc w:val="right"/>
              <w:rPr/>
            </w:pPr>
            <w:r>
              <w:rPr/>
              <w:t>843,414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21,450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1,008,794</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1828" w:type="dxa"/>
            <w:vMerge w:val="restart"/>
            <w:tcBorders/>
            <w:shd w:fill="auto" w:val="clear"/>
            <w:tcMar>
              <w:bottom w:w="0" w:type="dxa"/>
            </w:tcMar>
            <w:vAlign w:val="center"/>
          </w:tcPr>
          <w:p>
            <w:pPr>
              <w:pStyle w:val="TableContents"/>
              <w:spacing w:lineRule="atLeast" w:line="240" w:before="0" w:after="0"/>
              <w:ind w:left="200" w:right="0" w:hanging="0"/>
              <w:jc w:val="left"/>
              <w:rPr>
                <w:spacing w:val="4"/>
              </w:rPr>
            </w:pPr>
            <w:r>
              <w:rPr>
                <w:spacing w:val="4"/>
              </w:rPr>
              <w:t xml:space="preserve">Justin D. Benincasa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0" w:type="dxa"/>
            <w:tcBorders/>
            <w:shd w:fill="auto" w:val="clear"/>
            <w:tcMar>
              <w:bottom w:w="0" w:type="dxa"/>
            </w:tcMar>
            <w:vAlign w:val="center"/>
          </w:tcPr>
          <w:p>
            <w:pPr>
              <w:pStyle w:val="TableContents"/>
              <w:spacing w:lineRule="atLeast" w:line="240" w:before="0" w:after="0"/>
              <w:jc w:val="center"/>
              <w:rPr>
                <w:spacing w:val="4"/>
              </w:rPr>
            </w:pPr>
            <w:r>
              <w:rPr>
                <w:spacing w:val="4"/>
              </w:rPr>
              <w:t xml:space="preserve">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66" w:type="dxa"/>
            <w:tcBorders/>
            <w:shd w:fill="auto" w:val="clear"/>
            <w:tcMar>
              <w:bottom w:w="0" w:type="dxa"/>
            </w:tcMar>
            <w:vAlign w:val="center"/>
          </w:tcPr>
          <w:p>
            <w:pPr>
              <w:pStyle w:val="TableContents"/>
              <w:spacing w:lineRule="atLeast" w:line="240" w:before="0" w:after="283"/>
              <w:jc w:val="right"/>
              <w:rPr/>
            </w:pPr>
            <w:r>
              <w:rPr/>
              <w:t>11,000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8" w:type="dxa"/>
            <w:tcBorders/>
            <w:shd w:fill="auto" w:val="clear"/>
            <w:tcMar>
              <w:bottom w:w="0" w:type="dxa"/>
            </w:tcMar>
            <w:vAlign w:val="center"/>
          </w:tcPr>
          <w:p>
            <w:pPr>
              <w:pStyle w:val="TableContents"/>
              <w:spacing w:lineRule="atLeast" w:line="240" w:before="0" w:after="283"/>
              <w:jc w:val="right"/>
              <w:rPr/>
            </w:pPr>
            <w:r>
              <w:rPr/>
              <w:t>$</w:t>
            </w:r>
          </w:p>
        </w:tc>
        <w:tc>
          <w:tcPr>
            <w:tcW w:w="935" w:type="dxa"/>
            <w:tcBorders/>
            <w:shd w:fill="auto" w:val="clear"/>
            <w:tcMar>
              <w:bottom w:w="0" w:type="dxa"/>
            </w:tcMar>
            <w:vAlign w:val="center"/>
          </w:tcPr>
          <w:p>
            <w:pPr>
              <w:pStyle w:val="TableContents"/>
              <w:spacing w:lineRule="atLeast" w:line="240" w:before="0" w:after="283"/>
              <w:jc w:val="right"/>
              <w:rPr/>
            </w:pPr>
            <w:r>
              <w:rPr/>
              <w:t>439,340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66" w:type="dxa"/>
            <w:tcBorders/>
            <w:shd w:fill="auto" w:val="clear"/>
            <w:tcMar>
              <w:bottom w:w="0" w:type="dxa"/>
            </w:tcMar>
            <w:vAlign w:val="center"/>
          </w:tcPr>
          <w:p>
            <w:pPr>
              <w:pStyle w:val="TableContents"/>
              <w:spacing w:lineRule="atLeast" w:line="240" w:before="0" w:after="283"/>
              <w:jc w:val="right"/>
              <w:rPr/>
            </w:pPr>
            <w:r>
              <w:rPr/>
              <w:t>11,000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496,100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1828"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0" w:type="dxa"/>
            <w:tcBorders/>
            <w:shd w:fill="auto"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10,700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8" w:type="dxa"/>
            <w:tcBorders/>
            <w:shd w:fill="auto" w:val="clear"/>
            <w:tcMar>
              <w:bottom w:w="0" w:type="dxa"/>
            </w:tcMar>
            <w:vAlign w:val="center"/>
          </w:tcPr>
          <w:p>
            <w:pPr>
              <w:pStyle w:val="TableContents"/>
              <w:spacing w:before="0" w:after="283"/>
              <w:jc w:val="right"/>
              <w:rPr/>
            </w:pPr>
            <w:r>
              <w:rPr/>
              <w:t>$</w:t>
            </w:r>
          </w:p>
        </w:tc>
        <w:tc>
          <w:tcPr>
            <w:tcW w:w="935" w:type="dxa"/>
            <w:tcBorders/>
            <w:shd w:fill="auto" w:val="clear"/>
            <w:tcMar>
              <w:bottom w:w="0" w:type="dxa"/>
            </w:tcMar>
            <w:vAlign w:val="center"/>
          </w:tcPr>
          <w:p>
            <w:pPr>
              <w:pStyle w:val="TableContents"/>
              <w:spacing w:before="0" w:after="283"/>
              <w:jc w:val="right"/>
              <w:rPr/>
            </w:pPr>
            <w:r>
              <w:rPr/>
              <w:t>420,724</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10,700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503,221</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1828" w:type="dxa"/>
            <w:vMerge w:val="restart"/>
            <w:tcBorders/>
            <w:shd w:fill="CCEEFF" w:val="clear"/>
            <w:tcMar>
              <w:bottom w:w="0" w:type="dxa"/>
            </w:tcMar>
            <w:vAlign w:val="center"/>
          </w:tcPr>
          <w:p>
            <w:pPr>
              <w:pStyle w:val="TableContents"/>
              <w:spacing w:lineRule="atLeast" w:line="240" w:before="0" w:after="0"/>
              <w:ind w:left="200" w:right="0" w:hanging="0"/>
              <w:jc w:val="left"/>
              <w:rPr>
                <w:spacing w:val="4"/>
              </w:rPr>
            </w:pPr>
            <w:r>
              <w:rPr>
                <w:spacing w:val="4"/>
              </w:rPr>
              <w:t xml:space="preserve">Brad W. Martin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40" w:type="dxa"/>
            <w:tcBorders/>
            <w:shd w:fill="CCEEFF" w:val="clear"/>
            <w:tcMar>
              <w:bottom w:w="0" w:type="dxa"/>
            </w:tcMar>
            <w:vAlign w:val="center"/>
          </w:tcPr>
          <w:p>
            <w:pPr>
              <w:pStyle w:val="TableContents"/>
              <w:spacing w:lineRule="atLeast" w:line="240" w:before="0" w:after="0"/>
              <w:jc w:val="center"/>
              <w:rPr>
                <w:spacing w:val="4"/>
              </w:rPr>
            </w:pPr>
            <w:r>
              <w:rPr>
                <w:spacing w:val="4"/>
              </w:rPr>
              <w:t xml:space="preserve">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66" w:type="dxa"/>
            <w:tcBorders/>
            <w:shd w:fill="CCEEFF" w:val="clear"/>
            <w:tcMar>
              <w:bottom w:w="0" w:type="dxa"/>
            </w:tcMar>
            <w:vAlign w:val="center"/>
          </w:tcPr>
          <w:p>
            <w:pPr>
              <w:pStyle w:val="TableContents"/>
              <w:spacing w:lineRule="atLeast" w:line="240" w:before="0" w:after="283"/>
              <w:jc w:val="right"/>
              <w:rPr/>
            </w:pPr>
            <w:r>
              <w:rPr/>
              <w:t>11,000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8" w:type="dxa"/>
            <w:tcBorders/>
            <w:shd w:fill="CCEEFF" w:val="clear"/>
            <w:tcMar>
              <w:bottom w:w="0" w:type="dxa"/>
            </w:tcMar>
            <w:vAlign w:val="center"/>
          </w:tcPr>
          <w:p>
            <w:pPr>
              <w:pStyle w:val="TableContents"/>
              <w:spacing w:lineRule="atLeast" w:line="240" w:before="0" w:after="283"/>
              <w:jc w:val="right"/>
              <w:rPr/>
            </w:pPr>
            <w:r>
              <w:rPr/>
              <w:t>$</w:t>
            </w:r>
          </w:p>
        </w:tc>
        <w:tc>
          <w:tcPr>
            <w:tcW w:w="935" w:type="dxa"/>
            <w:tcBorders/>
            <w:shd w:fill="CCEEFF" w:val="clear"/>
            <w:tcMar>
              <w:bottom w:w="0" w:type="dxa"/>
            </w:tcMar>
            <w:vAlign w:val="center"/>
          </w:tcPr>
          <w:p>
            <w:pPr>
              <w:pStyle w:val="TableContents"/>
              <w:spacing w:lineRule="atLeast" w:line="240" w:before="0" w:after="283"/>
              <w:jc w:val="right"/>
              <w:rPr/>
            </w:pPr>
            <w:r>
              <w:rPr/>
              <w:t>439,340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66" w:type="dxa"/>
            <w:tcBorders/>
            <w:shd w:fill="CCEEFF" w:val="clear"/>
            <w:tcMar>
              <w:bottom w:w="0" w:type="dxa"/>
            </w:tcMar>
            <w:vAlign w:val="center"/>
          </w:tcPr>
          <w:p>
            <w:pPr>
              <w:pStyle w:val="TableContents"/>
              <w:spacing w:lineRule="atLeast" w:line="240" w:before="0" w:after="283"/>
              <w:jc w:val="right"/>
              <w:rPr/>
            </w:pPr>
            <w:r>
              <w:rPr/>
              <w:t>11,000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496,100</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1828"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640" w:type="dxa"/>
            <w:tcBorders/>
            <w:shd w:fill="CCEEFF"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10,700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8" w:type="dxa"/>
            <w:tcBorders/>
            <w:shd w:fill="CCEEFF" w:val="clear"/>
            <w:tcMar>
              <w:bottom w:w="0" w:type="dxa"/>
            </w:tcMar>
            <w:vAlign w:val="center"/>
          </w:tcPr>
          <w:p>
            <w:pPr>
              <w:pStyle w:val="TableContents"/>
              <w:spacing w:before="0" w:after="283"/>
              <w:jc w:val="right"/>
              <w:rPr/>
            </w:pPr>
            <w:r>
              <w:rPr/>
              <w:t>$</w:t>
            </w:r>
          </w:p>
        </w:tc>
        <w:tc>
          <w:tcPr>
            <w:tcW w:w="935" w:type="dxa"/>
            <w:tcBorders/>
            <w:shd w:fill="CCEEFF" w:val="clear"/>
            <w:tcMar>
              <w:bottom w:w="0" w:type="dxa"/>
            </w:tcMar>
            <w:vAlign w:val="center"/>
          </w:tcPr>
          <w:p>
            <w:pPr>
              <w:pStyle w:val="TableContents"/>
              <w:spacing w:before="0" w:after="283"/>
              <w:jc w:val="right"/>
              <w:rPr/>
            </w:pPr>
            <w:r>
              <w:rPr/>
              <w:t>420,724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10,700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503,221</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1828" w:type="dxa"/>
            <w:vMerge w:val="restart"/>
            <w:tcBorders/>
            <w:shd w:fill="auto" w:val="clear"/>
            <w:tcMar>
              <w:bottom w:w="0" w:type="dxa"/>
            </w:tcMar>
            <w:vAlign w:val="center"/>
          </w:tcPr>
          <w:p>
            <w:pPr>
              <w:pStyle w:val="TableContents"/>
              <w:spacing w:lineRule="atLeast" w:line="240" w:before="0" w:after="0"/>
              <w:ind w:left="200" w:right="0" w:hanging="0"/>
              <w:jc w:val="left"/>
              <w:rPr>
                <w:spacing w:val="4"/>
              </w:rPr>
            </w:pPr>
            <w:r>
              <w:rPr>
                <w:spacing w:val="4"/>
              </w:rPr>
              <w:t xml:space="preserve">Mary M. Mabey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0" w:type="dxa"/>
            <w:tcBorders/>
            <w:shd w:fill="auto" w:val="clear"/>
            <w:tcMar>
              <w:bottom w:w="0" w:type="dxa"/>
            </w:tcMar>
            <w:vAlign w:val="center"/>
          </w:tcPr>
          <w:p>
            <w:pPr>
              <w:pStyle w:val="TableContents"/>
              <w:spacing w:lineRule="atLeast" w:line="240" w:before="0" w:after="0"/>
              <w:jc w:val="center"/>
              <w:rPr>
                <w:spacing w:val="4"/>
              </w:rPr>
            </w:pPr>
            <w:r>
              <w:rPr>
                <w:spacing w:val="4"/>
              </w:rPr>
              <w:t xml:space="preserve">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66" w:type="dxa"/>
            <w:tcBorders/>
            <w:shd w:fill="auto" w:val="clear"/>
            <w:tcMar>
              <w:bottom w:w="0" w:type="dxa"/>
            </w:tcMar>
            <w:vAlign w:val="center"/>
          </w:tcPr>
          <w:p>
            <w:pPr>
              <w:pStyle w:val="TableContents"/>
              <w:spacing w:lineRule="atLeast" w:line="240" w:before="0" w:after="283"/>
              <w:jc w:val="right"/>
              <w:rPr/>
            </w:pPr>
            <w:r>
              <w:rPr/>
              <w:t>6,600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8" w:type="dxa"/>
            <w:tcBorders/>
            <w:shd w:fill="auto" w:val="clear"/>
            <w:tcMar>
              <w:bottom w:w="0" w:type="dxa"/>
            </w:tcMar>
            <w:vAlign w:val="center"/>
          </w:tcPr>
          <w:p>
            <w:pPr>
              <w:pStyle w:val="TableContents"/>
              <w:spacing w:lineRule="atLeast" w:line="240" w:before="0" w:after="283"/>
              <w:jc w:val="right"/>
              <w:rPr/>
            </w:pPr>
            <w:r>
              <w:rPr/>
              <w:t>$</w:t>
            </w:r>
          </w:p>
        </w:tc>
        <w:tc>
          <w:tcPr>
            <w:tcW w:w="935" w:type="dxa"/>
            <w:tcBorders/>
            <w:shd w:fill="auto" w:val="clear"/>
            <w:tcMar>
              <w:bottom w:w="0" w:type="dxa"/>
            </w:tcMar>
            <w:vAlign w:val="center"/>
          </w:tcPr>
          <w:p>
            <w:pPr>
              <w:pStyle w:val="TableContents"/>
              <w:spacing w:lineRule="atLeast" w:line="240" w:before="0" w:after="283"/>
              <w:jc w:val="right"/>
              <w:rPr/>
            </w:pPr>
            <w:r>
              <w:rPr/>
              <w:t>263,604</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66" w:type="dxa"/>
            <w:tcBorders/>
            <w:shd w:fill="auto" w:val="clear"/>
            <w:tcMar>
              <w:bottom w:w="0" w:type="dxa"/>
            </w:tcMar>
            <w:vAlign w:val="center"/>
          </w:tcPr>
          <w:p>
            <w:pPr>
              <w:pStyle w:val="TableContents"/>
              <w:spacing w:lineRule="atLeast" w:line="240" w:before="0" w:after="283"/>
              <w:jc w:val="right"/>
              <w:rPr/>
            </w:pPr>
            <w:r>
              <w:rPr/>
              <w:t>6,600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297,660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1828"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0" w:type="dxa"/>
            <w:tcBorders/>
            <w:shd w:fill="auto"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7,900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8" w:type="dxa"/>
            <w:tcBorders/>
            <w:shd w:fill="auto" w:val="clear"/>
            <w:tcMar>
              <w:bottom w:w="0" w:type="dxa"/>
            </w:tcMar>
            <w:vAlign w:val="center"/>
          </w:tcPr>
          <w:p>
            <w:pPr>
              <w:pStyle w:val="TableContents"/>
              <w:spacing w:before="0" w:after="283"/>
              <w:jc w:val="right"/>
              <w:rPr/>
            </w:pPr>
            <w:r>
              <w:rPr/>
              <w:t>$</w:t>
            </w:r>
          </w:p>
        </w:tc>
        <w:tc>
          <w:tcPr>
            <w:tcW w:w="935" w:type="dxa"/>
            <w:tcBorders/>
            <w:shd w:fill="auto" w:val="clear"/>
            <w:tcMar>
              <w:bottom w:w="0" w:type="dxa"/>
            </w:tcMar>
            <w:vAlign w:val="center"/>
          </w:tcPr>
          <w:p>
            <w:pPr>
              <w:pStyle w:val="TableContents"/>
              <w:spacing w:before="0" w:after="283"/>
              <w:jc w:val="right"/>
              <w:rPr/>
            </w:pPr>
            <w:r>
              <w:rPr/>
              <w:t>310,628</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7,900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371,537</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1828" w:type="dxa"/>
            <w:vMerge w:val="restart"/>
            <w:tcBorders/>
            <w:shd w:fill="CCEEFF" w:val="clear"/>
            <w:tcMar>
              <w:bottom w:w="0" w:type="dxa"/>
            </w:tcMar>
            <w:vAlign w:val="center"/>
          </w:tcPr>
          <w:p>
            <w:pPr>
              <w:pStyle w:val="TableContents"/>
              <w:spacing w:lineRule="atLeast" w:line="240" w:before="0" w:after="0"/>
              <w:ind w:left="200" w:right="0" w:hanging="0"/>
              <w:jc w:val="left"/>
              <w:rPr>
                <w:spacing w:val="4"/>
              </w:rPr>
            </w:pPr>
            <w:r>
              <w:rPr>
                <w:spacing w:val="4"/>
              </w:rPr>
              <w:t xml:space="preserve">Justin M. Leon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40" w:type="dxa"/>
            <w:tcBorders/>
            <w:shd w:fill="CCEEFF" w:val="clear"/>
            <w:tcMar>
              <w:bottom w:w="0" w:type="dxa"/>
            </w:tcMar>
            <w:vAlign w:val="center"/>
          </w:tcPr>
          <w:p>
            <w:pPr>
              <w:pStyle w:val="TableContents"/>
              <w:spacing w:lineRule="atLeast" w:line="240" w:before="0" w:after="0"/>
              <w:jc w:val="center"/>
              <w:rPr>
                <w:spacing w:val="4"/>
              </w:rPr>
            </w:pPr>
            <w:r>
              <w:rPr>
                <w:spacing w:val="4"/>
              </w:rPr>
              <w:t xml:space="preserve">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66" w:type="dxa"/>
            <w:tcBorders/>
            <w:shd w:fill="CCEEFF" w:val="clear"/>
            <w:tcMar>
              <w:bottom w:w="0" w:type="dxa"/>
            </w:tcMar>
            <w:vAlign w:val="center"/>
          </w:tcPr>
          <w:p>
            <w:pPr>
              <w:pStyle w:val="TableContents"/>
              <w:spacing w:lineRule="atLeast" w:line="240" w:before="0" w:after="283"/>
              <w:jc w:val="right"/>
              <w:rPr/>
            </w:pPr>
            <w:r>
              <w:rPr/>
              <w:t>5,500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8" w:type="dxa"/>
            <w:tcBorders/>
            <w:shd w:fill="CCEEFF" w:val="clear"/>
            <w:tcMar>
              <w:bottom w:w="0" w:type="dxa"/>
            </w:tcMar>
            <w:vAlign w:val="center"/>
          </w:tcPr>
          <w:p>
            <w:pPr>
              <w:pStyle w:val="TableContents"/>
              <w:spacing w:lineRule="atLeast" w:line="240" w:before="0" w:after="283"/>
              <w:jc w:val="right"/>
              <w:rPr/>
            </w:pPr>
            <w:r>
              <w:rPr/>
              <w:t>$</w:t>
            </w:r>
          </w:p>
        </w:tc>
        <w:tc>
          <w:tcPr>
            <w:tcW w:w="935" w:type="dxa"/>
            <w:tcBorders/>
            <w:shd w:fill="CCEEFF" w:val="clear"/>
            <w:tcMar>
              <w:bottom w:w="0" w:type="dxa"/>
            </w:tcMar>
            <w:vAlign w:val="center"/>
          </w:tcPr>
          <w:p>
            <w:pPr>
              <w:pStyle w:val="TableContents"/>
              <w:spacing w:lineRule="atLeast" w:line="240" w:before="0" w:after="283"/>
              <w:jc w:val="right"/>
              <w:rPr/>
            </w:pPr>
            <w:r>
              <w:rPr/>
              <w:t>219,670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66" w:type="dxa"/>
            <w:tcBorders/>
            <w:shd w:fill="CCEEFF" w:val="clear"/>
            <w:tcMar>
              <w:bottom w:w="0" w:type="dxa"/>
            </w:tcMar>
            <w:vAlign w:val="center"/>
          </w:tcPr>
          <w:p>
            <w:pPr>
              <w:pStyle w:val="TableContents"/>
              <w:spacing w:lineRule="atLeast" w:line="240" w:before="0" w:after="283"/>
              <w:jc w:val="right"/>
              <w:rPr/>
            </w:pPr>
            <w:r>
              <w:rPr/>
              <w:t>5,500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248,050</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1828"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640" w:type="dxa"/>
            <w:tcBorders/>
            <w:shd w:fill="CCEEFF"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5,700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8" w:type="dxa"/>
            <w:tcBorders/>
            <w:shd w:fill="CCEEFF" w:val="clear"/>
            <w:tcMar>
              <w:bottom w:w="0" w:type="dxa"/>
            </w:tcMar>
            <w:vAlign w:val="center"/>
          </w:tcPr>
          <w:p>
            <w:pPr>
              <w:pStyle w:val="TableContents"/>
              <w:spacing w:before="0" w:after="283"/>
              <w:jc w:val="right"/>
              <w:rPr/>
            </w:pPr>
            <w:r>
              <w:rPr/>
              <w:t>$</w:t>
            </w:r>
          </w:p>
        </w:tc>
        <w:tc>
          <w:tcPr>
            <w:tcW w:w="935" w:type="dxa"/>
            <w:tcBorders/>
            <w:shd w:fill="CCEEFF" w:val="clear"/>
            <w:tcMar>
              <w:bottom w:w="0" w:type="dxa"/>
            </w:tcMar>
            <w:vAlign w:val="center"/>
          </w:tcPr>
          <w:p>
            <w:pPr>
              <w:pStyle w:val="TableContents"/>
              <w:spacing w:before="0" w:after="283"/>
              <w:jc w:val="right"/>
              <w:rPr/>
            </w:pPr>
            <w:r>
              <w:rPr/>
              <w:t>224,124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5,700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268,071</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approving the annual cash bonus and equity incentive awards, the Compensation Committee assesses the risks associated with the adoption of these awards, including the performance measures and goals for the awards, and concluded that the equity awards described above would not be likely to encourage excessive risk taking, as the restricted stock unit awards typically vest ratably over a period of four years and the performance stock unit awards have a cliff vesting period of three years. While the Compensation Committee believes it is an important policy of the Board to seek to keep the aggregate shares underlying outstanding stock options, unvested restricted stock, unvested restricted stock units, and unvested performance stock units at a reasonable level in relation to our outstanding equity (calculated on a fully diluted basis), the Compensation Committee believes that equity compensation will remain a critical recruitment, retention and incentive tool, as well as furthering the alignment of stockholder and employee interests.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Retirement, Benefits and Other Arrangements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2008, we adopted a deferred compensation plan for our then-existing executives. This plan is intended to provide retirement income to certain of our executives, including some of our named executive officers (who were executives at the time the plan was adopted). The plan was adopted to offset a reduction in our annual contributions to these executives’ accounts under our 401(k) retirement plan that we instituted as a result of the consolidation of our 401(k) plan with similar plans of companies that we acquired. Under this plan, we make bi-weekly credits equal to 8% of the executive’s then current base salary to an account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behalf of the executive. In addition to these quarterly credits, although we have historically not done so, we may make additional credits in our sole discretion. See the description of the deferred compensation plan under the caption </w:t>
      </w:r>
      <w:r>
        <w:rPr>
          <w:rFonts w:ascii="Times New Roman;Times;serif" w:hAnsi="Times New Roman;Times;serif"/>
          <w:b w:val="false"/>
          <w:i/>
          <w:caps w:val="false"/>
          <w:smallCaps w:val="false"/>
          <w:color w:val="000000"/>
          <w:spacing w:val="4"/>
          <w:sz w:val="20"/>
        </w:rPr>
        <w:t>Non-Qualified Deferred Compensation Plan</w:t>
      </w:r>
      <w:r>
        <w:rPr>
          <w:rFonts w:ascii="Times New Roman;Times;serif" w:hAnsi="Times New Roman;Times;serif"/>
          <w:b w:val="false"/>
          <w:i w:val="false"/>
          <w:caps w:val="false"/>
          <w:smallCaps w:val="false"/>
          <w:color w:val="000000"/>
          <w:spacing w:val="4"/>
          <w:sz w:val="20"/>
        </w:rPr>
        <w:t xml:space="preserve"> for additional information regarding the deferred compensation plan. Executives hired after 2008 do not participate in this plan. Except for this plan, our named executive officers currently do not receive any benefits, including retirement, medical and dental, life and disability insurance, that are not also available to all of our employees.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PSU agreements provide for continued vesting following the eligible retirement of a participant. In order to qualify for continued vesting of any PSU grant, a participant must retire no earlier than six months following the date of PSU grant, must be at least 55 years of age, and must have provided at least ten years of service to the Company.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Severance Agreements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we entered into amended executive agreements with each of our named executive officers that provide severance benefits.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or her base salary (and in the case of our Chief Executive Officer, one and a half times his or her base salary) and (ii) COBRA continuation coverage at a rate equal to the rate paid by active employees during the twelve months following the termination (eighteen months in the case of the Chief Executive Officer). In the event of a termination by the Company without “cause” or by the executive for “good reason” within the period commencing three months prior to, and ending twelve months (eighteen months in the case of the Chief Executive Officer) following, a change in control (as defined in the amended severance agreements), such executive would be entitled to (i) severance pay in the amount of one times (and in the case of the Chief Executive Officer, one and a half times) his or her base salary, (ii) such executive’s maximum target incentive compensation for such year (and in the case of the Chief Executive Officer, one and a half times such target), excluding any eligible amounts of equity compensation, (iii) COBRA continuation coverage at a rate equal to the rate paid by active employees for the twelve months following the termination (eighteen months in the case of the Chief Executive Officer), and (iv) the immediate vesting of all restricted stock, restricted stock units, performance stock units or stock options held by such executive.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Guidelines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 common stock owned by the executive officer or director as a multiple of that executive officer’s base salary or the director’s annual cash retainer, as shown in the table below: </w:t>
      </w:r>
    </w:p>
    <w:tbl>
      <w:tblPr>
        <w:tblW w:w="5960" w:type="dxa"/>
        <w:jc w:val="left"/>
        <w:tblInd w:w="1393" w:type="dxa"/>
        <w:tblCellMar>
          <w:top w:w="0" w:type="dxa"/>
          <w:left w:w="0" w:type="dxa"/>
          <w:bottom w:w="50" w:type="dxa"/>
          <w:right w:w="0" w:type="dxa"/>
        </w:tblCellMar>
      </w:tblPr>
      <w:tblGrid>
        <w:gridCol w:w="2935"/>
        <w:gridCol w:w="109"/>
        <w:gridCol w:w="109"/>
        <w:gridCol w:w="2653"/>
        <w:gridCol w:w="154"/>
      </w:tblGrid>
      <w:tr>
        <w:trPr/>
        <w:tc>
          <w:tcPr>
            <w:tcW w:w="2935" w:type="dxa"/>
            <w:tcBorders>
              <w:bottom w:val="single" w:sz="2" w:space="0" w:color="000000"/>
            </w:tcBorders>
            <w:shd w:fill="auto" w:val="clear"/>
            <w:vAlign w:val="center"/>
          </w:tcPr>
          <w:p>
            <w:pPr>
              <w:pStyle w:val="TableContents"/>
              <w:spacing w:before="0" w:after="0"/>
              <w:rPr>
                <w:spacing w:val="-3"/>
              </w:rPr>
            </w:pPr>
            <w:r>
              <w:rPr>
                <w:spacing w:val="-3"/>
              </w:rPr>
              <w:t xml:space="preserve">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653" w:type="dxa"/>
            <w:tcBorders>
              <w:bottom w:val="single" w:sz="2" w:space="0" w:color="000000"/>
            </w:tcBorders>
            <w:shd w:fill="auto" w:val="clear"/>
            <w:vAlign w:val="center"/>
          </w:tcPr>
          <w:p>
            <w:pPr>
              <w:pStyle w:val="TableContents"/>
              <w:spacing w:before="0" w:after="0"/>
              <w:rPr>
                <w:spacing w:val="-3"/>
              </w:rPr>
            </w:pPr>
            <w:r>
              <w:rPr>
                <w:spacing w:val="-3"/>
              </w:rPr>
              <w:t xml:space="preserve">Individual Guideline Level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935" w:type="dxa"/>
            <w:tcBorders/>
            <w:shd w:fill="auto" w:val="clear"/>
            <w:tcMar>
              <w:bottom w:w="0" w:type="dxa"/>
            </w:tcMar>
            <w:vAlign w:val="center"/>
          </w:tcPr>
          <w:p>
            <w:pPr>
              <w:pStyle w:val="TableContents"/>
              <w:spacing w:before="0" w:after="283"/>
              <w:rPr>
                <w:spacing w:val="4"/>
              </w:rPr>
            </w:pPr>
            <w:r>
              <w:rPr>
                <w:spacing w:val="4"/>
              </w:rPr>
              <w:t xml:space="preserve">Chief Executive 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53" w:type="dxa"/>
            <w:tcBorders/>
            <w:shd w:fill="auto" w:val="clear"/>
            <w:tcMar>
              <w:bottom w:w="0" w:type="dxa"/>
            </w:tcMar>
            <w:vAlign w:val="center"/>
          </w:tcPr>
          <w:p>
            <w:pPr>
              <w:pStyle w:val="TableContents"/>
              <w:spacing w:before="0" w:after="283"/>
              <w:rPr>
                <w:spacing w:val="4"/>
              </w:rPr>
            </w:pPr>
            <w:r>
              <w:rPr>
                <w:spacing w:val="4"/>
              </w:rPr>
              <w:t xml:space="preserve">5x annual base salary </w:t>
            </w:r>
          </w:p>
        </w:tc>
        <w:tc>
          <w:tcPr>
            <w:tcW w:w="154" w:type="dxa"/>
            <w:tcBorders/>
            <w:shd w:fill="auto" w:val="clear"/>
            <w:tcMar>
              <w:bottom w:w="0" w:type="dxa"/>
            </w:tcMar>
            <w:vAlign w:val="center"/>
          </w:tcPr>
          <w:p>
            <w:pPr>
              <w:pStyle w:val="TableContents"/>
              <w:spacing w:before="0" w:after="283"/>
              <w:rPr/>
            </w:pPr>
            <w:r>
              <w:rPr/>
              <w:t>​</w:t>
            </w:r>
          </w:p>
        </w:tc>
      </w:tr>
      <w:tr>
        <w:trPr/>
        <w:tc>
          <w:tcPr>
            <w:tcW w:w="2935" w:type="dxa"/>
            <w:tcBorders/>
            <w:shd w:fill="auto" w:val="clear"/>
            <w:tcMar>
              <w:bottom w:w="0" w:type="dxa"/>
            </w:tcMar>
            <w:vAlign w:val="center"/>
          </w:tcPr>
          <w:p>
            <w:pPr>
              <w:pStyle w:val="TableContents"/>
              <w:spacing w:before="0" w:after="283"/>
              <w:rPr>
                <w:spacing w:val="4"/>
              </w:rPr>
            </w:pPr>
            <w:r>
              <w:rPr>
                <w:spacing w:val="4"/>
              </w:rPr>
              <w:t xml:space="preserve">All other Executive Officers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53" w:type="dxa"/>
            <w:tcBorders/>
            <w:shd w:fill="auto" w:val="clear"/>
            <w:tcMar>
              <w:bottom w:w="0" w:type="dxa"/>
            </w:tcMar>
            <w:vAlign w:val="center"/>
          </w:tcPr>
          <w:p>
            <w:pPr>
              <w:pStyle w:val="TableContents"/>
              <w:spacing w:before="0" w:after="283"/>
              <w:rPr>
                <w:spacing w:val="4"/>
              </w:rPr>
            </w:pPr>
            <w:r>
              <w:rPr>
                <w:spacing w:val="4"/>
              </w:rPr>
              <w:t xml:space="preserve">2x annual base salary </w:t>
            </w:r>
          </w:p>
        </w:tc>
        <w:tc>
          <w:tcPr>
            <w:tcW w:w="154" w:type="dxa"/>
            <w:tcBorders/>
            <w:shd w:fill="auto" w:val="clear"/>
            <w:tcMar>
              <w:bottom w:w="0" w:type="dxa"/>
            </w:tcMar>
            <w:vAlign w:val="center"/>
          </w:tcPr>
          <w:p>
            <w:pPr>
              <w:pStyle w:val="TableContents"/>
              <w:spacing w:before="0" w:after="283"/>
              <w:rPr/>
            </w:pPr>
            <w:r>
              <w:rPr/>
              <w:t>​</w:t>
            </w:r>
          </w:p>
        </w:tc>
      </w:tr>
      <w:tr>
        <w:trPr/>
        <w:tc>
          <w:tcPr>
            <w:tcW w:w="2935" w:type="dxa"/>
            <w:tcBorders/>
            <w:shd w:fill="auto" w:val="clear"/>
            <w:tcMar>
              <w:bottom w:w="0" w:type="dxa"/>
            </w:tcMar>
            <w:vAlign w:val="center"/>
          </w:tcPr>
          <w:p>
            <w:pPr>
              <w:pStyle w:val="TableContents"/>
              <w:spacing w:before="0" w:after="283"/>
              <w:rPr>
                <w:spacing w:val="4"/>
              </w:rPr>
            </w:pPr>
            <w:r>
              <w:rPr>
                <w:spacing w:val="4"/>
              </w:rPr>
              <w:t xml:space="preserve">Non-Executive 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53" w:type="dxa"/>
            <w:tcBorders/>
            <w:shd w:fill="auto" w:val="clear"/>
            <w:tcMar>
              <w:bottom w:w="0" w:type="dxa"/>
            </w:tcMar>
            <w:vAlign w:val="center"/>
          </w:tcPr>
          <w:p>
            <w:pPr>
              <w:pStyle w:val="TableContents"/>
              <w:spacing w:before="0" w:after="283"/>
              <w:rPr/>
            </w:pPr>
            <w:r>
              <w:rPr>
                <w:spacing w:val="4"/>
              </w:rPr>
              <w:t>2x annual retainer</w:t>
            </w:r>
            <w:r>
              <w:rPr/>
              <w:t xml:space="preserve">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2"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Target dollar value” generally is based on the number of (i) shares of common stock and (ii) aggregate vested shares of restricted stock units and performance stock units with respect to which delivery of an equivalent number of underlying shares has been deferred, in each case “beneficially owned” ​(as defined by the SEC in Rule 13d-3 promulgated under the Exchange Act) by the executive officer or director, and does not include unvested shares of restricted stock, unvested restricted stock units, performance stock units, or unexercised stock options. The value is computed as of the last trading day of each fiscal year, based on the closing price of our common stock as reported on Nasdaq, rounded to the nearest 100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calculation of satisfaction of the guideline for non-executive directors, the value of the annual retainer includes amounts payable to such director for annual stock or cash compensation, but does not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CR"/>
      <w:bookmarkEnd w:id="4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00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 any additional retainer paid as a result of service as a Board chair, lead independent director, committee chair or committee member.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and until an executive officer or non-executive director has satisfied his or her applicable guideline level (and absent a waiver from the Compensation Committee),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w:t>
      </w:r>
      <w:r>
        <w:rPr>
          <w:rFonts w:ascii="Times New Roman;Times;serif" w:hAnsi="Times New Roman;Times;serif"/>
          <w:b w:val="false"/>
          <w:i w:val="false"/>
          <w:caps w:val="false"/>
          <w:smallCaps w:val="false"/>
          <w:color w:val="000000"/>
          <w:spacing w:val="4"/>
          <w:sz w:val="20"/>
          <w:u w:val="single"/>
        </w:rPr>
        <w:t>e.g</w:t>
      </w:r>
      <w:r>
        <w:rPr>
          <w:rFonts w:ascii="Times New Roman;Times;serif" w:hAnsi="Times New Roman;Times;serif"/>
          <w:b w:val="false"/>
          <w:i w:val="false"/>
          <w:caps w:val="false"/>
          <w:smallCaps w:val="false"/>
          <w:color w:val="000000"/>
          <w:spacing w:val="4"/>
          <w:sz w:val="20"/>
        </w:rPr>
        <w:t>., stock options, stock appreciation rights) or (ii) satisfy any immediate withholding taxes arising in connection with the exercise, vesting or payment of an equity award (</w:t>
      </w:r>
      <w:r>
        <w:rPr>
          <w:rFonts w:ascii="Times New Roman;Times;serif" w:hAnsi="Times New Roman;Times;serif"/>
          <w:b w:val="false"/>
          <w:i w:val="false"/>
          <w:caps w:val="false"/>
          <w:smallCaps w:val="false"/>
          <w:color w:val="000000"/>
          <w:spacing w:val="4"/>
          <w:sz w:val="20"/>
          <w:u w:val="single"/>
        </w:rPr>
        <w:t>e.g</w:t>
      </w:r>
      <w:r>
        <w:rPr>
          <w:rFonts w:ascii="Times New Roman;Times;serif" w:hAnsi="Times New Roman;Times;serif"/>
          <w:b w:val="false"/>
          <w:i w:val="false"/>
          <w:caps w:val="false"/>
          <w:smallCaps w:val="false"/>
          <w:color w:val="000000"/>
          <w:spacing w:val="4"/>
          <w:sz w:val="20"/>
        </w:rPr>
        <w:t xml:space="preserve">., stock options, stock appreciation rights, restricted stock units, restricted stock).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named executive officers and directors were in compliance with the policy as of December 31, 2022, however, Messrs. Martin and Leon, and Mses. Henry and Mabey have not yet reached the ownership guideline.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and Anti-Hedging Policy expressly states that directors, officers and employees are prohibited from engaging in “short sales” or any hedging or monetization transactions, including through the use of financial instruments such as prepaid variable forward contracts, equity swaps, collars and exchange funds. </w:t>
      </w:r>
    </w:p>
    <w:p>
      <w:pPr>
        <w:pStyle w:val="TextBody"/>
        <w:spacing w:lineRule="atLeast" w:line="240" w:before="24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Say on Pay” Advisory Approval of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2017 Annual Meeting, stockholders voted on a non-binding and advisory basis, and the Board elected, to hold an advisory vote of stockholders to approve the compensation of our named executive officers every three years. At our 2020 Annual Meeting, the last Annual Meeting at which our stockholders voted on our named executive officer compensation, more than 95% of the shares present, or represented by proxy, and entitled to vote at the 2020 Annual Meeting approved our named executive officer compensation. While the approval in 2020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 This year, the Board is again requesting that stockholders vote, on an advisory basis, to approve the compensation of our named executive officers.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Compensation Committee has reviewed and discussed the Compensation Discussion and Analysis with management and, based on such review and discussions, we recommended to the Board that the Compensation Discussion and Analysis be included in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the Compensation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J. Ganong, </w:t>
      </w:r>
      <w:r>
        <w:rPr>
          <w:rFonts w:ascii="Times New Roman;Times;serif" w:hAnsi="Times New Roman;Times;serif"/>
          <w:b w:val="false"/>
          <w:i/>
          <w:caps w:val="false"/>
          <w:smallCaps w:val="false"/>
          <w:color w:val="000000"/>
          <w:spacing w:val="4"/>
          <w:sz w:val="20"/>
        </w:rPr>
        <w:t>Chair</w:t>
      </w:r>
      <w:r>
        <w:rPr>
          <w:rFonts w:ascii="Times New Roman;Times;serif" w:hAnsi="Times New Roman;Times;serif"/>
          <w:b w:val="false"/>
          <w:i w:val="false"/>
          <w:caps w:val="false"/>
          <w:smallCaps w:val="false"/>
          <w:color w:val="000000"/>
          <w:spacing w:val="4"/>
          <w:sz w:val="20"/>
        </w:rPr>
        <w:t xml:space="preserve"> </w:t>
        <w:br/>
        <w:t xml:space="preserve">James S. Eisenstein </w:t>
        <w:br/>
        <w:t xml:space="preserve">Liane J. Pelletier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2SCT"/>
      <w:bookmarkEnd w:id="4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7"/>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2022 Summary Compensation Table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total compensation paid to, or earned by, each of our named executive officers for each of fiscal years ended December 31, 2022, 2021 and 2020. </w:t>
      </w:r>
    </w:p>
    <w:tbl>
      <w:tblPr>
        <w:tblW w:w="11553" w:type="dxa"/>
        <w:jc w:val="left"/>
        <w:tblInd w:w="1393" w:type="dxa"/>
        <w:tblCellMar>
          <w:top w:w="0" w:type="dxa"/>
          <w:left w:w="0" w:type="dxa"/>
          <w:bottom w:w="43" w:type="dxa"/>
          <w:right w:w="0" w:type="dxa"/>
        </w:tblCellMar>
      </w:tblPr>
      <w:tblGrid>
        <w:gridCol w:w="2303"/>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29"/>
        <w:gridCol w:w="129"/>
        <w:gridCol w:w="1050"/>
        <w:gridCol w:w="130"/>
        <w:gridCol w:w="109"/>
        <w:gridCol w:w="109"/>
        <w:gridCol w:w="143"/>
        <w:gridCol w:w="143"/>
        <w:gridCol w:w="1007"/>
        <w:gridCol w:w="145"/>
        <w:gridCol w:w="109"/>
        <w:gridCol w:w="109"/>
        <w:gridCol w:w="109"/>
        <w:gridCol w:w="109"/>
        <w:gridCol w:w="1066"/>
        <w:gridCol w:w="109"/>
        <w:gridCol w:w="154"/>
      </w:tblGrid>
      <w:tr>
        <w:trPr/>
        <w:tc>
          <w:tcPr>
            <w:tcW w:w="2303"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and Principal 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Salary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Stock </w:t>
              <w:br/>
              <w:t xml:space="preserve">Awards </w:t>
              <w:br/>
              <w:t xml:space="preserve">($)(1)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Non-Equity </w:t>
              <w:br/>
              <w:t xml:space="preserve">Incentive </w:t>
              <w:br/>
              <w:t xml:space="preserve">Plan  </w:t>
              <w:br/>
              <w:t xml:space="preserve">Compensation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All Other </w:t>
              <w:br/>
              <w:t xml:space="preserve">Compensation </w:t>
              <w:br/>
              <w:t xml:space="preserve">($)(2)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303"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 xml:space="preserve">Michael T. Prior </w:t>
            </w:r>
            <w:r>
              <w:rPr/>
              <w:br/>
            </w:r>
            <w:r>
              <w:rPr>
                <w:i/>
                <w:spacing w:val="4"/>
              </w:rPr>
              <w:t xml:space="preserve">Chairman, Chief Executive </w:t>
              <w:br/>
              <w:t>Officer and President</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674,000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1,852,208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40" w:before="0" w:after="283"/>
              <w:jc w:val="right"/>
              <w:rPr/>
            </w:pPr>
            <w:r>
              <w:rPr/>
              <w:t>​</w:t>
            </w:r>
          </w:p>
        </w:tc>
        <w:tc>
          <w:tcPr>
            <w:tcW w:w="1050" w:type="dxa"/>
            <w:tcBorders/>
            <w:shd w:fill="CCEEFF" w:val="clear"/>
            <w:tcMar>
              <w:bottom w:w="0" w:type="dxa"/>
            </w:tcMar>
            <w:vAlign w:val="center"/>
          </w:tcPr>
          <w:p>
            <w:pPr>
              <w:pStyle w:val="TableContents"/>
              <w:spacing w:lineRule="atLeast" w:line="240" w:before="0" w:after="283"/>
              <w:jc w:val="right"/>
              <w:rPr/>
            </w:pPr>
            <w:r>
              <w:rPr/>
              <w:t>640,000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lineRule="atLeast" w:line="240" w:before="0" w:after="283"/>
              <w:jc w:val="right"/>
              <w:rPr/>
            </w:pPr>
            <w:r>
              <w:rPr/>
              <w:t>​</w:t>
            </w:r>
          </w:p>
        </w:tc>
        <w:tc>
          <w:tcPr>
            <w:tcW w:w="1007" w:type="dxa"/>
            <w:tcBorders/>
            <w:shd w:fill="CCEEFF" w:val="clear"/>
            <w:tcMar>
              <w:bottom w:w="0" w:type="dxa"/>
            </w:tcMar>
            <w:vAlign w:val="center"/>
          </w:tcPr>
          <w:p>
            <w:pPr>
              <w:pStyle w:val="TableContents"/>
              <w:spacing w:lineRule="atLeast" w:line="240" w:before="0" w:after="283"/>
              <w:jc w:val="right"/>
              <w:rPr/>
            </w:pPr>
            <w:r>
              <w:rPr/>
              <w:t>65,520</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3,231,728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30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661,000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2,132,370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522,000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64,480</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3,379,850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30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645,000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1,405,555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535,000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68,385</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2,653,940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303" w:type="dxa"/>
            <w:vMerge w:val="restart"/>
            <w:tcBorders/>
            <w:shd w:fill="auto" w:val="clear"/>
            <w:tcMar>
              <w:bottom w:w="0" w:type="dxa"/>
            </w:tcMar>
            <w:vAlign w:val="center"/>
          </w:tcPr>
          <w:p>
            <w:pPr>
              <w:pStyle w:val="TableContents"/>
              <w:spacing w:lineRule="atLeast" w:line="240" w:before="0" w:after="0"/>
              <w:ind w:left="200" w:right="0" w:hanging="200"/>
              <w:jc w:val="both"/>
              <w:rPr/>
            </w:pPr>
            <w:r>
              <w:rPr>
                <w:spacing w:val="4"/>
              </w:rPr>
              <w:t>Justin D. Benincasa</w:t>
            </w:r>
            <w:r>
              <w:rPr/>
              <w:t xml:space="preserve"> </w:t>
              <w:br/>
            </w:r>
            <w:r>
              <w:rPr>
                <w:i/>
                <w:spacing w:val="4"/>
              </w:rPr>
              <w:t>Chief Financial Officer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408,000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923,945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40" w:before="0" w:after="283"/>
              <w:jc w:val="right"/>
              <w:rPr/>
            </w:pPr>
            <w:r>
              <w:rPr/>
              <w:t>​</w:t>
            </w:r>
          </w:p>
        </w:tc>
        <w:tc>
          <w:tcPr>
            <w:tcW w:w="1050" w:type="dxa"/>
            <w:tcBorders/>
            <w:shd w:fill="auto" w:val="clear"/>
            <w:tcMar>
              <w:bottom w:w="0" w:type="dxa"/>
            </w:tcMar>
            <w:vAlign w:val="center"/>
          </w:tcPr>
          <w:p>
            <w:pPr>
              <w:pStyle w:val="TableContents"/>
              <w:spacing w:lineRule="atLeast" w:line="240" w:before="0" w:after="283"/>
              <w:jc w:val="right"/>
              <w:rPr/>
            </w:pPr>
            <w:r>
              <w:rPr/>
              <w:t>290,000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lineRule="atLeast" w:line="240" w:before="0" w:after="283"/>
              <w:jc w:val="right"/>
              <w:rPr/>
            </w:pPr>
            <w:r>
              <w:rPr/>
              <w:t>​</w:t>
            </w:r>
          </w:p>
        </w:tc>
        <w:tc>
          <w:tcPr>
            <w:tcW w:w="1007" w:type="dxa"/>
            <w:tcBorders/>
            <w:shd w:fill="auto" w:val="clear"/>
            <w:tcMar>
              <w:bottom w:w="0" w:type="dxa"/>
            </w:tcMar>
            <w:vAlign w:val="center"/>
          </w:tcPr>
          <w:p>
            <w:pPr>
              <w:pStyle w:val="TableContents"/>
              <w:spacing w:lineRule="atLeast" w:line="240" w:before="0" w:after="283"/>
              <w:jc w:val="right"/>
              <w:rPr/>
            </w:pPr>
            <w:r>
              <w:rPr/>
              <w:t>44,240</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1,666,185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0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398,000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892,620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252,000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43,040</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1,585,660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0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390,000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549,327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243,000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44,440</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1,226,767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03"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 xml:space="preserve">Brad W. Martin </w:t>
            </w:r>
            <w:r>
              <w:rPr/>
              <w:br/>
            </w:r>
            <w:r>
              <w:rPr>
                <w:i/>
                <w:spacing w:val="4"/>
              </w:rPr>
              <w:t>Chief Operating Officer</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374,000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923,945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40" w:before="0" w:after="283"/>
              <w:jc w:val="right"/>
              <w:rPr/>
            </w:pPr>
            <w:r>
              <w:rPr/>
              <w:t>​</w:t>
            </w:r>
          </w:p>
        </w:tc>
        <w:tc>
          <w:tcPr>
            <w:tcW w:w="1050" w:type="dxa"/>
            <w:tcBorders/>
            <w:shd w:fill="CCEEFF" w:val="clear"/>
            <w:tcMar>
              <w:bottom w:w="0" w:type="dxa"/>
            </w:tcMar>
            <w:vAlign w:val="center"/>
          </w:tcPr>
          <w:p>
            <w:pPr>
              <w:pStyle w:val="TableContents"/>
              <w:spacing w:lineRule="atLeast" w:line="240" w:before="0" w:after="283"/>
              <w:jc w:val="right"/>
              <w:rPr/>
            </w:pPr>
            <w:r>
              <w:rPr/>
              <w:t>267,000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lineRule="atLeast" w:line="240" w:before="0" w:after="283"/>
              <w:jc w:val="right"/>
              <w:rPr/>
            </w:pPr>
            <w:r>
              <w:rPr/>
              <w:t>​</w:t>
            </w:r>
          </w:p>
        </w:tc>
        <w:tc>
          <w:tcPr>
            <w:tcW w:w="1007" w:type="dxa"/>
            <w:tcBorders/>
            <w:shd w:fill="CCEEFF" w:val="clear"/>
            <w:tcMar>
              <w:bottom w:w="0" w:type="dxa"/>
            </w:tcMar>
            <w:vAlign w:val="center"/>
          </w:tcPr>
          <w:p>
            <w:pPr>
              <w:pStyle w:val="TableContents"/>
              <w:spacing w:lineRule="atLeast" w:line="240" w:before="0" w:after="283"/>
              <w:jc w:val="right"/>
              <w:rPr/>
            </w:pPr>
            <w:r>
              <w:rPr/>
              <w:t>12,200</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1,577,145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30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365,000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826,500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232,000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11,600</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1,435,100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30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335,000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395,103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181,000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11,400</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922,503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303" w:type="dxa"/>
            <w:vMerge w:val="restart"/>
            <w:tcBorders/>
            <w:shd w:fill="auto" w:val="clear"/>
            <w:tcMar>
              <w:bottom w:w="0" w:type="dxa"/>
            </w:tcMar>
            <w:vAlign w:val="center"/>
          </w:tcPr>
          <w:p>
            <w:pPr>
              <w:pStyle w:val="TableContents"/>
              <w:spacing w:lineRule="atLeast" w:line="240" w:before="0" w:after="0"/>
              <w:ind w:left="200" w:right="0" w:hanging="200"/>
              <w:jc w:val="left"/>
              <w:rPr>
                <w:i/>
              </w:rPr>
            </w:pPr>
            <w:r>
              <w:rPr>
                <w:i w:val="false"/>
                <w:caps w:val="false"/>
                <w:smallCaps w:val="false"/>
                <w:spacing w:val="4"/>
              </w:rPr>
              <w:t xml:space="preserve">Mary M. Mabey </w:t>
            </w:r>
            <w:r>
              <w:rPr>
                <w:i/>
              </w:rPr>
              <w:br/>
            </w:r>
            <w:r>
              <w:rPr>
                <w:i/>
                <w:spacing w:val="4"/>
              </w:rPr>
              <w:t xml:space="preserve">Senior Vice President, </w:t>
              <w:br/>
              <w:t xml:space="preserve">General Counsel and </w:t>
              <w:br/>
              <w:t>Corporate Secretary</w:t>
            </w:r>
            <w:r>
              <w:rPr>
                <w:i/>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325,000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682,165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40" w:before="0" w:after="283"/>
              <w:jc w:val="right"/>
              <w:rPr/>
            </w:pPr>
            <w:r>
              <w:rPr/>
              <w:t>​</w:t>
            </w:r>
          </w:p>
        </w:tc>
        <w:tc>
          <w:tcPr>
            <w:tcW w:w="1050" w:type="dxa"/>
            <w:tcBorders/>
            <w:shd w:fill="auto" w:val="clear"/>
            <w:tcMar>
              <w:bottom w:w="0" w:type="dxa"/>
            </w:tcMar>
            <w:vAlign w:val="center"/>
          </w:tcPr>
          <w:p>
            <w:pPr>
              <w:pStyle w:val="TableContents"/>
              <w:spacing w:lineRule="atLeast" w:line="240" w:before="0" w:after="283"/>
              <w:jc w:val="right"/>
              <w:rPr/>
            </w:pPr>
            <w:r>
              <w:rPr/>
              <w:t>150,000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lineRule="atLeast" w:line="240" w:before="0" w:after="283"/>
              <w:jc w:val="right"/>
              <w:rPr/>
            </w:pPr>
            <w:r>
              <w:rPr/>
              <w:t>​</w:t>
            </w:r>
          </w:p>
        </w:tc>
        <w:tc>
          <w:tcPr>
            <w:tcW w:w="1007" w:type="dxa"/>
            <w:tcBorders/>
            <w:shd w:fill="auto" w:val="clear"/>
            <w:tcMar>
              <w:bottom w:w="0" w:type="dxa"/>
            </w:tcMar>
            <w:vAlign w:val="center"/>
          </w:tcPr>
          <w:p>
            <w:pPr>
              <w:pStyle w:val="TableContents"/>
              <w:spacing w:lineRule="atLeast" w:line="240" w:before="0" w:after="283"/>
              <w:jc w:val="right"/>
              <w:rPr/>
            </w:pPr>
            <w:r>
              <w:rPr/>
              <w:t>12,200</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1,169,365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0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285,000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528,960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120,000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9,822</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943,782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0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275,000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330,112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114,000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10,255</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729,367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03" w:type="dxa"/>
            <w:tcBorders/>
            <w:shd w:fill="CCEEFF" w:val="clear"/>
            <w:tcMar>
              <w:bottom w:w="0" w:type="dxa"/>
            </w:tcMar>
            <w:vAlign w:val="center"/>
          </w:tcPr>
          <w:p>
            <w:pPr>
              <w:pStyle w:val="TableContents"/>
              <w:spacing w:before="0" w:after="0"/>
              <w:ind w:left="200" w:right="0" w:hanging="200"/>
              <w:jc w:val="both"/>
              <w:rPr/>
            </w:pPr>
            <w:r>
              <w:rPr>
                <w:spacing w:val="4"/>
              </w:rPr>
              <w:t xml:space="preserve">Justin M. Leon(3) </w:t>
            </w:r>
            <w:r>
              <w:rPr/>
              <w:br/>
            </w:r>
            <w:r>
              <w:rPr>
                <w:i/>
                <w:spacing w:val="4"/>
              </w:rPr>
              <w:t xml:space="preserve">Senior Vice President, </w:t>
              <w:br/>
              <w:t>Corporate Development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492,195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125,000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9,700</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876,895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the grant date value, presented in accordance with FASB ASC Topic 718. The amounts in this column do not include restricted stock unit grants made on March 7, 2023, for 2022 achievements. </w:t>
      </w:r>
      <w:r>
        <mc:AlternateContent>
          <mc:Choice Requires="wps">
            <w:drawing>
              <wp:anchor behindDoc="0" distT="11684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largest"/>
                <wp:docPr id="162" name="Frame1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matching contributions made by the Company to each of the named executive officers pursuant to the ATN International, Inc. 401(k) Plan, contributions made by us to a non-qualified deferred compensation plan for all three years for Messrs. Prior and Benincasa and dividends earned on unvested restricted stock awards for 2020 for Messrs. Prior and Benincasa and Ms. Mabey. </w:t>
      </w:r>
      <w:r>
        <mc:AlternateContent>
          <mc:Choice Requires="wps">
            <w:drawing>
              <wp:anchor behindDoc="0" distT="6604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largest"/>
                <wp:docPr id="163" name="Frame16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2022, such amounts were as follows: </w:t>
      </w:r>
    </w:p>
    <w:tbl>
      <w:tblPr>
        <w:tblW w:w="7086" w:type="dxa"/>
        <w:jc w:val="left"/>
        <w:tblInd w:w="1393" w:type="dxa"/>
        <w:tblCellMar>
          <w:top w:w="0" w:type="dxa"/>
          <w:left w:w="0" w:type="dxa"/>
          <w:bottom w:w="28" w:type="dxa"/>
          <w:right w:w="0" w:type="dxa"/>
        </w:tblCellMar>
      </w:tblPr>
      <w:tblGrid>
        <w:gridCol w:w="2112"/>
        <w:gridCol w:w="109"/>
        <w:gridCol w:w="109"/>
        <w:gridCol w:w="140"/>
        <w:gridCol w:w="140"/>
        <w:gridCol w:w="995"/>
        <w:gridCol w:w="143"/>
        <w:gridCol w:w="109"/>
        <w:gridCol w:w="109"/>
        <w:gridCol w:w="164"/>
        <w:gridCol w:w="164"/>
        <w:gridCol w:w="1161"/>
        <w:gridCol w:w="166"/>
        <w:gridCol w:w="109"/>
        <w:gridCol w:w="109"/>
        <w:gridCol w:w="109"/>
        <w:gridCol w:w="109"/>
        <w:gridCol w:w="766"/>
        <w:gridCol w:w="109"/>
        <w:gridCol w:w="154"/>
      </w:tblGrid>
      <w:tr>
        <w:trPr/>
        <w:tc>
          <w:tcPr>
            <w:tcW w:w="211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8"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401(K) </w:t>
              <w:br/>
              <w:t xml:space="preserve">Matching </w:t>
              <w:br/>
              <w:t xml:space="preserve">Contributions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55"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Contributions to </w:t>
              <w:br/>
              <w:t xml:space="preserve">Non-Qualified </w:t>
              <w:br/>
              <w:t xml:space="preserve">Deferred </w:t>
              <w:br/>
              <w:t xml:space="preserve">Compensation </w:t>
              <w:br/>
              <w:t xml:space="preserve">Plan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Total </w:t>
              <w:b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11,600</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jc w:val="right"/>
              <w:rPr/>
            </w:pPr>
            <w:r>
              <w:rPr/>
              <w:t>​</w:t>
            </w:r>
          </w:p>
        </w:tc>
        <w:tc>
          <w:tcPr>
            <w:tcW w:w="1161" w:type="dxa"/>
            <w:tcBorders/>
            <w:shd w:fill="CCEEFF" w:val="clear"/>
            <w:tcMar>
              <w:bottom w:w="0" w:type="dxa"/>
            </w:tcMar>
            <w:vAlign w:val="center"/>
          </w:tcPr>
          <w:p>
            <w:pPr>
              <w:pStyle w:val="TableContents"/>
              <w:spacing w:before="0" w:after="283"/>
              <w:jc w:val="right"/>
              <w:rPr/>
            </w:pPr>
            <w:r>
              <w:rPr/>
              <w:t>53,920</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65,520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Justin D. Benincasa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11,600</w:t>
            </w:r>
          </w:p>
        </w:tc>
        <w:tc>
          <w:tcPr>
            <w:tcW w:w="14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jc w:val="right"/>
              <w:rPr/>
            </w:pPr>
            <w:r>
              <w:rPr/>
              <w:t>​</w:t>
            </w:r>
          </w:p>
        </w:tc>
        <w:tc>
          <w:tcPr>
            <w:tcW w:w="1161" w:type="dxa"/>
            <w:tcBorders/>
            <w:shd w:fill="auto" w:val="clear"/>
            <w:tcMar>
              <w:bottom w:w="0" w:type="dxa"/>
            </w:tcMar>
            <w:vAlign w:val="center"/>
          </w:tcPr>
          <w:p>
            <w:pPr>
              <w:pStyle w:val="TableContents"/>
              <w:spacing w:before="0" w:after="283"/>
              <w:jc w:val="right"/>
              <w:rPr/>
            </w:pPr>
            <w:r>
              <w:rPr/>
              <w:t>32,640</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44,240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12,200</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jc w:val="right"/>
              <w:rPr/>
            </w:pPr>
            <w:r>
              <w:rPr/>
              <w:t>​</w:t>
            </w:r>
          </w:p>
        </w:tc>
        <w:tc>
          <w:tcPr>
            <w:tcW w:w="1161" w:type="dxa"/>
            <w:tcBorders/>
            <w:shd w:fill="CCEEFF" w:val="clear"/>
            <w:tcMar>
              <w:bottom w:w="0" w:type="dxa"/>
            </w:tcMar>
            <w:vAlign w:val="center"/>
          </w:tcPr>
          <w:p>
            <w:pPr>
              <w:pStyle w:val="TableContents"/>
              <w:spacing w:before="0" w:after="283"/>
              <w:jc w:val="right"/>
              <w:rPr/>
            </w:pPr>
            <w:r>
              <w:rPr/>
              <w:t>—</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12,200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Mary M. Mabey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12,200</w:t>
            </w:r>
          </w:p>
        </w:tc>
        <w:tc>
          <w:tcPr>
            <w:tcW w:w="14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jc w:val="right"/>
              <w:rPr/>
            </w:pPr>
            <w:r>
              <w:rPr/>
              <w:t>​</w:t>
            </w:r>
          </w:p>
        </w:tc>
        <w:tc>
          <w:tcPr>
            <w:tcW w:w="1161" w:type="dxa"/>
            <w:tcBorders/>
            <w:shd w:fill="auto" w:val="clear"/>
            <w:tcMar>
              <w:bottom w:w="0" w:type="dxa"/>
            </w:tcMar>
            <w:vAlign w:val="center"/>
          </w:tcPr>
          <w:p>
            <w:pPr>
              <w:pStyle w:val="TableContents"/>
              <w:spacing w:before="0" w:after="283"/>
              <w:jc w:val="right"/>
              <w:rPr/>
            </w:pPr>
            <w:r>
              <w:rPr/>
              <w:t>—</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12,200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9,700</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jc w:val="right"/>
              <w:rPr/>
            </w:pPr>
            <w:r>
              <w:rPr/>
              <w:t>​</w:t>
            </w:r>
          </w:p>
        </w:tc>
        <w:tc>
          <w:tcPr>
            <w:tcW w:w="1161" w:type="dxa"/>
            <w:tcBorders/>
            <w:shd w:fill="CCEEFF" w:val="clear"/>
            <w:tcMar>
              <w:bottom w:w="0" w:type="dxa"/>
            </w:tcMar>
            <w:vAlign w:val="center"/>
          </w:tcPr>
          <w:p>
            <w:pPr>
              <w:pStyle w:val="TableContents"/>
              <w:spacing w:before="0" w:after="283"/>
              <w:jc w:val="right"/>
              <w:rPr/>
            </w:pPr>
            <w:r>
              <w:rPr/>
              <w:t>—</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9,700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Leon was named an executive officer of the Company in 2022. </w:t>
      </w:r>
      <w:r>
        <mc:AlternateContent>
          <mc:Choice Requires="wps">
            <w:drawing>
              <wp:anchor behindDoc="0" distT="6604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largest"/>
                <wp:docPr id="164" name="Frame1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GOPA"/>
      <w:bookmarkEnd w:id="5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889"/>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additional information regarding stock awards granted to our named executive officers during the fiscal year ended December 31, 2022: </w:t>
      </w:r>
    </w:p>
    <w:tbl>
      <w:tblPr>
        <w:tblW w:w="10974" w:type="dxa"/>
        <w:jc w:val="left"/>
        <w:tblInd w:w="1393" w:type="dxa"/>
        <w:tblCellMar>
          <w:top w:w="0" w:type="dxa"/>
          <w:left w:w="0" w:type="dxa"/>
          <w:bottom w:w="28" w:type="dxa"/>
          <w:right w:w="0" w:type="dxa"/>
        </w:tblCellMar>
      </w:tblPr>
      <w:tblGrid>
        <w:gridCol w:w="1241"/>
        <w:gridCol w:w="109"/>
        <w:gridCol w:w="109"/>
        <w:gridCol w:w="1336"/>
        <w:gridCol w:w="109"/>
        <w:gridCol w:w="109"/>
        <w:gridCol w:w="109"/>
        <w:gridCol w:w="109"/>
        <w:gridCol w:w="586"/>
        <w:gridCol w:w="109"/>
        <w:gridCol w:w="109"/>
        <w:gridCol w:w="109"/>
        <w:gridCol w:w="168"/>
        <w:gridCol w:w="168"/>
        <w:gridCol w:w="535"/>
        <w:gridCol w:w="171"/>
        <w:gridCol w:w="109"/>
        <w:gridCol w:w="109"/>
        <w:gridCol w:w="109"/>
        <w:gridCol w:w="109"/>
        <w:gridCol w:w="886"/>
        <w:gridCol w:w="109"/>
        <w:gridCol w:w="109"/>
        <w:gridCol w:w="109"/>
        <w:gridCol w:w="172"/>
        <w:gridCol w:w="172"/>
        <w:gridCol w:w="546"/>
        <w:gridCol w:w="173"/>
        <w:gridCol w:w="109"/>
        <w:gridCol w:w="109"/>
        <w:gridCol w:w="109"/>
        <w:gridCol w:w="109"/>
        <w:gridCol w:w="766"/>
        <w:gridCol w:w="109"/>
        <w:gridCol w:w="109"/>
        <w:gridCol w:w="109"/>
        <w:gridCol w:w="109"/>
        <w:gridCol w:w="109"/>
        <w:gridCol w:w="1066"/>
        <w:gridCol w:w="109"/>
        <w:gridCol w:w="154"/>
      </w:tblGrid>
      <w:tr>
        <w:trPr/>
        <w:tc>
          <w:tcPr>
            <w:tcW w:w="124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58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754" w:type="dxa"/>
            <w:gridSpan w:val="16"/>
            <w:tcBorders>
              <w:bottom w:val="single" w:sz="2" w:space="0" w:color="000000"/>
            </w:tcBorders>
            <w:shd w:fill="auto" w:val="clear"/>
            <w:tcMar>
              <w:bottom w:w="47" w:type="dxa"/>
            </w:tcMar>
            <w:vAlign w:val="center"/>
          </w:tcPr>
          <w:p>
            <w:pPr>
              <w:pStyle w:val="TableContents"/>
              <w:spacing w:before="0" w:after="0"/>
              <w:jc w:val="center"/>
              <w:rPr/>
            </w:pPr>
            <w:r>
              <w:rPr>
                <w:spacing w:val="-3"/>
              </w:rPr>
              <w:t xml:space="preserve">Estimated Future </w:t>
              <w:br/>
              <w:t xml:space="preserve">Payouts Under </w:t>
              <w:br/>
              <w:t xml:space="preserve">Non-Equity </w:t>
              <w:br/>
              <w:t>Incentive Plan Awards</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3" w:type="dxa"/>
            <w:gridSpan w:val="4"/>
            <w:vMerge w:val="restart"/>
            <w:tcBorders>
              <w:bottom w:val="single" w:sz="2" w:space="0" w:color="000000"/>
            </w:tcBorders>
            <w:shd w:fill="auto" w:val="clear"/>
            <w:tcMar>
              <w:bottom w:w="47" w:type="dxa"/>
            </w:tcMar>
            <w:vAlign w:val="center"/>
          </w:tcPr>
          <w:p>
            <w:pPr>
              <w:pStyle w:val="TableContents"/>
              <w:spacing w:lineRule="atLeast" w:line="191" w:before="0" w:after="0"/>
              <w:jc w:val="center"/>
              <w:rPr/>
            </w:pPr>
            <w:r>
              <w:rPr>
                <w:spacing w:val="-3"/>
              </w:rPr>
              <w:t xml:space="preserve">All Other </w:t>
              <w:br/>
              <w:t xml:space="preserve">Stock </w:t>
              <w:br/>
              <w:t xml:space="preserve">Awards: </w:t>
              <w:br/>
              <w:t xml:space="preserve">Number </w:t>
              <w:br/>
              <w:t xml:space="preserve">of Shares </w:t>
              <w:br/>
              <w:t xml:space="preserve">of Stock </w:t>
              <w:br/>
              <w:t>(#)</w:t>
            </w:r>
            <w:r>
              <w:rP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93" w:type="dxa"/>
            <w:gridSpan w:val="4"/>
            <w:vMerge w:val="restart"/>
            <w:tcBorders>
              <w:bottom w:val="single" w:sz="2" w:space="0" w:color="000000"/>
            </w:tcBorders>
            <w:shd w:fill="auto" w:val="clear"/>
            <w:tcMar>
              <w:bottom w:w="47" w:type="dxa"/>
            </w:tcMar>
            <w:vAlign w:val="center"/>
          </w:tcPr>
          <w:p>
            <w:pPr>
              <w:pStyle w:val="TableContents"/>
              <w:spacing w:lineRule="atLeast" w:line="191" w:before="0" w:after="0"/>
              <w:jc w:val="center"/>
              <w:rPr/>
            </w:pPr>
            <w:r>
              <w:rPr>
                <w:spacing w:val="-3"/>
              </w:rPr>
              <w:t xml:space="preserve">Grant Date </w:t>
              <w:br/>
              <w:t xml:space="preserve">Fair Value </w:t>
              <w:br/>
              <w:t xml:space="preserve">of Stock </w:t>
              <w:br/>
              <w:t>($)(4)</w:t>
            </w:r>
            <w:r>
              <w:rP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241" w:type="dxa"/>
            <w:tcBorders>
              <w:bottom w:val="single" w:sz="2" w:space="0" w:color="000000"/>
            </w:tcBorders>
            <w:shd w:fill="auto" w:val="clear"/>
            <w:tcMar>
              <w:bottom w:w="47"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6" w:type="dxa"/>
            <w:tcBorders>
              <w:bottom w:val="single" w:sz="2" w:space="0" w:color="000000"/>
            </w:tcBorders>
            <w:shd w:fill="auto" w:val="clear"/>
            <w:tcMar>
              <w:bottom w:w="47" w:type="dxa"/>
            </w:tcMar>
            <w:vAlign w:val="center"/>
          </w:tcPr>
          <w:p>
            <w:pPr>
              <w:pStyle w:val="TableContents"/>
              <w:spacing w:before="0" w:after="0"/>
              <w:jc w:val="center"/>
              <w:rPr>
                <w:spacing w:val="-3"/>
              </w:rPr>
            </w:pPr>
            <w:r>
              <w:rPr>
                <w:spacing w:val="-3"/>
              </w:rPr>
              <w:t xml:space="preserve">Type of Award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13" w:type="dxa"/>
            <w:gridSpan w:val="4"/>
            <w:tcBorders>
              <w:bottom w:val="single" w:sz="2" w:space="0" w:color="000000"/>
            </w:tcBorders>
            <w:shd w:fill="auto" w:val="clear"/>
            <w:tcMar>
              <w:bottom w:w="47" w:type="dxa"/>
            </w:tcMar>
            <w:vAlign w:val="center"/>
          </w:tcPr>
          <w:p>
            <w:pPr>
              <w:pStyle w:val="TableContents"/>
              <w:spacing w:before="0" w:after="0"/>
              <w:jc w:val="center"/>
              <w:rPr>
                <w:spacing w:val="-3"/>
              </w:rPr>
            </w:pPr>
            <w:r>
              <w:rPr>
                <w:spacing w:val="-3"/>
              </w:rPr>
              <w:t xml:space="preserve">Grant </w:t>
              <w:br/>
              <w:t xml:space="preserve">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tcMar>
              <w:bottom w:w="47" w:type="dxa"/>
            </w:tcMar>
            <w:vAlign w:val="center"/>
          </w:tcPr>
          <w:p>
            <w:pPr>
              <w:pStyle w:val="TableContents"/>
              <w:spacing w:before="0" w:after="0"/>
              <w:jc w:val="center"/>
              <w:rPr/>
            </w:pPr>
            <w:r>
              <w:rPr>
                <w:spacing w:val="-3"/>
              </w:rPr>
              <w:t xml:space="preserve">Threshold </w:t>
              <w:b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7" w:type="dxa"/>
            </w:tcM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63" w:type="dxa"/>
            <w:gridSpan w:val="4"/>
            <w:tcBorders>
              <w:bottom w:val="single" w:sz="2" w:space="0" w:color="000000"/>
            </w:tcBorders>
            <w:shd w:fill="auto" w:val="clear"/>
            <w:tcMar>
              <w:bottom w:w="47" w:type="dxa"/>
            </w:tcMar>
            <w:vAlign w:val="center"/>
          </w:tcPr>
          <w:p>
            <w:pPr>
              <w:pStyle w:val="TableContents"/>
              <w:spacing w:before="0" w:after="0"/>
              <w:jc w:val="center"/>
              <w:rPr>
                <w:spacing w:val="-3"/>
              </w:rPr>
            </w:pPr>
            <w:r>
              <w:rPr>
                <w:spacing w:val="-3"/>
              </w:rPr>
              <w:t xml:space="preserve">Maximum </w:t>
              <w:br/>
              <w:t xml:space="preserve">($)(1)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093" w:type="dxa"/>
            <w:gridSpan w:val="4"/>
            <w:vMerge w:val="continue"/>
            <w:tcBorders>
              <w:bottom w:val="single" w:sz="2" w:space="0" w:color="000000"/>
            </w:tcBorders>
            <w:shd w:fill="auto" w:val="clear"/>
            <w:tcMar>
              <w:bottom w:w="4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393" w:type="dxa"/>
            <w:gridSpan w:val="4"/>
            <w:vMerge w:val="continue"/>
            <w:tcBorders>
              <w:bottom w:val="single" w:sz="2" w:space="0" w:color="000000"/>
            </w:tcBorders>
            <w:shd w:fill="auto" w:val="clear"/>
            <w:tcMar>
              <w:bottom w:w="47"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241" w:type="dxa"/>
            <w:vMerge w:val="restart"/>
            <w:tcBorders/>
            <w:shd w:fill="CCEEFF" w:val="clear"/>
            <w:tcMar>
              <w:bottom w:w="0" w:type="dxa"/>
            </w:tcMar>
            <w:vAlign w:val="center"/>
          </w:tcPr>
          <w:p>
            <w:pPr>
              <w:pStyle w:val="TableContents"/>
              <w:spacing w:lineRule="atLeast" w:line="190" w:before="0" w:after="0"/>
              <w:ind w:left="170" w:right="0" w:hanging="170"/>
              <w:jc w:val="both"/>
              <w:rPr/>
            </w:pPr>
            <w:r>
              <w:rPr>
                <w:spacing w:val="3"/>
              </w:rPr>
              <w:t xml:space="preserve">Michael T. Prior </w:t>
            </w:r>
            <w:r>
              <w:rPr/>
              <w:br/>
            </w:r>
            <w:r>
              <w:rPr>
                <w:i/>
                <w:spacing w:val="3"/>
              </w:rPr>
              <w:t xml:space="preserve">Chairman, Chief Executive </w:t>
              <w:br/>
              <w:t>Officer and President</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Annual Cash Bonus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586" w:type="dxa"/>
            <w:tcBorders/>
            <w:shd w:fill="CCEEFF" w:val="clear"/>
            <w:tcMar>
              <w:bottom w:w="0" w:type="dxa"/>
            </w:tcMar>
            <w:vAlign w:val="center"/>
          </w:tcPr>
          <w:p>
            <w:pPr>
              <w:pStyle w:val="TableContents"/>
              <w:spacing w:lineRule="atLeast" w:line="19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190" w:before="0" w:after="283"/>
              <w:jc w:val="right"/>
              <w:rPr/>
            </w:pPr>
            <w:r>
              <w:rPr/>
              <w:t>​</w:t>
            </w:r>
          </w:p>
        </w:tc>
        <w:tc>
          <w:tcPr>
            <w:tcW w:w="535" w:type="dxa"/>
            <w:tcBorders/>
            <w:shd w:fill="CCEEFF" w:val="clear"/>
            <w:tcMar>
              <w:bottom w:w="0" w:type="dxa"/>
            </w:tcMar>
            <w:vAlign w:val="center"/>
          </w:tcPr>
          <w:p>
            <w:pPr>
              <w:pStyle w:val="TableContents"/>
              <w:spacing w:lineRule="atLeast" w:line="19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886" w:type="dxa"/>
            <w:tcBorders/>
            <w:shd w:fill="CCEEFF" w:val="clear"/>
            <w:tcMar>
              <w:bottom w:w="0" w:type="dxa"/>
            </w:tcMar>
            <w:vAlign w:val="center"/>
          </w:tcPr>
          <w:p>
            <w:pPr>
              <w:pStyle w:val="TableContents"/>
              <w:spacing w:lineRule="atLeast" w:line="190" w:before="0" w:after="283"/>
              <w:jc w:val="right"/>
              <w:rPr/>
            </w:pPr>
            <w:r>
              <w:rPr/>
              <w:t>674,000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lineRule="atLeast" w:line="190" w:before="0" w:after="283"/>
              <w:jc w:val="right"/>
              <w:rPr/>
            </w:pPr>
            <w:r>
              <w:rPr/>
              <w:t>​</w:t>
            </w:r>
          </w:p>
        </w:tc>
        <w:tc>
          <w:tcPr>
            <w:tcW w:w="546" w:type="dxa"/>
            <w:tcBorders/>
            <w:shd w:fill="CCEEFF" w:val="clear"/>
            <w:tcMar>
              <w:bottom w:w="0" w:type="dxa"/>
            </w:tcMar>
            <w:vAlign w:val="center"/>
          </w:tcPr>
          <w:p>
            <w:pPr>
              <w:pStyle w:val="TableContents"/>
              <w:spacing w:lineRule="atLeast" w:line="190"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7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before="0" w:after="283"/>
              <w:jc w:val="left"/>
              <w:rPr>
                <w:spacing w:val="3"/>
              </w:rPr>
            </w:pPr>
            <w:r>
              <w:rPr>
                <w:spacing w:val="3"/>
              </w:rPr>
              <w:t xml:space="preserve">Restricted Stock Units(2)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3/25/2022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 xml:space="preserve">—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21,450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843,414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before="0" w:after="0"/>
              <w:jc w:val="left"/>
              <w:rPr>
                <w:spacing w:val="3"/>
              </w:rPr>
            </w:pPr>
            <w:r>
              <w:rPr>
                <w:spacing w:val="3"/>
              </w:rPr>
              <w:t xml:space="preserve">Performance Stock Units(3)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3/25/2022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 xml:space="preserve">—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21,450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1,008,794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restart"/>
            <w:tcBorders/>
            <w:shd w:fill="auto" w:val="clear"/>
            <w:tcMar>
              <w:bottom w:w="0" w:type="dxa"/>
            </w:tcMar>
            <w:vAlign w:val="center"/>
          </w:tcPr>
          <w:p>
            <w:pPr>
              <w:pStyle w:val="TableContents"/>
              <w:spacing w:lineRule="atLeast" w:line="190" w:before="0" w:after="0"/>
              <w:ind w:left="170" w:right="0" w:hanging="170"/>
              <w:jc w:val="both"/>
              <w:rPr/>
            </w:pPr>
            <w:r>
              <w:rPr>
                <w:spacing w:val="3"/>
              </w:rPr>
              <w:t>Justin D. Benincasa</w:t>
            </w:r>
            <w:r>
              <w:rPr/>
              <w:t xml:space="preserve"> </w:t>
              <w:br/>
            </w:r>
            <w:r>
              <w:rPr>
                <w:i/>
                <w:spacing w:val="3"/>
              </w:rPr>
              <w:t>Chief Financial Officer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6" w:type="dxa"/>
            <w:tcBorders/>
            <w:shd w:fill="auto" w:val="clear"/>
            <w:tcMar>
              <w:bottom w:w="0" w:type="dxa"/>
            </w:tcMar>
            <w:vAlign w:val="center"/>
          </w:tcPr>
          <w:p>
            <w:pPr>
              <w:pStyle w:val="TableContents"/>
              <w:spacing w:lineRule="atLeast" w:line="190" w:before="0" w:after="0"/>
              <w:jc w:val="left"/>
              <w:rPr>
                <w:spacing w:val="3"/>
              </w:rPr>
            </w:pPr>
            <w:r>
              <w:rPr>
                <w:spacing w:val="3"/>
              </w:rPr>
              <w:t xml:space="preserve">Annual Cash Bonus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586" w:type="dxa"/>
            <w:tcBorders/>
            <w:shd w:fill="auto" w:val="clear"/>
            <w:tcMar>
              <w:bottom w:w="0" w:type="dxa"/>
            </w:tcMar>
            <w:vAlign w:val="center"/>
          </w:tcPr>
          <w:p>
            <w:pPr>
              <w:pStyle w:val="TableContents"/>
              <w:spacing w:lineRule="atLeast" w:line="19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lineRule="atLeast" w:line="190" w:before="0" w:after="283"/>
              <w:jc w:val="right"/>
              <w:rPr/>
            </w:pPr>
            <w:r>
              <w:rPr/>
              <w:t>​</w:t>
            </w:r>
          </w:p>
        </w:tc>
        <w:tc>
          <w:tcPr>
            <w:tcW w:w="535" w:type="dxa"/>
            <w:tcBorders/>
            <w:shd w:fill="auto" w:val="clear"/>
            <w:tcMar>
              <w:bottom w:w="0" w:type="dxa"/>
            </w:tcMar>
            <w:vAlign w:val="center"/>
          </w:tcPr>
          <w:p>
            <w:pPr>
              <w:pStyle w:val="TableContents"/>
              <w:spacing w:lineRule="atLeast" w:line="190"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886" w:type="dxa"/>
            <w:tcBorders/>
            <w:shd w:fill="auto" w:val="clear"/>
            <w:tcMar>
              <w:bottom w:w="0" w:type="dxa"/>
            </w:tcMar>
            <w:vAlign w:val="center"/>
          </w:tcPr>
          <w:p>
            <w:pPr>
              <w:pStyle w:val="TableContents"/>
              <w:spacing w:lineRule="atLeast" w:line="190" w:before="0" w:after="283"/>
              <w:jc w:val="right"/>
              <w:rPr/>
            </w:pPr>
            <w:r>
              <w:rPr/>
              <w:t>306,000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lineRule="atLeast" w:line="190" w:before="0" w:after="283"/>
              <w:jc w:val="right"/>
              <w:rPr/>
            </w:pPr>
            <w:r>
              <w:rPr/>
              <w:t>​</w:t>
            </w:r>
          </w:p>
        </w:tc>
        <w:tc>
          <w:tcPr>
            <w:tcW w:w="546" w:type="dxa"/>
            <w:tcBorders/>
            <w:shd w:fill="auto" w:val="clear"/>
            <w:tcMar>
              <w:bottom w:w="0" w:type="dxa"/>
            </w:tcMar>
            <w:vAlign w:val="center"/>
          </w:tcPr>
          <w:p>
            <w:pPr>
              <w:pStyle w:val="TableContents"/>
              <w:spacing w:lineRule="atLeast" w:line="190" w:before="0" w:after="283"/>
              <w:jc w:val="right"/>
              <w:rPr/>
            </w:pPr>
            <w:r>
              <w:rPr/>
              <w:t>—</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7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336" w:type="dxa"/>
            <w:tcBorders/>
            <w:shd w:fill="auto" w:val="clear"/>
            <w:tcMar>
              <w:bottom w:w="0" w:type="dxa"/>
            </w:tcMar>
            <w:vAlign w:val="center"/>
          </w:tcPr>
          <w:p>
            <w:pPr>
              <w:pStyle w:val="TableContents"/>
              <w:spacing w:before="0" w:after="283"/>
              <w:jc w:val="left"/>
              <w:rPr>
                <w:spacing w:val="3"/>
              </w:rPr>
            </w:pPr>
            <w:r>
              <w:rPr>
                <w:spacing w:val="3"/>
              </w:rPr>
              <w:t xml:space="preserve">Restricted Stock Units(2)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3/25/2022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 xml:space="preserve">— </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10,700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420,724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336" w:type="dxa"/>
            <w:tcBorders/>
            <w:shd w:fill="auto" w:val="clear"/>
            <w:tcMar>
              <w:bottom w:w="0" w:type="dxa"/>
            </w:tcMar>
            <w:vAlign w:val="center"/>
          </w:tcPr>
          <w:p>
            <w:pPr>
              <w:pStyle w:val="TableContents"/>
              <w:spacing w:before="0" w:after="0"/>
              <w:jc w:val="left"/>
              <w:rPr>
                <w:spacing w:val="3"/>
              </w:rPr>
            </w:pPr>
            <w:r>
              <w:rPr>
                <w:spacing w:val="3"/>
              </w:rPr>
              <w:t xml:space="preserve">Performance Stock Units(3)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3/25/2022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 xml:space="preserve">— </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10,700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503,221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1" w:type="dxa"/>
            <w:vMerge w:val="restart"/>
            <w:tcBorders/>
            <w:shd w:fill="CCEEFF" w:val="clear"/>
            <w:tcMar>
              <w:bottom w:w="0" w:type="dxa"/>
            </w:tcMar>
            <w:vAlign w:val="center"/>
          </w:tcPr>
          <w:p>
            <w:pPr>
              <w:pStyle w:val="TableContents"/>
              <w:spacing w:lineRule="atLeast" w:line="190" w:before="0" w:after="0"/>
              <w:ind w:left="170" w:right="0" w:hanging="170"/>
              <w:jc w:val="both"/>
              <w:rPr/>
            </w:pPr>
            <w:r>
              <w:rPr>
                <w:spacing w:val="3"/>
              </w:rPr>
              <w:t>Brad W. Martin</w:t>
            </w:r>
            <w:r>
              <w:rPr/>
              <w:t xml:space="preserve"> </w:t>
              <w:br/>
            </w:r>
            <w:r>
              <w:rPr>
                <w:i/>
                <w:spacing w:val="3"/>
              </w:rPr>
              <w:t>Chief Operating Officer</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Annual Cash Bonus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586" w:type="dxa"/>
            <w:tcBorders/>
            <w:shd w:fill="CCEEFF" w:val="clear"/>
            <w:tcMar>
              <w:bottom w:w="0" w:type="dxa"/>
            </w:tcMar>
            <w:vAlign w:val="center"/>
          </w:tcPr>
          <w:p>
            <w:pPr>
              <w:pStyle w:val="TableContents"/>
              <w:spacing w:lineRule="atLeast" w:line="19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190" w:before="0" w:after="283"/>
              <w:jc w:val="right"/>
              <w:rPr/>
            </w:pPr>
            <w:r>
              <w:rPr/>
              <w:t>​</w:t>
            </w:r>
          </w:p>
        </w:tc>
        <w:tc>
          <w:tcPr>
            <w:tcW w:w="535" w:type="dxa"/>
            <w:tcBorders/>
            <w:shd w:fill="CCEEFF" w:val="clear"/>
            <w:tcMar>
              <w:bottom w:w="0" w:type="dxa"/>
            </w:tcMar>
            <w:vAlign w:val="center"/>
          </w:tcPr>
          <w:p>
            <w:pPr>
              <w:pStyle w:val="TableContents"/>
              <w:spacing w:lineRule="atLeast" w:line="19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886" w:type="dxa"/>
            <w:tcBorders/>
            <w:shd w:fill="CCEEFF" w:val="clear"/>
            <w:tcMar>
              <w:bottom w:w="0" w:type="dxa"/>
            </w:tcMar>
            <w:vAlign w:val="center"/>
          </w:tcPr>
          <w:p>
            <w:pPr>
              <w:pStyle w:val="TableContents"/>
              <w:spacing w:lineRule="atLeast" w:line="190" w:before="0" w:after="283"/>
              <w:jc w:val="right"/>
              <w:rPr/>
            </w:pPr>
            <w:r>
              <w:rPr/>
              <w:t>280,500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lineRule="atLeast" w:line="190" w:before="0" w:after="283"/>
              <w:jc w:val="right"/>
              <w:rPr/>
            </w:pPr>
            <w:r>
              <w:rPr/>
              <w:t>​</w:t>
            </w:r>
          </w:p>
        </w:tc>
        <w:tc>
          <w:tcPr>
            <w:tcW w:w="546" w:type="dxa"/>
            <w:tcBorders/>
            <w:shd w:fill="CCEEFF" w:val="clear"/>
            <w:tcMar>
              <w:bottom w:w="0" w:type="dxa"/>
            </w:tcMar>
            <w:vAlign w:val="center"/>
          </w:tcPr>
          <w:p>
            <w:pPr>
              <w:pStyle w:val="TableContents"/>
              <w:spacing w:lineRule="atLeast" w:line="190"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7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before="0" w:after="283"/>
              <w:jc w:val="left"/>
              <w:rPr>
                <w:spacing w:val="3"/>
              </w:rPr>
            </w:pPr>
            <w:r>
              <w:rPr>
                <w:spacing w:val="3"/>
              </w:rPr>
              <w:t xml:space="preserve">Restricted Stock Units(2)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3/25/2022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 xml:space="preserve">—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10,700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420,724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before="0" w:after="0"/>
              <w:jc w:val="left"/>
              <w:rPr>
                <w:spacing w:val="3"/>
              </w:rPr>
            </w:pPr>
            <w:r>
              <w:rPr>
                <w:spacing w:val="3"/>
              </w:rPr>
              <w:t xml:space="preserve">Performance Stock Units(3)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3/25/2022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 xml:space="preserve">—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10,700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503,221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restart"/>
            <w:tcBorders/>
            <w:shd w:fill="auto" w:val="clear"/>
            <w:tcMar>
              <w:bottom w:w="0" w:type="dxa"/>
            </w:tcMar>
            <w:vAlign w:val="center"/>
          </w:tcPr>
          <w:p>
            <w:pPr>
              <w:pStyle w:val="TableContents"/>
              <w:spacing w:lineRule="atLeast" w:line="190" w:before="0" w:after="0"/>
              <w:ind w:left="170" w:right="0" w:hanging="170"/>
              <w:jc w:val="left"/>
              <w:rPr>
                <w:i/>
              </w:rPr>
            </w:pPr>
            <w:r>
              <w:rPr>
                <w:i w:val="false"/>
                <w:caps w:val="false"/>
                <w:smallCaps w:val="false"/>
                <w:spacing w:val="3"/>
              </w:rPr>
              <w:t>Mary M.Mabey</w:t>
            </w:r>
            <w:r>
              <w:rPr>
                <w:i/>
              </w:rPr>
              <w:t xml:space="preserve"> </w:t>
              <w:br/>
            </w:r>
            <w:r>
              <w:rPr>
                <w:i/>
                <w:spacing w:val="3"/>
              </w:rPr>
              <w:t xml:space="preserve">Senior Vice President, </w:t>
              <w:br/>
              <w:t xml:space="preserve">General Counsel and </w:t>
              <w:br/>
              <w:t>Corporate Secretary</w:t>
            </w:r>
            <w:r>
              <w:rPr>
                <w:i/>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6" w:type="dxa"/>
            <w:tcBorders/>
            <w:shd w:fill="auto" w:val="clear"/>
            <w:tcMar>
              <w:bottom w:w="0" w:type="dxa"/>
            </w:tcMar>
            <w:vAlign w:val="center"/>
          </w:tcPr>
          <w:p>
            <w:pPr>
              <w:pStyle w:val="TableContents"/>
              <w:spacing w:lineRule="atLeast" w:line="190" w:before="0" w:after="0"/>
              <w:jc w:val="left"/>
              <w:rPr>
                <w:spacing w:val="3"/>
              </w:rPr>
            </w:pPr>
            <w:r>
              <w:rPr>
                <w:spacing w:val="3"/>
              </w:rPr>
              <w:t xml:space="preserve">Annual Cash Bonus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586" w:type="dxa"/>
            <w:tcBorders/>
            <w:shd w:fill="auto" w:val="clear"/>
            <w:tcMar>
              <w:bottom w:w="0" w:type="dxa"/>
            </w:tcMar>
            <w:vAlign w:val="center"/>
          </w:tcPr>
          <w:p>
            <w:pPr>
              <w:pStyle w:val="TableContents"/>
              <w:spacing w:lineRule="atLeast" w:line="19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lineRule="atLeast" w:line="190" w:before="0" w:after="283"/>
              <w:jc w:val="right"/>
              <w:rPr/>
            </w:pPr>
            <w:r>
              <w:rPr/>
              <w:t>​</w:t>
            </w:r>
          </w:p>
        </w:tc>
        <w:tc>
          <w:tcPr>
            <w:tcW w:w="535" w:type="dxa"/>
            <w:tcBorders/>
            <w:shd w:fill="auto" w:val="clear"/>
            <w:tcMar>
              <w:bottom w:w="0" w:type="dxa"/>
            </w:tcMar>
            <w:vAlign w:val="center"/>
          </w:tcPr>
          <w:p>
            <w:pPr>
              <w:pStyle w:val="TableContents"/>
              <w:spacing w:lineRule="atLeast" w:line="190"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886" w:type="dxa"/>
            <w:tcBorders/>
            <w:shd w:fill="auto" w:val="clear"/>
            <w:tcMar>
              <w:bottom w:w="0" w:type="dxa"/>
            </w:tcMar>
            <w:vAlign w:val="center"/>
          </w:tcPr>
          <w:p>
            <w:pPr>
              <w:pStyle w:val="TableContents"/>
              <w:spacing w:lineRule="atLeast" w:line="190" w:before="0" w:after="283"/>
              <w:jc w:val="right"/>
              <w:rPr/>
            </w:pPr>
            <w:r>
              <w:rPr/>
              <w:t>162,500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lineRule="atLeast" w:line="190" w:before="0" w:after="283"/>
              <w:jc w:val="right"/>
              <w:rPr/>
            </w:pPr>
            <w:r>
              <w:rPr/>
              <w:t>​</w:t>
            </w:r>
          </w:p>
        </w:tc>
        <w:tc>
          <w:tcPr>
            <w:tcW w:w="546" w:type="dxa"/>
            <w:tcBorders/>
            <w:shd w:fill="auto" w:val="clear"/>
            <w:tcMar>
              <w:bottom w:w="0" w:type="dxa"/>
            </w:tcMar>
            <w:vAlign w:val="center"/>
          </w:tcPr>
          <w:p>
            <w:pPr>
              <w:pStyle w:val="TableContents"/>
              <w:spacing w:lineRule="atLeast" w:line="190" w:before="0" w:after="283"/>
              <w:jc w:val="right"/>
              <w:rPr/>
            </w:pPr>
            <w:r>
              <w:rPr/>
              <w:t>—</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7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336" w:type="dxa"/>
            <w:tcBorders/>
            <w:shd w:fill="auto" w:val="clear"/>
            <w:tcMar>
              <w:bottom w:w="0" w:type="dxa"/>
            </w:tcMar>
            <w:vAlign w:val="center"/>
          </w:tcPr>
          <w:p>
            <w:pPr>
              <w:pStyle w:val="TableContents"/>
              <w:spacing w:before="0" w:after="283"/>
              <w:jc w:val="left"/>
              <w:rPr>
                <w:spacing w:val="3"/>
              </w:rPr>
            </w:pPr>
            <w:r>
              <w:rPr>
                <w:spacing w:val="3"/>
              </w:rPr>
              <w:t xml:space="preserve">Restricted Stock Units(2)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3/25/2022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 xml:space="preserve">— </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7,900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310,628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336" w:type="dxa"/>
            <w:tcBorders/>
            <w:shd w:fill="auto" w:val="clear"/>
            <w:tcMar>
              <w:bottom w:w="0" w:type="dxa"/>
            </w:tcMar>
            <w:vAlign w:val="center"/>
          </w:tcPr>
          <w:p>
            <w:pPr>
              <w:pStyle w:val="TableContents"/>
              <w:spacing w:before="0" w:after="0"/>
              <w:jc w:val="left"/>
              <w:rPr>
                <w:spacing w:val="3"/>
              </w:rPr>
            </w:pPr>
            <w:r>
              <w:rPr>
                <w:spacing w:val="3"/>
              </w:rPr>
              <w:t xml:space="preserve">Performance Stock Units(3)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3/25/2022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 xml:space="preserve">— </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7,900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371,537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1" w:type="dxa"/>
            <w:vMerge w:val="restart"/>
            <w:tcBorders/>
            <w:shd w:fill="CCEEFF" w:val="clear"/>
            <w:tcMar>
              <w:bottom w:w="0" w:type="dxa"/>
            </w:tcMar>
            <w:vAlign w:val="center"/>
          </w:tcPr>
          <w:p>
            <w:pPr>
              <w:pStyle w:val="TableContents"/>
              <w:spacing w:lineRule="atLeast" w:line="190" w:before="0" w:after="0"/>
              <w:ind w:left="170" w:right="0" w:hanging="170"/>
              <w:jc w:val="both"/>
              <w:rPr/>
            </w:pPr>
            <w:r>
              <w:rPr>
                <w:spacing w:val="3"/>
              </w:rPr>
              <w:t>Justin M. Leon</w:t>
            </w:r>
            <w:r>
              <w:rPr/>
              <w:t xml:space="preserve"> </w:t>
              <w:br/>
            </w:r>
            <w:r>
              <w:rPr>
                <w:i/>
                <w:spacing w:val="3"/>
              </w:rPr>
              <w:t xml:space="preserve">Senior Vice President, </w:t>
              <w:br/>
              <w:t>Corporate Development</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Annual Cash Bonus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586" w:type="dxa"/>
            <w:tcBorders/>
            <w:shd w:fill="CCEEFF" w:val="clear"/>
            <w:tcMar>
              <w:bottom w:w="0" w:type="dxa"/>
            </w:tcMar>
            <w:vAlign w:val="center"/>
          </w:tcPr>
          <w:p>
            <w:pPr>
              <w:pStyle w:val="TableContents"/>
              <w:spacing w:lineRule="atLeast" w:line="19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190" w:before="0" w:after="283"/>
              <w:jc w:val="right"/>
              <w:rPr/>
            </w:pPr>
            <w:r>
              <w:rPr/>
              <w:t>​</w:t>
            </w:r>
          </w:p>
        </w:tc>
        <w:tc>
          <w:tcPr>
            <w:tcW w:w="535" w:type="dxa"/>
            <w:tcBorders/>
            <w:shd w:fill="CCEEFF" w:val="clear"/>
            <w:tcMar>
              <w:bottom w:w="0" w:type="dxa"/>
            </w:tcMar>
            <w:vAlign w:val="center"/>
          </w:tcPr>
          <w:p>
            <w:pPr>
              <w:pStyle w:val="TableContents"/>
              <w:spacing w:lineRule="atLeast" w:line="19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886" w:type="dxa"/>
            <w:tcBorders/>
            <w:shd w:fill="CCEEFF" w:val="clear"/>
            <w:tcMar>
              <w:bottom w:w="0" w:type="dxa"/>
            </w:tcMar>
            <w:vAlign w:val="center"/>
          </w:tcPr>
          <w:p>
            <w:pPr>
              <w:pStyle w:val="TableContents"/>
              <w:spacing w:lineRule="atLeast" w:line="190"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lineRule="atLeast" w:line="190" w:before="0" w:after="283"/>
              <w:jc w:val="right"/>
              <w:rPr/>
            </w:pPr>
            <w:r>
              <w:rPr/>
              <w:t>​</w:t>
            </w:r>
          </w:p>
        </w:tc>
        <w:tc>
          <w:tcPr>
            <w:tcW w:w="546" w:type="dxa"/>
            <w:tcBorders/>
            <w:shd w:fill="CCEEFF" w:val="clear"/>
            <w:tcMar>
              <w:bottom w:w="0" w:type="dxa"/>
            </w:tcMar>
            <w:vAlign w:val="center"/>
          </w:tcPr>
          <w:p>
            <w:pPr>
              <w:pStyle w:val="TableContents"/>
              <w:spacing w:lineRule="atLeast" w:line="190"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7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before="0" w:after="283"/>
              <w:jc w:val="left"/>
              <w:rPr>
                <w:spacing w:val="3"/>
              </w:rPr>
            </w:pPr>
            <w:r>
              <w:rPr>
                <w:spacing w:val="3"/>
              </w:rPr>
              <w:t xml:space="preserve">Restricted Stock Units(2)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3/25/2022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 xml:space="preserve">—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5,700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224,124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336" w:type="dxa"/>
            <w:tcBorders/>
            <w:shd w:fill="CCEEFF" w:val="clear"/>
            <w:tcMar>
              <w:bottom w:w="0" w:type="dxa"/>
            </w:tcMar>
            <w:vAlign w:val="center"/>
          </w:tcPr>
          <w:p>
            <w:pPr>
              <w:pStyle w:val="TableContents"/>
              <w:spacing w:before="0" w:after="0"/>
              <w:jc w:val="left"/>
              <w:rPr>
                <w:spacing w:val="3"/>
              </w:rPr>
            </w:pPr>
            <w:r>
              <w:rPr>
                <w:spacing w:val="3"/>
              </w:rPr>
              <w:t xml:space="preserve">Performance Stock Units(3)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3/25/2022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 xml:space="preserve">—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5,700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268,071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threshold or maximum payouts established under the Company’s non-equity incentive plan. </w:t>
      </w:r>
      <w:r>
        <mc:AlternateContent>
          <mc:Choice Requires="wps">
            <w:drawing>
              <wp:anchor behindDoc="0" distT="101600" distB="0" distL="0" distR="0" simplePos="0" locked="0" layoutInCell="1" allowOverlap="1" relativeHeight="172">
                <wp:simplePos x="0" y="0"/>
                <wp:positionH relativeFrom="column">
                  <wp:align>left</wp:align>
                </wp:positionH>
                <wp:positionV relativeFrom="line">
                  <wp:align>top</wp:align>
                </wp:positionV>
                <wp:extent cx="254000" cy="293370"/>
                <wp:effectExtent l="0" t="0" r="0" b="0"/>
                <wp:wrapSquare wrapText="largest"/>
                <wp:docPr id="165" name="Frame162"/>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vest ratably on March 25, 2023, 2024, 2025 and 2026. </w:t>
      </w:r>
      <w:r>
        <mc:AlternateContent>
          <mc:Choice Requires="wps">
            <w:drawing>
              <wp:anchor behindDoc="0" distT="50800" distB="0" distL="0" distR="0" simplePos="0" locked="0" layoutInCell="1" allowOverlap="1" relativeHeight="173">
                <wp:simplePos x="0" y="0"/>
                <wp:positionH relativeFrom="column">
                  <wp:align>left</wp:align>
                </wp:positionH>
                <wp:positionV relativeFrom="line">
                  <wp:align>top</wp:align>
                </wp:positionV>
                <wp:extent cx="254000" cy="304800"/>
                <wp:effectExtent l="0" t="0" r="0" b="0"/>
                <wp:wrapSquare wrapText="largest"/>
                <wp:docPr id="166" name="Frame163"/>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vest on March 25, 2025. </w:t>
      </w:r>
      <w:r>
        <mc:AlternateContent>
          <mc:Choice Requires="wps">
            <w:drawing>
              <wp:anchor behindDoc="0" distT="50800" distB="0" distL="0" distR="0" simplePos="0" locked="0" layoutInCell="1" allowOverlap="1" relativeHeight="174">
                <wp:simplePos x="0" y="0"/>
                <wp:positionH relativeFrom="column">
                  <wp:align>left</wp:align>
                </wp:positionH>
                <wp:positionV relativeFrom="line">
                  <wp:align>top</wp:align>
                </wp:positionV>
                <wp:extent cx="254000" cy="304800"/>
                <wp:effectExtent l="0" t="0" r="0" b="0"/>
                <wp:wrapSquare wrapText="largest"/>
                <wp:docPr id="167" name="Frame164"/>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amounts in this column reflect the grant date fair value of awards determined as set forth in footnotes 1 and 2 to our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75">
                <wp:simplePos x="0" y="0"/>
                <wp:positionH relativeFrom="column">
                  <wp:align>left</wp:align>
                </wp:positionH>
                <wp:positionV relativeFrom="line">
                  <wp:align>top</wp:align>
                </wp:positionV>
                <wp:extent cx="254000" cy="304800"/>
                <wp:effectExtent l="0" t="0" r="0" b="0"/>
                <wp:wrapSquare wrapText="largest"/>
                <wp:docPr id="168" name="Frame16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OEAA"/>
      <w:bookmarkEnd w:id="5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 2022</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additional information regarding stock awards granted to our named executive officers that were outstanding as of December 31, 2022. </w:t>
      </w:r>
    </w:p>
    <w:tbl>
      <w:tblPr>
        <w:tblW w:w="8812" w:type="dxa"/>
        <w:jc w:val="left"/>
        <w:tblInd w:w="1393" w:type="dxa"/>
        <w:tblCellMar>
          <w:top w:w="0" w:type="dxa"/>
          <w:left w:w="0" w:type="dxa"/>
          <w:bottom w:w="28" w:type="dxa"/>
          <w:right w:w="0" w:type="dxa"/>
        </w:tblCellMar>
      </w:tblPr>
      <w:tblGrid>
        <w:gridCol w:w="2810"/>
        <w:gridCol w:w="109"/>
        <w:gridCol w:w="109"/>
        <w:gridCol w:w="1169"/>
        <w:gridCol w:w="109"/>
        <w:gridCol w:w="109"/>
        <w:gridCol w:w="161"/>
        <w:gridCol w:w="161"/>
        <w:gridCol w:w="1466"/>
        <w:gridCol w:w="161"/>
        <w:gridCol w:w="109"/>
        <w:gridCol w:w="109"/>
        <w:gridCol w:w="161"/>
        <w:gridCol w:w="161"/>
        <w:gridCol w:w="1587"/>
        <w:gridCol w:w="161"/>
        <w:gridCol w:w="160"/>
      </w:tblGrid>
      <w:tr>
        <w:trPr/>
        <w:tc>
          <w:tcPr>
            <w:tcW w:w="281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237"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Awards </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2810"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9"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Grant 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49"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Shares </w:t>
              <w:br/>
              <w:t xml:space="preserve">of Stock That Have </w:t>
              <w:br/>
              <w:t>Not Vested (#)</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Market Value of </w:t>
              <w:br/>
              <w:t xml:space="preserve">Shares of Stock That </w:t>
              <w:br/>
              <w:t xml:space="preserve">Have Not Vested ($) </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2810"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 xml:space="preserve">Michael T. Prior </w:t>
            </w:r>
            <w:r>
              <w:rPr/>
              <w:br/>
            </w:r>
            <w:r>
              <w:rPr>
                <w:i/>
                <w:spacing w:val="4"/>
              </w:rPr>
              <w:t xml:space="preserve">Chief Executive Officer and </w:t>
              <w:br/>
              <w:t>President</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lineRule="atLeast" w:line="240" w:before="0" w:after="0"/>
              <w:jc w:val="left"/>
              <w:rPr>
                <w:spacing w:val="4"/>
              </w:rPr>
            </w:pPr>
            <w:r>
              <w:rPr>
                <w:spacing w:val="4"/>
              </w:rPr>
              <w:t xml:space="preserve">3/25/2022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lineRule="atLeast" w:line="240" w:before="0" w:after="283"/>
              <w:jc w:val="right"/>
              <w:rPr/>
            </w:pPr>
            <w:r>
              <w:rPr/>
              <w:t>​</w:t>
            </w:r>
          </w:p>
        </w:tc>
        <w:tc>
          <w:tcPr>
            <w:tcW w:w="1466" w:type="dxa"/>
            <w:tcBorders/>
            <w:shd w:fill="CCEEFF" w:val="clear"/>
            <w:tcMar>
              <w:bottom w:w="0" w:type="dxa"/>
            </w:tcMar>
            <w:vAlign w:val="center"/>
          </w:tcPr>
          <w:p>
            <w:pPr>
              <w:pStyle w:val="TableContents"/>
              <w:spacing w:lineRule="atLeast" w:line="240" w:before="0" w:after="283"/>
              <w:jc w:val="right"/>
              <w:rPr/>
            </w:pPr>
            <w:r>
              <w:rPr/>
              <w:t>21,450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lineRule="atLeast" w:line="240" w:before="0" w:after="283"/>
              <w:jc w:val="right"/>
              <w:rPr/>
            </w:pPr>
            <w:r>
              <w:rPr/>
              <w:t>​</w:t>
            </w:r>
          </w:p>
        </w:tc>
        <w:tc>
          <w:tcPr>
            <w:tcW w:w="1587" w:type="dxa"/>
            <w:tcBorders/>
            <w:shd w:fill="CCEEFF" w:val="clear"/>
            <w:tcMar>
              <w:bottom w:w="0" w:type="dxa"/>
            </w:tcMar>
            <w:vAlign w:val="center"/>
          </w:tcPr>
          <w:p>
            <w:pPr>
              <w:pStyle w:val="TableContents"/>
              <w:spacing w:lineRule="atLeast" w:line="240" w:before="0" w:after="283"/>
              <w:jc w:val="right"/>
              <w:rPr/>
            </w:pPr>
            <w:r>
              <w:rPr/>
              <w:t>971,900</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21,450</w:t>
            </w:r>
            <w:r>
              <w:rPr>
                <w:sz w:val="13"/>
              </w:rPr>
              <w:t>(2)</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1,282,496</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14,512</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657,539</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19,350</w:t>
            </w:r>
            <w:r>
              <w:rPr>
                <w:sz w:val="13"/>
              </w:rPr>
              <w:t>(2)</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1,042,772</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3/11/2020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13,625</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617,349</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3/13/2019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6,250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283,188</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restart"/>
            <w:tcBorders/>
            <w:shd w:fill="auto" w:val="clear"/>
            <w:tcMar>
              <w:bottom w:w="0" w:type="dxa"/>
            </w:tcMar>
            <w:vAlign w:val="center"/>
          </w:tcPr>
          <w:p>
            <w:pPr>
              <w:pStyle w:val="TableContents"/>
              <w:spacing w:lineRule="atLeast" w:line="240" w:before="0" w:after="0"/>
              <w:ind w:left="200" w:right="0" w:hanging="200"/>
              <w:jc w:val="both"/>
              <w:rPr/>
            </w:pPr>
            <w:r>
              <w:rPr>
                <w:spacing w:val="4"/>
              </w:rPr>
              <w:t xml:space="preserve">Justin D. Benincasa </w:t>
            </w:r>
            <w:r>
              <w:rPr/>
              <w:br/>
            </w:r>
            <w:r>
              <w:rPr>
                <w:i/>
                <w:spacing w:val="4"/>
              </w:rPr>
              <w:t>Chief Financial Officer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lineRule="atLeast" w:line="240" w:before="0" w:after="0"/>
              <w:jc w:val="left"/>
              <w:rPr>
                <w:spacing w:val="4"/>
              </w:rPr>
            </w:pPr>
            <w:r>
              <w:rPr>
                <w:spacing w:val="4"/>
              </w:rPr>
              <w:t xml:space="preserve">3/25/2022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lineRule="atLeast" w:line="240" w:before="0" w:after="283"/>
              <w:jc w:val="right"/>
              <w:rPr/>
            </w:pPr>
            <w:r>
              <w:rPr/>
              <w:t>​</w:t>
            </w:r>
          </w:p>
        </w:tc>
        <w:tc>
          <w:tcPr>
            <w:tcW w:w="1466" w:type="dxa"/>
            <w:tcBorders/>
            <w:shd w:fill="auto" w:val="clear"/>
            <w:tcMar>
              <w:bottom w:w="0" w:type="dxa"/>
            </w:tcMar>
            <w:vAlign w:val="center"/>
          </w:tcPr>
          <w:p>
            <w:pPr>
              <w:pStyle w:val="TableContents"/>
              <w:spacing w:lineRule="atLeast" w:line="240" w:before="0" w:after="283"/>
              <w:jc w:val="right"/>
              <w:rPr/>
            </w:pPr>
            <w:r>
              <w:rPr/>
              <w:t>10,700</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lineRule="atLeast" w:line="240" w:before="0" w:after="283"/>
              <w:jc w:val="right"/>
              <w:rPr/>
            </w:pPr>
            <w:r>
              <w:rPr/>
              <w:t>​</w:t>
            </w:r>
          </w:p>
        </w:tc>
        <w:tc>
          <w:tcPr>
            <w:tcW w:w="1587" w:type="dxa"/>
            <w:tcBorders/>
            <w:shd w:fill="auto" w:val="clear"/>
            <w:tcMar>
              <w:bottom w:w="0" w:type="dxa"/>
            </w:tcMar>
            <w:vAlign w:val="center"/>
          </w:tcPr>
          <w:p>
            <w:pPr>
              <w:pStyle w:val="TableContents"/>
              <w:spacing w:lineRule="atLeast" w:line="240" w:before="0" w:after="283"/>
              <w:jc w:val="right"/>
              <w:rPr/>
            </w:pPr>
            <w:r>
              <w:rPr/>
              <w:t>484,817</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3/25/2022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10,700</w:t>
            </w:r>
            <w:r>
              <w:rPr>
                <w:sz w:val="13"/>
              </w:rPr>
              <w:t>(2)</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639,753</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6,075</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275,258</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8,100</w:t>
            </w:r>
            <w:r>
              <w:rPr>
                <w:sz w:val="13"/>
              </w:rPr>
              <w:t>(2)</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436,509</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3/11/2020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5,325</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241,276</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3/13/2019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2,425</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109,877</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 xml:space="preserve">Brad W. Martin </w:t>
            </w:r>
            <w:r>
              <w:rPr/>
              <w:br/>
            </w:r>
            <w:r>
              <w:rPr>
                <w:i/>
                <w:spacing w:val="4"/>
              </w:rPr>
              <w:t>Chief Operating Officer</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lineRule="atLeast" w:line="240" w:before="0" w:after="0"/>
              <w:jc w:val="left"/>
              <w:rPr>
                <w:spacing w:val="4"/>
              </w:rPr>
            </w:pPr>
            <w:r>
              <w:rPr>
                <w:spacing w:val="4"/>
              </w:rPr>
              <w:t xml:space="preserve">3/25/2022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lineRule="atLeast" w:line="240" w:before="0" w:after="283"/>
              <w:jc w:val="right"/>
              <w:rPr/>
            </w:pPr>
            <w:r>
              <w:rPr/>
              <w:t>​</w:t>
            </w:r>
          </w:p>
        </w:tc>
        <w:tc>
          <w:tcPr>
            <w:tcW w:w="1466" w:type="dxa"/>
            <w:tcBorders/>
            <w:shd w:fill="CCEEFF" w:val="clear"/>
            <w:tcMar>
              <w:bottom w:w="0" w:type="dxa"/>
            </w:tcMar>
            <w:vAlign w:val="center"/>
          </w:tcPr>
          <w:p>
            <w:pPr>
              <w:pStyle w:val="TableContents"/>
              <w:spacing w:lineRule="atLeast" w:line="240" w:before="0" w:after="283"/>
              <w:jc w:val="right"/>
              <w:rPr/>
            </w:pPr>
            <w:r>
              <w:rPr/>
              <w:t>10,700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lineRule="atLeast" w:line="240" w:before="0" w:after="283"/>
              <w:jc w:val="right"/>
              <w:rPr/>
            </w:pPr>
            <w:r>
              <w:rPr/>
              <w:t>​</w:t>
            </w:r>
          </w:p>
        </w:tc>
        <w:tc>
          <w:tcPr>
            <w:tcW w:w="1587" w:type="dxa"/>
            <w:tcBorders/>
            <w:shd w:fill="CCEEFF" w:val="clear"/>
            <w:tcMar>
              <w:bottom w:w="0" w:type="dxa"/>
            </w:tcMar>
            <w:vAlign w:val="center"/>
          </w:tcPr>
          <w:p>
            <w:pPr>
              <w:pStyle w:val="TableContents"/>
              <w:spacing w:lineRule="atLeast" w:line="240" w:before="0" w:after="283"/>
              <w:jc w:val="right"/>
              <w:rPr/>
            </w:pPr>
            <w:r>
              <w:rPr/>
              <w:t>484,817</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10,700</w:t>
            </w:r>
            <w:r>
              <w:rPr>
                <w:sz w:val="13"/>
              </w:rPr>
              <w:t>(2)</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639,753</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5,625</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254,869</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7,500</w:t>
            </w:r>
            <w:r>
              <w:rPr>
                <w:sz w:val="13"/>
              </w:rPr>
              <w:t>(2)</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404,175</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3/11/2020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3,830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173,537</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3/13/2019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1,425</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64,567</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restart"/>
            <w:tcBorders/>
            <w:shd w:fill="auto" w:val="clear"/>
            <w:tcMar>
              <w:bottom w:w="0" w:type="dxa"/>
            </w:tcMar>
            <w:vAlign w:val="center"/>
          </w:tcPr>
          <w:p>
            <w:pPr>
              <w:pStyle w:val="TableContents"/>
              <w:spacing w:lineRule="atLeast" w:line="240" w:before="0" w:after="0"/>
              <w:ind w:left="200" w:right="0" w:hanging="200"/>
              <w:jc w:val="left"/>
              <w:rPr/>
            </w:pPr>
            <w:r>
              <w:rPr>
                <w:spacing w:val="4"/>
              </w:rPr>
              <w:t xml:space="preserve">Mary M. Mabey </w:t>
            </w:r>
            <w:r>
              <w:rPr/>
              <w:br/>
            </w:r>
            <w:r>
              <w:rPr>
                <w:i/>
                <w:spacing w:val="4"/>
              </w:rPr>
              <w:t xml:space="preserve">Senior Vice President, </w:t>
              <w:br/>
              <w:t xml:space="preserve">General Counsel and </w:t>
              <w:br/>
              <w:t>Corporate Secretary</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lineRule="atLeast" w:line="240" w:before="0" w:after="0"/>
              <w:jc w:val="left"/>
              <w:rPr>
                <w:spacing w:val="4"/>
              </w:rPr>
            </w:pPr>
            <w:r>
              <w:rPr>
                <w:spacing w:val="4"/>
              </w:rPr>
              <w:t xml:space="preserve">3/25/2022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lineRule="atLeast" w:line="240" w:before="0" w:after="283"/>
              <w:jc w:val="right"/>
              <w:rPr/>
            </w:pPr>
            <w:r>
              <w:rPr/>
              <w:t>​</w:t>
            </w:r>
          </w:p>
        </w:tc>
        <w:tc>
          <w:tcPr>
            <w:tcW w:w="1466" w:type="dxa"/>
            <w:tcBorders/>
            <w:shd w:fill="auto" w:val="clear"/>
            <w:tcMar>
              <w:bottom w:w="0" w:type="dxa"/>
            </w:tcMar>
            <w:vAlign w:val="center"/>
          </w:tcPr>
          <w:p>
            <w:pPr>
              <w:pStyle w:val="TableContents"/>
              <w:spacing w:lineRule="atLeast" w:line="240" w:before="0" w:after="283"/>
              <w:jc w:val="right"/>
              <w:rPr/>
            </w:pPr>
            <w:r>
              <w:rPr/>
              <w:t>7,900</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lineRule="atLeast" w:line="240" w:before="0" w:after="283"/>
              <w:jc w:val="right"/>
              <w:rPr/>
            </w:pPr>
            <w:r>
              <w:rPr/>
              <w:t>​</w:t>
            </w:r>
          </w:p>
        </w:tc>
        <w:tc>
          <w:tcPr>
            <w:tcW w:w="1587" w:type="dxa"/>
            <w:tcBorders/>
            <w:shd w:fill="auto" w:val="clear"/>
            <w:tcMar>
              <w:bottom w:w="0" w:type="dxa"/>
            </w:tcMar>
            <w:vAlign w:val="center"/>
          </w:tcPr>
          <w:p>
            <w:pPr>
              <w:pStyle w:val="TableContents"/>
              <w:spacing w:lineRule="atLeast" w:line="240" w:before="0" w:after="283"/>
              <w:jc w:val="right"/>
              <w:rPr/>
            </w:pPr>
            <w:r>
              <w:rPr/>
              <w:t>357,949</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3/25/2022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7,900</w:t>
            </w:r>
            <w:r>
              <w:rPr>
                <w:sz w:val="13"/>
              </w:rPr>
              <w:t>(2)</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472,341</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3,600</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163,116</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4,800</w:t>
            </w:r>
            <w:r>
              <w:rPr>
                <w:sz w:val="13"/>
              </w:rPr>
              <w:t>(2)</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258,672</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3/11/2020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3,200</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144,992</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69" w:type="dxa"/>
            <w:tcBorders/>
            <w:shd w:fill="auto" w:val="clear"/>
            <w:tcMar>
              <w:bottom w:w="0" w:type="dxa"/>
            </w:tcMar>
            <w:vAlign w:val="center"/>
          </w:tcPr>
          <w:p>
            <w:pPr>
              <w:pStyle w:val="TableContents"/>
              <w:spacing w:before="0" w:after="283"/>
              <w:jc w:val="left"/>
              <w:rPr>
                <w:spacing w:val="4"/>
              </w:rPr>
            </w:pPr>
            <w:r>
              <w:rPr>
                <w:spacing w:val="4"/>
              </w:rPr>
              <w:t xml:space="preserve">3/13/2019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466" w:type="dxa"/>
            <w:tcBorders/>
            <w:shd w:fill="auto" w:val="clear"/>
            <w:tcMar>
              <w:bottom w:w="0" w:type="dxa"/>
            </w:tcMar>
            <w:vAlign w:val="center"/>
          </w:tcPr>
          <w:p>
            <w:pPr>
              <w:pStyle w:val="TableContents"/>
              <w:spacing w:before="0" w:after="283"/>
              <w:jc w:val="right"/>
              <w:rPr/>
            </w:pPr>
            <w:r>
              <w:rPr/>
              <w:t>1,375</w:t>
            </w:r>
            <w:r>
              <w:rPr>
                <w:sz w:val="13"/>
              </w:rPr>
              <w:t>(1)</w:t>
            </w:r>
            <w:r>
              <w:rPr/>
              <w:t xml:space="preserve"> </w:t>
            </w:r>
          </w:p>
        </w:tc>
        <w:tc>
          <w:tcPr>
            <w:tcW w:w="16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1587" w:type="dxa"/>
            <w:tcBorders/>
            <w:shd w:fill="auto" w:val="clear"/>
            <w:tcMar>
              <w:bottom w:w="0" w:type="dxa"/>
            </w:tcMar>
            <w:vAlign w:val="center"/>
          </w:tcPr>
          <w:p>
            <w:pPr>
              <w:pStyle w:val="TableContents"/>
              <w:spacing w:before="0" w:after="283"/>
              <w:jc w:val="right"/>
              <w:rPr/>
            </w:pPr>
            <w:r>
              <w:rPr/>
              <w:t>62,301</w:t>
            </w:r>
          </w:p>
        </w:tc>
        <w:tc>
          <w:tcPr>
            <w:tcW w:w="161"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810"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 xml:space="preserve">Justin M. Leon </w:t>
            </w:r>
            <w:r>
              <w:rPr/>
              <w:br/>
            </w:r>
            <w:r>
              <w:rPr>
                <w:i/>
                <w:spacing w:val="4"/>
              </w:rPr>
              <w:t xml:space="preserve">Senior Vice President, </w:t>
              <w:br/>
              <w:t>Corporate Development</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lineRule="atLeast" w:line="240" w:before="0" w:after="0"/>
              <w:jc w:val="left"/>
              <w:rPr>
                <w:spacing w:val="4"/>
              </w:rPr>
            </w:pPr>
            <w:r>
              <w:rPr>
                <w:spacing w:val="4"/>
              </w:rPr>
              <w:t xml:space="preserve">3/25/2022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lineRule="atLeast" w:line="240" w:before="0" w:after="283"/>
              <w:jc w:val="right"/>
              <w:rPr/>
            </w:pPr>
            <w:r>
              <w:rPr/>
              <w:t>​</w:t>
            </w:r>
          </w:p>
        </w:tc>
        <w:tc>
          <w:tcPr>
            <w:tcW w:w="1466" w:type="dxa"/>
            <w:tcBorders/>
            <w:shd w:fill="CCEEFF" w:val="clear"/>
            <w:tcMar>
              <w:bottom w:w="0" w:type="dxa"/>
            </w:tcMar>
            <w:vAlign w:val="center"/>
          </w:tcPr>
          <w:p>
            <w:pPr>
              <w:pStyle w:val="TableContents"/>
              <w:spacing w:lineRule="atLeast" w:line="240" w:before="0" w:after="283"/>
              <w:jc w:val="right"/>
              <w:rPr/>
            </w:pPr>
            <w:r>
              <w:rPr/>
              <w:t>5,700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lineRule="atLeast" w:line="240" w:before="0" w:after="283"/>
              <w:jc w:val="right"/>
              <w:rPr/>
            </w:pPr>
            <w:r>
              <w:rPr/>
              <w:t>​</w:t>
            </w:r>
          </w:p>
        </w:tc>
        <w:tc>
          <w:tcPr>
            <w:tcW w:w="1587" w:type="dxa"/>
            <w:tcBorders/>
            <w:shd w:fill="CCEEFF" w:val="clear"/>
            <w:tcMar>
              <w:bottom w:w="0" w:type="dxa"/>
            </w:tcMar>
            <w:vAlign w:val="center"/>
          </w:tcPr>
          <w:p>
            <w:pPr>
              <w:pStyle w:val="TableContents"/>
              <w:spacing w:lineRule="atLeast" w:line="240" w:before="0" w:after="283"/>
              <w:jc w:val="right"/>
              <w:rPr/>
            </w:pPr>
            <w:r>
              <w:rPr/>
              <w:t>258,267</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5,700</w:t>
            </w:r>
            <w:r>
              <w:rPr>
                <w:sz w:val="13"/>
              </w:rPr>
              <w:t>(2)</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340,803</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2,437</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110,420</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3,250</w:t>
            </w:r>
            <w:r>
              <w:rPr>
                <w:sz w:val="13"/>
              </w:rPr>
              <w:t>(2)</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175,143</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3/11/2020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1,100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49,841</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8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3/13/2019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466" w:type="dxa"/>
            <w:tcBorders/>
            <w:shd w:fill="CCEEFF" w:val="clear"/>
            <w:tcMar>
              <w:bottom w:w="0" w:type="dxa"/>
            </w:tcMar>
            <w:vAlign w:val="center"/>
          </w:tcPr>
          <w:p>
            <w:pPr>
              <w:pStyle w:val="TableContents"/>
              <w:spacing w:before="0" w:after="283"/>
              <w:jc w:val="right"/>
              <w:rPr/>
            </w:pPr>
            <w:r>
              <w:rPr/>
              <w:t>500</w:t>
            </w:r>
            <w:r>
              <w:rPr>
                <w:sz w:val="13"/>
              </w:rPr>
              <w:t>(1)</w:t>
            </w:r>
            <w:r>
              <w:rPr/>
              <w:t xml:space="preserve"> </w:t>
            </w:r>
          </w:p>
        </w:tc>
        <w:tc>
          <w:tcPr>
            <w:tcW w:w="16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1587" w:type="dxa"/>
            <w:tcBorders/>
            <w:shd w:fill="CCEEFF" w:val="clear"/>
            <w:tcMar>
              <w:bottom w:w="0" w:type="dxa"/>
            </w:tcMar>
            <w:vAlign w:val="center"/>
          </w:tcPr>
          <w:p>
            <w:pPr>
              <w:pStyle w:val="TableContents"/>
              <w:spacing w:before="0" w:after="283"/>
              <w:jc w:val="right"/>
              <w:rPr/>
            </w:pPr>
            <w:r>
              <w:rPr/>
              <w:t>22,655</w:t>
            </w:r>
          </w:p>
        </w:tc>
        <w:tc>
          <w:tcPr>
            <w:tcW w:w="161"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restricted stock units. Grants vest 25% annually commencing one year from the date of grant. Valued at $45.31 per share, the closing price of our stock on December 31, 2022. </w:t>
      </w:r>
      <w:r>
        <mc:AlternateContent>
          <mc:Choice Requires="wps">
            <w:drawing>
              <wp:anchor behindDoc="0" distT="11684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largest"/>
                <wp:docPr id="169" name="Frame1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performance stock units. Grants vest 100% on the third anniversary of the grant date. Fair value, as provided by an equity valuation consulting firm, for the March 25, 2022 and March 9, 2021 grants were $59.79 per share and $53.89 per share, respectively, as of December 31, 2022. </w:t>
      </w:r>
      <w:r>
        <mc:AlternateContent>
          <mc:Choice Requires="wps">
            <w:drawing>
              <wp:anchor behindDoc="0" distT="6604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largest"/>
                <wp:docPr id="170" name="Frame1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OEAS"/>
      <w:bookmarkEnd w:id="52"/>
      <w:r>
        <w:rPr>
          <w:rFonts w:ascii="calibri;arial;sans-serif" w:hAnsi="calibri;arial;sans-serif"/>
          <w:b w:val="false"/>
          <w:i w:val="false"/>
          <w:caps w:val="false"/>
          <w:smallCaps w:val="false"/>
          <w:color w:val="000000"/>
          <w:sz w:val="16"/>
        </w:rPr>
        <w:t>​</w:t>
      </w:r>
      <w:bookmarkStart w:id="53" w:name="tSAFI"/>
      <w:bookmarkEnd w:id="5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62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with respect to our named executive officers regarding all restricted stock that vested during 2022. </w:t>
      </w:r>
    </w:p>
    <w:tbl>
      <w:tblPr>
        <w:tblW w:w="5991" w:type="dxa"/>
        <w:jc w:val="left"/>
        <w:tblInd w:w="1393" w:type="dxa"/>
        <w:tblCellMar>
          <w:top w:w="0" w:type="dxa"/>
          <w:left w:w="0" w:type="dxa"/>
          <w:bottom w:w="28" w:type="dxa"/>
          <w:right w:w="0" w:type="dxa"/>
        </w:tblCellMar>
      </w:tblPr>
      <w:tblGrid>
        <w:gridCol w:w="2112"/>
        <w:gridCol w:w="109"/>
        <w:gridCol w:w="109"/>
        <w:gridCol w:w="170"/>
        <w:gridCol w:w="170"/>
        <w:gridCol w:w="1194"/>
        <w:gridCol w:w="170"/>
        <w:gridCol w:w="109"/>
        <w:gridCol w:w="109"/>
        <w:gridCol w:w="142"/>
        <w:gridCol w:w="142"/>
        <w:gridCol w:w="1159"/>
        <w:gridCol w:w="142"/>
        <w:gridCol w:w="154"/>
      </w:tblGrid>
      <w:tr>
        <w:trPr/>
        <w:tc>
          <w:tcPr>
            <w:tcW w:w="211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507"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Awards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112"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4"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w:t>
              <w:br/>
              <w:t xml:space="preserve">Shares Acquired </w:t>
              <w:br/>
              <w:t xml:space="preserve">on Vesting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85"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Value Realized </w:t>
              <w:br/>
              <w:t xml:space="preserve">on Vesting </w:t>
              <w:br/>
              <w:t xml:space="preserve">($)(1)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jc w:val="right"/>
              <w:rPr/>
            </w:pPr>
            <w:r>
              <w:rPr/>
              <w:t>​</w:t>
            </w:r>
          </w:p>
        </w:tc>
        <w:tc>
          <w:tcPr>
            <w:tcW w:w="1194" w:type="dxa"/>
            <w:tcBorders/>
            <w:shd w:fill="CCEEFF" w:val="clear"/>
            <w:tcMar>
              <w:bottom w:w="0" w:type="dxa"/>
            </w:tcMar>
            <w:vAlign w:val="center"/>
          </w:tcPr>
          <w:p>
            <w:pPr>
              <w:pStyle w:val="TableContents"/>
              <w:spacing w:before="0" w:after="283"/>
              <w:jc w:val="right"/>
              <w:rPr/>
            </w:pPr>
            <w:r>
              <w:rPr/>
              <w:t>24,350</w:t>
            </w:r>
          </w:p>
        </w:tc>
        <w:tc>
          <w:tcPr>
            <w:tcW w:w="1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1159" w:type="dxa"/>
            <w:tcBorders/>
            <w:shd w:fill="CCEEFF" w:val="clear"/>
            <w:tcMar>
              <w:bottom w:w="0" w:type="dxa"/>
            </w:tcMar>
            <w:vAlign w:val="center"/>
          </w:tcPr>
          <w:p>
            <w:pPr>
              <w:pStyle w:val="TableContents"/>
              <w:spacing w:before="0" w:after="283"/>
              <w:jc w:val="right"/>
              <w:rPr/>
            </w:pPr>
            <w:r>
              <w:rPr/>
              <w:t>846,819</w:t>
            </w:r>
          </w:p>
        </w:tc>
        <w:tc>
          <w:tcPr>
            <w:tcW w:w="14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Justin D. Benincasa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jc w:val="right"/>
              <w:rPr/>
            </w:pPr>
            <w:r>
              <w:rPr/>
              <w:t>​</w:t>
            </w:r>
          </w:p>
        </w:tc>
        <w:tc>
          <w:tcPr>
            <w:tcW w:w="1194" w:type="dxa"/>
            <w:tcBorders/>
            <w:shd w:fill="auto" w:val="clear"/>
            <w:tcMar>
              <w:bottom w:w="0" w:type="dxa"/>
            </w:tcMar>
            <w:vAlign w:val="center"/>
          </w:tcPr>
          <w:p>
            <w:pPr>
              <w:pStyle w:val="TableContents"/>
              <w:spacing w:before="0" w:after="283"/>
              <w:jc w:val="right"/>
              <w:rPr/>
            </w:pPr>
            <w:r>
              <w:rPr/>
              <w:t>9,612</w:t>
            </w:r>
          </w:p>
        </w:tc>
        <w:tc>
          <w:tcPr>
            <w:tcW w:w="1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1159" w:type="dxa"/>
            <w:tcBorders/>
            <w:shd w:fill="auto" w:val="clear"/>
            <w:tcMar>
              <w:bottom w:w="0" w:type="dxa"/>
            </w:tcMar>
            <w:vAlign w:val="center"/>
          </w:tcPr>
          <w:p>
            <w:pPr>
              <w:pStyle w:val="TableContents"/>
              <w:spacing w:before="0" w:after="283"/>
              <w:jc w:val="right"/>
              <w:rPr/>
            </w:pPr>
            <w:r>
              <w:rPr/>
              <w:t>334,373</w:t>
            </w:r>
          </w:p>
        </w:tc>
        <w:tc>
          <w:tcPr>
            <w:tcW w:w="14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jc w:val="right"/>
              <w:rPr/>
            </w:pPr>
            <w:r>
              <w:rPr/>
              <w:t>​</w:t>
            </w:r>
          </w:p>
        </w:tc>
        <w:tc>
          <w:tcPr>
            <w:tcW w:w="1194" w:type="dxa"/>
            <w:tcBorders/>
            <w:shd w:fill="CCEEFF" w:val="clear"/>
            <w:tcMar>
              <w:bottom w:w="0" w:type="dxa"/>
            </w:tcMar>
            <w:vAlign w:val="center"/>
          </w:tcPr>
          <w:p>
            <w:pPr>
              <w:pStyle w:val="TableContents"/>
              <w:spacing w:before="0" w:after="283"/>
              <w:jc w:val="right"/>
              <w:rPr/>
            </w:pPr>
            <w:r>
              <w:rPr/>
              <w:t>7,090</w:t>
            </w:r>
          </w:p>
        </w:tc>
        <w:tc>
          <w:tcPr>
            <w:tcW w:w="1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1159" w:type="dxa"/>
            <w:tcBorders/>
            <w:shd w:fill="CCEEFF" w:val="clear"/>
            <w:tcMar>
              <w:bottom w:w="0" w:type="dxa"/>
            </w:tcMar>
            <w:vAlign w:val="center"/>
          </w:tcPr>
          <w:p>
            <w:pPr>
              <w:pStyle w:val="TableContents"/>
              <w:spacing w:before="0" w:after="283"/>
              <w:jc w:val="right"/>
              <w:rPr/>
            </w:pPr>
            <w:r>
              <w:rPr/>
              <w:t>257,979</w:t>
            </w:r>
          </w:p>
        </w:tc>
        <w:tc>
          <w:tcPr>
            <w:tcW w:w="14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Mary M. Mabey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jc w:val="right"/>
              <w:rPr/>
            </w:pPr>
            <w:r>
              <w:rPr/>
              <w:t>​</w:t>
            </w:r>
          </w:p>
        </w:tc>
        <w:tc>
          <w:tcPr>
            <w:tcW w:w="1194" w:type="dxa"/>
            <w:tcBorders/>
            <w:shd w:fill="auto" w:val="clear"/>
            <w:tcMar>
              <w:bottom w:w="0" w:type="dxa"/>
            </w:tcMar>
            <w:vAlign w:val="center"/>
          </w:tcPr>
          <w:p>
            <w:pPr>
              <w:pStyle w:val="TableContents"/>
              <w:spacing w:before="0" w:after="283"/>
              <w:jc w:val="right"/>
              <w:rPr/>
            </w:pPr>
            <w:r>
              <w:rPr/>
              <w:t>4,800</w:t>
            </w:r>
          </w:p>
        </w:tc>
        <w:tc>
          <w:tcPr>
            <w:tcW w:w="1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1159" w:type="dxa"/>
            <w:tcBorders/>
            <w:shd w:fill="auto" w:val="clear"/>
            <w:tcMar>
              <w:bottom w:w="0" w:type="dxa"/>
            </w:tcMar>
            <w:vAlign w:val="center"/>
          </w:tcPr>
          <w:p>
            <w:pPr>
              <w:pStyle w:val="TableContents"/>
              <w:spacing w:before="0" w:after="283"/>
              <w:jc w:val="right"/>
              <w:rPr/>
            </w:pPr>
            <w:r>
              <w:rPr/>
              <w:t>168,106</w:t>
            </w:r>
          </w:p>
        </w:tc>
        <w:tc>
          <w:tcPr>
            <w:tcW w:w="14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jc w:val="right"/>
              <w:rPr/>
            </w:pPr>
            <w:r>
              <w:rPr/>
              <w:t>​</w:t>
            </w:r>
          </w:p>
        </w:tc>
        <w:tc>
          <w:tcPr>
            <w:tcW w:w="1194" w:type="dxa"/>
            <w:tcBorders/>
            <w:shd w:fill="CCEEFF" w:val="clear"/>
            <w:tcMar>
              <w:bottom w:w="0" w:type="dxa"/>
            </w:tcMar>
            <w:vAlign w:val="center"/>
          </w:tcPr>
          <w:p>
            <w:pPr>
              <w:pStyle w:val="TableContents"/>
              <w:spacing w:before="0" w:after="283"/>
              <w:jc w:val="right"/>
              <w:rPr/>
            </w:pPr>
            <w:r>
              <w:rPr/>
              <w:t>2,313</w:t>
            </w:r>
          </w:p>
        </w:tc>
        <w:tc>
          <w:tcPr>
            <w:tcW w:w="1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1159" w:type="dxa"/>
            <w:tcBorders/>
            <w:shd w:fill="CCEEFF" w:val="clear"/>
            <w:tcMar>
              <w:bottom w:w="0" w:type="dxa"/>
            </w:tcMar>
            <w:vAlign w:val="center"/>
          </w:tcPr>
          <w:p>
            <w:pPr>
              <w:pStyle w:val="TableContents"/>
              <w:spacing w:before="0" w:after="283"/>
              <w:jc w:val="right"/>
              <w:rPr/>
            </w:pPr>
            <w:r>
              <w:rPr/>
              <w:t>80,773</w:t>
            </w:r>
          </w:p>
        </w:tc>
        <w:tc>
          <w:tcPr>
            <w:tcW w:w="14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market value of the shares based on the closing price of our common stock on the vesting date. </w:t>
      </w:r>
      <w:r>
        <mc:AlternateContent>
          <mc:Choice Requires="wps">
            <w:drawing>
              <wp:anchor behindDoc="0" distT="101600" distB="0" distL="0" distR="0" simplePos="0" locked="0" layoutInCell="1" allowOverlap="1" relativeHeight="178">
                <wp:simplePos x="0" y="0"/>
                <wp:positionH relativeFrom="column">
                  <wp:align>left</wp:align>
                </wp:positionH>
                <wp:positionV relativeFrom="line">
                  <wp:align>top</wp:align>
                </wp:positionV>
                <wp:extent cx="254000" cy="293370"/>
                <wp:effectExtent l="0" t="0" r="0" b="0"/>
                <wp:wrapSquare wrapText="largest"/>
                <wp:docPr id="171" name="Frame168"/>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Authorized for Issuance Under Equity Compensation Plans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regarding our equity compensation plans as of December 31, 2022: </w:t>
      </w:r>
    </w:p>
    <w:p>
      <w:pPr>
        <w:pStyle w:val="TextBody"/>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Compensation Plan Information</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3164"/>
        <w:gridCol w:w="109"/>
        <w:gridCol w:w="109"/>
        <w:gridCol w:w="255"/>
        <w:gridCol w:w="255"/>
        <w:gridCol w:w="812"/>
        <w:gridCol w:w="258"/>
        <w:gridCol w:w="109"/>
        <w:gridCol w:w="109"/>
        <w:gridCol w:w="242"/>
        <w:gridCol w:w="242"/>
        <w:gridCol w:w="768"/>
        <w:gridCol w:w="244"/>
        <w:gridCol w:w="109"/>
        <w:gridCol w:w="109"/>
        <w:gridCol w:w="157"/>
        <w:gridCol w:w="157"/>
        <w:gridCol w:w="1285"/>
        <w:gridCol w:w="158"/>
        <w:gridCol w:w="161"/>
      </w:tblGrid>
      <w:tr>
        <w:trPr/>
        <w:tc>
          <w:tcPr>
            <w:tcW w:w="3164" w:type="dxa"/>
            <w:tcBorders/>
            <w:shd w:fill="auto" w:val="clear"/>
            <w:vAlign w:val="center"/>
          </w:tcPr>
          <w:p>
            <w:pPr>
              <w:pStyle w:val="TableContents"/>
              <w:spacing w:before="0" w:after="283"/>
              <w:jc w:val="lef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80" w:type="dxa"/>
            <w:gridSpan w:val="4"/>
            <w:tcBorders/>
            <w:shd w:fill="auto" w:val="clear"/>
            <w:vAlign w:val="center"/>
          </w:tcPr>
          <w:p>
            <w:pPr>
              <w:pStyle w:val="TableContents"/>
              <w:spacing w:before="0" w:after="0"/>
              <w:jc w:val="center"/>
              <w:rPr/>
            </w:pPr>
            <w:r>
              <w:rPr>
                <w:spacing w:val="-3"/>
              </w:rPr>
              <w:t>(a)</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96" w:type="dxa"/>
            <w:gridSpan w:val="4"/>
            <w:tcBorders/>
            <w:shd w:fill="auto" w:val="clear"/>
            <w:vAlign w:val="center"/>
          </w:tcPr>
          <w:p>
            <w:pPr>
              <w:pStyle w:val="TableContents"/>
              <w:spacing w:before="0" w:after="0"/>
              <w:jc w:val="center"/>
              <w:rPr/>
            </w:pPr>
            <w:r>
              <w:rPr>
                <w:spacing w:val="-3"/>
              </w:rPr>
              <w:t>(b)</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57" w:type="dxa"/>
            <w:gridSpan w:val="4"/>
            <w:tcBorders/>
            <w:shd w:fill="auto" w:val="clear"/>
            <w:vAlign w:val="center"/>
          </w:tcPr>
          <w:p>
            <w:pPr>
              <w:pStyle w:val="TableContents"/>
              <w:spacing w:before="0" w:after="0"/>
              <w:jc w:val="center"/>
              <w:rPr/>
            </w:pPr>
            <w:r>
              <w:rPr>
                <w:spacing w:val="-3"/>
              </w:rPr>
              <w:t>(c)</w:t>
            </w:r>
            <w:r>
              <w:rPr/>
              <w:t xml:space="preserve"> </w:t>
            </w:r>
          </w:p>
        </w:tc>
        <w:tc>
          <w:tcPr>
            <w:tcW w:w="161" w:type="dxa"/>
            <w:tcBorders/>
            <w:shd w:fill="auto" w:val="clear"/>
            <w:vAlign w:val="center"/>
          </w:tcPr>
          <w:p>
            <w:pPr>
              <w:pStyle w:val="TableContents"/>
              <w:spacing w:before="0" w:after="283"/>
              <w:rPr/>
            </w:pPr>
            <w:r>
              <w:rPr/>
              <w:t>​</w:t>
            </w:r>
          </w:p>
        </w:tc>
      </w:tr>
      <w:tr>
        <w:trPr/>
        <w:tc>
          <w:tcPr>
            <w:tcW w:w="3164" w:type="dxa"/>
            <w:tcBorders>
              <w:bottom w:val="single" w:sz="2" w:space="0" w:color="FFFFFF"/>
            </w:tcBorders>
            <w:shd w:fill="auto"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Securities </w:t>
              <w:br/>
              <w:t xml:space="preserve">to be Issued Upon </w:t>
              <w:br/>
              <w:t xml:space="preserve">Exercise of </w:t>
              <w:br/>
              <w:t xml:space="preserve">Outstanding </w:t>
              <w:br/>
              <w:t xml:space="preserve">Warrants, Options </w:t>
              <w:br/>
              <w:t xml:space="preserve">and Rights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96"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Weighted Average </w:t>
              <w:br/>
              <w:t xml:space="preserve">Exercise Price of </w:t>
              <w:br/>
              <w:t xml:space="preserve">Outstanding </w:t>
              <w:br/>
              <w:t xml:space="preserve">Warrants, Options </w:t>
              <w:br/>
              <w:t xml:space="preserve">and Rights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57"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Securities </w:t>
              <w:br/>
              <w:t xml:space="preserve">Remaining Available </w:t>
              <w:br/>
              <w:t xml:space="preserve">for Future Issuance </w:t>
              <w:br/>
              <w:t xml:space="preserve">Under Equity </w:t>
              <w:br/>
              <w:t xml:space="preserve">Compensation Plans </w:t>
              <w:br/>
              <w:t xml:space="preserve">(excluding securities </w:t>
              <w:br/>
              <w:t xml:space="preserve">reflected in column(a)) </w:t>
            </w:r>
          </w:p>
        </w:tc>
        <w:tc>
          <w:tcPr>
            <w:tcW w:w="161"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64"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798" w:type="dxa"/>
            <w:gridSpan w:val="6"/>
            <w:tcBorders/>
            <w:shd w:fill="CCEEFF" w:val="clear"/>
            <w:tcMar>
              <w:top w:w="28" w:type="dxa"/>
              <w:left w:w="28" w:type="dxa"/>
              <w:bottom w:w="28" w:type="dxa"/>
              <w:right w:w="28" w:type="dxa"/>
            </w:tcMar>
            <w:vAlign w:val="center"/>
          </w:tcPr>
          <w:p>
            <w:pPr>
              <w:pStyle w:val="TableContents"/>
              <w:spacing w:before="0" w:after="283"/>
              <w:rPr/>
            </w:pPr>
            <w:r>
              <w:rPr/>
              <w:t>​</w:t>
            </w:r>
          </w:p>
        </w:tc>
        <w:tc>
          <w:tcPr>
            <w:tcW w:w="1714" w:type="dxa"/>
            <w:gridSpan w:val="6"/>
            <w:tcBorders/>
            <w:shd w:fill="CCEEFF" w:val="clear"/>
            <w:tcMar>
              <w:top w:w="28" w:type="dxa"/>
              <w:left w:w="28" w:type="dxa"/>
              <w:bottom w:w="28" w:type="dxa"/>
              <w:right w:w="28" w:type="dxa"/>
            </w:tcMar>
            <w:vAlign w:val="center"/>
          </w:tcPr>
          <w:p>
            <w:pPr>
              <w:pStyle w:val="TableContents"/>
              <w:spacing w:before="0" w:after="283"/>
              <w:rPr/>
            </w:pPr>
            <w:r>
              <w:rPr/>
              <w:t>​</w:t>
            </w:r>
          </w:p>
        </w:tc>
        <w:tc>
          <w:tcPr>
            <w:tcW w:w="2027" w:type="dxa"/>
            <w:gridSpan w:val="6"/>
            <w:tcBorders/>
            <w:shd w:fill="CCEEFF" w:val="clear"/>
            <w:tcMar>
              <w:top w:w="28" w:type="dxa"/>
              <w:left w:w="28" w:type="dxa"/>
              <w:bottom w:w="28" w:type="dxa"/>
              <w:right w:w="28" w:type="dxa"/>
            </w:tcMar>
            <w:vAlign w:val="center"/>
          </w:tcPr>
          <w:p>
            <w:pPr>
              <w:pStyle w:val="TableContents"/>
              <w:spacing w:before="0" w:after="283"/>
              <w:rPr/>
            </w:pPr>
            <w:r>
              <w:rPr/>
              <w:t>​</w:t>
            </w:r>
          </w:p>
        </w:tc>
      </w:tr>
      <w:tr>
        <w:trPr/>
        <w:tc>
          <w:tcPr>
            <w:tcW w:w="3164" w:type="dxa"/>
            <w:tcBorders/>
            <w:shd w:fill="auto" w:val="clear"/>
            <w:vAlign w:val="center"/>
          </w:tcPr>
          <w:p>
            <w:pPr>
              <w:pStyle w:val="TableContents"/>
              <w:spacing w:before="0" w:after="0"/>
              <w:ind w:left="200" w:right="0" w:hanging="200"/>
              <w:jc w:val="left"/>
              <w:rPr>
                <w:spacing w:val="4"/>
              </w:rPr>
            </w:pPr>
            <w:r>
              <w:rPr>
                <w:spacing w:val="4"/>
              </w:rPr>
              <w:t xml:space="preserve">Equity compensation plans approved by security holders: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5" w:type="dxa"/>
            <w:tcBorders/>
            <w:shd w:fill="auto" w:val="clear"/>
            <w:vAlign w:val="center"/>
          </w:tcPr>
          <w:p>
            <w:pPr>
              <w:pStyle w:val="TableContents"/>
              <w:spacing w:before="0" w:after="283"/>
              <w:rPr/>
            </w:pPr>
            <w:r>
              <w:rPr/>
              <w:t>​</w:t>
            </w:r>
          </w:p>
        </w:tc>
        <w:tc>
          <w:tcPr>
            <w:tcW w:w="255" w:type="dxa"/>
            <w:tcBorders/>
            <w:shd w:fill="auto" w:val="clear"/>
            <w:vAlign w:val="center"/>
          </w:tcPr>
          <w:p>
            <w:pPr>
              <w:pStyle w:val="TableContents"/>
              <w:spacing w:before="0" w:after="283"/>
              <w:jc w:val="right"/>
              <w:rPr/>
            </w:pPr>
            <w:r>
              <w:rPr/>
              <w:t>​</w:t>
            </w:r>
          </w:p>
        </w:tc>
        <w:tc>
          <w:tcPr>
            <w:tcW w:w="812" w:type="dxa"/>
            <w:tcBorders/>
            <w:shd w:fill="auto" w:val="clear"/>
            <w:vAlign w:val="center"/>
          </w:tcPr>
          <w:p>
            <w:pPr>
              <w:pStyle w:val="TableContents"/>
              <w:spacing w:before="0" w:after="283"/>
              <w:jc w:val="right"/>
              <w:rPr/>
            </w:pPr>
            <w:r>
              <w:rPr/>
              <w:t>​</w:t>
            </w:r>
          </w:p>
        </w:tc>
        <w:tc>
          <w:tcPr>
            <w:tcW w:w="2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2" w:type="dxa"/>
            <w:tcBorders/>
            <w:shd w:fill="auto" w:val="clear"/>
            <w:vAlign w:val="center"/>
          </w:tcPr>
          <w:p>
            <w:pPr>
              <w:pStyle w:val="TableContents"/>
              <w:spacing w:before="0" w:after="283"/>
              <w:rPr/>
            </w:pPr>
            <w:r>
              <w:rPr/>
              <w:t>​</w:t>
            </w:r>
          </w:p>
        </w:tc>
        <w:tc>
          <w:tcPr>
            <w:tcW w:w="242" w:type="dxa"/>
            <w:tcBorders/>
            <w:shd w:fill="auto" w:val="clear"/>
            <w:vAlign w:val="center"/>
          </w:tcPr>
          <w:p>
            <w:pPr>
              <w:pStyle w:val="TableContents"/>
              <w:spacing w:before="0" w:after="283"/>
              <w:jc w:val="right"/>
              <w:rPr/>
            </w:pPr>
            <w:r>
              <w:rPr/>
              <w:t>​</w:t>
            </w:r>
          </w:p>
        </w:tc>
        <w:tc>
          <w:tcPr>
            <w:tcW w:w="768" w:type="dxa"/>
            <w:tcBorders/>
            <w:shd w:fill="auto" w:val="clear"/>
            <w:vAlign w:val="center"/>
          </w:tcPr>
          <w:p>
            <w:pPr>
              <w:pStyle w:val="TableContents"/>
              <w:spacing w:before="0" w:after="283"/>
              <w:jc w:val="right"/>
              <w:rPr/>
            </w:pPr>
            <w:r>
              <w:rPr/>
              <w:t>​</w:t>
            </w:r>
          </w:p>
        </w:tc>
        <w:tc>
          <w:tcPr>
            <w:tcW w:w="24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jc w:val="right"/>
              <w:rPr/>
            </w:pPr>
            <w:r>
              <w:rPr/>
              <w:t>​</w:t>
            </w:r>
          </w:p>
        </w:tc>
        <w:tc>
          <w:tcPr>
            <w:tcW w:w="1285" w:type="dxa"/>
            <w:tcBorders/>
            <w:shd w:fill="auto" w:val="clear"/>
            <w:vAlign w:val="center"/>
          </w:tcPr>
          <w:p>
            <w:pPr>
              <w:pStyle w:val="TableContents"/>
              <w:spacing w:before="0" w:after="283"/>
              <w:jc w:val="right"/>
              <w:rPr/>
            </w:pPr>
            <w:r>
              <w:rPr/>
              <w:t>​</w:t>
            </w:r>
          </w:p>
        </w:tc>
        <w:tc>
          <w:tcPr>
            <w:tcW w:w="158"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3164" w:type="dxa"/>
            <w:tcBorders/>
            <w:shd w:fill="CCEEFF" w:val="clear"/>
            <w:vAlign w:val="center"/>
          </w:tcPr>
          <w:p>
            <w:pPr>
              <w:pStyle w:val="TableContents"/>
              <w:spacing w:before="0" w:after="0"/>
              <w:ind w:left="200" w:right="0" w:hanging="0"/>
              <w:jc w:val="left"/>
              <w:rPr>
                <w:spacing w:val="4"/>
              </w:rPr>
            </w:pPr>
            <w:r>
              <w:rPr>
                <w:spacing w:val="4"/>
              </w:rPr>
              <w:t xml:space="preserve">2008 Equity Incentive Plan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55" w:type="dxa"/>
            <w:tcBorders/>
            <w:shd w:fill="CCEEFF" w:val="clear"/>
            <w:vAlign w:val="center"/>
          </w:tcPr>
          <w:p>
            <w:pPr>
              <w:pStyle w:val="TableContents"/>
              <w:spacing w:before="0" w:after="283"/>
              <w:rPr/>
            </w:pPr>
            <w:r>
              <w:rPr/>
              <w:t>​</w:t>
            </w:r>
          </w:p>
        </w:tc>
        <w:tc>
          <w:tcPr>
            <w:tcW w:w="255" w:type="dxa"/>
            <w:tcBorders/>
            <w:shd w:fill="CCEEFF" w:val="clear"/>
            <w:vAlign w:val="center"/>
          </w:tcPr>
          <w:p>
            <w:pPr>
              <w:pStyle w:val="TableContents"/>
              <w:spacing w:before="0" w:after="283"/>
              <w:jc w:val="right"/>
              <w:rPr/>
            </w:pPr>
            <w:r>
              <w:rPr/>
              <w:t>​</w:t>
            </w:r>
          </w:p>
        </w:tc>
        <w:tc>
          <w:tcPr>
            <w:tcW w:w="812" w:type="dxa"/>
            <w:tcBorders/>
            <w:shd w:fill="CCEEFF" w:val="clear"/>
            <w:vAlign w:val="center"/>
          </w:tcPr>
          <w:p>
            <w:pPr>
              <w:pStyle w:val="TableContents"/>
              <w:spacing w:before="0" w:after="283"/>
              <w:jc w:val="right"/>
              <w:rPr/>
            </w:pPr>
            <w:r>
              <w:rPr/>
              <w:t>—</w:t>
            </w:r>
          </w:p>
        </w:tc>
        <w:tc>
          <w:tcPr>
            <w:tcW w:w="258"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42" w:type="dxa"/>
            <w:tcBorders/>
            <w:shd w:fill="CCEEFF" w:val="clear"/>
            <w:vAlign w:val="center"/>
          </w:tcPr>
          <w:p>
            <w:pPr>
              <w:pStyle w:val="TableContents"/>
              <w:spacing w:before="0" w:after="283"/>
              <w:rPr/>
            </w:pPr>
            <w:r>
              <w:rPr/>
              <w:t>​</w:t>
            </w:r>
          </w:p>
        </w:tc>
        <w:tc>
          <w:tcPr>
            <w:tcW w:w="242" w:type="dxa"/>
            <w:tcBorders/>
            <w:shd w:fill="CCEEFF" w:val="clear"/>
            <w:vAlign w:val="center"/>
          </w:tcPr>
          <w:p>
            <w:pPr>
              <w:pStyle w:val="TableContents"/>
              <w:spacing w:before="0" w:after="283"/>
              <w:jc w:val="right"/>
              <w:rPr/>
            </w:pPr>
            <w:r>
              <w:rPr/>
              <w:t>​</w:t>
            </w:r>
          </w:p>
        </w:tc>
        <w:tc>
          <w:tcPr>
            <w:tcW w:w="768" w:type="dxa"/>
            <w:tcBorders/>
            <w:shd w:fill="CCEEFF" w:val="clear"/>
            <w:vAlign w:val="center"/>
          </w:tcPr>
          <w:p>
            <w:pPr>
              <w:pStyle w:val="TableContents"/>
              <w:spacing w:before="0" w:after="283"/>
              <w:jc w:val="right"/>
              <w:rPr/>
            </w:pPr>
            <w:r>
              <w:rPr/>
              <w:t>—</w:t>
            </w:r>
          </w:p>
        </w:tc>
        <w:tc>
          <w:tcPr>
            <w:tcW w:w="244"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57" w:type="dxa"/>
            <w:tcBorders/>
            <w:shd w:fill="CCEEFF" w:val="clear"/>
            <w:vAlign w:val="center"/>
          </w:tcPr>
          <w:p>
            <w:pPr>
              <w:pStyle w:val="TableContents"/>
              <w:spacing w:before="0" w:after="283"/>
              <w:rPr/>
            </w:pPr>
            <w:r>
              <w:rPr/>
              <w:t>​</w:t>
            </w:r>
          </w:p>
        </w:tc>
        <w:tc>
          <w:tcPr>
            <w:tcW w:w="157" w:type="dxa"/>
            <w:tcBorders/>
            <w:shd w:fill="CCEEFF" w:val="clear"/>
            <w:vAlign w:val="center"/>
          </w:tcPr>
          <w:p>
            <w:pPr>
              <w:pStyle w:val="TableContents"/>
              <w:spacing w:before="0" w:after="283"/>
              <w:jc w:val="right"/>
              <w:rPr/>
            </w:pPr>
            <w:r>
              <w:rPr/>
              <w:t>​</w:t>
            </w:r>
          </w:p>
        </w:tc>
        <w:tc>
          <w:tcPr>
            <w:tcW w:w="1285" w:type="dxa"/>
            <w:tcBorders/>
            <w:shd w:fill="CCEEFF" w:val="clear"/>
            <w:vAlign w:val="center"/>
          </w:tcPr>
          <w:p>
            <w:pPr>
              <w:pStyle w:val="TableContents"/>
              <w:spacing w:before="0" w:after="283"/>
              <w:jc w:val="right"/>
              <w:rPr/>
            </w:pPr>
            <w:r>
              <w:rPr/>
              <w:t>271,575</w:t>
            </w:r>
          </w:p>
        </w:tc>
        <w:tc>
          <w:tcPr>
            <w:tcW w:w="158" w:type="dxa"/>
            <w:tcBorders/>
            <w:shd w:fill="CCEEFF" w:val="clear"/>
            <w:vAlign w:val="center"/>
          </w:tcPr>
          <w:p>
            <w:pPr>
              <w:pStyle w:val="TableContents"/>
              <w:spacing w:before="0" w:after="283"/>
              <w:rPr/>
            </w:pPr>
            <w:r>
              <w:rPr/>
              <w:t>​</w:t>
            </w:r>
          </w:p>
        </w:tc>
        <w:tc>
          <w:tcPr>
            <w:tcW w:w="161" w:type="dxa"/>
            <w:tcBorders/>
            <w:shd w:fill="CCEEFF" w:val="clear"/>
            <w:vAlign w:val="center"/>
          </w:tcPr>
          <w:p>
            <w:pPr>
              <w:pStyle w:val="TableContents"/>
              <w:spacing w:before="0" w:after="283"/>
              <w:rPr/>
            </w:pPr>
            <w:r>
              <w:rPr/>
              <w:t>​</w:t>
            </w:r>
          </w:p>
        </w:tc>
      </w:tr>
      <w:tr>
        <w:trPr/>
        <w:tc>
          <w:tcPr>
            <w:tcW w:w="3164" w:type="dxa"/>
            <w:tcBorders/>
            <w:shd w:fill="auto" w:val="clear"/>
            <w:vAlign w:val="center"/>
          </w:tcPr>
          <w:p>
            <w:pPr>
              <w:pStyle w:val="TableContents"/>
              <w:spacing w:before="0" w:after="0"/>
              <w:ind w:left="400" w:right="0" w:hanging="200"/>
              <w:jc w:val="left"/>
              <w:rPr>
                <w:spacing w:val="4"/>
              </w:rPr>
            </w:pPr>
            <w:r>
              <w:rPr>
                <w:spacing w:val="4"/>
              </w:rPr>
              <w:t xml:space="preserve">Equity compensation plans not approved by security holders: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5" w:type="dxa"/>
            <w:tcBorders/>
            <w:shd w:fill="auto" w:val="clear"/>
            <w:vAlign w:val="center"/>
          </w:tcPr>
          <w:p>
            <w:pPr>
              <w:pStyle w:val="TableContents"/>
              <w:spacing w:before="0" w:after="283"/>
              <w:rPr/>
            </w:pPr>
            <w:r>
              <w:rPr/>
              <w:t>​</w:t>
            </w:r>
          </w:p>
        </w:tc>
        <w:tc>
          <w:tcPr>
            <w:tcW w:w="255" w:type="dxa"/>
            <w:tcBorders/>
            <w:shd w:fill="auto" w:val="clear"/>
            <w:vAlign w:val="center"/>
          </w:tcPr>
          <w:p>
            <w:pPr>
              <w:pStyle w:val="TableContents"/>
              <w:spacing w:before="0" w:after="283"/>
              <w:jc w:val="right"/>
              <w:rPr/>
            </w:pPr>
            <w:r>
              <w:rPr/>
              <w:t>​</w:t>
            </w:r>
          </w:p>
        </w:tc>
        <w:tc>
          <w:tcPr>
            <w:tcW w:w="812" w:type="dxa"/>
            <w:tcBorders/>
            <w:shd w:fill="auto" w:val="clear"/>
            <w:vAlign w:val="center"/>
          </w:tcPr>
          <w:p>
            <w:pPr>
              <w:pStyle w:val="TableContents"/>
              <w:spacing w:before="0" w:after="283"/>
              <w:jc w:val="right"/>
              <w:rPr/>
            </w:pPr>
            <w:r>
              <w:rPr/>
              <w:t>—</w:t>
            </w:r>
          </w:p>
        </w:tc>
        <w:tc>
          <w:tcPr>
            <w:tcW w:w="2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2" w:type="dxa"/>
            <w:tcBorders/>
            <w:shd w:fill="auto" w:val="clear"/>
            <w:vAlign w:val="center"/>
          </w:tcPr>
          <w:p>
            <w:pPr>
              <w:pStyle w:val="TableContents"/>
              <w:spacing w:before="0" w:after="283"/>
              <w:rPr/>
            </w:pPr>
            <w:r>
              <w:rPr/>
              <w:t>​</w:t>
            </w:r>
          </w:p>
        </w:tc>
        <w:tc>
          <w:tcPr>
            <w:tcW w:w="242" w:type="dxa"/>
            <w:tcBorders/>
            <w:shd w:fill="auto" w:val="clear"/>
            <w:vAlign w:val="center"/>
          </w:tcPr>
          <w:p>
            <w:pPr>
              <w:pStyle w:val="TableContents"/>
              <w:spacing w:before="0" w:after="283"/>
              <w:jc w:val="right"/>
              <w:rPr/>
            </w:pPr>
            <w:r>
              <w:rPr/>
              <w:t>​</w:t>
            </w:r>
          </w:p>
        </w:tc>
        <w:tc>
          <w:tcPr>
            <w:tcW w:w="768" w:type="dxa"/>
            <w:tcBorders/>
            <w:shd w:fill="auto" w:val="clear"/>
            <w:vAlign w:val="center"/>
          </w:tcPr>
          <w:p>
            <w:pPr>
              <w:pStyle w:val="TableContents"/>
              <w:spacing w:before="0" w:after="283"/>
              <w:jc w:val="right"/>
              <w:rPr/>
            </w:pPr>
            <w:r>
              <w:rPr/>
              <w:t>—</w:t>
            </w:r>
          </w:p>
        </w:tc>
        <w:tc>
          <w:tcPr>
            <w:tcW w:w="24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jc w:val="right"/>
              <w:rPr/>
            </w:pPr>
            <w:r>
              <w:rPr/>
              <w:t>​</w:t>
            </w:r>
          </w:p>
        </w:tc>
        <w:tc>
          <w:tcPr>
            <w:tcW w:w="1285" w:type="dxa"/>
            <w:tcBorders/>
            <w:shd w:fill="auto" w:val="clear"/>
            <w:vAlign w:val="center"/>
          </w:tcPr>
          <w:p>
            <w:pPr>
              <w:pStyle w:val="TableContents"/>
              <w:spacing w:before="0" w:after="283"/>
              <w:jc w:val="right"/>
              <w:rPr/>
            </w:pPr>
            <w:r>
              <w:rPr/>
              <w:t>—</w:t>
            </w:r>
          </w:p>
        </w:tc>
        <w:tc>
          <w:tcPr>
            <w:tcW w:w="158"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3164" w:type="dxa"/>
            <w:tcBorders/>
            <w:shd w:fill="CCEEFF" w:val="clear"/>
            <w:vAlign w:val="center"/>
          </w:tcPr>
          <w:p>
            <w:pPr>
              <w:pStyle w:val="TableContents"/>
              <w:spacing w:before="0" w:after="0"/>
              <w:ind w:left="400" w:right="0" w:hanging="0"/>
              <w:jc w:val="left"/>
              <w:rPr>
                <w:b/>
              </w:rPr>
            </w:pPr>
            <w:r>
              <w:rPr>
                <w:b/>
                <w:spacing w:val="-4"/>
              </w:rPr>
              <w:t>Total</w:t>
            </w:r>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55" w:type="dxa"/>
            <w:tcBorders/>
            <w:shd w:fill="CCEEFF" w:val="clear"/>
            <w:vAlign w:val="center"/>
          </w:tcPr>
          <w:p>
            <w:pPr>
              <w:pStyle w:val="TableContents"/>
              <w:spacing w:before="0" w:after="283"/>
              <w:rPr/>
            </w:pPr>
            <w:r>
              <w:rPr/>
              <w:t>​</w:t>
            </w:r>
          </w:p>
        </w:tc>
        <w:tc>
          <w:tcPr>
            <w:tcW w:w="255" w:type="dxa"/>
            <w:tcBorders/>
            <w:shd w:fill="CCEEFF" w:val="clear"/>
            <w:vAlign w:val="center"/>
          </w:tcPr>
          <w:p>
            <w:pPr>
              <w:pStyle w:val="TableContents"/>
              <w:spacing w:before="0" w:after="283"/>
              <w:jc w:val="right"/>
              <w:rPr/>
            </w:pPr>
            <w:r>
              <w:rPr/>
              <w:t>​</w:t>
            </w:r>
          </w:p>
        </w:tc>
        <w:tc>
          <w:tcPr>
            <w:tcW w:w="812" w:type="dxa"/>
            <w:tcBorders/>
            <w:shd w:fill="CCEEFF" w:val="clear"/>
            <w:vAlign w:val="center"/>
          </w:tcPr>
          <w:p>
            <w:pPr>
              <w:pStyle w:val="TableContents"/>
              <w:spacing w:before="0" w:after="283"/>
              <w:jc w:val="right"/>
              <w:rPr/>
            </w:pPr>
            <w:r>
              <w:rPr/>
              <w:t>—</w:t>
            </w:r>
          </w:p>
        </w:tc>
        <w:tc>
          <w:tcPr>
            <w:tcW w:w="258"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42" w:type="dxa"/>
            <w:tcBorders/>
            <w:shd w:fill="CCEEFF" w:val="clear"/>
            <w:vAlign w:val="center"/>
          </w:tcPr>
          <w:p>
            <w:pPr>
              <w:pStyle w:val="TableContents"/>
              <w:spacing w:before="0" w:after="283"/>
              <w:rPr/>
            </w:pPr>
            <w:r>
              <w:rPr/>
              <w:t>​</w:t>
            </w:r>
          </w:p>
        </w:tc>
        <w:tc>
          <w:tcPr>
            <w:tcW w:w="242" w:type="dxa"/>
            <w:tcBorders/>
            <w:shd w:fill="CCEEFF" w:val="clear"/>
            <w:vAlign w:val="center"/>
          </w:tcPr>
          <w:p>
            <w:pPr>
              <w:pStyle w:val="TableContents"/>
              <w:spacing w:before="0" w:after="283"/>
              <w:jc w:val="right"/>
              <w:rPr/>
            </w:pPr>
            <w:r>
              <w:rPr/>
              <w:t>​</w:t>
            </w:r>
          </w:p>
        </w:tc>
        <w:tc>
          <w:tcPr>
            <w:tcW w:w="768" w:type="dxa"/>
            <w:tcBorders/>
            <w:shd w:fill="CCEEFF" w:val="clear"/>
            <w:vAlign w:val="center"/>
          </w:tcPr>
          <w:p>
            <w:pPr>
              <w:pStyle w:val="TableContents"/>
              <w:spacing w:before="0" w:after="283"/>
              <w:jc w:val="right"/>
              <w:rPr/>
            </w:pPr>
            <w:r>
              <w:rPr/>
              <w:t>—</w:t>
            </w:r>
          </w:p>
        </w:tc>
        <w:tc>
          <w:tcPr>
            <w:tcW w:w="244"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57" w:type="dxa"/>
            <w:tcBorders/>
            <w:shd w:fill="CCEEFF" w:val="clear"/>
            <w:vAlign w:val="center"/>
          </w:tcPr>
          <w:p>
            <w:pPr>
              <w:pStyle w:val="TableContents"/>
              <w:spacing w:before="0" w:after="283"/>
              <w:rPr/>
            </w:pPr>
            <w:r>
              <w:rPr/>
              <w:t>​</w:t>
            </w:r>
          </w:p>
        </w:tc>
        <w:tc>
          <w:tcPr>
            <w:tcW w:w="157" w:type="dxa"/>
            <w:tcBorders/>
            <w:shd w:fill="CCEEFF" w:val="clear"/>
            <w:vAlign w:val="center"/>
          </w:tcPr>
          <w:p>
            <w:pPr>
              <w:pStyle w:val="TableContents"/>
              <w:spacing w:before="0" w:after="283"/>
              <w:jc w:val="right"/>
              <w:rPr/>
            </w:pPr>
            <w:r>
              <w:rPr/>
              <w:t>​</w:t>
            </w:r>
          </w:p>
        </w:tc>
        <w:tc>
          <w:tcPr>
            <w:tcW w:w="1285" w:type="dxa"/>
            <w:tcBorders/>
            <w:shd w:fill="CCEEFF" w:val="clear"/>
            <w:vAlign w:val="center"/>
          </w:tcPr>
          <w:p>
            <w:pPr>
              <w:pStyle w:val="TableContents"/>
              <w:spacing w:before="0" w:after="283"/>
              <w:jc w:val="right"/>
              <w:rPr/>
            </w:pPr>
            <w:r>
              <w:rPr/>
              <w:t>271,575</w:t>
            </w:r>
          </w:p>
        </w:tc>
        <w:tc>
          <w:tcPr>
            <w:tcW w:w="158" w:type="dxa"/>
            <w:tcBorders/>
            <w:shd w:fill="CCEEFF" w:val="clear"/>
            <w:vAlign w:val="center"/>
          </w:tcPr>
          <w:p>
            <w:pPr>
              <w:pStyle w:val="TableContents"/>
              <w:spacing w:before="0" w:after="283"/>
              <w:rPr/>
            </w:pPr>
            <w:r>
              <w:rPr/>
              <w:t>​</w:t>
            </w:r>
          </w:p>
        </w:tc>
        <w:tc>
          <w:tcPr>
            <w:tcW w:w="161"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NDCP"/>
      <w:bookmarkEnd w:id="54"/>
      <w:r>
        <w:rPr>
          <w:rFonts w:ascii="calibri;arial;sans-serif" w:hAnsi="calibri;arial;sans-serif"/>
          <w:b w:val="false"/>
          <w:i w:val="false"/>
          <w:caps w:val="false"/>
          <w:smallCaps w:val="false"/>
          <w:color w:val="000000"/>
          <w:sz w:val="16"/>
        </w:rPr>
        <w:t>​</w:t>
      </w:r>
      <w:bookmarkStart w:id="55" w:name="tPPUT"/>
      <w:bookmarkEnd w:id="5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614"/>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Non-Qualified Deferred Compensation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contributions by us to our deferred compensation plan for fiscal year 2022. </w:t>
      </w:r>
    </w:p>
    <w:tbl>
      <w:tblPr>
        <w:tblW w:w="9109" w:type="dxa"/>
        <w:jc w:val="left"/>
        <w:tblInd w:w="1393" w:type="dxa"/>
        <w:tblCellMar>
          <w:top w:w="0" w:type="dxa"/>
          <w:left w:w="0" w:type="dxa"/>
          <w:bottom w:w="43" w:type="dxa"/>
          <w:right w:w="0" w:type="dxa"/>
        </w:tblCellMar>
      </w:tblPr>
      <w:tblGrid>
        <w:gridCol w:w="1128"/>
        <w:gridCol w:w="109"/>
        <w:gridCol w:w="109"/>
        <w:gridCol w:w="220"/>
        <w:gridCol w:w="220"/>
        <w:gridCol w:w="699"/>
        <w:gridCol w:w="221"/>
        <w:gridCol w:w="109"/>
        <w:gridCol w:w="109"/>
        <w:gridCol w:w="135"/>
        <w:gridCol w:w="135"/>
        <w:gridCol w:w="953"/>
        <w:gridCol w:w="137"/>
        <w:gridCol w:w="109"/>
        <w:gridCol w:w="109"/>
        <w:gridCol w:w="109"/>
        <w:gridCol w:w="109"/>
        <w:gridCol w:w="961"/>
        <w:gridCol w:w="109"/>
        <w:gridCol w:w="109"/>
        <w:gridCol w:w="109"/>
        <w:gridCol w:w="216"/>
        <w:gridCol w:w="216"/>
        <w:gridCol w:w="686"/>
        <w:gridCol w:w="218"/>
        <w:gridCol w:w="109"/>
        <w:gridCol w:w="109"/>
        <w:gridCol w:w="109"/>
        <w:gridCol w:w="109"/>
        <w:gridCol w:w="1066"/>
        <w:gridCol w:w="109"/>
        <w:gridCol w:w="154"/>
      </w:tblGrid>
      <w:tr>
        <w:trPr/>
        <w:tc>
          <w:tcPr>
            <w:tcW w:w="1128"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6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Executive </w:t>
              <w:br/>
              <w:t xml:space="preserve">Contributions </w:t>
              <w:br/>
              <w:t xml:space="preserve">in Last </w:t>
              <w:br/>
              <w:t xml:space="preserve">Fiscal Year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6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Registrant </w:t>
              <w:br/>
              <w:t xml:space="preserve">Contributions </w:t>
              <w:br/>
              <w:t xml:space="preserve">in Last </w:t>
              <w:br/>
              <w:t xml:space="preserve">Fiscal Year </w:t>
              <w:br/>
              <w:t xml:space="preserve">($)(1)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8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Aggregate </w:t>
              <w:br/>
              <w:t xml:space="preserve">Earnings </w:t>
              <w:br/>
              <w:t xml:space="preserve">in Last </w:t>
              <w:br/>
              <w:t xml:space="preserve">Fiscal Year </w:t>
              <w:br/>
              <w:t xml:space="preserve">($)(1)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6" w:type="dxa"/>
            <w:gridSpan w:val="4"/>
            <w:tcBorders>
              <w:bottom w:val="single" w:sz="2" w:space="0" w:color="000000"/>
            </w:tcBorders>
            <w:shd w:fill="auto" w:val="clear"/>
            <w:vAlign w:val="center"/>
          </w:tcPr>
          <w:p>
            <w:pPr>
              <w:pStyle w:val="TableContents"/>
              <w:spacing w:before="0" w:after="0"/>
              <w:jc w:val="center"/>
              <w:rPr/>
            </w:pPr>
            <w:r>
              <w:rPr>
                <w:spacing w:val="-3"/>
              </w:rPr>
              <w:t xml:space="preserve">Aggregate </w:t>
              <w:br/>
              <w:t>Withdrawals/</w:t>
            </w:r>
            <w:r>
              <w:rPr/>
              <w:t>​</w:t>
              <w:br/>
            </w:r>
            <w:r>
              <w:rPr>
                <w:spacing w:val="-3"/>
              </w:rPr>
              <w:t>Distributions</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Aggregate </w:t>
              <w:br/>
              <w:t xml:space="preserve">Balance at </w:t>
              <w:br/>
              <w:t xml:space="preserve">Last Fiscal </w:t>
              <w:br/>
              <w:t xml:space="preserve">Year End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0" w:type="dxa"/>
            <w:tcBorders/>
            <w:shd w:fill="CCEEFF" w:val="clear"/>
            <w:tcMar>
              <w:bottom w:w="0" w:type="dxa"/>
            </w:tcMar>
            <w:vAlign w:val="center"/>
          </w:tcPr>
          <w:p>
            <w:pPr>
              <w:pStyle w:val="TableContents"/>
              <w:spacing w:before="0" w:after="283"/>
              <w:rPr/>
            </w:pPr>
            <w:r>
              <w:rPr/>
              <w:t>​</w:t>
            </w:r>
          </w:p>
        </w:tc>
        <w:tc>
          <w:tcPr>
            <w:tcW w:w="220" w:type="dxa"/>
            <w:tcBorders/>
            <w:shd w:fill="CCEEFF" w:val="clear"/>
            <w:tcMar>
              <w:bottom w:w="0" w:type="dxa"/>
            </w:tcMar>
            <w:vAlign w:val="center"/>
          </w:tcPr>
          <w:p>
            <w:pPr>
              <w:pStyle w:val="TableContents"/>
              <w:spacing w:before="0" w:after="283"/>
              <w:jc w:val="right"/>
              <w:rPr/>
            </w:pPr>
            <w:r>
              <w:rPr/>
              <w:t>​</w:t>
            </w:r>
          </w:p>
        </w:tc>
        <w:tc>
          <w:tcPr>
            <w:tcW w:w="699" w:type="dxa"/>
            <w:tcBorders/>
            <w:shd w:fill="CCEEFF" w:val="clear"/>
            <w:tcMar>
              <w:bottom w:w="0" w:type="dxa"/>
            </w:tcMar>
            <w:vAlign w:val="center"/>
          </w:tcPr>
          <w:p>
            <w:pPr>
              <w:pStyle w:val="TableContents"/>
              <w:spacing w:before="0" w:after="283"/>
              <w:jc w:val="right"/>
              <w:rPr/>
            </w:pPr>
            <w:r>
              <w:rPr/>
              <w:t>—</w:t>
            </w:r>
          </w:p>
        </w:tc>
        <w:tc>
          <w:tcPr>
            <w:tcW w:w="2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53" w:type="dxa"/>
            <w:tcBorders/>
            <w:shd w:fill="CCEEFF" w:val="clear"/>
            <w:tcMar>
              <w:bottom w:w="0" w:type="dxa"/>
            </w:tcMar>
            <w:vAlign w:val="center"/>
          </w:tcPr>
          <w:p>
            <w:pPr>
              <w:pStyle w:val="TableContents"/>
              <w:spacing w:before="0" w:after="283"/>
              <w:jc w:val="right"/>
              <w:rPr/>
            </w:pPr>
            <w:r>
              <w:rPr/>
              <w:t>53,920</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(177,348)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6" w:type="dxa"/>
            <w:tcBorders/>
            <w:shd w:fill="CCEEFF" w:val="clear"/>
            <w:tcMar>
              <w:bottom w:w="0" w:type="dxa"/>
            </w:tcMar>
            <w:vAlign w:val="center"/>
          </w:tcPr>
          <w:p>
            <w:pPr>
              <w:pStyle w:val="TableContents"/>
              <w:spacing w:before="0" w:after="283"/>
              <w:rPr/>
            </w:pPr>
            <w:r>
              <w:rPr/>
              <w:t>​</w:t>
            </w:r>
          </w:p>
        </w:tc>
        <w:tc>
          <w:tcPr>
            <w:tcW w:w="216" w:type="dxa"/>
            <w:tcBorders/>
            <w:shd w:fill="CCEEFF" w:val="clear"/>
            <w:tcMar>
              <w:bottom w:w="0" w:type="dxa"/>
            </w:tcMar>
            <w:vAlign w:val="center"/>
          </w:tcPr>
          <w:p>
            <w:pPr>
              <w:pStyle w:val="TableContents"/>
              <w:spacing w:before="0" w:after="283"/>
              <w:jc w:val="right"/>
              <w:rPr/>
            </w:pPr>
            <w:r>
              <w:rPr/>
              <w:t>​</w:t>
            </w:r>
          </w:p>
        </w:tc>
        <w:tc>
          <w:tcPr>
            <w:tcW w:w="686" w:type="dxa"/>
            <w:tcBorders/>
            <w:shd w:fill="CCEEFF" w:val="clear"/>
            <w:tcMar>
              <w:bottom w:w="0" w:type="dxa"/>
            </w:tcMar>
            <w:vAlign w:val="center"/>
          </w:tcPr>
          <w:p>
            <w:pPr>
              <w:pStyle w:val="TableContents"/>
              <w:spacing w:before="0" w:after="283"/>
              <w:jc w:val="right"/>
              <w:rPr/>
            </w:pPr>
            <w:r>
              <w:rPr/>
              <w:t>—</w:t>
            </w:r>
          </w:p>
        </w:tc>
        <w:tc>
          <w:tcPr>
            <w:tcW w:w="2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1,047,339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shd w:fill="auto" w:val="clear"/>
            <w:tcMar>
              <w:bottom w:w="0" w:type="dxa"/>
            </w:tcMar>
            <w:vAlign w:val="center"/>
          </w:tcPr>
          <w:p>
            <w:pPr>
              <w:pStyle w:val="TableContents"/>
              <w:spacing w:before="0" w:after="0"/>
              <w:jc w:val="left"/>
              <w:rPr>
                <w:spacing w:val="4"/>
              </w:rPr>
            </w:pPr>
            <w:r>
              <w:rPr>
                <w:spacing w:val="4"/>
              </w:rPr>
              <w:t xml:space="preserve">Justin D. Benincasa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0" w:type="dxa"/>
            <w:tcBorders/>
            <w:shd w:fill="auto" w:val="clear"/>
            <w:tcMar>
              <w:bottom w:w="0" w:type="dxa"/>
            </w:tcMar>
            <w:vAlign w:val="center"/>
          </w:tcPr>
          <w:p>
            <w:pPr>
              <w:pStyle w:val="TableContents"/>
              <w:spacing w:before="0" w:after="283"/>
              <w:rPr/>
            </w:pPr>
            <w:r>
              <w:rPr/>
              <w:t>​</w:t>
            </w:r>
          </w:p>
        </w:tc>
        <w:tc>
          <w:tcPr>
            <w:tcW w:w="220" w:type="dxa"/>
            <w:tcBorders/>
            <w:shd w:fill="auto" w:val="clear"/>
            <w:tcMar>
              <w:bottom w:w="0" w:type="dxa"/>
            </w:tcMar>
            <w:vAlign w:val="center"/>
          </w:tcPr>
          <w:p>
            <w:pPr>
              <w:pStyle w:val="TableContents"/>
              <w:spacing w:before="0" w:after="283"/>
              <w:jc w:val="right"/>
              <w:rPr/>
            </w:pPr>
            <w:r>
              <w:rPr/>
              <w:t>​</w:t>
            </w:r>
          </w:p>
        </w:tc>
        <w:tc>
          <w:tcPr>
            <w:tcW w:w="699" w:type="dxa"/>
            <w:tcBorders/>
            <w:shd w:fill="auto" w:val="clear"/>
            <w:tcMar>
              <w:bottom w:w="0" w:type="dxa"/>
            </w:tcMar>
            <w:vAlign w:val="center"/>
          </w:tcPr>
          <w:p>
            <w:pPr>
              <w:pStyle w:val="TableContents"/>
              <w:spacing w:before="0" w:after="283"/>
              <w:jc w:val="right"/>
              <w:rPr/>
            </w:pPr>
            <w:r>
              <w:rPr/>
              <w:t>—</w:t>
            </w:r>
          </w:p>
        </w:tc>
        <w:tc>
          <w:tcPr>
            <w:tcW w:w="2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32,640</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(93,293)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16" w:type="dxa"/>
            <w:tcBorders/>
            <w:shd w:fill="auto" w:val="clear"/>
            <w:tcMar>
              <w:bottom w:w="0" w:type="dxa"/>
            </w:tcMar>
            <w:vAlign w:val="center"/>
          </w:tcPr>
          <w:p>
            <w:pPr>
              <w:pStyle w:val="TableContents"/>
              <w:spacing w:before="0" w:after="283"/>
              <w:rPr/>
            </w:pPr>
            <w:r>
              <w:rPr/>
              <w:t>​</w:t>
            </w:r>
          </w:p>
        </w:tc>
        <w:tc>
          <w:tcPr>
            <w:tcW w:w="216" w:type="dxa"/>
            <w:tcBorders/>
            <w:shd w:fill="auto" w:val="clear"/>
            <w:tcMar>
              <w:bottom w:w="0" w:type="dxa"/>
            </w:tcMar>
            <w:vAlign w:val="center"/>
          </w:tcPr>
          <w:p>
            <w:pPr>
              <w:pStyle w:val="TableContents"/>
              <w:spacing w:before="0" w:after="283"/>
              <w:jc w:val="right"/>
              <w:rPr/>
            </w:pPr>
            <w:r>
              <w:rPr/>
              <w:t>​</w:t>
            </w:r>
          </w:p>
        </w:tc>
        <w:tc>
          <w:tcPr>
            <w:tcW w:w="686" w:type="dxa"/>
            <w:tcBorders/>
            <w:shd w:fill="auto" w:val="clear"/>
            <w:tcMar>
              <w:bottom w:w="0" w:type="dxa"/>
            </w:tcMar>
            <w:vAlign w:val="center"/>
          </w:tcPr>
          <w:p>
            <w:pPr>
              <w:pStyle w:val="TableContents"/>
              <w:spacing w:before="0" w:after="283"/>
              <w:jc w:val="right"/>
              <w:rPr/>
            </w:pPr>
            <w:r>
              <w:rPr/>
              <w:t>—</w:t>
            </w:r>
          </w:p>
        </w:tc>
        <w:tc>
          <w:tcPr>
            <w:tcW w:w="2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575,945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Brad W. Martin(2)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0" w:type="dxa"/>
            <w:tcBorders/>
            <w:shd w:fill="CCEEFF" w:val="clear"/>
            <w:tcMar>
              <w:bottom w:w="0" w:type="dxa"/>
            </w:tcMar>
            <w:vAlign w:val="center"/>
          </w:tcPr>
          <w:p>
            <w:pPr>
              <w:pStyle w:val="TableContents"/>
              <w:spacing w:before="0" w:after="283"/>
              <w:rPr/>
            </w:pPr>
            <w:r>
              <w:rPr/>
              <w:t>​</w:t>
            </w:r>
          </w:p>
        </w:tc>
        <w:tc>
          <w:tcPr>
            <w:tcW w:w="220" w:type="dxa"/>
            <w:tcBorders/>
            <w:shd w:fill="CCEEFF" w:val="clear"/>
            <w:tcMar>
              <w:bottom w:w="0" w:type="dxa"/>
            </w:tcMar>
            <w:vAlign w:val="center"/>
          </w:tcPr>
          <w:p>
            <w:pPr>
              <w:pStyle w:val="TableContents"/>
              <w:spacing w:before="0" w:after="283"/>
              <w:jc w:val="right"/>
              <w:rPr/>
            </w:pPr>
            <w:r>
              <w:rPr/>
              <w:t>​</w:t>
            </w:r>
          </w:p>
        </w:tc>
        <w:tc>
          <w:tcPr>
            <w:tcW w:w="699" w:type="dxa"/>
            <w:tcBorders/>
            <w:shd w:fill="CCEEFF" w:val="clear"/>
            <w:tcMar>
              <w:bottom w:w="0" w:type="dxa"/>
            </w:tcMar>
            <w:vAlign w:val="center"/>
          </w:tcPr>
          <w:p>
            <w:pPr>
              <w:pStyle w:val="TableContents"/>
              <w:spacing w:before="0" w:after="283"/>
              <w:jc w:val="right"/>
              <w:rPr/>
            </w:pPr>
            <w:r>
              <w:rPr/>
              <w:t>—</w:t>
            </w:r>
          </w:p>
        </w:tc>
        <w:tc>
          <w:tcPr>
            <w:tcW w:w="2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53" w:type="dxa"/>
            <w:tcBorders/>
            <w:shd w:fill="CCEEFF" w:val="clear"/>
            <w:tcMar>
              <w:bottom w:w="0" w:type="dxa"/>
            </w:tcMar>
            <w:vAlign w:val="center"/>
          </w:tcPr>
          <w:p>
            <w:pPr>
              <w:pStyle w:val="TableContents"/>
              <w:spacing w:before="0" w:after="283"/>
              <w:jc w:val="right"/>
              <w:rPr/>
            </w:pPr>
            <w:r>
              <w:rPr/>
              <w:t>—</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6" w:type="dxa"/>
            <w:tcBorders/>
            <w:shd w:fill="CCEEFF" w:val="clear"/>
            <w:tcMar>
              <w:bottom w:w="0" w:type="dxa"/>
            </w:tcMar>
            <w:vAlign w:val="center"/>
          </w:tcPr>
          <w:p>
            <w:pPr>
              <w:pStyle w:val="TableContents"/>
              <w:spacing w:before="0" w:after="283"/>
              <w:rPr/>
            </w:pPr>
            <w:r>
              <w:rPr/>
              <w:t>​</w:t>
            </w:r>
          </w:p>
        </w:tc>
        <w:tc>
          <w:tcPr>
            <w:tcW w:w="216" w:type="dxa"/>
            <w:tcBorders/>
            <w:shd w:fill="CCEEFF" w:val="clear"/>
            <w:tcMar>
              <w:bottom w:w="0" w:type="dxa"/>
            </w:tcMar>
            <w:vAlign w:val="center"/>
          </w:tcPr>
          <w:p>
            <w:pPr>
              <w:pStyle w:val="TableContents"/>
              <w:spacing w:before="0" w:after="283"/>
              <w:jc w:val="right"/>
              <w:rPr/>
            </w:pPr>
            <w:r>
              <w:rPr/>
              <w:t>​</w:t>
            </w:r>
          </w:p>
        </w:tc>
        <w:tc>
          <w:tcPr>
            <w:tcW w:w="686" w:type="dxa"/>
            <w:tcBorders/>
            <w:shd w:fill="CCEEFF" w:val="clear"/>
            <w:tcMar>
              <w:bottom w:w="0" w:type="dxa"/>
            </w:tcMar>
            <w:vAlign w:val="center"/>
          </w:tcPr>
          <w:p>
            <w:pPr>
              <w:pStyle w:val="TableContents"/>
              <w:spacing w:before="0" w:after="283"/>
              <w:jc w:val="right"/>
              <w:rPr/>
            </w:pPr>
            <w:r>
              <w:rPr/>
              <w:t>—</w:t>
            </w:r>
          </w:p>
        </w:tc>
        <w:tc>
          <w:tcPr>
            <w:tcW w:w="2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shd w:fill="auto" w:val="clear"/>
            <w:tcMar>
              <w:bottom w:w="0" w:type="dxa"/>
            </w:tcMar>
            <w:vAlign w:val="center"/>
          </w:tcPr>
          <w:p>
            <w:pPr>
              <w:pStyle w:val="TableContents"/>
              <w:spacing w:before="0" w:after="0"/>
              <w:jc w:val="left"/>
              <w:rPr>
                <w:spacing w:val="4"/>
              </w:rPr>
            </w:pPr>
            <w:r>
              <w:rPr>
                <w:spacing w:val="4"/>
              </w:rPr>
              <w:t xml:space="preserve">Mary M. Mabey(2)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0" w:type="dxa"/>
            <w:tcBorders/>
            <w:shd w:fill="auto" w:val="clear"/>
            <w:tcMar>
              <w:bottom w:w="0" w:type="dxa"/>
            </w:tcMar>
            <w:vAlign w:val="center"/>
          </w:tcPr>
          <w:p>
            <w:pPr>
              <w:pStyle w:val="TableContents"/>
              <w:spacing w:before="0" w:after="283"/>
              <w:rPr/>
            </w:pPr>
            <w:r>
              <w:rPr/>
              <w:t>​</w:t>
            </w:r>
          </w:p>
        </w:tc>
        <w:tc>
          <w:tcPr>
            <w:tcW w:w="220" w:type="dxa"/>
            <w:tcBorders/>
            <w:shd w:fill="auto" w:val="clear"/>
            <w:tcMar>
              <w:bottom w:w="0" w:type="dxa"/>
            </w:tcMar>
            <w:vAlign w:val="center"/>
          </w:tcPr>
          <w:p>
            <w:pPr>
              <w:pStyle w:val="TableContents"/>
              <w:spacing w:before="0" w:after="283"/>
              <w:jc w:val="right"/>
              <w:rPr/>
            </w:pPr>
            <w:r>
              <w:rPr/>
              <w:t>​</w:t>
            </w:r>
          </w:p>
        </w:tc>
        <w:tc>
          <w:tcPr>
            <w:tcW w:w="699" w:type="dxa"/>
            <w:tcBorders/>
            <w:shd w:fill="auto" w:val="clear"/>
            <w:tcMar>
              <w:bottom w:w="0" w:type="dxa"/>
            </w:tcMar>
            <w:vAlign w:val="center"/>
          </w:tcPr>
          <w:p>
            <w:pPr>
              <w:pStyle w:val="TableContents"/>
              <w:spacing w:before="0" w:after="283"/>
              <w:jc w:val="right"/>
              <w:rPr/>
            </w:pPr>
            <w:r>
              <w:rPr/>
              <w:t>—</w:t>
            </w:r>
          </w:p>
        </w:tc>
        <w:tc>
          <w:tcPr>
            <w:tcW w:w="2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16" w:type="dxa"/>
            <w:tcBorders/>
            <w:shd w:fill="auto" w:val="clear"/>
            <w:tcMar>
              <w:bottom w:w="0" w:type="dxa"/>
            </w:tcMar>
            <w:vAlign w:val="center"/>
          </w:tcPr>
          <w:p>
            <w:pPr>
              <w:pStyle w:val="TableContents"/>
              <w:spacing w:before="0" w:after="283"/>
              <w:rPr/>
            </w:pPr>
            <w:r>
              <w:rPr/>
              <w:t>​</w:t>
            </w:r>
          </w:p>
        </w:tc>
        <w:tc>
          <w:tcPr>
            <w:tcW w:w="216" w:type="dxa"/>
            <w:tcBorders/>
            <w:shd w:fill="auto" w:val="clear"/>
            <w:tcMar>
              <w:bottom w:w="0" w:type="dxa"/>
            </w:tcMar>
            <w:vAlign w:val="center"/>
          </w:tcPr>
          <w:p>
            <w:pPr>
              <w:pStyle w:val="TableContents"/>
              <w:spacing w:before="0" w:after="283"/>
              <w:jc w:val="right"/>
              <w:rPr/>
            </w:pPr>
            <w:r>
              <w:rPr/>
              <w:t>​</w:t>
            </w:r>
          </w:p>
        </w:tc>
        <w:tc>
          <w:tcPr>
            <w:tcW w:w="686" w:type="dxa"/>
            <w:tcBorders/>
            <w:shd w:fill="auto" w:val="clear"/>
            <w:tcMar>
              <w:bottom w:w="0" w:type="dxa"/>
            </w:tcMar>
            <w:vAlign w:val="center"/>
          </w:tcPr>
          <w:p>
            <w:pPr>
              <w:pStyle w:val="TableContents"/>
              <w:spacing w:before="0" w:after="283"/>
              <w:jc w:val="right"/>
              <w:rPr/>
            </w:pPr>
            <w:r>
              <w:rPr/>
              <w:t>—</w:t>
            </w:r>
          </w:p>
        </w:tc>
        <w:tc>
          <w:tcPr>
            <w:tcW w:w="2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Justin M. Leon(2)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0" w:type="dxa"/>
            <w:tcBorders/>
            <w:shd w:fill="CCEEFF" w:val="clear"/>
            <w:tcMar>
              <w:bottom w:w="0" w:type="dxa"/>
            </w:tcMar>
            <w:vAlign w:val="center"/>
          </w:tcPr>
          <w:p>
            <w:pPr>
              <w:pStyle w:val="TableContents"/>
              <w:spacing w:before="0" w:after="283"/>
              <w:rPr/>
            </w:pPr>
            <w:r>
              <w:rPr/>
              <w:t>​</w:t>
            </w:r>
          </w:p>
        </w:tc>
        <w:tc>
          <w:tcPr>
            <w:tcW w:w="220" w:type="dxa"/>
            <w:tcBorders/>
            <w:shd w:fill="CCEEFF" w:val="clear"/>
            <w:tcMar>
              <w:bottom w:w="0" w:type="dxa"/>
            </w:tcMar>
            <w:vAlign w:val="center"/>
          </w:tcPr>
          <w:p>
            <w:pPr>
              <w:pStyle w:val="TableContents"/>
              <w:spacing w:before="0" w:after="283"/>
              <w:jc w:val="right"/>
              <w:rPr/>
            </w:pPr>
            <w:r>
              <w:rPr/>
              <w:t>​</w:t>
            </w:r>
          </w:p>
        </w:tc>
        <w:tc>
          <w:tcPr>
            <w:tcW w:w="699" w:type="dxa"/>
            <w:tcBorders/>
            <w:shd w:fill="CCEEFF" w:val="clear"/>
            <w:tcMar>
              <w:bottom w:w="0" w:type="dxa"/>
            </w:tcMar>
            <w:vAlign w:val="center"/>
          </w:tcPr>
          <w:p>
            <w:pPr>
              <w:pStyle w:val="TableContents"/>
              <w:spacing w:before="0" w:after="283"/>
              <w:jc w:val="right"/>
              <w:rPr/>
            </w:pPr>
            <w:r>
              <w:rPr/>
              <w:t>—</w:t>
            </w:r>
          </w:p>
        </w:tc>
        <w:tc>
          <w:tcPr>
            <w:tcW w:w="2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53" w:type="dxa"/>
            <w:tcBorders/>
            <w:shd w:fill="CCEEFF" w:val="clear"/>
            <w:tcMar>
              <w:bottom w:w="0" w:type="dxa"/>
            </w:tcMar>
            <w:vAlign w:val="center"/>
          </w:tcPr>
          <w:p>
            <w:pPr>
              <w:pStyle w:val="TableContents"/>
              <w:spacing w:before="0" w:after="283"/>
              <w:jc w:val="right"/>
              <w:rPr/>
            </w:pPr>
            <w:r>
              <w:rPr/>
              <w:t>—</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6" w:type="dxa"/>
            <w:tcBorders/>
            <w:shd w:fill="CCEEFF" w:val="clear"/>
            <w:tcMar>
              <w:bottom w:w="0" w:type="dxa"/>
            </w:tcMar>
            <w:vAlign w:val="center"/>
          </w:tcPr>
          <w:p>
            <w:pPr>
              <w:pStyle w:val="TableContents"/>
              <w:spacing w:before="0" w:after="283"/>
              <w:rPr/>
            </w:pPr>
            <w:r>
              <w:rPr/>
              <w:t>​</w:t>
            </w:r>
          </w:p>
        </w:tc>
        <w:tc>
          <w:tcPr>
            <w:tcW w:w="216" w:type="dxa"/>
            <w:tcBorders/>
            <w:shd w:fill="CCEEFF" w:val="clear"/>
            <w:tcMar>
              <w:bottom w:w="0" w:type="dxa"/>
            </w:tcMar>
            <w:vAlign w:val="center"/>
          </w:tcPr>
          <w:p>
            <w:pPr>
              <w:pStyle w:val="TableContents"/>
              <w:spacing w:before="0" w:after="283"/>
              <w:jc w:val="right"/>
              <w:rPr/>
            </w:pPr>
            <w:r>
              <w:rPr/>
              <w:t>​</w:t>
            </w:r>
          </w:p>
        </w:tc>
        <w:tc>
          <w:tcPr>
            <w:tcW w:w="686" w:type="dxa"/>
            <w:tcBorders/>
            <w:shd w:fill="CCEEFF" w:val="clear"/>
            <w:tcMar>
              <w:bottom w:w="0" w:type="dxa"/>
            </w:tcMar>
            <w:vAlign w:val="center"/>
          </w:tcPr>
          <w:p>
            <w:pPr>
              <w:pStyle w:val="TableContents"/>
              <w:spacing w:before="0" w:after="283"/>
              <w:jc w:val="right"/>
              <w:rPr/>
            </w:pPr>
            <w:r>
              <w:rPr/>
              <w:t>—</w:t>
            </w:r>
          </w:p>
        </w:tc>
        <w:tc>
          <w:tcPr>
            <w:tcW w:w="2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amounts reported in this column are reported for fiscal 2022 in the “All Other Compensation” column of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largest"/>
                <wp:docPr id="172" name="Frame1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Martin, Ms. Mabey and Mr. Leon are not participants in our deferred compensation plan. </w:t>
      </w:r>
      <w:r>
        <mc:AlternateContent>
          <mc:Choice Requires="wps">
            <w:drawing>
              <wp:anchor behindDoc="0" distT="11684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largest"/>
                <wp:docPr id="173" name="Frame1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 </w:t>
      </w:r>
    </w:p>
    <w:p>
      <w:pPr>
        <w:pStyle w:val="TextBody"/>
        <w:spacing w:lineRule="atLeast" w:line="240" w:before="304"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of Control</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2022, the last business day of our fiscal year.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PRD"/>
      <w:bookmarkEnd w:id="5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497" w:type="dxa"/>
        <w:jc w:val="left"/>
        <w:tblInd w:w="1393" w:type="dxa"/>
        <w:tblCellMar>
          <w:top w:w="0" w:type="dxa"/>
          <w:left w:w="0" w:type="dxa"/>
          <w:bottom w:w="47" w:type="dxa"/>
          <w:right w:w="0" w:type="dxa"/>
        </w:tblCellMar>
      </w:tblPr>
      <w:tblGrid>
        <w:gridCol w:w="1120"/>
        <w:gridCol w:w="109"/>
        <w:gridCol w:w="109"/>
        <w:gridCol w:w="1291"/>
        <w:gridCol w:w="109"/>
        <w:gridCol w:w="109"/>
        <w:gridCol w:w="109"/>
        <w:gridCol w:w="226"/>
        <w:gridCol w:w="1066"/>
        <w:gridCol w:w="109"/>
        <w:gridCol w:w="109"/>
        <w:gridCol w:w="109"/>
        <w:gridCol w:w="109"/>
        <w:gridCol w:w="226"/>
        <w:gridCol w:w="766"/>
        <w:gridCol w:w="109"/>
        <w:gridCol w:w="109"/>
        <w:gridCol w:w="109"/>
        <w:gridCol w:w="174"/>
        <w:gridCol w:w="174"/>
        <w:gridCol w:w="748"/>
        <w:gridCol w:w="177"/>
        <w:gridCol w:w="109"/>
        <w:gridCol w:w="109"/>
        <w:gridCol w:w="109"/>
        <w:gridCol w:w="226"/>
        <w:gridCol w:w="1066"/>
        <w:gridCol w:w="109"/>
        <w:gridCol w:w="109"/>
        <w:gridCol w:w="109"/>
        <w:gridCol w:w="109"/>
        <w:gridCol w:w="109"/>
        <w:gridCol w:w="1066"/>
        <w:gridCol w:w="109"/>
        <w:gridCol w:w="109"/>
        <w:gridCol w:w="109"/>
        <w:gridCol w:w="109"/>
        <w:gridCol w:w="226"/>
        <w:gridCol w:w="1066"/>
        <w:gridCol w:w="109"/>
        <w:gridCol w:w="154"/>
      </w:tblGrid>
      <w:tr>
        <w:trPr/>
        <w:tc>
          <w:tcPr>
            <w:tcW w:w="1120" w:type="dxa"/>
            <w:tcBorders>
              <w:bottom w:val="single" w:sz="2" w:space="0" w:color="000000"/>
            </w:tcBorders>
            <w:shd w:fill="auto" w:val="clear"/>
            <w:vAlign w:val="center"/>
          </w:tcPr>
          <w:p>
            <w:pPr>
              <w:pStyle w:val="TableContents"/>
              <w:spacing w:before="0" w:after="283"/>
              <w:jc w:val="left"/>
              <w:rPr>
                <w:spacing w:val="-3"/>
              </w:rPr>
            </w:pPr>
            <w:r>
              <w:rPr>
                <w:spacing w:val="-3"/>
              </w:rPr>
              <w:t xml:space="preserve">Named Executive </w:t>
              <w:br/>
              <w:t xml:space="preserve">Officer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91" w:type="dxa"/>
            <w:tcBorders>
              <w:bottom w:val="single" w:sz="2" w:space="0" w:color="000000"/>
            </w:tcBorders>
            <w:shd w:fill="auto" w:val="clear"/>
            <w:vAlign w:val="center"/>
          </w:tcPr>
          <w:p>
            <w:pPr>
              <w:pStyle w:val="TableContents"/>
              <w:spacing w:before="0" w:after="0"/>
              <w:jc w:val="center"/>
              <w:rPr>
                <w:spacing w:val="-3"/>
              </w:rPr>
            </w:pPr>
            <w:r>
              <w:rPr>
                <w:spacing w:val="-3"/>
              </w:rPr>
              <w:t xml:space="preserve">Event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Salary &amp; </w:t>
              <w:br/>
              <w:t xml:space="preserve">Other </w:t>
              <w:br/>
              <w:t xml:space="preserve">Cash </w:t>
              <w:br/>
              <w:t xml:space="preserve">Payment(1)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COBRA </w:t>
              <w:br/>
              <w:t xml:space="preserve">Benefits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Acceleration of </w:t>
              <w:br/>
              <w:t xml:space="preserve">Vesting of </w:t>
              <w:br/>
              <w:t xml:space="preserve">Certain Equity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Vesting of </w:t>
              <w:br/>
              <w:t xml:space="preserve">Restricted </w:t>
              <w:br/>
              <w:t xml:space="preserve">Stock Unit </w:t>
              <w:br/>
              <w:t xml:space="preserve">Awards(2)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Vesting of </w:t>
              <w:br/>
              <w:t xml:space="preserve">Performance </w:t>
              <w:br/>
              <w:t xml:space="preserve">Stock Unit </w:t>
              <w:br/>
              <w:t xml:space="preserve">Awards(3)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0" w:type="dxa"/>
            <w:vMerge w:val="restart"/>
            <w:tcBorders/>
            <w:shd w:fill="CCEEFF" w:val="clear"/>
            <w:tcMar>
              <w:bottom w:w="0" w:type="dxa"/>
            </w:tcMar>
            <w:vAlign w:val="center"/>
          </w:tcPr>
          <w:p>
            <w:pPr>
              <w:pStyle w:val="TableContents"/>
              <w:spacing w:lineRule="atLeast" w:line="190" w:before="0" w:after="0"/>
              <w:jc w:val="left"/>
              <w:rPr>
                <w:spacing w:val="3"/>
              </w:rPr>
            </w:pPr>
            <w:r>
              <w:rPr>
                <w:spacing w:val="3"/>
              </w:rPr>
              <w:t xml:space="preserve">Michael T. Prior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1"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Termination Without Cause or for Good Reason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2,058,339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766" w:type="dxa"/>
            <w:tcBorders/>
            <w:shd w:fill="CCEEFF" w:val="clear"/>
            <w:tcMar>
              <w:bottom w:w="0" w:type="dxa"/>
            </w:tcMar>
            <w:vAlign w:val="center"/>
          </w:tcPr>
          <w:p>
            <w:pPr>
              <w:pStyle w:val="TableContents"/>
              <w:spacing w:lineRule="atLeast" w:line="190" w:before="0" w:after="283"/>
              <w:jc w:val="right"/>
              <w:rPr/>
            </w:pPr>
            <w:r>
              <w:rPr/>
              <w:t>39,444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lineRule="atLeast" w:line="190" w:before="0" w:after="283"/>
              <w:jc w:val="right"/>
              <w:rPr/>
            </w:pPr>
            <w:r>
              <w:rPr/>
              <w:t>​</w:t>
            </w:r>
          </w:p>
        </w:tc>
        <w:tc>
          <w:tcPr>
            <w:tcW w:w="748" w:type="dxa"/>
            <w:tcBorders/>
            <w:shd w:fill="CCEEFF" w:val="clear"/>
            <w:tcMar>
              <w:bottom w:w="0" w:type="dxa"/>
            </w:tcMar>
            <w:vAlign w:val="center"/>
          </w:tcPr>
          <w:p>
            <w:pPr>
              <w:pStyle w:val="TableContents"/>
              <w:spacing w:lineRule="atLeast" w:line="190" w:before="0" w:after="283"/>
              <w:jc w:val="right"/>
              <w:rPr/>
            </w:pPr>
            <w:r>
              <w:rPr/>
              <w:t>N/A</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2,097,783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291"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Change of Control Termination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3,069,339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39,444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jc w:val="right"/>
              <w:rPr/>
            </w:pPr>
            <w:r>
              <w:rPr/>
              <w:t>​</w:t>
            </w:r>
          </w:p>
        </w:tc>
        <w:tc>
          <w:tcPr>
            <w:tcW w:w="748" w:type="dxa"/>
            <w:tcBorders/>
            <w:shd w:fill="CCEEFF" w:val="clear"/>
            <w:tcMar>
              <w:bottom w:w="0" w:type="dxa"/>
            </w:tcMar>
            <w:vAlign w:val="center"/>
          </w:tcPr>
          <w:p>
            <w:pPr>
              <w:pStyle w:val="TableContents"/>
              <w:spacing w:before="0" w:after="283"/>
              <w:jc w:val="right"/>
              <w:rPr/>
            </w:pPr>
            <w:r>
              <w:rPr/>
              <w:t>100%</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2,529,974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2,325,267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7,964,024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0" w:type="dxa"/>
            <w:vMerge w:val="restart"/>
            <w:tcBorders/>
            <w:shd w:fill="auto" w:val="clear"/>
            <w:tcMar>
              <w:bottom w:w="0" w:type="dxa"/>
            </w:tcMar>
            <w:vAlign w:val="center"/>
          </w:tcPr>
          <w:p>
            <w:pPr>
              <w:pStyle w:val="TableContents"/>
              <w:spacing w:lineRule="atLeast" w:line="190" w:before="0" w:after="0"/>
              <w:jc w:val="left"/>
              <w:rPr>
                <w:spacing w:val="3"/>
              </w:rPr>
            </w:pPr>
            <w:r>
              <w:rPr>
                <w:spacing w:val="3"/>
              </w:rPr>
              <w:t xml:space="preserve">Justin D. Benincasa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1" w:type="dxa"/>
            <w:tcBorders/>
            <w:shd w:fill="auto" w:val="clear"/>
            <w:tcMar>
              <w:bottom w:w="0" w:type="dxa"/>
            </w:tcMar>
            <w:vAlign w:val="center"/>
          </w:tcPr>
          <w:p>
            <w:pPr>
              <w:pStyle w:val="TableContents"/>
              <w:spacing w:lineRule="atLeast" w:line="190" w:before="0" w:after="0"/>
              <w:jc w:val="left"/>
              <w:rPr>
                <w:spacing w:val="3"/>
              </w:rPr>
            </w:pPr>
            <w:r>
              <w:rPr>
                <w:spacing w:val="3"/>
              </w:rPr>
              <w:t xml:space="preserve">Termination Without Cause or for Good Reason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983,945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766" w:type="dxa"/>
            <w:tcBorders/>
            <w:shd w:fill="auto" w:val="clear"/>
            <w:tcMar>
              <w:bottom w:w="0" w:type="dxa"/>
            </w:tcMar>
            <w:vAlign w:val="center"/>
          </w:tcPr>
          <w:p>
            <w:pPr>
              <w:pStyle w:val="TableContents"/>
              <w:spacing w:lineRule="atLeast" w:line="190" w:before="0" w:after="283"/>
              <w:jc w:val="right"/>
              <w:rPr/>
            </w:pPr>
            <w:r>
              <w:rPr/>
              <w:t>18,170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lineRule="atLeast" w:line="190" w:before="0" w:after="283"/>
              <w:jc w:val="right"/>
              <w:rPr/>
            </w:pPr>
            <w:r>
              <w:rPr/>
              <w:t>​</w:t>
            </w:r>
          </w:p>
        </w:tc>
        <w:tc>
          <w:tcPr>
            <w:tcW w:w="748" w:type="dxa"/>
            <w:tcBorders/>
            <w:shd w:fill="auto" w:val="clear"/>
            <w:tcMar>
              <w:bottom w:w="0" w:type="dxa"/>
            </w:tcMar>
            <w:vAlign w:val="center"/>
          </w:tcPr>
          <w:p>
            <w:pPr>
              <w:pStyle w:val="TableContents"/>
              <w:spacing w:lineRule="atLeast" w:line="190" w:before="0" w:after="283"/>
              <w:jc w:val="right"/>
              <w:rPr/>
            </w:pPr>
            <w:r>
              <w:rPr/>
              <w:t>N/A</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1,002,115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1" w:type="dxa"/>
            <w:tcBorders/>
            <w:shd w:fill="auto" w:val="clear"/>
            <w:tcMar>
              <w:bottom w:w="0" w:type="dxa"/>
            </w:tcMar>
            <w:vAlign w:val="center"/>
          </w:tcPr>
          <w:p>
            <w:pPr>
              <w:pStyle w:val="TableContents"/>
              <w:spacing w:before="0" w:after="283"/>
              <w:jc w:val="left"/>
              <w:rPr>
                <w:spacing w:val="3"/>
              </w:rPr>
            </w:pPr>
            <w:r>
              <w:rPr>
                <w:spacing w:val="3"/>
              </w:rPr>
              <w:t xml:space="preserve">Change of Control Termination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1,289,945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18,170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jc w:val="right"/>
              <w:rPr/>
            </w:pPr>
            <w:r>
              <w:rPr/>
              <w:t>​</w:t>
            </w:r>
          </w:p>
        </w:tc>
        <w:tc>
          <w:tcPr>
            <w:tcW w:w="748" w:type="dxa"/>
            <w:tcBorders/>
            <w:shd w:fill="auto" w:val="clear"/>
            <w:tcMar>
              <w:bottom w:w="0" w:type="dxa"/>
            </w:tcMar>
            <w:vAlign w:val="center"/>
          </w:tcPr>
          <w:p>
            <w:pPr>
              <w:pStyle w:val="TableContents"/>
              <w:spacing w:before="0" w:after="283"/>
              <w:jc w:val="right"/>
              <w:rPr/>
            </w:pPr>
            <w:r>
              <w:rPr/>
              <w:t>100%</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1,001,351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1,076,262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3,385,728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0" w:type="dxa"/>
            <w:vMerge w:val="restart"/>
            <w:tcBorders/>
            <w:shd w:fill="CCEEFF" w:val="clear"/>
            <w:tcMar>
              <w:bottom w:w="0" w:type="dxa"/>
            </w:tcMar>
            <w:vAlign w:val="center"/>
          </w:tcPr>
          <w:p>
            <w:pPr>
              <w:pStyle w:val="TableContents"/>
              <w:spacing w:lineRule="atLeast" w:line="190" w:before="0" w:after="0"/>
              <w:jc w:val="left"/>
              <w:rPr>
                <w:spacing w:val="3"/>
              </w:rPr>
            </w:pPr>
            <w:r>
              <w:rPr>
                <w:spacing w:val="3"/>
              </w:rPr>
              <w:t xml:space="preserve">Brad W. Martin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1"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Termination Without Cause or for Good Reason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374,000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766" w:type="dxa"/>
            <w:tcBorders/>
            <w:shd w:fill="CCEEFF" w:val="clear"/>
            <w:tcMar>
              <w:bottom w:w="0" w:type="dxa"/>
            </w:tcMar>
            <w:vAlign w:val="center"/>
          </w:tcPr>
          <w:p>
            <w:pPr>
              <w:pStyle w:val="TableContents"/>
              <w:spacing w:lineRule="atLeast" w:line="190" w:before="0" w:after="283"/>
              <w:jc w:val="right"/>
              <w:rPr/>
            </w:pPr>
            <w:r>
              <w:rPr/>
              <w:t>27,597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lineRule="atLeast" w:line="190" w:before="0" w:after="283"/>
              <w:jc w:val="right"/>
              <w:rPr/>
            </w:pPr>
            <w:r>
              <w:rPr/>
              <w:t>​</w:t>
            </w:r>
          </w:p>
        </w:tc>
        <w:tc>
          <w:tcPr>
            <w:tcW w:w="748" w:type="dxa"/>
            <w:tcBorders/>
            <w:shd w:fill="CCEEFF" w:val="clear"/>
            <w:tcMar>
              <w:bottom w:w="0" w:type="dxa"/>
            </w:tcMar>
            <w:vAlign w:val="center"/>
          </w:tcPr>
          <w:p>
            <w:pPr>
              <w:pStyle w:val="TableContents"/>
              <w:spacing w:lineRule="atLeast" w:line="190" w:before="0" w:after="283"/>
              <w:jc w:val="right"/>
              <w:rPr/>
            </w:pPr>
            <w:r>
              <w:rPr/>
              <w:t>N/A</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401,597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291"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Change of Control Termination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598,400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27,597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jc w:val="right"/>
              <w:rPr/>
            </w:pPr>
            <w:r>
              <w:rPr/>
              <w:t>​</w:t>
            </w:r>
          </w:p>
        </w:tc>
        <w:tc>
          <w:tcPr>
            <w:tcW w:w="748" w:type="dxa"/>
            <w:tcBorders/>
            <w:shd w:fill="CCEEFF" w:val="clear"/>
            <w:tcMar>
              <w:bottom w:w="0" w:type="dxa"/>
            </w:tcMar>
            <w:vAlign w:val="center"/>
          </w:tcPr>
          <w:p>
            <w:pPr>
              <w:pStyle w:val="TableContents"/>
              <w:spacing w:before="0" w:after="283"/>
              <w:jc w:val="right"/>
              <w:rPr/>
            </w:pPr>
            <w:r>
              <w:rPr/>
              <w:t>100%</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977,790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1,043,928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2,647,715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0" w:type="dxa"/>
            <w:vMerge w:val="restart"/>
            <w:tcBorders/>
            <w:shd w:fill="auto" w:val="clear"/>
            <w:tcMar>
              <w:bottom w:w="0" w:type="dxa"/>
            </w:tcMar>
            <w:vAlign w:val="center"/>
          </w:tcPr>
          <w:p>
            <w:pPr>
              <w:pStyle w:val="TableContents"/>
              <w:spacing w:lineRule="atLeast" w:line="190" w:before="0" w:after="0"/>
              <w:jc w:val="left"/>
              <w:rPr>
                <w:spacing w:val="3"/>
              </w:rPr>
            </w:pPr>
            <w:r>
              <w:rPr>
                <w:spacing w:val="3"/>
              </w:rPr>
              <w:t xml:space="preserve">Mary M. Mabey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1" w:type="dxa"/>
            <w:tcBorders/>
            <w:shd w:fill="auto" w:val="clear"/>
            <w:tcMar>
              <w:bottom w:w="0" w:type="dxa"/>
            </w:tcMar>
            <w:vAlign w:val="center"/>
          </w:tcPr>
          <w:p>
            <w:pPr>
              <w:pStyle w:val="TableContents"/>
              <w:spacing w:lineRule="atLeast" w:line="190" w:before="0" w:after="0"/>
              <w:jc w:val="left"/>
              <w:rPr>
                <w:spacing w:val="3"/>
              </w:rPr>
            </w:pPr>
            <w:r>
              <w:rPr>
                <w:spacing w:val="3"/>
              </w:rPr>
              <w:t xml:space="preserve">Termination Without Cause or for Good Reason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325,000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766" w:type="dxa"/>
            <w:tcBorders/>
            <w:shd w:fill="auto" w:val="clear"/>
            <w:tcMar>
              <w:bottom w:w="0" w:type="dxa"/>
            </w:tcMar>
            <w:vAlign w:val="center"/>
          </w:tcPr>
          <w:p>
            <w:pPr>
              <w:pStyle w:val="TableContents"/>
              <w:spacing w:lineRule="atLeast" w:line="190" w:before="0" w:after="283"/>
              <w:jc w:val="right"/>
              <w:rPr/>
            </w:pPr>
            <w:r>
              <w:rPr/>
              <w:t>26,090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lineRule="atLeast" w:line="190" w:before="0" w:after="283"/>
              <w:jc w:val="right"/>
              <w:rPr/>
            </w:pPr>
            <w:r>
              <w:rPr/>
              <w:t>​</w:t>
            </w:r>
          </w:p>
        </w:tc>
        <w:tc>
          <w:tcPr>
            <w:tcW w:w="748" w:type="dxa"/>
            <w:tcBorders/>
            <w:shd w:fill="auto" w:val="clear"/>
            <w:tcMar>
              <w:bottom w:w="0" w:type="dxa"/>
            </w:tcMar>
            <w:vAlign w:val="center"/>
          </w:tcPr>
          <w:p>
            <w:pPr>
              <w:pStyle w:val="TableContents"/>
              <w:spacing w:lineRule="atLeast" w:line="190" w:before="0" w:after="283"/>
              <w:jc w:val="right"/>
              <w:rPr/>
            </w:pPr>
            <w:r>
              <w:rPr/>
              <w:t>N/A</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351,090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1" w:type="dxa"/>
            <w:tcBorders/>
            <w:shd w:fill="auto" w:val="clear"/>
            <w:tcMar>
              <w:bottom w:w="0" w:type="dxa"/>
            </w:tcMar>
            <w:vAlign w:val="center"/>
          </w:tcPr>
          <w:p>
            <w:pPr>
              <w:pStyle w:val="TableContents"/>
              <w:spacing w:before="0" w:after="283"/>
              <w:jc w:val="left"/>
              <w:rPr>
                <w:spacing w:val="3"/>
              </w:rPr>
            </w:pPr>
            <w:r>
              <w:rPr>
                <w:spacing w:val="3"/>
              </w:rPr>
              <w:t xml:space="preserve">Change of Control Termination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487,500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26,090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jc w:val="right"/>
              <w:rPr/>
            </w:pPr>
            <w:r>
              <w:rPr/>
              <w:t>​</w:t>
            </w:r>
          </w:p>
        </w:tc>
        <w:tc>
          <w:tcPr>
            <w:tcW w:w="748" w:type="dxa"/>
            <w:tcBorders/>
            <w:shd w:fill="auto" w:val="clear"/>
            <w:tcMar>
              <w:bottom w:w="0" w:type="dxa"/>
            </w:tcMar>
            <w:vAlign w:val="center"/>
          </w:tcPr>
          <w:p>
            <w:pPr>
              <w:pStyle w:val="TableContents"/>
              <w:spacing w:before="0" w:after="283"/>
              <w:jc w:val="right"/>
              <w:rPr/>
            </w:pPr>
            <w:r>
              <w:rPr/>
              <w:t>100%</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728,358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731,013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1,972,962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0" w:type="dxa"/>
            <w:vMerge w:val="restart"/>
            <w:tcBorders/>
            <w:shd w:fill="CCEEFF" w:val="clear"/>
            <w:tcMar>
              <w:bottom w:w="0" w:type="dxa"/>
            </w:tcMar>
            <w:vAlign w:val="center"/>
          </w:tcPr>
          <w:p>
            <w:pPr>
              <w:pStyle w:val="TableContents"/>
              <w:spacing w:lineRule="atLeast" w:line="190" w:before="0" w:after="0"/>
              <w:jc w:val="left"/>
              <w:rPr>
                <w:spacing w:val="3"/>
              </w:rPr>
            </w:pPr>
            <w:r>
              <w:rPr>
                <w:spacing w:val="3"/>
              </w:rPr>
              <w:t xml:space="preserve">Justin M. Leon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1"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Termination Without Cause or for Good Reason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766" w:type="dxa"/>
            <w:tcBorders/>
            <w:shd w:fill="CCEEFF" w:val="clear"/>
            <w:tcMar>
              <w:bottom w:w="0" w:type="dxa"/>
            </w:tcMar>
            <w:vAlign w:val="center"/>
          </w:tcPr>
          <w:p>
            <w:pPr>
              <w:pStyle w:val="TableContents"/>
              <w:spacing w:lineRule="atLeast" w:line="190" w:before="0" w:after="283"/>
              <w:jc w:val="right"/>
              <w:rPr/>
            </w:pPr>
            <w:r>
              <w:rPr/>
              <w:t>27,266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lineRule="atLeast" w:line="190" w:before="0" w:after="283"/>
              <w:jc w:val="right"/>
              <w:rPr/>
            </w:pPr>
            <w:r>
              <w:rPr/>
              <w:t>​</w:t>
            </w:r>
          </w:p>
        </w:tc>
        <w:tc>
          <w:tcPr>
            <w:tcW w:w="748" w:type="dxa"/>
            <w:tcBorders/>
            <w:shd w:fill="CCEEFF" w:val="clear"/>
            <w:tcMar>
              <w:bottom w:w="0" w:type="dxa"/>
            </w:tcMar>
            <w:vAlign w:val="center"/>
          </w:tcPr>
          <w:p>
            <w:pPr>
              <w:pStyle w:val="TableContents"/>
              <w:spacing w:lineRule="atLeast" w:line="190" w:before="0" w:after="283"/>
              <w:jc w:val="right"/>
              <w:rPr/>
            </w:pPr>
            <w:r>
              <w:rPr/>
              <w:t>N/A</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277,266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291"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Change of Control Termination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375,000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27,266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jc w:val="right"/>
              <w:rPr/>
            </w:pPr>
            <w:r>
              <w:rPr/>
              <w:t>​</w:t>
            </w:r>
          </w:p>
        </w:tc>
        <w:tc>
          <w:tcPr>
            <w:tcW w:w="748" w:type="dxa"/>
            <w:tcBorders/>
            <w:shd w:fill="CCEEFF" w:val="clear"/>
            <w:tcMar>
              <w:bottom w:w="0" w:type="dxa"/>
            </w:tcMar>
            <w:vAlign w:val="center"/>
          </w:tcPr>
          <w:p>
            <w:pPr>
              <w:pStyle w:val="TableContents"/>
              <w:spacing w:before="0" w:after="283"/>
              <w:jc w:val="right"/>
              <w:rPr/>
            </w:pPr>
            <w:r>
              <w:rPr/>
              <w:t>100%</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441,183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515,946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1,359,395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payments under our Non-Qualified Deferred Compensation Plan for Messrs. Prior and Benincasa not triggered by any severance arrangement and payable to the employee upon any termination or resignation of employment. </w:t>
      </w:r>
      <w:r>
        <mc:AlternateContent>
          <mc:Choice Requires="wps">
            <w:drawing>
              <wp:anchor behindDoc="0" distT="101600" distB="0" distL="0" distR="0" simplePos="0" locked="0" layoutInCell="1" allowOverlap="1" relativeHeight="181">
                <wp:simplePos x="0" y="0"/>
                <wp:positionH relativeFrom="column">
                  <wp:align>left</wp:align>
                </wp:positionH>
                <wp:positionV relativeFrom="line">
                  <wp:align>top</wp:align>
                </wp:positionV>
                <wp:extent cx="254000" cy="293370"/>
                <wp:effectExtent l="0" t="0" r="0" b="0"/>
                <wp:wrapSquare wrapText="largest"/>
                <wp:docPr id="174" name="Frame171"/>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Valued at $45.31 per share, the closing price of our common stock on December 31, 2022. </w:t>
      </w:r>
      <w:r>
        <mc:AlternateContent>
          <mc:Choice Requires="wps">
            <w:drawing>
              <wp:anchor behindDoc="0" distT="50800" distB="0" distL="0" distR="0" simplePos="0" locked="0" layoutInCell="1" allowOverlap="1" relativeHeight="182">
                <wp:simplePos x="0" y="0"/>
                <wp:positionH relativeFrom="column">
                  <wp:align>left</wp:align>
                </wp:positionH>
                <wp:positionV relativeFrom="line">
                  <wp:align>top</wp:align>
                </wp:positionV>
                <wp:extent cx="254000" cy="304800"/>
                <wp:effectExtent l="0" t="0" r="0" b="0"/>
                <wp:wrapSquare wrapText="largest"/>
                <wp:docPr id="175" name="Frame17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 of the performance-based stock units as of December 31, 2022, as provided by an equity valuation consulting firm. The March 25, 2022 and March 9, 2021 grants were valued at $59.79 per share and $53.89 per share, respectively, as of December 31, 2022. </w:t>
      </w:r>
      <w:r>
        <mc:AlternateContent>
          <mc:Choice Requires="wps">
            <w:drawing>
              <wp:anchor behindDoc="0" distT="50800" distB="0" distL="0" distR="0" simplePos="0" locked="0" layoutInCell="1" allowOverlap="1" relativeHeight="183">
                <wp:simplePos x="0" y="0"/>
                <wp:positionH relativeFrom="column">
                  <wp:align>left</wp:align>
                </wp:positionH>
                <wp:positionV relativeFrom="line">
                  <wp:align>top</wp:align>
                </wp:positionV>
                <wp:extent cx="254000" cy="304800"/>
                <wp:effectExtent l="0" t="0" r="0" b="0"/>
                <wp:wrapSquare wrapText="largest"/>
                <wp:docPr id="176" name="Frame173"/>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Ratio Disclosure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adopted pursuant to the Dodd-Frank Act, we have included in this Proxy Statement a reasonable estimate of the Chief Executive Officer to median employee pay ratio for 2022 annual compensation. We identified the median employee based on 2022 taxable wages for all individuals, excluding our Chief Executive Officer, employed by us on December 31, 2022 (whether employed on a full-time, part-time, or seasonal basis). For such employees, we annualized the compensation for any full-time employees not employed for the entire 2022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2022 Summary Compensation Table set forth elsewhere in this Proxy Statement. The annual total compensation of our median employee for 2022 was approximately $56,446. As disclosed in the Summary Compensation Table, our Chief Executive Officer’s annual total compensation for 2022 was $3,231,728. Based on the foregoing, our estimate of the ratio of the annual total compensation of our Chief Executive Officer to the median of the annual total compensation of all other employees was approximately 57:1.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 reflects employees located in all of the Company’s operating jurisdictions. At year end, we had approximately 1,100 employees in the United States and the United States Virgin Islands,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35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approximately 1,300 employees internationally, principally in Bermuda, the Cayman Islands, and Guyana, with employees and contractors in Guyana accounting for over half of our employees outside of the United States. For purposes of this calculation, we excluded four non-US employees in Canada, as they represent less than 5% of our employee population. Our estimate, using the same compensation measure of taxable wages, of the ratio of the annual total compensation of our Chief Executive Officer to the median of the annual total compensation of our United States employees (excluding the Chief Executive Officer) is 34:1.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give some context to the median annual employee compensation, information regarding the gross domestic product (GDP) per capita for the Company’s main operating areas, as reported by The World Factbook, as published by the Central Intelligence Agency, including estimates of GDP for the most recent year available, is set forth below. This information regarding GDP per capita is deemed to be furnished and not filed. </w:t>
      </w:r>
    </w:p>
    <w:tbl>
      <w:tblPr>
        <w:tblW w:w="4045" w:type="dxa"/>
        <w:jc w:val="left"/>
        <w:tblInd w:w="1393" w:type="dxa"/>
        <w:tblCellMar>
          <w:top w:w="0" w:type="dxa"/>
          <w:left w:w="0" w:type="dxa"/>
          <w:bottom w:w="50" w:type="dxa"/>
          <w:right w:w="0" w:type="dxa"/>
        </w:tblCellMar>
      </w:tblPr>
      <w:tblGrid>
        <w:gridCol w:w="2067"/>
        <w:gridCol w:w="109"/>
        <w:gridCol w:w="109"/>
        <w:gridCol w:w="144"/>
        <w:gridCol w:w="300"/>
        <w:gridCol w:w="1018"/>
        <w:gridCol w:w="144"/>
        <w:gridCol w:w="154"/>
      </w:tblGrid>
      <w:tr>
        <w:trPr/>
        <w:tc>
          <w:tcPr>
            <w:tcW w:w="2067" w:type="dxa"/>
            <w:tcBorders>
              <w:bottom w:val="single" w:sz="2" w:space="0" w:color="000000"/>
            </w:tcBorders>
            <w:shd w:fill="auto" w:val="clear"/>
            <w:vAlign w:val="center"/>
          </w:tcPr>
          <w:p>
            <w:pPr>
              <w:pStyle w:val="TableContents"/>
              <w:spacing w:before="0" w:after="0"/>
              <w:rPr>
                <w:spacing w:val="-3"/>
              </w:rPr>
            </w:pPr>
            <w:r>
              <w:rPr>
                <w:spacing w:val="-3"/>
              </w:rPr>
              <w:t xml:space="preserve">Country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06"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GDP per capita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67" w:type="dxa"/>
            <w:tcBorders/>
            <w:shd w:fill="CCEEFF" w:val="clear"/>
            <w:tcMar>
              <w:bottom w:w="0" w:type="dxa"/>
            </w:tcMar>
            <w:vAlign w:val="center"/>
          </w:tcPr>
          <w:p>
            <w:pPr>
              <w:pStyle w:val="TableContents"/>
              <w:spacing w:before="0" w:after="0"/>
              <w:jc w:val="left"/>
              <w:rPr>
                <w:spacing w:val="4"/>
              </w:rPr>
            </w:pPr>
            <w:r>
              <w:rPr>
                <w:spacing w:val="4"/>
              </w:rPr>
              <w:t xml:space="preserve">Bermuda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300" w:type="dxa"/>
            <w:tcBorders/>
            <w:shd w:fill="CCEEFF" w:val="clear"/>
            <w:tcMar>
              <w:bottom w:w="0" w:type="dxa"/>
            </w:tcMar>
            <w:vAlign w:val="center"/>
          </w:tcPr>
          <w:p>
            <w:pPr>
              <w:pStyle w:val="TableContents"/>
              <w:spacing w:before="0" w:after="283"/>
              <w:jc w:val="right"/>
              <w:rPr/>
            </w:pPr>
            <w:r>
              <w:rPr/>
              <w:t>$</w:t>
            </w:r>
          </w:p>
        </w:tc>
        <w:tc>
          <w:tcPr>
            <w:tcW w:w="1018" w:type="dxa"/>
            <w:tcBorders/>
            <w:shd w:fill="CCEEFF" w:val="clear"/>
            <w:tcMar>
              <w:bottom w:w="0" w:type="dxa"/>
            </w:tcMar>
            <w:vAlign w:val="center"/>
          </w:tcPr>
          <w:p>
            <w:pPr>
              <w:pStyle w:val="TableContents"/>
              <w:spacing w:before="0" w:after="283"/>
              <w:jc w:val="right"/>
              <w:rPr/>
            </w:pPr>
            <w:r>
              <w:rPr/>
              <w:t>81,300</w:t>
            </w:r>
          </w:p>
        </w:tc>
        <w:tc>
          <w:tcPr>
            <w:tcW w:w="14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67" w:type="dxa"/>
            <w:tcBorders/>
            <w:shd w:fill="auto" w:val="clear"/>
            <w:tcMar>
              <w:bottom w:w="0" w:type="dxa"/>
            </w:tcMar>
            <w:vAlign w:val="center"/>
          </w:tcPr>
          <w:p>
            <w:pPr>
              <w:pStyle w:val="TableContents"/>
              <w:spacing w:before="0" w:after="0"/>
              <w:jc w:val="left"/>
              <w:rPr>
                <w:spacing w:val="4"/>
              </w:rPr>
            </w:pPr>
            <w:r>
              <w:rPr>
                <w:spacing w:val="4"/>
              </w:rPr>
              <w:t xml:space="preserve">Cayman Islands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300" w:type="dxa"/>
            <w:tcBorders/>
            <w:shd w:fill="auto" w:val="clear"/>
            <w:tcMar>
              <w:bottom w:w="0" w:type="dxa"/>
            </w:tcMar>
            <w:vAlign w:val="center"/>
          </w:tcPr>
          <w:p>
            <w:pPr>
              <w:pStyle w:val="TableContents"/>
              <w:spacing w:before="0" w:after="283"/>
              <w:jc w:val="right"/>
              <w:rPr/>
            </w:pPr>
            <w:r>
              <w:rPr/>
              <w:t>$</w:t>
            </w:r>
          </w:p>
        </w:tc>
        <w:tc>
          <w:tcPr>
            <w:tcW w:w="1018" w:type="dxa"/>
            <w:tcBorders/>
            <w:shd w:fill="auto" w:val="clear"/>
            <w:tcMar>
              <w:bottom w:w="0" w:type="dxa"/>
            </w:tcMar>
            <w:vAlign w:val="center"/>
          </w:tcPr>
          <w:p>
            <w:pPr>
              <w:pStyle w:val="TableContents"/>
              <w:spacing w:before="0" w:after="283"/>
              <w:jc w:val="right"/>
              <w:rPr/>
            </w:pPr>
            <w:r>
              <w:rPr/>
              <w:t>67,500</w:t>
            </w:r>
          </w:p>
        </w:tc>
        <w:tc>
          <w:tcPr>
            <w:tcW w:w="14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67" w:type="dxa"/>
            <w:tcBorders/>
            <w:shd w:fill="CCEEFF" w:val="clear"/>
            <w:tcMar>
              <w:bottom w:w="0" w:type="dxa"/>
            </w:tcMar>
            <w:vAlign w:val="center"/>
          </w:tcPr>
          <w:p>
            <w:pPr>
              <w:pStyle w:val="TableContents"/>
              <w:spacing w:before="0" w:after="0"/>
              <w:jc w:val="left"/>
              <w:rPr>
                <w:spacing w:val="4"/>
              </w:rPr>
            </w:pPr>
            <w:r>
              <w:rPr>
                <w:spacing w:val="4"/>
              </w:rPr>
              <w:t xml:space="preserve">Guyana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300" w:type="dxa"/>
            <w:tcBorders/>
            <w:shd w:fill="CCEEFF" w:val="clear"/>
            <w:tcMar>
              <w:bottom w:w="0" w:type="dxa"/>
            </w:tcMar>
            <w:vAlign w:val="center"/>
          </w:tcPr>
          <w:p>
            <w:pPr>
              <w:pStyle w:val="TableContents"/>
              <w:spacing w:before="0" w:after="283"/>
              <w:jc w:val="right"/>
              <w:rPr/>
            </w:pPr>
            <w:r>
              <w:rPr/>
              <w:t>$</w:t>
            </w:r>
          </w:p>
        </w:tc>
        <w:tc>
          <w:tcPr>
            <w:tcW w:w="1018" w:type="dxa"/>
            <w:tcBorders/>
            <w:shd w:fill="CCEEFF" w:val="clear"/>
            <w:tcMar>
              <w:bottom w:w="0" w:type="dxa"/>
            </w:tcMar>
            <w:vAlign w:val="center"/>
          </w:tcPr>
          <w:p>
            <w:pPr>
              <w:pStyle w:val="TableContents"/>
              <w:spacing w:before="0" w:after="283"/>
              <w:jc w:val="right"/>
              <w:rPr/>
            </w:pPr>
            <w:r>
              <w:rPr/>
              <w:t>21,900</w:t>
            </w:r>
          </w:p>
        </w:tc>
        <w:tc>
          <w:tcPr>
            <w:tcW w:w="14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67" w:type="dxa"/>
            <w:tcBorders/>
            <w:shd w:fill="auto" w:val="clear"/>
            <w:tcMar>
              <w:bottom w:w="0" w:type="dxa"/>
            </w:tcMar>
            <w:vAlign w:val="center"/>
          </w:tcPr>
          <w:p>
            <w:pPr>
              <w:pStyle w:val="TableContents"/>
              <w:spacing w:before="0" w:after="0"/>
              <w:jc w:val="left"/>
              <w:rPr>
                <w:spacing w:val="4"/>
              </w:rPr>
            </w:pPr>
            <w:r>
              <w:rPr>
                <w:spacing w:val="4"/>
              </w:rPr>
              <w:t xml:space="preserve">U.S. Virgin Islands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300" w:type="dxa"/>
            <w:tcBorders/>
            <w:shd w:fill="auto" w:val="clear"/>
            <w:tcMar>
              <w:bottom w:w="0" w:type="dxa"/>
            </w:tcMar>
            <w:vAlign w:val="center"/>
          </w:tcPr>
          <w:p>
            <w:pPr>
              <w:pStyle w:val="TableContents"/>
              <w:spacing w:before="0" w:after="283"/>
              <w:jc w:val="right"/>
              <w:rPr/>
            </w:pPr>
            <w:r>
              <w:rPr/>
              <w:t>$</w:t>
            </w:r>
          </w:p>
        </w:tc>
        <w:tc>
          <w:tcPr>
            <w:tcW w:w="1018" w:type="dxa"/>
            <w:tcBorders/>
            <w:shd w:fill="auto" w:val="clear"/>
            <w:tcMar>
              <w:bottom w:w="0" w:type="dxa"/>
            </w:tcMar>
            <w:vAlign w:val="center"/>
          </w:tcPr>
          <w:p>
            <w:pPr>
              <w:pStyle w:val="TableContents"/>
              <w:spacing w:before="0" w:after="283"/>
              <w:jc w:val="right"/>
              <w:rPr/>
            </w:pPr>
            <w:r>
              <w:rPr/>
              <w:t>37,000</w:t>
            </w:r>
          </w:p>
        </w:tc>
        <w:tc>
          <w:tcPr>
            <w:tcW w:w="14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67" w:type="dxa"/>
            <w:tcBorders/>
            <w:shd w:fill="CCEEFF" w:val="clear"/>
            <w:tcMar>
              <w:bottom w:w="0" w:type="dxa"/>
            </w:tcMar>
            <w:vAlign w:val="center"/>
          </w:tcPr>
          <w:p>
            <w:pPr>
              <w:pStyle w:val="TableContents"/>
              <w:spacing w:before="0" w:after="0"/>
              <w:jc w:val="left"/>
              <w:rPr>
                <w:spacing w:val="4"/>
              </w:rPr>
            </w:pPr>
            <w:r>
              <w:rPr>
                <w:spacing w:val="4"/>
              </w:rPr>
              <w:t xml:space="preserve">United States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300" w:type="dxa"/>
            <w:tcBorders/>
            <w:shd w:fill="CCEEFF" w:val="clear"/>
            <w:tcMar>
              <w:bottom w:w="0" w:type="dxa"/>
            </w:tcMar>
            <w:vAlign w:val="center"/>
          </w:tcPr>
          <w:p>
            <w:pPr>
              <w:pStyle w:val="TableContents"/>
              <w:spacing w:before="0" w:after="283"/>
              <w:jc w:val="right"/>
              <w:rPr/>
            </w:pPr>
            <w:r>
              <w:rPr/>
              <w:t>$</w:t>
            </w:r>
          </w:p>
        </w:tc>
        <w:tc>
          <w:tcPr>
            <w:tcW w:w="1018" w:type="dxa"/>
            <w:tcBorders/>
            <w:shd w:fill="CCEEFF" w:val="clear"/>
            <w:tcMar>
              <w:bottom w:w="0" w:type="dxa"/>
            </w:tcMar>
            <w:vAlign w:val="center"/>
          </w:tcPr>
          <w:p>
            <w:pPr>
              <w:pStyle w:val="TableContents"/>
              <w:spacing w:before="0" w:after="283"/>
              <w:jc w:val="right"/>
              <w:rPr/>
            </w:pPr>
            <w:r>
              <w:rPr/>
              <w:t>63,700</w:t>
            </w:r>
          </w:p>
        </w:tc>
        <w:tc>
          <w:tcPr>
            <w:tcW w:w="14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PVPT"/>
      <w:bookmarkEnd w:id="5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 Table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the SEC adopted rules (as required by the Dodd-Frank Act) requiring disclosure of the relationship between the executive compensation actually paid and the financial performance of the Company. The below table outlines, in addition to the amounts listed in the Company’s Summary Compensation Table, the total Compensation Actually Paid (CAP) for the Principal Executive Officer (CEO), which is the Company’s Chief Executive Officer, and the average of the total compensation actually paid for the Non-CEO Named Executive Officers (NEOs), which are the Company’s Chief Financial Officer, Chief Operating Officer, SVP and General Counsel, and SVP—Corporate Development, for the year as indicated. Additionally, the table includes the Company-Selected Measure of Adjusted EBITDA, as defined and described in more detail below. </w:t>
      </w:r>
    </w:p>
    <w:tbl>
      <w:tblPr>
        <w:tblW w:w="13115" w:type="dxa"/>
        <w:jc w:val="left"/>
        <w:tblInd w:w="1393" w:type="dxa"/>
        <w:tblCellMar>
          <w:top w:w="0" w:type="dxa"/>
          <w:left w:w="0" w:type="dxa"/>
          <w:bottom w:w="28" w:type="dxa"/>
          <w:right w:w="0" w:type="dxa"/>
        </w:tblCellMar>
      </w:tblPr>
      <w:tblGrid>
        <w:gridCol w:w="652"/>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36"/>
        <w:gridCol w:w="136"/>
        <w:gridCol w:w="807"/>
        <w:gridCol w:w="137"/>
        <w:gridCol w:w="109"/>
        <w:gridCol w:w="109"/>
        <w:gridCol w:w="131"/>
        <w:gridCol w:w="131"/>
        <w:gridCol w:w="845"/>
        <w:gridCol w:w="109"/>
        <w:gridCol w:w="109"/>
        <w:gridCol w:w="109"/>
        <w:gridCol w:w="109"/>
        <w:gridCol w:w="109"/>
        <w:gridCol w:w="841"/>
        <w:gridCol w:w="109"/>
        <w:gridCol w:w="109"/>
        <w:gridCol w:w="109"/>
        <w:gridCol w:w="109"/>
        <w:gridCol w:w="109"/>
        <w:gridCol w:w="886"/>
        <w:gridCol w:w="109"/>
        <w:gridCol w:w="154"/>
      </w:tblGrid>
      <w:tr>
        <w:trPr/>
        <w:tc>
          <w:tcPr>
            <w:tcW w:w="65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jc w:val="right"/>
              <w:rPr/>
            </w:pPr>
            <w:r>
              <w:rPr/>
              <w:t>​</w:t>
            </w:r>
          </w:p>
        </w:tc>
        <w:tc>
          <w:tcPr>
            <w:tcW w:w="1100" w:type="dxa"/>
            <w:tcBorders>
              <w:bottom w:val="single" w:sz="2" w:space="0" w:color="FFFFFF"/>
            </w:tcBorders>
            <w:shd w:fill="auto" w:val="clear"/>
            <w:vAlign w:val="center"/>
          </w:tcPr>
          <w:p>
            <w:pPr>
              <w:pStyle w:val="TableContents"/>
              <w:spacing w:before="0" w:after="283"/>
              <w:jc w:val="right"/>
              <w:rPr/>
            </w:pPr>
            <w:r>
              <w:rPr/>
              <w:t>​</w:t>
            </w:r>
          </w:p>
        </w:tc>
        <w:tc>
          <w:tcPr>
            <w:tcW w:w="11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jc w:val="right"/>
              <w:rPr/>
            </w:pPr>
            <w:r>
              <w:rPr/>
              <w:t>​</w:t>
            </w:r>
          </w:p>
        </w:tc>
        <w:tc>
          <w:tcPr>
            <w:tcW w:w="1100" w:type="dxa"/>
            <w:tcBorders>
              <w:bottom w:val="single" w:sz="2" w:space="0" w:color="FFFFFF"/>
            </w:tcBorders>
            <w:shd w:fill="auto" w:val="clear"/>
            <w:vAlign w:val="center"/>
          </w:tcPr>
          <w:p>
            <w:pPr>
              <w:pStyle w:val="TableContents"/>
              <w:spacing w:before="0" w:after="283"/>
              <w:jc w:val="right"/>
              <w:rPr/>
            </w:pPr>
            <w:r>
              <w:rPr/>
              <w:t>​</w:t>
            </w:r>
          </w:p>
        </w:tc>
        <w:tc>
          <w:tcPr>
            <w:tcW w:w="11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jc w:val="right"/>
              <w:rPr/>
            </w:pPr>
            <w:r>
              <w:rPr/>
              <w:t>​</w:t>
            </w:r>
          </w:p>
        </w:tc>
        <w:tc>
          <w:tcPr>
            <w:tcW w:w="1100" w:type="dxa"/>
            <w:tcBorders>
              <w:bottom w:val="single" w:sz="2" w:space="0" w:color="FFFFFF"/>
            </w:tcBorders>
            <w:shd w:fill="auto" w:val="clear"/>
            <w:vAlign w:val="center"/>
          </w:tcPr>
          <w:p>
            <w:pPr>
              <w:pStyle w:val="TableContents"/>
              <w:spacing w:before="0" w:after="283"/>
              <w:jc w:val="right"/>
              <w:rPr/>
            </w:pPr>
            <w:r>
              <w:rPr/>
              <w:t>​</w:t>
            </w:r>
          </w:p>
        </w:tc>
        <w:tc>
          <w:tcPr>
            <w:tcW w:w="11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jc w:val="right"/>
              <w:rPr/>
            </w:pPr>
            <w:r>
              <w:rPr/>
              <w:t>​</w:t>
            </w:r>
          </w:p>
        </w:tc>
        <w:tc>
          <w:tcPr>
            <w:tcW w:w="1100" w:type="dxa"/>
            <w:tcBorders>
              <w:bottom w:val="single" w:sz="2" w:space="0" w:color="FFFFFF"/>
            </w:tcBorders>
            <w:shd w:fill="auto" w:val="clear"/>
            <w:vAlign w:val="center"/>
          </w:tcPr>
          <w:p>
            <w:pPr>
              <w:pStyle w:val="TableContents"/>
              <w:spacing w:before="0" w:after="283"/>
              <w:jc w:val="right"/>
              <w:rPr/>
            </w:pPr>
            <w:r>
              <w:rPr/>
              <w:t>​</w:t>
            </w:r>
          </w:p>
        </w:tc>
        <w:tc>
          <w:tcPr>
            <w:tcW w:w="11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50"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Value of Initial Fixed </w:t>
              <w:br/>
              <w:t xml:space="preserve">$100 Investment Based 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841"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88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52"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Year(a)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Summary </w:t>
              <w:br/>
              <w:t xml:space="preserve">Compensation </w:t>
              <w:br/>
              <w:t xml:space="preserve">Table Total for </w:t>
              <w:br/>
              <w:t xml:space="preserve">CEO(b)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Compensation </w:t>
              <w:br/>
              <w:t xml:space="preserve">Actually </w:t>
              <w:br/>
              <w:t xml:space="preserve">Paid to </w:t>
              <w:br/>
              <w:t xml:space="preserve">CEO(c)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Average </w:t>
              <w:br/>
              <w:t xml:space="preserve">Summary </w:t>
              <w:br/>
              <w:t xml:space="preserve">Compensation </w:t>
              <w:br/>
              <w:t xml:space="preserve">Table Total </w:t>
              <w:br/>
              <w:t xml:space="preserve">for Non-CEO </w:t>
              <w:br/>
              <w:t xml:space="preserve">NEOs(d)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Average </w:t>
              <w:br/>
              <w:t xml:space="preserve">Compensation </w:t>
              <w:br/>
              <w:t xml:space="preserve">Actually </w:t>
              <w:br/>
              <w:t xml:space="preserve">Paid to Non-CEO </w:t>
              <w:br/>
              <w:t xml:space="preserve">NEOs(c)(e)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Total </w:t>
              <w:br/>
              <w:t xml:space="preserve">Shareholder </w:t>
              <w:br/>
              <w:t xml:space="preserve">Return(f)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6" w:type="dxa"/>
            <w:gridSpan w:val="4"/>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Peer </w:t>
              <w:br/>
              <w:t xml:space="preserve">Group </w:t>
              <w:br/>
              <w:t xml:space="preserve">Total </w:t>
              <w:br/>
              <w:t xml:space="preserve">Shareholder </w:t>
              <w:br/>
              <w:t xml:space="preserve">Return(g)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Net </w:t>
              <w:br/>
              <w:t xml:space="preserve">Income (Loss) </w:t>
              <w:br/>
              <w:t xml:space="preserve">(in $000’s)(h)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Company- </w:t>
              <w:br/>
              <w:t xml:space="preserve">Selected </w:t>
              <w:br/>
              <w:t xml:space="preserve">Measure: </w:t>
              <w:br/>
              <w:t xml:space="preserve">Adjusted </w:t>
              <w:br/>
              <w:t xml:space="preserve">EBITDA </w:t>
              <w:br/>
              <w:t xml:space="preserve">(in $000’s)(i)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52" w:type="dxa"/>
            <w:tcBorders/>
            <w:shd w:fill="CCEEFF" w:val="clear"/>
            <w:tcMar>
              <w:bottom w:w="0" w:type="dxa"/>
            </w:tcMar>
            <w:vAlign w:val="center"/>
          </w:tcPr>
          <w:p>
            <w:pPr>
              <w:pStyle w:val="TableContents"/>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3,231,728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3,169,382</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1,322,398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1,365,456</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807" w:type="dxa"/>
            <w:tcBorders/>
            <w:shd w:fill="CCEEFF" w:val="clear"/>
            <w:tcMar>
              <w:bottom w:w="0" w:type="dxa"/>
            </w:tcMar>
            <w:vAlign w:val="center"/>
          </w:tcPr>
          <w:p>
            <w:pPr>
              <w:pStyle w:val="TableContents"/>
              <w:spacing w:before="0" w:after="283"/>
              <w:jc w:val="right"/>
              <w:rPr/>
            </w:pPr>
            <w:r>
              <w:rPr/>
              <w:t>85.56</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jc w:val="right"/>
              <w:rPr/>
            </w:pPr>
            <w:r>
              <w:rPr/>
              <w:t>​</w:t>
            </w:r>
          </w:p>
        </w:tc>
        <w:tc>
          <w:tcPr>
            <w:tcW w:w="845" w:type="dxa"/>
            <w:tcBorders/>
            <w:shd w:fill="CCEEFF" w:val="clear"/>
            <w:tcMar>
              <w:bottom w:w="0" w:type="dxa"/>
            </w:tcMar>
            <w:vAlign w:val="center"/>
          </w:tcPr>
          <w:p>
            <w:pPr>
              <w:pStyle w:val="TableContents"/>
              <w:spacing w:before="0" w:after="283"/>
              <w:jc w:val="right"/>
              <w:rPr/>
            </w:pPr>
            <w:r>
              <w:rPr/>
              <w:t>109.59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(7,583)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165,282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52" w:type="dxa"/>
            <w:tcBorders/>
            <w:shd w:fill="auto" w:val="clear"/>
            <w:tcMar>
              <w:bottom w:w="0" w:type="dxa"/>
            </w:tcMar>
            <w:vAlign w:val="center"/>
          </w:tcPr>
          <w:p>
            <w:pPr>
              <w:pStyle w:val="TableContents"/>
              <w:spacing w:before="0" w:after="0"/>
              <w:jc w:val="left"/>
              <w:rPr>
                <w:spacing w:val="3"/>
              </w:rPr>
            </w:pPr>
            <w:r>
              <w:rPr>
                <w:spacing w:val="3"/>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3,379,850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2,516,453</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1,097,723</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855,317</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807" w:type="dxa"/>
            <w:tcBorders/>
            <w:shd w:fill="auto" w:val="clear"/>
            <w:tcMar>
              <w:bottom w:w="0" w:type="dxa"/>
            </w:tcMar>
            <w:vAlign w:val="center"/>
          </w:tcPr>
          <w:p>
            <w:pPr>
              <w:pStyle w:val="TableContents"/>
              <w:spacing w:before="0" w:after="283"/>
              <w:jc w:val="right"/>
              <w:rPr/>
            </w:pPr>
            <w:r>
              <w:rPr/>
              <w:t>74.18</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845" w:type="dxa"/>
            <w:tcBorders/>
            <w:shd w:fill="auto" w:val="clear"/>
            <w:tcMar>
              <w:bottom w:w="0" w:type="dxa"/>
            </w:tcMar>
            <w:vAlign w:val="center"/>
          </w:tcPr>
          <w:p>
            <w:pPr>
              <w:pStyle w:val="TableContents"/>
              <w:spacing w:before="0" w:after="283"/>
              <w:jc w:val="right"/>
              <w:rPr/>
            </w:pPr>
            <w:r>
              <w:rPr/>
              <w:t>137.74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(20,809)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129,047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52" w:type="dxa"/>
            <w:tcBorders/>
            <w:shd w:fill="CCEEFF" w:val="clear"/>
            <w:tcMar>
              <w:bottom w:w="0" w:type="dxa"/>
            </w:tcMar>
            <w:vAlign w:val="center"/>
          </w:tcPr>
          <w:p>
            <w:pPr>
              <w:pStyle w:val="TableContents"/>
              <w:spacing w:before="0" w:after="0"/>
              <w:jc w:val="left"/>
              <w:rPr>
                <w:spacing w:val="3"/>
              </w:rPr>
            </w:pPr>
            <w:r>
              <w:rPr>
                <w:spacing w:val="3"/>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2,653,940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1,644,678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908,400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667,704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807" w:type="dxa"/>
            <w:tcBorders/>
            <w:shd w:fill="CCEEFF" w:val="clear"/>
            <w:tcMar>
              <w:bottom w:w="0" w:type="dxa"/>
            </w:tcMar>
            <w:vAlign w:val="center"/>
          </w:tcPr>
          <w:p>
            <w:pPr>
              <w:pStyle w:val="TableContents"/>
              <w:spacing w:before="0" w:after="283"/>
              <w:jc w:val="right"/>
              <w:rPr/>
            </w:pPr>
            <w:r>
              <w:rPr/>
              <w:t>76.38</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jc w:val="right"/>
              <w:rPr/>
            </w:pPr>
            <w:r>
              <w:rPr/>
              <w:t>​</w:t>
            </w:r>
          </w:p>
        </w:tc>
        <w:tc>
          <w:tcPr>
            <w:tcW w:w="845" w:type="dxa"/>
            <w:tcBorders/>
            <w:shd w:fill="CCEEFF" w:val="clear"/>
            <w:tcMar>
              <w:bottom w:w="0" w:type="dxa"/>
            </w:tcMar>
            <w:vAlign w:val="center"/>
          </w:tcPr>
          <w:p>
            <w:pPr>
              <w:pStyle w:val="TableContents"/>
              <w:spacing w:before="0" w:after="283"/>
              <w:jc w:val="right"/>
              <w:rPr/>
            </w:pPr>
            <w:r>
              <w:rPr/>
              <w:t>119.96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(708)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120,704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is from January 1—December 31 of the indicated year. </w:t>
      </w:r>
      <w:r>
        <mc:AlternateContent>
          <mc:Choice Requires="wps">
            <w:drawing>
              <wp:anchor behindDoc="0" distT="99060" distB="0" distL="0" distR="0" simplePos="0" locked="0" layoutInCell="1" allowOverlap="1" relativeHeight="184">
                <wp:simplePos x="0" y="0"/>
                <wp:positionH relativeFrom="column">
                  <wp:align>left</wp:align>
                </wp:positionH>
                <wp:positionV relativeFrom="line">
                  <wp:align>top</wp:align>
                </wp:positionV>
                <wp:extent cx="254000" cy="293370"/>
                <wp:effectExtent l="0" t="0" r="0" b="0"/>
                <wp:wrapSquare wrapText="largest"/>
                <wp:docPr id="177" name="Frame174"/>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are the amounts of total compensation reported for our CEO, Mr. Prior, in the Summary Compensation Table (SCT) for fiscal years 2022, 2021 and 2020. </w:t>
      </w:r>
      <w:r>
        <mc:AlternateContent>
          <mc:Choice Requires="wps">
            <w:drawing>
              <wp:anchor behindDoc="0" distT="48260" distB="0" distL="0" distR="0" simplePos="0" locked="0" layoutInCell="1" allowOverlap="1" relativeHeight="185">
                <wp:simplePos x="0" y="0"/>
                <wp:positionH relativeFrom="column">
                  <wp:align>left</wp:align>
                </wp:positionH>
                <wp:positionV relativeFrom="line">
                  <wp:align>top</wp:align>
                </wp:positionV>
                <wp:extent cx="254000" cy="304800"/>
                <wp:effectExtent l="0" t="0" r="0" b="0"/>
                <wp:wrapSquare wrapText="largest"/>
                <wp:docPr id="178" name="Frame17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dollar amounts do </w:t>
      </w:r>
      <w:r>
        <w:rPr>
          <w:rFonts w:ascii="Times New Roman;Times;serif" w:hAnsi="Times New Roman;Times;serif"/>
          <w:b w:val="false"/>
          <w:i w:val="false"/>
          <w:caps w:val="false"/>
          <w:smallCaps w:val="false"/>
          <w:color w:val="000000"/>
          <w:spacing w:val="4"/>
          <w:sz w:val="20"/>
          <w:u w:val="single"/>
        </w:rPr>
        <w:t>not</w:t>
      </w:r>
      <w:r>
        <w:rPr>
          <w:rFonts w:ascii="Times New Roman;Times;serif" w:hAnsi="Times New Roman;Times;serif"/>
          <w:b w:val="false"/>
          <w:i w:val="false"/>
          <w:caps w:val="false"/>
          <w:smallCaps w:val="false"/>
          <w:color w:val="000000"/>
          <w:spacing w:val="4"/>
          <w:sz w:val="20"/>
        </w:rPr>
        <w:t xml:space="preserve"> reflect the actual amounts of compensation paid to or received by our CEO or other NEOs during the applicable year, but rather are “Compensation Actually Paid” as such term is defined under applicable SEC rules. The amounts include the year-end value of equity awards granted during the reported year and the change in the value of equity awards, granted in previous years, that were unvested at the end of the prior year, measured through the date the awards vested or were forfeited, or through the end of the reported fiscal year. </w:t>
      </w:r>
      <w:r>
        <mc:AlternateContent>
          <mc:Choice Requires="wps">
            <w:drawing>
              <wp:anchor behindDoc="0" distT="48260" distB="0" distL="0" distR="0" simplePos="0" locked="0" layoutInCell="1" allowOverlap="1" relativeHeight="186">
                <wp:simplePos x="0" y="0"/>
                <wp:positionH relativeFrom="column">
                  <wp:align>left</wp:align>
                </wp:positionH>
                <wp:positionV relativeFrom="line">
                  <wp:align>top</wp:align>
                </wp:positionV>
                <wp:extent cx="254000" cy="304800"/>
                <wp:effectExtent l="0" t="0" r="0" b="0"/>
                <wp:wrapSquare wrapText="largest"/>
                <wp:docPr id="179" name="Frame176"/>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(c)</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reflects compensation information for Messrs. Benincasa, Martin, and Leon, and Ms. Mabey. For 2021 and 2020, reflects compensation information for Messrs. Benincasa, Martin, and Kreisher, and Ms. Mabey. </w:t>
      </w:r>
      <w:r>
        <mc:AlternateContent>
          <mc:Choice Requires="wps">
            <w:drawing>
              <wp:anchor behindDoc="0" distT="48260" distB="0" distL="0" distR="0" simplePos="0" locked="0" layoutInCell="1" allowOverlap="1" relativeHeight="187">
                <wp:simplePos x="0" y="0"/>
                <wp:positionH relativeFrom="column">
                  <wp:align>left</wp:align>
                </wp:positionH>
                <wp:positionV relativeFrom="line">
                  <wp:align>top</wp:align>
                </wp:positionV>
                <wp:extent cx="254000" cy="304800"/>
                <wp:effectExtent l="0" t="0" r="0" b="0"/>
                <wp:wrapSquare wrapText="largest"/>
                <wp:docPr id="180" name="Frame17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(d)</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reflects compensation information for Messrs. Benincasa, Martin, and Leon, and Ms. Mabey. For 2021 and 2020, reflects compensation information for Messrs. Benincasa, Martin, and Kreisher, and Ms. Mabey. </w:t>
      </w:r>
      <w:r>
        <mc:AlternateContent>
          <mc:Choice Requires="wps">
            <w:drawing>
              <wp:anchor behindDoc="0" distT="48260" distB="0" distL="0" distR="0" simplePos="0" locked="0" layoutInCell="1" allowOverlap="1" relativeHeight="188">
                <wp:simplePos x="0" y="0"/>
                <wp:positionH relativeFrom="column">
                  <wp:align>left</wp:align>
                </wp:positionH>
                <wp:positionV relativeFrom="line">
                  <wp:align>top</wp:align>
                </wp:positionV>
                <wp:extent cx="254000" cy="304800"/>
                <wp:effectExtent l="0" t="0" r="0" b="0"/>
                <wp:wrapSquare wrapText="largest"/>
                <wp:docPr id="181" name="Frame178"/>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(e)</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cumulative total shareholder return as if $100 was invested in Company common stock on December 31, 2019 measured through the end of the applicable year. </w:t>
      </w:r>
      <w:r>
        <mc:AlternateContent>
          <mc:Choice Requires="wps">
            <w:drawing>
              <wp:anchor behindDoc="0" distT="48260" distB="0" distL="0" distR="0" simplePos="0" locked="0" layoutInCell="1" allowOverlap="1" relativeHeight="189">
                <wp:simplePos x="0" y="0"/>
                <wp:positionH relativeFrom="column">
                  <wp:align>left</wp:align>
                </wp:positionH>
                <wp:positionV relativeFrom="line">
                  <wp:align>top</wp:align>
                </wp:positionV>
                <wp:extent cx="254000" cy="304800"/>
                <wp:effectExtent l="0" t="0" r="0" b="0"/>
                <wp:wrapSquare wrapText="largest"/>
                <wp:docPr id="182" name="Frame17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(f)</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(f)</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Calculated as cumulative total shareholder return as if $100 was invested in the Russell 2000 Index on December 31, 2019 measured through the end of the applicable year.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0" distR="0" simplePos="0" locked="0" layoutInCell="1" allowOverlap="1" relativeHeight="190">
                <wp:simplePos x="0" y="0"/>
                <wp:positionH relativeFrom="column">
                  <wp:align>left</wp:align>
                </wp:positionH>
                <wp:positionV relativeFrom="line">
                  <wp:align>top</wp:align>
                </wp:positionV>
                <wp:extent cx="254000" cy="304800"/>
                <wp:effectExtent l="0" t="0" r="0" b="0"/>
                <wp:wrapSquare wrapText="largest"/>
                <wp:docPr id="183" name="Frame18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(g)</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(g)</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11630" w:type="dxa"/>
        <w:jc w:val="left"/>
        <w:tblInd w:w="1393" w:type="dxa"/>
        <w:tblCellMar>
          <w:top w:w="0" w:type="dxa"/>
          <w:left w:w="0" w:type="dxa"/>
          <w:bottom w:w="47" w:type="dxa"/>
          <w:right w:w="0" w:type="dxa"/>
        </w:tblCellMar>
      </w:tblPr>
      <w:tblGrid>
        <w:gridCol w:w="610"/>
        <w:gridCol w:w="109"/>
        <w:gridCol w:w="109"/>
        <w:gridCol w:w="1027"/>
        <w:gridCol w:w="109"/>
        <w:gridCol w:w="109"/>
        <w:gridCol w:w="112"/>
        <w:gridCol w:w="112"/>
        <w:gridCol w:w="1100"/>
        <w:gridCol w:w="114"/>
        <w:gridCol w:w="109"/>
        <w:gridCol w:w="109"/>
        <w:gridCol w:w="109"/>
        <w:gridCol w:w="109"/>
        <w:gridCol w:w="1141"/>
        <w:gridCol w:w="109"/>
        <w:gridCol w:w="109"/>
        <w:gridCol w:w="109"/>
        <w:gridCol w:w="109"/>
        <w:gridCol w:w="109"/>
        <w:gridCol w:w="1066"/>
        <w:gridCol w:w="109"/>
        <w:gridCol w:w="109"/>
        <w:gridCol w:w="109"/>
        <w:gridCol w:w="109"/>
        <w:gridCol w:w="109"/>
        <w:gridCol w:w="961"/>
        <w:gridCol w:w="109"/>
        <w:gridCol w:w="109"/>
        <w:gridCol w:w="109"/>
        <w:gridCol w:w="109"/>
        <w:gridCol w:w="109"/>
        <w:gridCol w:w="961"/>
        <w:gridCol w:w="109"/>
        <w:gridCol w:w="109"/>
        <w:gridCol w:w="109"/>
        <w:gridCol w:w="112"/>
        <w:gridCol w:w="112"/>
        <w:gridCol w:w="1100"/>
        <w:gridCol w:w="114"/>
        <w:gridCol w:w="154"/>
      </w:tblGrid>
      <w:tr>
        <w:trPr/>
        <w:tc>
          <w:tcPr>
            <w:tcW w:w="610"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27" w:type="dxa"/>
            <w:tcBorders>
              <w:bottom w:val="single" w:sz="2" w:space="0" w:color="000000"/>
            </w:tcBorders>
            <w:shd w:fill="auto" w:val="clear"/>
            <w:vAlign w:val="center"/>
          </w:tcPr>
          <w:p>
            <w:pPr>
              <w:pStyle w:val="TableContents"/>
              <w:spacing w:before="0" w:after="0"/>
              <w:jc w:val="center"/>
              <w:rPr>
                <w:spacing w:val="-3"/>
              </w:rPr>
            </w:pPr>
            <w:r>
              <w:rPr>
                <w:spacing w:val="-3"/>
              </w:rPr>
              <w:t xml:space="preserve">Executive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Summary </w:t>
              <w:br/>
              <w:t xml:space="preserve">Compensation </w:t>
              <w:br/>
              <w:t xml:space="preserve">Table Total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Less: Stock </w:t>
              <w:br/>
              <w:t xml:space="preserve">Awards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Add: Year </w:t>
              <w:br/>
              <w:t xml:space="preserve">End Equity </w:t>
              <w:br/>
              <w:t xml:space="preserve">Value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8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w:t>
              <w:br/>
              <w:t xml:space="preserve">Value of </w:t>
              <w:br/>
              <w:t xml:space="preserve">Prior Equity </w:t>
              <w:br/>
              <w:t xml:space="preserve">Awards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8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w:t>
              <w:br/>
              <w:t xml:space="preserve">Value of </w:t>
              <w:br/>
              <w:t xml:space="preserve">Vested Equity </w:t>
              <w:br/>
              <w:t xml:space="preserve">Awards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Compensation </w:t>
              <w:br/>
              <w:t xml:space="preserve">Actually </w:t>
              <w:br/>
              <w:t xml:space="preserve">Paid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0" w:type="dxa"/>
            <w:vMerge w:val="restart"/>
            <w:tcBorders/>
            <w:shd w:fill="CCEEFF" w:val="clear"/>
            <w:tcMar>
              <w:bottom w:w="0" w:type="dxa"/>
            </w:tcMar>
            <w:vAlign w:val="center"/>
          </w:tcPr>
          <w:p>
            <w:pPr>
              <w:pStyle w:val="TableContents"/>
              <w:spacing w:lineRule="atLeast" w:line="190" w:before="0" w:after="0"/>
              <w:jc w:val="left"/>
              <w:rPr>
                <w:spacing w:val="3"/>
              </w:rPr>
            </w:pPr>
            <w:r>
              <w:rPr>
                <w:spacing w:val="3"/>
              </w:rPr>
              <w:t xml:space="preserve">2022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27"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CEO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190" w:before="0" w:after="283"/>
              <w:jc w:val="right"/>
              <w:rPr/>
            </w:pPr>
            <w:r>
              <w:rPr/>
              <w:t>​</w:t>
            </w:r>
          </w:p>
        </w:tc>
        <w:tc>
          <w:tcPr>
            <w:tcW w:w="1100" w:type="dxa"/>
            <w:tcBorders/>
            <w:shd w:fill="CCEEFF" w:val="clear"/>
            <w:tcMar>
              <w:bottom w:w="0" w:type="dxa"/>
            </w:tcMar>
            <w:vAlign w:val="center"/>
          </w:tcPr>
          <w:p>
            <w:pPr>
              <w:pStyle w:val="TableContents"/>
              <w:spacing w:lineRule="atLeast" w:line="190" w:before="0" w:after="283"/>
              <w:jc w:val="right"/>
              <w:rPr/>
            </w:pPr>
            <w:r>
              <w:rPr/>
              <w:t>3,231,728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141" w:type="dxa"/>
            <w:tcBorders/>
            <w:shd w:fill="CCEEFF" w:val="clear"/>
            <w:tcMar>
              <w:bottom w:w="0" w:type="dxa"/>
            </w:tcMar>
            <w:vAlign w:val="center"/>
          </w:tcPr>
          <w:p>
            <w:pPr>
              <w:pStyle w:val="TableContents"/>
              <w:spacing w:lineRule="atLeast" w:line="190" w:before="0" w:after="283"/>
              <w:jc w:val="right"/>
              <w:rPr/>
            </w:pPr>
            <w:r>
              <w:rPr/>
              <w:t>(1,852,208)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2,254,395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961" w:type="dxa"/>
            <w:tcBorders/>
            <w:shd w:fill="CCEEFF" w:val="clear"/>
            <w:tcMar>
              <w:bottom w:w="0" w:type="dxa"/>
            </w:tcMar>
            <w:vAlign w:val="center"/>
          </w:tcPr>
          <w:p>
            <w:pPr>
              <w:pStyle w:val="TableContents"/>
              <w:spacing w:lineRule="atLeast" w:line="190" w:before="0" w:after="283"/>
              <w:jc w:val="right"/>
              <w:rPr/>
            </w:pPr>
            <w:r>
              <w:rPr/>
              <w:t>(338,571)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961" w:type="dxa"/>
            <w:tcBorders/>
            <w:shd w:fill="CCEEFF" w:val="clear"/>
            <w:tcMar>
              <w:bottom w:w="0" w:type="dxa"/>
            </w:tcMar>
            <w:vAlign w:val="center"/>
          </w:tcPr>
          <w:p>
            <w:pPr>
              <w:pStyle w:val="TableContents"/>
              <w:spacing w:lineRule="atLeast" w:line="190" w:before="0" w:after="283"/>
              <w:jc w:val="right"/>
              <w:rPr/>
            </w:pPr>
            <w:r>
              <w:rPr/>
              <w:t>(125,963)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190" w:before="0" w:after="283"/>
              <w:jc w:val="right"/>
              <w:rPr/>
            </w:pPr>
            <w:r>
              <w:rPr/>
              <w:t>​</w:t>
            </w:r>
          </w:p>
        </w:tc>
        <w:tc>
          <w:tcPr>
            <w:tcW w:w="1100" w:type="dxa"/>
            <w:tcBorders/>
            <w:shd w:fill="CCEEFF" w:val="clear"/>
            <w:tcMar>
              <w:bottom w:w="0" w:type="dxa"/>
            </w:tcMar>
            <w:vAlign w:val="center"/>
          </w:tcPr>
          <w:p>
            <w:pPr>
              <w:pStyle w:val="TableContents"/>
              <w:spacing w:lineRule="atLeast" w:line="190" w:before="0" w:after="283"/>
              <w:jc w:val="right"/>
              <w:rPr/>
            </w:pPr>
            <w:r>
              <w:rPr/>
              <w:t>3,169,382</w:t>
            </w:r>
          </w:p>
        </w:tc>
        <w:tc>
          <w:tcPr>
            <w:tcW w:w="11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27" w:type="dxa"/>
            <w:tcBorders/>
            <w:shd w:fill="CCEEFF" w:val="clear"/>
            <w:tcMar>
              <w:bottom w:w="0" w:type="dxa"/>
            </w:tcMar>
            <w:vAlign w:val="center"/>
          </w:tcPr>
          <w:p>
            <w:pPr>
              <w:pStyle w:val="TableContents"/>
              <w:spacing w:before="0" w:after="283"/>
              <w:jc w:val="left"/>
              <w:rPr>
                <w:spacing w:val="3"/>
              </w:rPr>
            </w:pPr>
            <w:r>
              <w:rPr>
                <w:spacing w:val="3"/>
              </w:rPr>
              <w:t xml:space="preserve">Other NEOs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1,322,398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(755,563)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919,625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(93,459)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(27,545)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1,365,456</w:t>
            </w:r>
          </w:p>
        </w:tc>
        <w:tc>
          <w:tcPr>
            <w:tcW w:w="11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0" w:type="dxa"/>
            <w:vMerge w:val="restart"/>
            <w:tcBorders/>
            <w:shd w:fill="auto" w:val="clear"/>
            <w:tcMar>
              <w:bottom w:w="0" w:type="dxa"/>
            </w:tcMar>
            <w:vAlign w:val="center"/>
          </w:tcPr>
          <w:p>
            <w:pPr>
              <w:pStyle w:val="TableContents"/>
              <w:spacing w:lineRule="atLeast" w:line="190" w:before="0" w:after="0"/>
              <w:jc w:val="left"/>
              <w:rPr>
                <w:spacing w:val="3"/>
              </w:rPr>
            </w:pPr>
            <w:r>
              <w:rPr>
                <w:spacing w:val="3"/>
              </w:rPr>
              <w:t xml:space="preserve">2021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27" w:type="dxa"/>
            <w:tcBorders/>
            <w:shd w:fill="auto" w:val="clear"/>
            <w:tcMar>
              <w:bottom w:w="0" w:type="dxa"/>
            </w:tcMar>
            <w:vAlign w:val="center"/>
          </w:tcPr>
          <w:p>
            <w:pPr>
              <w:pStyle w:val="TableContents"/>
              <w:spacing w:lineRule="atLeast" w:line="190" w:before="0" w:after="0"/>
              <w:jc w:val="left"/>
              <w:rPr>
                <w:spacing w:val="3"/>
              </w:rPr>
            </w:pPr>
            <w:r>
              <w:rPr>
                <w:spacing w:val="3"/>
              </w:rPr>
              <w:t xml:space="preserve">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190" w:before="0" w:after="283"/>
              <w:jc w:val="right"/>
              <w:rPr/>
            </w:pPr>
            <w:r>
              <w:rPr/>
              <w:t>​</w:t>
            </w:r>
          </w:p>
        </w:tc>
        <w:tc>
          <w:tcPr>
            <w:tcW w:w="1100" w:type="dxa"/>
            <w:tcBorders/>
            <w:shd w:fill="auto" w:val="clear"/>
            <w:tcMar>
              <w:bottom w:w="0" w:type="dxa"/>
            </w:tcMar>
            <w:vAlign w:val="center"/>
          </w:tcPr>
          <w:p>
            <w:pPr>
              <w:pStyle w:val="TableContents"/>
              <w:spacing w:lineRule="atLeast" w:line="190" w:before="0" w:after="283"/>
              <w:jc w:val="right"/>
              <w:rPr/>
            </w:pPr>
            <w:r>
              <w:rPr/>
              <w:t>3,379,850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1141" w:type="dxa"/>
            <w:tcBorders/>
            <w:shd w:fill="auto" w:val="clear"/>
            <w:tcMar>
              <w:bottom w:w="0" w:type="dxa"/>
            </w:tcMar>
            <w:vAlign w:val="center"/>
          </w:tcPr>
          <w:p>
            <w:pPr>
              <w:pStyle w:val="TableContents"/>
              <w:spacing w:lineRule="atLeast" w:line="190" w:before="0" w:after="283"/>
              <w:jc w:val="right"/>
              <w:rPr/>
            </w:pPr>
            <w:r>
              <w:rPr/>
              <w:t>(2,132,370)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1066" w:type="dxa"/>
            <w:tcBorders/>
            <w:shd w:fill="auto" w:val="clear"/>
            <w:tcMar>
              <w:bottom w:w="0" w:type="dxa"/>
            </w:tcMar>
            <w:vAlign w:val="center"/>
          </w:tcPr>
          <w:p>
            <w:pPr>
              <w:pStyle w:val="TableContents"/>
              <w:spacing w:lineRule="atLeast" w:line="190" w:before="0" w:after="283"/>
              <w:jc w:val="right"/>
              <w:rPr/>
            </w:pPr>
            <w:r>
              <w:rPr/>
              <w:t>1,605,470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961" w:type="dxa"/>
            <w:tcBorders/>
            <w:shd w:fill="auto" w:val="clear"/>
            <w:tcMar>
              <w:bottom w:w="0" w:type="dxa"/>
            </w:tcMar>
            <w:vAlign w:val="center"/>
          </w:tcPr>
          <w:p>
            <w:pPr>
              <w:pStyle w:val="TableContents"/>
              <w:spacing w:lineRule="atLeast" w:line="190" w:before="0" w:after="283"/>
              <w:jc w:val="right"/>
              <w:rPr/>
            </w:pPr>
            <w:r>
              <w:rPr/>
              <w:t>(581,545)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0" w:before="0" w:after="283"/>
              <w:jc w:val="right"/>
              <w:rPr/>
            </w:pPr>
            <w:r>
              <w:rPr/>
              <w:t>​</w:t>
            </w:r>
          </w:p>
        </w:tc>
        <w:tc>
          <w:tcPr>
            <w:tcW w:w="961" w:type="dxa"/>
            <w:tcBorders/>
            <w:shd w:fill="auto" w:val="clear"/>
            <w:tcMar>
              <w:bottom w:w="0" w:type="dxa"/>
            </w:tcMar>
            <w:vAlign w:val="center"/>
          </w:tcPr>
          <w:p>
            <w:pPr>
              <w:pStyle w:val="TableContents"/>
              <w:spacing w:lineRule="atLeast" w:line="190" w:before="0" w:after="283"/>
              <w:jc w:val="right"/>
              <w:rPr/>
            </w:pPr>
            <w:r>
              <w:rPr/>
              <w:t>245,058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190" w:before="0" w:after="283"/>
              <w:jc w:val="right"/>
              <w:rPr/>
            </w:pPr>
            <w:r>
              <w:rPr/>
              <w:t>​</w:t>
            </w:r>
          </w:p>
        </w:tc>
        <w:tc>
          <w:tcPr>
            <w:tcW w:w="1100" w:type="dxa"/>
            <w:tcBorders/>
            <w:shd w:fill="auto" w:val="clear"/>
            <w:tcMar>
              <w:bottom w:w="0" w:type="dxa"/>
            </w:tcMar>
            <w:vAlign w:val="center"/>
          </w:tcPr>
          <w:p>
            <w:pPr>
              <w:pStyle w:val="TableContents"/>
              <w:spacing w:lineRule="atLeast" w:line="190" w:before="0" w:after="283"/>
              <w:jc w:val="right"/>
              <w:rPr/>
            </w:pPr>
            <w:r>
              <w:rPr/>
              <w:t>2,516,453</w:t>
            </w:r>
          </w:p>
        </w:tc>
        <w:tc>
          <w:tcPr>
            <w:tcW w:w="11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27" w:type="dxa"/>
            <w:tcBorders/>
            <w:shd w:fill="auto" w:val="clear"/>
            <w:tcMar>
              <w:bottom w:w="0" w:type="dxa"/>
            </w:tcMar>
            <w:vAlign w:val="center"/>
          </w:tcPr>
          <w:p>
            <w:pPr>
              <w:pStyle w:val="TableContents"/>
              <w:spacing w:before="0" w:after="283"/>
              <w:jc w:val="left"/>
              <w:rPr>
                <w:spacing w:val="3"/>
              </w:rPr>
            </w:pPr>
            <w:r>
              <w:rPr>
                <w:spacing w:val="3"/>
              </w:rPr>
              <w:t xml:space="preserve">Other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1,097,723</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(597,951)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451,611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(154,914)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58,849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855,317</w:t>
            </w:r>
          </w:p>
        </w:tc>
        <w:tc>
          <w:tcPr>
            <w:tcW w:w="11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0" w:type="dxa"/>
            <w:vMerge w:val="restart"/>
            <w:tcBorders/>
            <w:shd w:fill="CCEEFF" w:val="clear"/>
            <w:tcMar>
              <w:bottom w:w="0" w:type="dxa"/>
            </w:tcMar>
            <w:vAlign w:val="center"/>
          </w:tcPr>
          <w:p>
            <w:pPr>
              <w:pStyle w:val="TableContents"/>
              <w:spacing w:lineRule="atLeast" w:line="190" w:before="0" w:after="0"/>
              <w:jc w:val="left"/>
              <w:rPr>
                <w:spacing w:val="3"/>
              </w:rPr>
            </w:pPr>
            <w:r>
              <w:rPr>
                <w:spacing w:val="3"/>
              </w:rPr>
              <w:t xml:space="preserve">2020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27" w:type="dxa"/>
            <w:tcBorders/>
            <w:shd w:fill="CCEEFF" w:val="clear"/>
            <w:tcMar>
              <w:bottom w:w="0" w:type="dxa"/>
            </w:tcMar>
            <w:vAlign w:val="center"/>
          </w:tcPr>
          <w:p>
            <w:pPr>
              <w:pStyle w:val="TableContents"/>
              <w:spacing w:lineRule="atLeast" w:line="190" w:before="0" w:after="0"/>
              <w:jc w:val="left"/>
              <w:rPr>
                <w:spacing w:val="3"/>
              </w:rPr>
            </w:pPr>
            <w:r>
              <w:rPr>
                <w:spacing w:val="3"/>
              </w:rPr>
              <w:t xml:space="preserve">CEO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190" w:before="0" w:after="283"/>
              <w:jc w:val="right"/>
              <w:rPr/>
            </w:pPr>
            <w:r>
              <w:rPr/>
              <w:t>​</w:t>
            </w:r>
          </w:p>
        </w:tc>
        <w:tc>
          <w:tcPr>
            <w:tcW w:w="1100" w:type="dxa"/>
            <w:tcBorders/>
            <w:shd w:fill="CCEEFF" w:val="clear"/>
            <w:tcMar>
              <w:bottom w:w="0" w:type="dxa"/>
            </w:tcMar>
            <w:vAlign w:val="center"/>
          </w:tcPr>
          <w:p>
            <w:pPr>
              <w:pStyle w:val="TableContents"/>
              <w:spacing w:lineRule="atLeast" w:line="190" w:before="0" w:after="283"/>
              <w:jc w:val="right"/>
              <w:rPr/>
            </w:pPr>
            <w:r>
              <w:rPr/>
              <w:t>2,653,940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141" w:type="dxa"/>
            <w:tcBorders/>
            <w:shd w:fill="CCEEFF" w:val="clear"/>
            <w:tcMar>
              <w:bottom w:w="0" w:type="dxa"/>
            </w:tcMar>
            <w:vAlign w:val="center"/>
          </w:tcPr>
          <w:p>
            <w:pPr>
              <w:pStyle w:val="TableContents"/>
              <w:spacing w:lineRule="atLeast" w:line="190" w:before="0" w:after="283"/>
              <w:jc w:val="right"/>
              <w:rPr/>
            </w:pPr>
            <w:r>
              <w:rPr/>
              <w:t>(1,405,555)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1066" w:type="dxa"/>
            <w:tcBorders/>
            <w:shd w:fill="CCEEFF" w:val="clear"/>
            <w:tcMar>
              <w:bottom w:w="0" w:type="dxa"/>
            </w:tcMar>
            <w:vAlign w:val="center"/>
          </w:tcPr>
          <w:p>
            <w:pPr>
              <w:pStyle w:val="TableContents"/>
              <w:spacing w:lineRule="atLeast" w:line="190" w:before="0" w:after="283"/>
              <w:jc w:val="right"/>
              <w:rPr/>
            </w:pPr>
            <w:r>
              <w:rPr/>
              <w:t>1,137,960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961" w:type="dxa"/>
            <w:tcBorders/>
            <w:shd w:fill="CCEEFF" w:val="clear"/>
            <w:tcMar>
              <w:bottom w:w="0" w:type="dxa"/>
            </w:tcMar>
            <w:vAlign w:val="center"/>
          </w:tcPr>
          <w:p>
            <w:pPr>
              <w:pStyle w:val="TableContents"/>
              <w:spacing w:lineRule="atLeast" w:line="190" w:before="0" w:after="283"/>
              <w:jc w:val="right"/>
              <w:rPr/>
            </w:pPr>
            <w:r>
              <w:rPr/>
              <w:t>(677,183)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0" w:before="0" w:after="283"/>
              <w:jc w:val="right"/>
              <w:rPr/>
            </w:pPr>
            <w:r>
              <w:rPr/>
              <w:t>​</w:t>
            </w:r>
          </w:p>
        </w:tc>
        <w:tc>
          <w:tcPr>
            <w:tcW w:w="961" w:type="dxa"/>
            <w:tcBorders/>
            <w:shd w:fill="CCEEFF" w:val="clear"/>
            <w:tcMar>
              <w:bottom w:w="0" w:type="dxa"/>
            </w:tcMar>
            <w:vAlign w:val="center"/>
          </w:tcPr>
          <w:p>
            <w:pPr>
              <w:pStyle w:val="TableContents"/>
              <w:spacing w:lineRule="atLeast" w:line="190" w:before="0" w:after="283"/>
              <w:jc w:val="right"/>
              <w:rPr/>
            </w:pPr>
            <w:r>
              <w:rPr/>
              <w:t>(64,485)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190" w:before="0" w:after="283"/>
              <w:jc w:val="right"/>
              <w:rPr/>
            </w:pPr>
            <w:r>
              <w:rPr/>
              <w:t>​</w:t>
            </w:r>
          </w:p>
        </w:tc>
        <w:tc>
          <w:tcPr>
            <w:tcW w:w="1100" w:type="dxa"/>
            <w:tcBorders/>
            <w:shd w:fill="CCEEFF" w:val="clear"/>
            <w:tcMar>
              <w:bottom w:w="0" w:type="dxa"/>
            </w:tcMar>
            <w:vAlign w:val="center"/>
          </w:tcPr>
          <w:p>
            <w:pPr>
              <w:pStyle w:val="TableContents"/>
              <w:spacing w:lineRule="atLeast" w:line="190" w:before="0" w:after="283"/>
              <w:jc w:val="right"/>
              <w:rPr/>
            </w:pPr>
            <w:r>
              <w:rPr/>
              <w:t>1,644,678</w:t>
            </w:r>
          </w:p>
        </w:tc>
        <w:tc>
          <w:tcPr>
            <w:tcW w:w="11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0"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27" w:type="dxa"/>
            <w:tcBorders/>
            <w:shd w:fill="CCEEFF" w:val="clear"/>
            <w:tcMar>
              <w:bottom w:w="0" w:type="dxa"/>
            </w:tcMar>
            <w:vAlign w:val="center"/>
          </w:tcPr>
          <w:p>
            <w:pPr>
              <w:pStyle w:val="TableContents"/>
              <w:spacing w:before="0" w:after="283"/>
              <w:jc w:val="left"/>
              <w:rPr>
                <w:spacing w:val="3"/>
              </w:rPr>
            </w:pPr>
            <w:r>
              <w:rPr>
                <w:spacing w:val="3"/>
              </w:rPr>
              <w:t xml:space="preserve">Other NEOs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908,400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(403,098)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326,354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(155,763)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(8,189)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667,704</w:t>
            </w:r>
          </w:p>
        </w:tc>
        <w:tc>
          <w:tcPr>
            <w:tcW w:w="11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TLOI"/>
      <w:bookmarkEnd w:id="5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considers Adjusted EBITDA to be the most important financial performance measure used to link CAP of the CEO and Non-CEO NEOs to Company performance. The Company has defined Adjusted EBITDA as operating income (loss) before depreciation and amortization expense, transaction-related charges, one-time impairment or special charges and the gain (loss) on disposition of assets. In order to more closely align with similar calculations presented by companies in its industry, beginning with its 2023 financial results, the Company plans to exclude non-cash stock-based compensation in its adjustment to derive Adjusted EBITDA. The Company regularly reports on this metric to investors in its quarterly earnings releases, and believes that the inclusion of these non-GAAP financial measures (and the associated reconciliations to the nearest GAAP financial measures) helps investors gain a meaningful understanding of the Company’s core operating results and enhances the usefulness of comparing such performance with prior periods. Accordingly the Board considers Adjusted EBITDA as the best measure to track both Company performance as well as align executive compensation to such performance.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Tabular List of Important Financial Performance Measures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Adjusted EBITDA, the various metrics and other factors that the Compensation Committee considers in making executive compensation awards on an annual basis are described yearly in greater detail in “Executive Compensation—Compensation Discussion and Analysis.” The four items listed below represent the most important measures the Company is currently using to link executive compensation actually paid to the Company’s actual performance, particularly cash bonus payment awards: </w:t>
      </w:r>
    </w:p>
    <w:p>
      <w:pPr>
        <w:pStyle w:val="TextBody"/>
        <w:spacing w:lineRule="atLeast" w:line="25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Adjusted EBITDA </w:t>
        <w:br/>
        <w:t xml:space="preserve">Revenue </w:t>
        <w:br/>
        <w:t xml:space="preserve">High Speed Data Subscribers </w:t>
        <w:br/>
        <w:t>Mobile Subscribers</w:t>
      </w:r>
      <w:r>
        <w:rPr>
          <w:rFonts w:ascii="Times New Roman;Times;serif" w:hAnsi="Times New Roman;Times;serif"/>
          <w:b w:val="false"/>
          <w:i w:val="false"/>
          <w:caps w:val="false"/>
          <w:smallCaps w:val="false"/>
          <w:color w:val="000000"/>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charts illustrate the relationship between Compensation Actually Paid and the financial performance measures set forth in the table above selected by the Company. </w:t>
      </w:r>
    </w:p>
    <w:p>
      <w:pPr>
        <w:pStyle w:val="TextBody"/>
        <w:spacing w:before="224" w:after="283"/>
        <w:jc w:val="center"/>
        <w:rPr>
          <w:caps w:val="false"/>
          <w:smallCaps w:val="false"/>
          <w:color w:val="000000"/>
        </w:rPr>
      </w:pPr>
      <w:r>
        <w:rPr>
          <w:caps w:val="false"/>
          <w:smallCaps w:val="false"/>
          <w:color w:val="000000"/>
        </w:rPr>
        <w:drawing>
          <wp:inline distT="0" distB="0" distL="0" distR="0">
            <wp:extent cx="5495925" cy="3514725"/>
            <wp:effectExtent l="0" t="0" r="0" b="0"/>
            <wp:docPr id="1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 descr=""/>
                    <pic:cNvPicPr>
                      <a:picLocks noChangeAspect="1" noChangeArrowheads="1"/>
                    </pic:cNvPicPr>
                  </pic:nvPicPr>
                  <pic:blipFill>
                    <a:blip r:embed="rId5"/>
                    <a:stretch>
                      <a:fillRect/>
                    </a:stretch>
                  </pic:blipFill>
                  <pic:spPr bwMode="auto">
                    <a:xfrm>
                      <a:off x="0" y="0"/>
                      <a:ext cx="5495925" cy="35147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60" w:after="283"/>
        <w:ind w:left="1393" w:right="0" w:hanging="0"/>
        <w:jc w:val="center"/>
        <w:rPr>
          <w:caps w:val="false"/>
          <w:smallCaps w:val="false"/>
          <w:color w:val="000000"/>
        </w:rPr>
      </w:pPr>
      <w:r>
        <w:rPr>
          <w:caps w:val="false"/>
          <w:smallCaps w:val="false"/>
          <w:color w:val="000000"/>
        </w:rPr>
        <w:drawing>
          <wp:inline distT="0" distB="0" distL="0" distR="0">
            <wp:extent cx="5438775" cy="3495675"/>
            <wp:effectExtent l="0" t="0" r="0" b="0"/>
            <wp:docPr id="1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 descr=""/>
                    <pic:cNvPicPr>
                      <a:picLocks noChangeAspect="1" noChangeArrowheads="1"/>
                    </pic:cNvPicPr>
                  </pic:nvPicPr>
                  <pic:blipFill>
                    <a:blip r:embed="rId6"/>
                    <a:stretch>
                      <a:fillRect/>
                    </a:stretch>
                  </pic:blipFill>
                  <pic:spPr bwMode="auto">
                    <a:xfrm>
                      <a:off x="0" y="0"/>
                      <a:ext cx="5438775" cy="3495675"/>
                    </a:xfrm>
                    <a:prstGeom prst="rect">
                      <a:avLst/>
                    </a:prstGeom>
                  </pic:spPr>
                </pic:pic>
              </a:graphicData>
            </a:graphic>
          </wp:inline>
        </w:drawing>
      </w:r>
      <w:r>
        <w:rPr>
          <w:caps w:val="false"/>
          <w:smallCaps w:val="false"/>
          <w:color w:val="000000"/>
        </w:rPr>
        <w:t xml:space="preserve"> </w:t>
      </w:r>
    </w:p>
    <w:p>
      <w:pPr>
        <w:pStyle w:val="TextBody"/>
        <w:spacing w:before="294" w:after="283"/>
        <w:jc w:val="center"/>
        <w:rPr>
          <w:caps w:val="false"/>
          <w:smallCaps w:val="false"/>
          <w:color w:val="000000"/>
        </w:rPr>
      </w:pPr>
      <w:r>
        <w:rPr>
          <w:caps w:val="false"/>
          <w:smallCaps w:val="false"/>
          <w:color w:val="000000"/>
        </w:rPr>
        <w:drawing>
          <wp:inline distT="0" distB="0" distL="0" distR="0">
            <wp:extent cx="5438775" cy="3495675"/>
            <wp:effectExtent l="0" t="0" r="0" b="0"/>
            <wp:docPr id="1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 descr=""/>
                    <pic:cNvPicPr>
                      <a:picLocks noChangeAspect="1" noChangeArrowheads="1"/>
                    </pic:cNvPicPr>
                  </pic:nvPicPr>
                  <pic:blipFill>
                    <a:blip r:embed="rId7"/>
                    <a:stretch>
                      <a:fillRect/>
                    </a:stretch>
                  </pic:blipFill>
                  <pic:spPr bwMode="auto">
                    <a:xfrm>
                      <a:off x="0" y="0"/>
                      <a:ext cx="5438775" cy="349567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20" w:after="6960"/>
        <w:ind w:left="1393" w:right="0" w:hanging="0"/>
        <w:jc w:val="center"/>
        <w:rPr>
          <w:caps w:val="false"/>
          <w:smallCaps w:val="false"/>
          <w:color w:val="000000"/>
        </w:rPr>
      </w:pPr>
      <w:r>
        <w:rPr>
          <w:caps w:val="false"/>
          <w:smallCaps w:val="false"/>
          <w:color w:val="000000"/>
        </w:rPr>
        <w:drawing>
          <wp:inline distT="0" distB="0" distL="0" distR="0">
            <wp:extent cx="5419725" cy="3495675"/>
            <wp:effectExtent l="0" t="0" r="0" b="0"/>
            <wp:docPr id="1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 descr=""/>
                    <pic:cNvPicPr>
                      <a:picLocks noChangeAspect="1" noChangeArrowheads="1"/>
                    </pic:cNvPicPr>
                  </pic:nvPicPr>
                  <pic:blipFill>
                    <a:blip r:embed="rId8"/>
                    <a:stretch>
                      <a:fillRect/>
                    </a:stretch>
                  </pic:blipFill>
                  <pic:spPr bwMode="auto">
                    <a:xfrm>
                      <a:off x="0" y="0"/>
                      <a:ext cx="5419725" cy="349567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DICO"/>
      <w:bookmarkEnd w:id="59"/>
      <w:r>
        <w:rPr>
          <w:rFonts w:ascii="calibri;arial;sans-serif" w:hAnsi="calibri;arial;sans-serif"/>
          <w:b w:val="false"/>
          <w:i w:val="false"/>
          <w:caps w:val="false"/>
          <w:smallCaps w:val="false"/>
          <w:color w:val="000000"/>
          <w:sz w:val="16"/>
        </w:rPr>
        <w:t>​</w:t>
      </w:r>
      <w:bookmarkStart w:id="60" w:name="t2DCT"/>
      <w:bookmarkEnd w:id="6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compensation set by our peer companies in our determination of director compensation.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2022 Director Compensation Table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compensation paid to, or earned by, our non-employee directors for the fiscal year ended December 31, 2022. Mr. Michael Prior, our Chairman and Chief Executive Officer, does not receive any compensation for his Board service beyond the compensation he receives as an executive officer of the Company. </w:t>
      </w:r>
    </w:p>
    <w:tbl>
      <w:tblPr>
        <w:tblW w:w="7128" w:type="dxa"/>
        <w:jc w:val="left"/>
        <w:tblInd w:w="1393" w:type="dxa"/>
        <w:tblCellMar>
          <w:top w:w="0" w:type="dxa"/>
          <w:left w:w="0" w:type="dxa"/>
          <w:bottom w:w="0" w:type="dxa"/>
          <w:right w:w="0" w:type="dxa"/>
        </w:tblCellMar>
      </w:tblPr>
      <w:tblGrid>
        <w:gridCol w:w="2059"/>
        <w:gridCol w:w="109"/>
        <w:gridCol w:w="109"/>
        <w:gridCol w:w="114"/>
        <w:gridCol w:w="114"/>
        <w:gridCol w:w="1219"/>
        <w:gridCol w:w="114"/>
        <w:gridCol w:w="109"/>
        <w:gridCol w:w="109"/>
        <w:gridCol w:w="109"/>
        <w:gridCol w:w="109"/>
        <w:gridCol w:w="1160"/>
        <w:gridCol w:w="109"/>
        <w:gridCol w:w="109"/>
        <w:gridCol w:w="109"/>
        <w:gridCol w:w="109"/>
        <w:gridCol w:w="109"/>
        <w:gridCol w:w="886"/>
        <w:gridCol w:w="109"/>
        <w:gridCol w:w="154"/>
      </w:tblGrid>
      <w:tr>
        <w:trPr/>
        <w:tc>
          <w:tcPr>
            <w:tcW w:w="2059" w:type="dxa"/>
            <w:tcBorders/>
            <w:shd w:fill="auto" w:val="clear"/>
            <w:vAlign w:val="center"/>
          </w:tcPr>
          <w:p>
            <w:pPr>
              <w:pStyle w:val="TableContents"/>
              <w:spacing w:before="0" w:after="0"/>
              <w:jc w:val="left"/>
              <w:rPr>
                <w:spacing w:val="-3"/>
                <w:bdr w:val="single" w:sz="2" w:space="1" w:color="000000"/>
              </w:rPr>
            </w:pPr>
            <w:r>
              <w:rPr>
                <w:spacing w:val="-3"/>
                <w:bdr w:val="single" w:sz="2" w:space="1" w:color="000000"/>
              </w:rPr>
              <w:t xml:space="preserve">Name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1" w:type="dxa"/>
            <w:gridSpan w:val="4"/>
            <w:tcBorders/>
            <w:shd w:fill="auto" w:val="clear"/>
            <w:vAlign w:val="center"/>
          </w:tcPr>
          <w:p>
            <w:pPr>
              <w:pStyle w:val="TableContents"/>
              <w:spacing w:before="0" w:after="0"/>
              <w:jc w:val="center"/>
              <w:rPr/>
            </w:pPr>
            <w:r>
              <w:rPr>
                <w:spacing w:val="-3"/>
              </w:rPr>
              <w:t xml:space="preserve">Fees Earned or </w:t>
              <w:br/>
              <w:t xml:space="preserve">Paid in Cash </w:t>
            </w:r>
            <w:r>
              <w:rPr/>
              <w:br/>
            </w:r>
            <w:r>
              <w:rPr>
                <w:spacing w:val="-3"/>
                <w:bdr w:val="single" w:sz="2" w:space="1" w:color="000000"/>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7" w:type="dxa"/>
            <w:gridSpan w:val="4"/>
            <w:tcBorders/>
            <w:shd w:fill="auto" w:val="clear"/>
            <w:vAlign w:val="center"/>
          </w:tcPr>
          <w:p>
            <w:pPr>
              <w:pStyle w:val="TableContents"/>
              <w:spacing w:before="0" w:after="0"/>
              <w:jc w:val="center"/>
              <w:rPr/>
            </w:pPr>
            <w:r>
              <w:rPr>
                <w:spacing w:val="-3"/>
              </w:rPr>
              <w:t xml:space="preserve">Stock Awards </w:t>
            </w:r>
            <w:r>
              <w:rPr/>
              <w:br/>
            </w:r>
            <w:r>
              <w:rPr>
                <w:spacing w:val="-3"/>
                <w:bdr w:val="single" w:sz="2" w:space="1" w:color="000000"/>
              </w:rPr>
              <w:t>($)(1)</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3" w:type="dxa"/>
            <w:gridSpan w:val="4"/>
            <w:tcBorders/>
            <w:shd w:fill="auto" w:val="clear"/>
            <w:vAlign w:val="center"/>
          </w:tcPr>
          <w:p>
            <w:pPr>
              <w:pStyle w:val="TableContents"/>
              <w:spacing w:before="0" w:after="0"/>
              <w:jc w:val="center"/>
              <w:rPr/>
            </w:pPr>
            <w:r>
              <w:rPr>
                <w:spacing w:val="-3"/>
              </w:rPr>
              <w:t xml:space="preserve">Total </w:t>
            </w:r>
            <w:r>
              <w:rPr/>
              <w:br/>
            </w:r>
            <w:r>
              <w:rPr>
                <w:spacing w:val="-3"/>
                <w:bdr w:val="single" w:sz="2" w:space="1" w:color="000000"/>
              </w:rPr>
              <w:t xml:space="preserve">($) </w:t>
            </w:r>
          </w:p>
        </w:tc>
        <w:tc>
          <w:tcPr>
            <w:tcW w:w="154" w:type="dxa"/>
            <w:tcBorders/>
            <w:shd w:fill="auto" w:val="clear"/>
            <w:vAlign w:val="center"/>
          </w:tcPr>
          <w:p>
            <w:pPr>
              <w:pStyle w:val="TableContents"/>
              <w:spacing w:before="0" w:after="283"/>
              <w:rPr/>
            </w:pPr>
            <w:r>
              <w:rPr/>
              <w:t>​</w:t>
            </w:r>
          </w:p>
        </w:tc>
      </w:tr>
      <w:tr>
        <w:trPr/>
        <w:tc>
          <w:tcPr>
            <w:tcW w:w="2059" w:type="dxa"/>
            <w:tcBorders/>
            <w:shd w:fill="CCEEFF" w:val="clear"/>
            <w:vAlign w:val="center"/>
          </w:tcPr>
          <w:p>
            <w:pPr>
              <w:pStyle w:val="TableContents"/>
              <w:spacing w:before="0" w:after="0"/>
              <w:jc w:val="left"/>
              <w:rPr>
                <w:spacing w:val="4"/>
              </w:rPr>
            </w:pPr>
            <w:r>
              <w:rPr>
                <w:spacing w:val="4"/>
              </w:rPr>
              <w:t xml:space="preserve">Bernard J. Bulkin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14" w:type="dxa"/>
            <w:tcBorders/>
            <w:shd w:fill="CCEEFF" w:val="clear"/>
            <w:vAlign w:val="center"/>
          </w:tcPr>
          <w:p>
            <w:pPr>
              <w:pStyle w:val="TableContents"/>
              <w:spacing w:before="0" w:after="283"/>
              <w:rPr/>
            </w:pPr>
            <w:r>
              <w:rPr/>
              <w:t>​</w:t>
            </w:r>
          </w:p>
        </w:tc>
        <w:tc>
          <w:tcPr>
            <w:tcW w:w="114" w:type="dxa"/>
            <w:tcBorders/>
            <w:shd w:fill="CCEEFF" w:val="clear"/>
            <w:vAlign w:val="center"/>
          </w:tcPr>
          <w:p>
            <w:pPr>
              <w:pStyle w:val="TableContents"/>
              <w:spacing w:before="0" w:after="283"/>
              <w:jc w:val="right"/>
              <w:rPr/>
            </w:pPr>
            <w:r>
              <w:rPr/>
              <w:t>​</w:t>
            </w:r>
          </w:p>
        </w:tc>
        <w:tc>
          <w:tcPr>
            <w:tcW w:w="1219" w:type="dxa"/>
            <w:tcBorders/>
            <w:shd w:fill="CCEEFF" w:val="clear"/>
            <w:vAlign w:val="center"/>
          </w:tcPr>
          <w:p>
            <w:pPr>
              <w:pStyle w:val="TableContents"/>
              <w:spacing w:before="0" w:after="283"/>
              <w:jc w:val="right"/>
              <w:rPr/>
            </w:pPr>
            <w:r>
              <w:rPr/>
              <w:t>135,000(2)</w:t>
            </w:r>
          </w:p>
        </w:tc>
        <w:tc>
          <w:tcPr>
            <w:tcW w:w="114"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160" w:type="dxa"/>
            <w:tcBorders/>
            <w:shd w:fill="CCEEFF" w:val="clear"/>
            <w:vAlign w:val="center"/>
          </w:tcPr>
          <w:p>
            <w:pPr>
              <w:pStyle w:val="TableContents"/>
              <w:spacing w:before="0" w:after="283"/>
              <w:jc w:val="right"/>
              <w:rPr/>
            </w:pPr>
            <w:r>
              <w:rPr/>
              <w:t>136,512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886" w:type="dxa"/>
            <w:tcBorders/>
            <w:shd w:fill="CCEEFF" w:val="clear"/>
            <w:vAlign w:val="center"/>
          </w:tcPr>
          <w:p>
            <w:pPr>
              <w:pStyle w:val="TableContents"/>
              <w:spacing w:before="0" w:after="283"/>
              <w:jc w:val="right"/>
              <w:rPr/>
            </w:pPr>
            <w:r>
              <w:rPr/>
              <w:t>271,512</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2059" w:type="dxa"/>
            <w:tcBorders/>
            <w:shd w:fill="auto" w:val="clear"/>
            <w:vAlign w:val="center"/>
          </w:tcPr>
          <w:p>
            <w:pPr>
              <w:pStyle w:val="TableContents"/>
              <w:spacing w:before="0" w:after="0"/>
              <w:jc w:val="left"/>
              <w:rPr>
                <w:spacing w:val="4"/>
              </w:rPr>
            </w:pPr>
            <w:r>
              <w:rPr>
                <w:spacing w:val="4"/>
              </w:rPr>
              <w:t xml:space="preserve">James Eisenstein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4" w:type="dxa"/>
            <w:tcBorders/>
            <w:shd w:fill="auto" w:val="clear"/>
            <w:vAlign w:val="center"/>
          </w:tcPr>
          <w:p>
            <w:pPr>
              <w:pStyle w:val="TableContents"/>
              <w:spacing w:before="0" w:after="283"/>
              <w:rPr/>
            </w:pPr>
            <w:r>
              <w:rPr/>
              <w:t>​</w:t>
            </w:r>
          </w:p>
        </w:tc>
        <w:tc>
          <w:tcPr>
            <w:tcW w:w="114" w:type="dxa"/>
            <w:tcBorders/>
            <w:shd w:fill="auto" w:val="clear"/>
            <w:vAlign w:val="center"/>
          </w:tcPr>
          <w:p>
            <w:pPr>
              <w:pStyle w:val="TableContents"/>
              <w:spacing w:before="0" w:after="283"/>
              <w:jc w:val="right"/>
              <w:rPr/>
            </w:pPr>
            <w:r>
              <w:rPr/>
              <w:t>​</w:t>
            </w:r>
          </w:p>
        </w:tc>
        <w:tc>
          <w:tcPr>
            <w:tcW w:w="1219" w:type="dxa"/>
            <w:tcBorders/>
            <w:shd w:fill="auto" w:val="clear"/>
            <w:vAlign w:val="center"/>
          </w:tcPr>
          <w:p>
            <w:pPr>
              <w:pStyle w:val="TableContents"/>
              <w:spacing w:before="0" w:after="283"/>
              <w:jc w:val="right"/>
              <w:rPr/>
            </w:pPr>
            <w:r>
              <w:rPr/>
              <w:t>79,167</w:t>
            </w:r>
          </w:p>
        </w:tc>
        <w:tc>
          <w:tcPr>
            <w:tcW w:w="11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60" w:type="dxa"/>
            <w:tcBorders/>
            <w:shd w:fill="auto" w:val="clear"/>
            <w:vAlign w:val="center"/>
          </w:tcPr>
          <w:p>
            <w:pPr>
              <w:pStyle w:val="TableContents"/>
              <w:spacing w:before="0" w:after="283"/>
              <w:jc w:val="right"/>
              <w:rPr/>
            </w:pPr>
            <w:r>
              <w:rPr/>
              <w:t>136,512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215,679</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2059" w:type="dxa"/>
            <w:tcBorders/>
            <w:shd w:fill="CCEEFF" w:val="clear"/>
            <w:vAlign w:val="center"/>
          </w:tcPr>
          <w:p>
            <w:pPr>
              <w:pStyle w:val="TableContents"/>
              <w:spacing w:before="0" w:after="0"/>
              <w:jc w:val="left"/>
              <w:rPr>
                <w:spacing w:val="4"/>
              </w:rPr>
            </w:pPr>
            <w:r>
              <w:rPr>
                <w:spacing w:val="4"/>
              </w:rPr>
              <w:t xml:space="preserve">Richard J. Ganong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14" w:type="dxa"/>
            <w:tcBorders/>
            <w:shd w:fill="CCEEFF" w:val="clear"/>
            <w:vAlign w:val="center"/>
          </w:tcPr>
          <w:p>
            <w:pPr>
              <w:pStyle w:val="TableContents"/>
              <w:spacing w:before="0" w:after="283"/>
              <w:rPr/>
            </w:pPr>
            <w:r>
              <w:rPr/>
              <w:t>​</w:t>
            </w:r>
          </w:p>
        </w:tc>
        <w:tc>
          <w:tcPr>
            <w:tcW w:w="114" w:type="dxa"/>
            <w:tcBorders/>
            <w:shd w:fill="CCEEFF" w:val="clear"/>
            <w:vAlign w:val="center"/>
          </w:tcPr>
          <w:p>
            <w:pPr>
              <w:pStyle w:val="TableContents"/>
              <w:spacing w:before="0" w:after="283"/>
              <w:jc w:val="right"/>
              <w:rPr/>
            </w:pPr>
            <w:r>
              <w:rPr/>
              <w:t>​</w:t>
            </w:r>
          </w:p>
        </w:tc>
        <w:tc>
          <w:tcPr>
            <w:tcW w:w="1219" w:type="dxa"/>
            <w:tcBorders/>
            <w:shd w:fill="CCEEFF" w:val="clear"/>
            <w:vAlign w:val="center"/>
          </w:tcPr>
          <w:p>
            <w:pPr>
              <w:pStyle w:val="TableContents"/>
              <w:spacing w:before="0" w:after="283"/>
              <w:jc w:val="right"/>
              <w:rPr/>
            </w:pPr>
            <w:r>
              <w:rPr/>
              <w:t>91,667</w:t>
            </w:r>
          </w:p>
        </w:tc>
        <w:tc>
          <w:tcPr>
            <w:tcW w:w="114"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160" w:type="dxa"/>
            <w:tcBorders/>
            <w:shd w:fill="CCEEFF" w:val="clear"/>
            <w:vAlign w:val="center"/>
          </w:tcPr>
          <w:p>
            <w:pPr>
              <w:pStyle w:val="TableContents"/>
              <w:spacing w:before="0" w:after="283"/>
              <w:jc w:val="right"/>
              <w:rPr/>
            </w:pPr>
            <w:r>
              <w:rPr/>
              <w:t>136,512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886" w:type="dxa"/>
            <w:tcBorders/>
            <w:shd w:fill="CCEEFF" w:val="clear"/>
            <w:vAlign w:val="center"/>
          </w:tcPr>
          <w:p>
            <w:pPr>
              <w:pStyle w:val="TableContents"/>
              <w:spacing w:before="0" w:after="283"/>
              <w:jc w:val="right"/>
              <w:rPr/>
            </w:pPr>
            <w:r>
              <w:rPr/>
              <w:t>228,179</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2059" w:type="dxa"/>
            <w:tcBorders/>
            <w:shd w:fill="auto" w:val="clear"/>
            <w:vAlign w:val="center"/>
          </w:tcPr>
          <w:p>
            <w:pPr>
              <w:pStyle w:val="TableContents"/>
              <w:spacing w:before="0" w:after="0"/>
              <w:jc w:val="left"/>
              <w:rPr>
                <w:spacing w:val="4"/>
              </w:rPr>
            </w:pPr>
            <w:r>
              <w:rPr>
                <w:spacing w:val="4"/>
              </w:rPr>
              <w:t xml:space="preserve">April V. Henry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4" w:type="dxa"/>
            <w:tcBorders/>
            <w:shd w:fill="auto" w:val="clear"/>
            <w:vAlign w:val="center"/>
          </w:tcPr>
          <w:p>
            <w:pPr>
              <w:pStyle w:val="TableContents"/>
              <w:spacing w:before="0" w:after="283"/>
              <w:rPr/>
            </w:pPr>
            <w:r>
              <w:rPr/>
              <w:t>​</w:t>
            </w:r>
          </w:p>
        </w:tc>
        <w:tc>
          <w:tcPr>
            <w:tcW w:w="114" w:type="dxa"/>
            <w:tcBorders/>
            <w:shd w:fill="auto" w:val="clear"/>
            <w:vAlign w:val="center"/>
          </w:tcPr>
          <w:p>
            <w:pPr>
              <w:pStyle w:val="TableContents"/>
              <w:spacing w:before="0" w:after="283"/>
              <w:jc w:val="right"/>
              <w:rPr/>
            </w:pPr>
            <w:r>
              <w:rPr/>
              <w:t>​</w:t>
            </w:r>
          </w:p>
        </w:tc>
        <w:tc>
          <w:tcPr>
            <w:tcW w:w="1219" w:type="dxa"/>
            <w:tcBorders/>
            <w:shd w:fill="auto" w:val="clear"/>
            <w:vAlign w:val="center"/>
          </w:tcPr>
          <w:p>
            <w:pPr>
              <w:pStyle w:val="TableContents"/>
              <w:spacing w:before="0" w:after="283"/>
              <w:jc w:val="right"/>
              <w:rPr/>
            </w:pPr>
            <w:r>
              <w:rPr/>
              <w:t>81,644(3)</w:t>
            </w:r>
          </w:p>
        </w:tc>
        <w:tc>
          <w:tcPr>
            <w:tcW w:w="11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60" w:type="dxa"/>
            <w:tcBorders/>
            <w:shd w:fill="auto" w:val="clear"/>
            <w:vAlign w:val="center"/>
          </w:tcPr>
          <w:p>
            <w:pPr>
              <w:pStyle w:val="TableContents"/>
              <w:spacing w:before="0" w:after="283"/>
              <w:jc w:val="right"/>
              <w:rPr/>
            </w:pPr>
            <w:r>
              <w:rPr/>
              <w:t>165,863(4)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247,507</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2059" w:type="dxa"/>
            <w:tcBorders/>
            <w:shd w:fill="CCEEFF" w:val="clear"/>
            <w:vAlign w:val="center"/>
          </w:tcPr>
          <w:p>
            <w:pPr>
              <w:pStyle w:val="TableContents"/>
              <w:spacing w:before="0" w:after="0"/>
              <w:jc w:val="left"/>
              <w:rPr>
                <w:spacing w:val="4"/>
              </w:rPr>
            </w:pPr>
            <w:r>
              <w:rPr>
                <w:spacing w:val="4"/>
              </w:rPr>
              <w:t xml:space="preserve">Pamela F. Lenehan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14" w:type="dxa"/>
            <w:tcBorders/>
            <w:shd w:fill="CCEEFF" w:val="clear"/>
            <w:vAlign w:val="center"/>
          </w:tcPr>
          <w:p>
            <w:pPr>
              <w:pStyle w:val="TableContents"/>
              <w:spacing w:before="0" w:after="283"/>
              <w:rPr/>
            </w:pPr>
            <w:r>
              <w:rPr/>
              <w:t>​</w:t>
            </w:r>
          </w:p>
        </w:tc>
        <w:tc>
          <w:tcPr>
            <w:tcW w:w="114" w:type="dxa"/>
            <w:tcBorders/>
            <w:shd w:fill="CCEEFF" w:val="clear"/>
            <w:vAlign w:val="center"/>
          </w:tcPr>
          <w:p>
            <w:pPr>
              <w:pStyle w:val="TableContents"/>
              <w:spacing w:before="0" w:after="283"/>
              <w:jc w:val="right"/>
              <w:rPr/>
            </w:pPr>
            <w:r>
              <w:rPr/>
              <w:t>​</w:t>
            </w:r>
          </w:p>
        </w:tc>
        <w:tc>
          <w:tcPr>
            <w:tcW w:w="1219" w:type="dxa"/>
            <w:tcBorders/>
            <w:shd w:fill="CCEEFF" w:val="clear"/>
            <w:vAlign w:val="center"/>
          </w:tcPr>
          <w:p>
            <w:pPr>
              <w:pStyle w:val="TableContents"/>
              <w:spacing w:before="0" w:after="283"/>
              <w:jc w:val="right"/>
              <w:rPr/>
            </w:pPr>
            <w:r>
              <w:rPr/>
              <w:t>92,000</w:t>
            </w:r>
          </w:p>
        </w:tc>
        <w:tc>
          <w:tcPr>
            <w:tcW w:w="114"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160" w:type="dxa"/>
            <w:tcBorders/>
            <w:shd w:fill="CCEEFF" w:val="clear"/>
            <w:vAlign w:val="center"/>
          </w:tcPr>
          <w:p>
            <w:pPr>
              <w:pStyle w:val="TableContents"/>
              <w:spacing w:before="0" w:after="283"/>
              <w:jc w:val="right"/>
              <w:rPr/>
            </w:pPr>
            <w:r>
              <w:rPr/>
              <w:t>136,512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886" w:type="dxa"/>
            <w:tcBorders/>
            <w:shd w:fill="CCEEFF" w:val="clear"/>
            <w:vAlign w:val="center"/>
          </w:tcPr>
          <w:p>
            <w:pPr>
              <w:pStyle w:val="TableContents"/>
              <w:spacing w:before="0" w:after="283"/>
              <w:jc w:val="right"/>
              <w:rPr/>
            </w:pPr>
            <w:r>
              <w:rPr/>
              <w:t>228,512</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2059" w:type="dxa"/>
            <w:tcBorders/>
            <w:shd w:fill="auto" w:val="clear"/>
            <w:vAlign w:val="center"/>
          </w:tcPr>
          <w:p>
            <w:pPr>
              <w:pStyle w:val="TableContents"/>
              <w:spacing w:before="0" w:after="0"/>
              <w:jc w:val="left"/>
              <w:rPr>
                <w:spacing w:val="4"/>
              </w:rPr>
            </w:pPr>
            <w:r>
              <w:rPr>
                <w:spacing w:val="4"/>
              </w:rPr>
              <w:t xml:space="preserve">Liane J. Pelletier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4" w:type="dxa"/>
            <w:tcBorders/>
            <w:shd w:fill="auto" w:val="clear"/>
            <w:vAlign w:val="center"/>
          </w:tcPr>
          <w:p>
            <w:pPr>
              <w:pStyle w:val="TableContents"/>
              <w:spacing w:before="0" w:after="283"/>
              <w:rPr/>
            </w:pPr>
            <w:r>
              <w:rPr/>
              <w:t>​</w:t>
            </w:r>
          </w:p>
        </w:tc>
        <w:tc>
          <w:tcPr>
            <w:tcW w:w="114" w:type="dxa"/>
            <w:tcBorders/>
            <w:shd w:fill="auto" w:val="clear"/>
            <w:vAlign w:val="center"/>
          </w:tcPr>
          <w:p>
            <w:pPr>
              <w:pStyle w:val="TableContents"/>
              <w:spacing w:before="0" w:after="283"/>
              <w:jc w:val="right"/>
              <w:rPr/>
            </w:pPr>
            <w:r>
              <w:rPr/>
              <w:t>​</w:t>
            </w:r>
          </w:p>
        </w:tc>
        <w:tc>
          <w:tcPr>
            <w:tcW w:w="1219" w:type="dxa"/>
            <w:tcBorders/>
            <w:shd w:fill="auto" w:val="clear"/>
            <w:vAlign w:val="center"/>
          </w:tcPr>
          <w:p>
            <w:pPr>
              <w:pStyle w:val="TableContents"/>
              <w:spacing w:before="0" w:after="283"/>
              <w:jc w:val="right"/>
              <w:rPr/>
            </w:pPr>
            <w:r>
              <w:rPr/>
              <w:t>61,500</w:t>
            </w:r>
          </w:p>
        </w:tc>
        <w:tc>
          <w:tcPr>
            <w:tcW w:w="11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60" w:type="dxa"/>
            <w:tcBorders/>
            <w:shd w:fill="auto" w:val="clear"/>
            <w:vAlign w:val="center"/>
          </w:tcPr>
          <w:p>
            <w:pPr>
              <w:pStyle w:val="TableContents"/>
              <w:spacing w:before="0" w:after="283"/>
              <w:jc w:val="right"/>
              <w:rPr/>
            </w:pPr>
            <w:r>
              <w:rPr/>
              <w:t>136,512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198,012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the grant date fair value calculated in accordance with FASB ASC Topic 718, of awards granted pursuant to our Non-Employee Directors Compensation Policy and our 2008 Plan. Actual shares issued based on the average closing price for the Company’s common stock for the 20 trading days up to and including June 7, 2022. This had the effect of making the dollar value of the stock award higher than the $130,000 retainer as described below. </w:t>
      </w:r>
      <w:r>
        <mc:AlternateContent>
          <mc:Choice Requires="wps">
            <w:drawing>
              <wp:anchor behindDoc="0" distT="10160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largest"/>
                <wp:docPr id="188" name="Frame1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 paid for Dr. Bulkin’s service as shareholder director of the Company’s minority investment in a renewable energy business operating under the “Vibrant” name in India. </w:t>
      </w:r>
      <w:r>
        <mc:AlternateContent>
          <mc:Choice Requires="wps">
            <w:drawing>
              <wp:anchor behindDoc="0" distT="508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largest"/>
                <wp:docPr id="189" name="Frame1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$11,644 in amounts paid to Ms. Henry for her services as a director from March 14, 2022 to her election as director effective June 7, 2022. </w:t>
      </w:r>
      <w:r>
        <mc:AlternateContent>
          <mc:Choice Requires="wps">
            <w:drawing>
              <wp:anchor behindDoc="0" distT="5080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largest"/>
                <wp:docPr id="190" name="Frame18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$29,351 in stock awarded to Ms. Henry for her services as a director from March 14, 2022 until June 7, 2022. </w:t>
      </w:r>
      <w:r>
        <mc:AlternateContent>
          <mc:Choice Requires="wps">
            <w:drawing>
              <wp:anchor behindDoc="0" distT="5080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largest"/>
                <wp:docPr id="191" name="Frame18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Retainers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fiscal year ended December 31, 2022, our non-employee directors received an annual retainer of $180,000 (consisting of $50,000 in cash and $130,000 in stock). After noting the fairly wide swings in share prices that can occur in the weeks leading up to the equity award determination, the Compensation Committee determined the number of shares to award each non-employee director by reference to the average closing price for the Company’s common stock for the 20 trading days up to and including June 7, 2022. The Compensation Committee believes that this practice is a fair approach to deal with the positive or negative impact of short term movements in the Company’s share price. In addition to these retainers, our Lead Independent Director also receives an additional annual cash retainer of $25,000 and members of Committees of our Board received additional annual cash payments as follows: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11" w:type="dxa"/>
        <w:jc w:val="left"/>
        <w:tblInd w:w="1393" w:type="dxa"/>
        <w:tblCellMar>
          <w:top w:w="0" w:type="dxa"/>
          <w:left w:w="0" w:type="dxa"/>
          <w:bottom w:w="28" w:type="dxa"/>
          <w:right w:w="0" w:type="dxa"/>
        </w:tblCellMar>
      </w:tblPr>
      <w:tblGrid>
        <w:gridCol w:w="4043"/>
        <w:gridCol w:w="109"/>
        <w:gridCol w:w="109"/>
        <w:gridCol w:w="115"/>
        <w:gridCol w:w="240"/>
        <w:gridCol w:w="813"/>
        <w:gridCol w:w="115"/>
        <w:gridCol w:w="115"/>
        <w:gridCol w:w="115"/>
        <w:gridCol w:w="115"/>
        <w:gridCol w:w="240"/>
        <w:gridCol w:w="813"/>
        <w:gridCol w:w="115"/>
        <w:gridCol w:w="154"/>
      </w:tblGrid>
      <w:tr>
        <w:trPr/>
        <w:tc>
          <w:tcPr>
            <w:tcW w:w="404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796"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Fees Earned or Paid in Cash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043" w:type="dxa"/>
            <w:tcBorders/>
            <w:shd w:fill="auto" w:val="clear"/>
            <w:tcMar>
              <w:bottom w:w="0" w:type="dxa"/>
            </w:tcMar>
            <w:vAlign w:val="center"/>
          </w:tcPr>
          <w:p>
            <w:pPr>
              <w:pStyle w:val="TableContents"/>
              <w:spacing w:before="0" w:after="0"/>
              <w:jc w:val="left"/>
              <w:rPr>
                <w:spacing w:val="-3"/>
                <w:bdr w:val="single" w:sz="2" w:space="1" w:color="000000"/>
              </w:rPr>
            </w:pPr>
            <w:r>
              <w:rPr>
                <w:spacing w:val="-3"/>
                <w:bdr w:val="single" w:sz="2" w:space="1" w:color="000000"/>
              </w:rPr>
              <w:t xml:space="preserve">Committee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3" w:type="dxa"/>
            <w:gridSpan w:val="4"/>
            <w:tcBorders/>
            <w:shd w:fill="auto" w:val="clear"/>
            <w:tcMar>
              <w:bottom w:w="0" w:type="dxa"/>
            </w:tcMar>
            <w:vAlign w:val="center"/>
          </w:tcPr>
          <w:p>
            <w:pPr>
              <w:pStyle w:val="TableContents"/>
              <w:spacing w:before="0" w:after="0"/>
              <w:jc w:val="center"/>
              <w:rPr>
                <w:spacing w:val="-3"/>
                <w:bdr w:val="single" w:sz="2" w:space="1" w:color="000000"/>
              </w:rPr>
            </w:pPr>
            <w:r>
              <w:rPr>
                <w:spacing w:val="-3"/>
                <w:bdr w:val="single" w:sz="2" w:space="1" w:color="000000"/>
              </w:rPr>
              <w:t xml:space="preserve">Chair </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283" w:type="dxa"/>
            <w:gridSpan w:val="4"/>
            <w:tcBorders/>
            <w:shd w:fill="auto" w:val="clear"/>
            <w:tcMar>
              <w:bottom w:w="0" w:type="dxa"/>
            </w:tcMar>
            <w:vAlign w:val="center"/>
          </w:tcPr>
          <w:p>
            <w:pPr>
              <w:pStyle w:val="TableContents"/>
              <w:spacing w:before="0" w:after="0"/>
              <w:jc w:val="center"/>
              <w:rPr>
                <w:spacing w:val="-3"/>
                <w:bdr w:val="single" w:sz="2" w:space="1" w:color="000000"/>
              </w:rPr>
            </w:pPr>
            <w:r>
              <w:rPr>
                <w:spacing w:val="-3"/>
                <w:bdr w:val="single" w:sz="2" w:space="1" w:color="000000"/>
              </w:rPr>
              <w:t xml:space="preserve">Members </w:t>
            </w:r>
          </w:p>
        </w:tc>
        <w:tc>
          <w:tcPr>
            <w:tcW w:w="154" w:type="dxa"/>
            <w:tcBorders/>
            <w:shd w:fill="auto" w:val="clear"/>
            <w:tcMar>
              <w:bottom w:w="0" w:type="dxa"/>
            </w:tcMar>
            <w:vAlign w:val="center"/>
          </w:tcPr>
          <w:p>
            <w:pPr>
              <w:pStyle w:val="TableContents"/>
              <w:spacing w:before="0" w:after="283"/>
              <w:rPr/>
            </w:pPr>
            <w:r>
              <w:rPr/>
              <w:t>​</w:t>
            </w:r>
          </w:p>
        </w:tc>
      </w:tr>
      <w:tr>
        <w:trPr/>
        <w:tc>
          <w:tcPr>
            <w:tcW w:w="4043" w:type="dxa"/>
            <w:tcBorders/>
            <w:shd w:fill="CCEEFF" w:val="clear"/>
            <w:tcMar>
              <w:bottom w:w="0" w:type="dxa"/>
            </w:tcMar>
            <w:vAlign w:val="center"/>
          </w:tcPr>
          <w:p>
            <w:pPr>
              <w:pStyle w:val="TableContents"/>
              <w:spacing w:before="0" w:after="0"/>
              <w:jc w:val="left"/>
              <w:rPr>
                <w:spacing w:val="4"/>
              </w:rPr>
            </w:pPr>
            <w:r>
              <w:rPr>
                <w:spacing w:val="4"/>
              </w:rPr>
              <w:t xml:space="preserve">Audit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40" w:type="dxa"/>
            <w:tcBorders/>
            <w:shd w:fill="CCEEFF" w:val="clear"/>
            <w:tcMar>
              <w:bottom w:w="0" w:type="dxa"/>
            </w:tcMar>
            <w:vAlign w:val="center"/>
          </w:tcPr>
          <w:p>
            <w:pPr>
              <w:pStyle w:val="TableContents"/>
              <w:spacing w:before="0" w:after="283"/>
              <w:jc w:val="right"/>
              <w:rPr/>
            </w:pPr>
            <w:r>
              <w:rPr/>
              <w:t>$</w:t>
            </w:r>
          </w:p>
        </w:tc>
        <w:tc>
          <w:tcPr>
            <w:tcW w:w="813" w:type="dxa"/>
            <w:tcBorders/>
            <w:shd w:fill="CCEEFF" w:val="clear"/>
            <w:tcMar>
              <w:bottom w:w="0" w:type="dxa"/>
            </w:tcMar>
            <w:vAlign w:val="center"/>
          </w:tcPr>
          <w:p>
            <w:pPr>
              <w:pStyle w:val="TableContents"/>
              <w:spacing w:before="0" w:after="283"/>
              <w:jc w:val="right"/>
              <w:rPr/>
            </w:pPr>
            <w:r>
              <w:rPr/>
              <w:t>23,000</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40" w:type="dxa"/>
            <w:tcBorders/>
            <w:shd w:fill="CCEEFF" w:val="clear"/>
            <w:tcMar>
              <w:bottom w:w="0" w:type="dxa"/>
            </w:tcMar>
            <w:vAlign w:val="center"/>
          </w:tcPr>
          <w:p>
            <w:pPr>
              <w:pStyle w:val="TableContents"/>
              <w:spacing w:before="0" w:after="283"/>
              <w:jc w:val="right"/>
              <w:rPr/>
            </w:pPr>
            <w:r>
              <w:rPr/>
              <w:t>$</w:t>
            </w:r>
          </w:p>
        </w:tc>
        <w:tc>
          <w:tcPr>
            <w:tcW w:w="813" w:type="dxa"/>
            <w:tcBorders/>
            <w:shd w:fill="CCEEFF" w:val="clear"/>
            <w:tcMar>
              <w:bottom w:w="0" w:type="dxa"/>
            </w:tcMar>
            <w:vAlign w:val="center"/>
          </w:tcPr>
          <w:p>
            <w:pPr>
              <w:pStyle w:val="TableContents"/>
              <w:spacing w:before="0" w:after="283"/>
              <w:jc w:val="right"/>
              <w:rPr/>
            </w:pPr>
            <w:r>
              <w:rPr/>
              <w:t>10,000</w:t>
            </w:r>
          </w:p>
        </w:tc>
        <w:tc>
          <w:tcPr>
            <w:tcW w:w="11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43" w:type="dxa"/>
            <w:tcBorders/>
            <w:shd w:fill="auto" w:val="clear"/>
            <w:tcMar>
              <w:bottom w:w="0" w:type="dxa"/>
            </w:tcMar>
            <w:vAlign w:val="center"/>
          </w:tcPr>
          <w:p>
            <w:pPr>
              <w:pStyle w:val="TableContents"/>
              <w:spacing w:before="0" w:after="0"/>
              <w:jc w:val="left"/>
              <w:rPr>
                <w:spacing w:val="4"/>
              </w:rPr>
            </w:pPr>
            <w:r>
              <w:rPr>
                <w:spacing w:val="4"/>
              </w:rPr>
              <w:t xml:space="preserve">Compensation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40" w:type="dxa"/>
            <w:tcBorders/>
            <w:shd w:fill="auto" w:val="clear"/>
            <w:tcMar>
              <w:bottom w:w="0" w:type="dxa"/>
            </w:tcMar>
            <w:vAlign w:val="center"/>
          </w:tcPr>
          <w:p>
            <w:pPr>
              <w:pStyle w:val="TableContents"/>
              <w:spacing w:before="0" w:after="283"/>
              <w:jc w:val="right"/>
              <w:rPr/>
            </w:pPr>
            <w:r>
              <w:rPr/>
              <w:t>$</w:t>
            </w:r>
          </w:p>
        </w:tc>
        <w:tc>
          <w:tcPr>
            <w:tcW w:w="813" w:type="dxa"/>
            <w:tcBorders/>
            <w:shd w:fill="auto" w:val="clear"/>
            <w:tcMar>
              <w:bottom w:w="0" w:type="dxa"/>
            </w:tcMar>
            <w:vAlign w:val="center"/>
          </w:tcPr>
          <w:p>
            <w:pPr>
              <w:pStyle w:val="TableContents"/>
              <w:spacing w:before="0" w:after="283"/>
              <w:jc w:val="right"/>
              <w:rPr/>
            </w:pPr>
            <w:r>
              <w:rPr/>
              <w:t>15,000</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40" w:type="dxa"/>
            <w:tcBorders/>
            <w:shd w:fill="auto" w:val="clear"/>
            <w:tcMar>
              <w:bottom w:w="0" w:type="dxa"/>
            </w:tcMar>
            <w:vAlign w:val="center"/>
          </w:tcPr>
          <w:p>
            <w:pPr>
              <w:pStyle w:val="TableContents"/>
              <w:spacing w:before="0" w:after="283"/>
              <w:jc w:val="right"/>
              <w:rPr/>
            </w:pPr>
            <w:r>
              <w:rPr/>
              <w:t>$</w:t>
            </w:r>
          </w:p>
        </w:tc>
        <w:tc>
          <w:tcPr>
            <w:tcW w:w="813" w:type="dxa"/>
            <w:tcBorders/>
            <w:shd w:fill="auto" w:val="clear"/>
            <w:tcMar>
              <w:bottom w:w="0" w:type="dxa"/>
            </w:tcMar>
            <w:vAlign w:val="center"/>
          </w:tcPr>
          <w:p>
            <w:pPr>
              <w:pStyle w:val="TableContents"/>
              <w:spacing w:before="0" w:after="283"/>
              <w:jc w:val="right"/>
              <w:rPr/>
            </w:pPr>
            <w:r>
              <w:rPr/>
              <w:t>7,500</w:t>
            </w:r>
          </w:p>
        </w:tc>
        <w:tc>
          <w:tcPr>
            <w:tcW w:w="11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43" w:type="dxa"/>
            <w:tcBorders/>
            <w:shd w:fill="CCEEFF" w:val="clear"/>
            <w:tcMar>
              <w:bottom w:w="0" w:type="dxa"/>
            </w:tcMar>
            <w:vAlign w:val="center"/>
          </w:tcPr>
          <w:p>
            <w:pPr>
              <w:pStyle w:val="TableContents"/>
              <w:spacing w:before="0" w:after="0"/>
              <w:jc w:val="left"/>
              <w:rPr>
                <w:spacing w:val="4"/>
              </w:rPr>
            </w:pPr>
            <w:r>
              <w:rPr>
                <w:spacing w:val="4"/>
              </w:rPr>
              <w:t xml:space="preserve">Investment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40" w:type="dxa"/>
            <w:tcBorders/>
            <w:shd w:fill="CCEEFF" w:val="clear"/>
            <w:tcMar>
              <w:bottom w:w="0" w:type="dxa"/>
            </w:tcMar>
            <w:vAlign w:val="center"/>
          </w:tcPr>
          <w:p>
            <w:pPr>
              <w:pStyle w:val="TableContents"/>
              <w:spacing w:before="0" w:after="283"/>
              <w:jc w:val="right"/>
              <w:rPr/>
            </w:pPr>
            <w:r>
              <w:rPr/>
              <w:t>$</w:t>
            </w:r>
          </w:p>
        </w:tc>
        <w:tc>
          <w:tcPr>
            <w:tcW w:w="813" w:type="dxa"/>
            <w:tcBorders/>
            <w:shd w:fill="CCEEFF" w:val="clear"/>
            <w:tcMar>
              <w:bottom w:w="0" w:type="dxa"/>
            </w:tcMar>
            <w:vAlign w:val="center"/>
          </w:tcPr>
          <w:p>
            <w:pPr>
              <w:pStyle w:val="TableContents"/>
              <w:spacing w:before="0" w:after="283"/>
              <w:jc w:val="right"/>
              <w:rPr/>
            </w:pPr>
            <w:r>
              <w:rPr/>
              <w:t>15,000</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40" w:type="dxa"/>
            <w:tcBorders/>
            <w:shd w:fill="CCEEFF" w:val="clear"/>
            <w:tcMar>
              <w:bottom w:w="0" w:type="dxa"/>
            </w:tcMar>
            <w:vAlign w:val="center"/>
          </w:tcPr>
          <w:p>
            <w:pPr>
              <w:pStyle w:val="TableContents"/>
              <w:spacing w:before="0" w:after="283"/>
              <w:jc w:val="right"/>
              <w:rPr/>
            </w:pPr>
            <w:r>
              <w:rPr/>
              <w:t>$</w:t>
            </w:r>
          </w:p>
        </w:tc>
        <w:tc>
          <w:tcPr>
            <w:tcW w:w="813" w:type="dxa"/>
            <w:tcBorders/>
            <w:shd w:fill="CCEEFF" w:val="clear"/>
            <w:tcMar>
              <w:bottom w:w="0" w:type="dxa"/>
            </w:tcMar>
            <w:vAlign w:val="center"/>
          </w:tcPr>
          <w:p>
            <w:pPr>
              <w:pStyle w:val="TableContents"/>
              <w:spacing w:before="0" w:after="283"/>
              <w:jc w:val="right"/>
              <w:rPr/>
            </w:pPr>
            <w:r>
              <w:rPr/>
              <w:t>10,000</w:t>
            </w:r>
          </w:p>
        </w:tc>
        <w:tc>
          <w:tcPr>
            <w:tcW w:w="11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43" w:type="dxa"/>
            <w:tcBorders/>
            <w:shd w:fill="auto" w:val="clear"/>
            <w:tcMar>
              <w:bottom w:w="0" w:type="dxa"/>
            </w:tcMar>
            <w:vAlign w:val="center"/>
          </w:tcPr>
          <w:p>
            <w:pPr>
              <w:pStyle w:val="TableContents"/>
              <w:spacing w:before="0" w:after="0"/>
              <w:jc w:val="left"/>
              <w:rPr>
                <w:spacing w:val="4"/>
              </w:rPr>
            </w:pPr>
            <w:r>
              <w:rPr>
                <w:spacing w:val="4"/>
              </w:rPr>
              <w:t xml:space="preserve">Nominating and Corporate Governance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40" w:type="dxa"/>
            <w:tcBorders/>
            <w:shd w:fill="auto" w:val="clear"/>
            <w:tcMar>
              <w:bottom w:w="0" w:type="dxa"/>
            </w:tcMar>
            <w:vAlign w:val="center"/>
          </w:tcPr>
          <w:p>
            <w:pPr>
              <w:pStyle w:val="TableContents"/>
              <w:spacing w:before="0" w:after="283"/>
              <w:jc w:val="right"/>
              <w:rPr/>
            </w:pPr>
            <w:r>
              <w:rPr/>
              <w:t>$</w:t>
            </w:r>
          </w:p>
        </w:tc>
        <w:tc>
          <w:tcPr>
            <w:tcW w:w="813" w:type="dxa"/>
            <w:tcBorders/>
            <w:shd w:fill="auto" w:val="clear"/>
            <w:tcMar>
              <w:bottom w:w="0" w:type="dxa"/>
            </w:tcMar>
            <w:vAlign w:val="center"/>
          </w:tcPr>
          <w:p>
            <w:pPr>
              <w:pStyle w:val="TableContents"/>
              <w:spacing w:before="0" w:after="283"/>
              <w:jc w:val="right"/>
              <w:rPr/>
            </w:pPr>
            <w:r>
              <w:rPr/>
              <w:t>10,000</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40" w:type="dxa"/>
            <w:tcBorders/>
            <w:shd w:fill="auto" w:val="clear"/>
            <w:tcMar>
              <w:bottom w:w="0" w:type="dxa"/>
            </w:tcMar>
            <w:vAlign w:val="center"/>
          </w:tcPr>
          <w:p>
            <w:pPr>
              <w:pStyle w:val="TableContents"/>
              <w:spacing w:before="0" w:after="283"/>
              <w:jc w:val="right"/>
              <w:rPr/>
            </w:pPr>
            <w:r>
              <w:rPr/>
              <w:t>$</w:t>
            </w:r>
          </w:p>
        </w:tc>
        <w:tc>
          <w:tcPr>
            <w:tcW w:w="813" w:type="dxa"/>
            <w:tcBorders/>
            <w:shd w:fill="auto" w:val="clear"/>
            <w:tcMar>
              <w:bottom w:w="0" w:type="dxa"/>
            </w:tcMar>
            <w:vAlign w:val="center"/>
          </w:tcPr>
          <w:p>
            <w:pPr>
              <w:pStyle w:val="TableContents"/>
              <w:spacing w:before="0" w:after="283"/>
              <w:jc w:val="right"/>
              <w:rPr/>
            </w:pPr>
            <w:r>
              <w:rPr/>
              <w:t>4,000</w:t>
            </w:r>
          </w:p>
        </w:tc>
        <w:tc>
          <w:tcPr>
            <w:tcW w:w="11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RPT"/>
      <w:bookmarkEnd w:id="61"/>
      <w:r>
        <w:rPr>
          <w:rFonts w:ascii="calibri;arial;sans-serif" w:hAnsi="calibri;arial;sans-serif"/>
          <w:b w:val="false"/>
          <w:i w:val="false"/>
          <w:caps w:val="false"/>
          <w:smallCaps w:val="false"/>
          <w:color w:val="000000"/>
          <w:sz w:val="16"/>
        </w:rPr>
        <w:t>​</w:t>
      </w:r>
      <w:bookmarkStart w:id="62" w:name="tPORP"/>
      <w:bookmarkEnd w:id="6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PERSON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Related Person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did not have any related person transactions requiring disclosure under Regulation S-K Item 404 in 2022.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ADIN"/>
      <w:bookmarkEnd w:id="63"/>
      <w:r>
        <w:rPr>
          <w:rFonts w:ascii="calibri;arial;sans-serif" w:hAnsi="calibri;arial;sans-serif"/>
          <w:b w:val="false"/>
          <w:i w:val="false"/>
          <w:caps w:val="false"/>
          <w:smallCaps w:val="false"/>
          <w:color w:val="000000"/>
          <w:sz w:val="16"/>
        </w:rPr>
        <w:t>​</w:t>
      </w:r>
      <w:bookmarkStart w:id="64" w:name="tENVSO"/>
      <w:bookmarkEnd w:id="6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Environmental, Social and Governance Business Integration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imbedding our Environmental, Social and Governance (“ESG”) objectives in our business fundamentals and strategies and believe they are built on a strong foundation of transparency and ethics. Our resolve to manage ESG commitments starts with our Board and flows down to executive leadership through to our subsidiaries. We have always paid attention to principles of good governance, corporate citizenship, and environmental stewardship. We believe that strong management of these aspects are all critical to the long-term success of the Company.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Oversight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oversight for our ESG strategy, including related policies, programs, and reporting matters. The full Board engages in the impacts of our human capital management strategy, focusing on areas such as corporate culture and employee engagement. Our Audit Committee oversees the Company’s progress on its objectives regarding environmental management, our Nominating and Corporate Governance Committee oversees the Company’s process on its objectives with respect to corporate social responsibility and governance and our Compensation Committee oversees the Company’s progress on its objectives with respect to human capital management.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Oversight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advancing our ESG commitment starts at the top with our senior management and cascades to our entire organization. To that effect, we have formed an internal Sustainability Council comprised of a diverse slate of representatives from all our locations and subsidiaries. The Sustainability Council’s mandate is to drive change within our organizations by identifying local opportunities and establishing metrics to measure our progress. The council also assists in the communication of ESG messaging within our organization.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Anti-Bribery and Anti-Corruption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Counsel provides oversight of compliance and ethics controls, training, and risk assessments and is responsible for our corporate compliance program, which promotes an ethical culture that is compliant with laws, regulations and policies. Our General Counsel reports quarterly on inquiries to our ethics hotline and regularly to the Audit Committee with respect to compliance and ethics-related trends, risks, and action plans.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Network and Data Security and Privacy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Network and data security is crucial to our mission of delivering connectivity services that both our retail and enterprise customers can trust. Our IT department has developed the Company’s cybersecurity program based on NIST standards, with the oversight of our Audit Committee with respect to the Company’s risk management strategy. Both our IT department and our General Counsel regularly report on data security-related industry trends and developments, and have undertaken compliance with local and state privacy regulations in the markets in which we operate.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Human Capital</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recognize that the first step of our community support efforts rests in the investment we make in one of our most valuable assets, our human capital. We seek to promote diversity, equity and inclusion across our workforce, and work to position all employees to succeed. Our annual employee engagement survey provides employees with the opportunity to share confidential feedback and this information drives our long-term plans to improve our work culture. Focus areas for engagement include skills development, and manager performance.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working diligently to improve the way technology is used in the diverse communities we serve. We believe a critical element of our success is our local management and staff who are a reflection of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diverse talent available in the communities that we serve. Across our core businesses in all our markets, approximately 40% of senior management and an additional 40% of middle management are women.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Digital Divide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aspire to make a positive impact by enriching lives in remote and underserved areas through reliable and affordable connectivity to promote remote work, learning and commerce opportunities. We acknowledge the hardships facing these communities and we have increased our efforts to provide connectivity in these challenging areas and support their forward growth. Our Alaska Communications subsidiary has expanded broadband service connecting tens of thousands of underserved locations in some of the most remote areas, providing access to telemedicine, and economic and education opportunities. Our Commnet and NTUA Wireless subsidiaries are working on numerous projects, many of which are partially funded by government grants, to bring fiber into underserved communities including tribal lands and other rural and remote areas. We are doing the same internationally by rapidly deploying fiber and other high-speed solutions to connect homes, businesses, schools, and towers in places like Guyana and the Cayman Islands.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on our philanthropic and community support initiatives can be found on our website under our corporate responsibility page.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Supply Chain Management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procurement organization is responsible for negotiating and contracting for products and services and is a strategic component of our business. We expect supplier business operations to be conducted in compliance with our Human Rights and Labor Rights and Equal Opportunity Employment, Harassment and Anti-Discrimination policies.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ESG Reporting</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endeavor to provide comprehensive ESG disclosure, starting with the industry-specific Sustainability Accounting Standards Board (SASB) framework. We intend to use our website as a platform to release these disclosures, and continued updates can be located on our website.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Environmental Impact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Mitigating Climate Change Impacts to our Businesses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recognize our responsibility to preserve and protect the environment and are aware of the risks related to global climate change and their impacts on our business continuity.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Chief Operating Officer and each subsidiary chief executive officers have responsibility for their disaster preparedness plans for their specific local risks, including climate-related risks. We have invested in hardening our network assets against major storms, including undergrounding where possible, using composite rather than wooden poles to withstand high wind speeds and reducing the weight of our network spans so they are less susceptible to storm damage. We have detailed protocols to protect our network assets during forecasted storms which include plans to return communication services post storm. In Bermuda and the Cayman Islands, we are investing in network monitoring and hardening the physical plant to lessen the potential impact of future storms. In Guyana, which is outside the historic hurricane zone, we monitor the integrity of the seawall protecting the city of Georgetown from rising sea levels that can in turn impact our communications networks.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continue to monitor the impact that environmental related events may have on our businesses, we are conscious of the impact that our business may have, in turn, on the environment. Our services enable remote work, tele-health, and remote learning by delivering high speed data connectivity to consumers, businesses and government entities often in remote and historically underserved markets. As was made even clearer during the pandemic, these connections and services both bring much-needed connectivity to communities while also greatly reducing the need for travel. Increasingly, we are providing solutions that further this impact such as managed network services that help enterprise customers remove power dependent local equipment and reduce the need for travel to other locations.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PF2"/>
      <w:bookmarkEnd w:id="65"/>
      <w:r>
        <w:rPr>
          <w:rFonts w:ascii="calibri;arial;sans-serif" w:hAnsi="calibri;arial;sans-serif"/>
          <w:b w:val="false"/>
          <w:i w:val="false"/>
          <w:caps w:val="false"/>
          <w:smallCaps w:val="false"/>
          <w:color w:val="000000"/>
          <w:sz w:val="16"/>
        </w:rPr>
        <w:t>​</w:t>
      </w:r>
      <w:bookmarkStart w:id="66" w:name="tHOAM"/>
      <w:bookmarkEnd w:id="66"/>
      <w:r>
        <w:rPr>
          <w:rFonts w:ascii="calibri;arial;sans-serif" w:hAnsi="calibri;arial;sans-serif"/>
          <w:b w:val="false"/>
          <w:i w:val="false"/>
          <w:caps w:val="false"/>
          <w:smallCaps w:val="false"/>
          <w:color w:val="000000"/>
          <w:sz w:val="16"/>
        </w:rPr>
        <w:t>​</w:t>
      </w:r>
      <w:bookmarkStart w:id="67" w:name="tARAO"/>
      <w:bookmarkEnd w:id="6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working on ways to minimize the environmental impact from our operations, such as reducing materials waste generated by our operations, recycling and improving automation that will reduce truck rolls needed to support customers, maintain networks and develop our business. While we cannot eliminate these impacts entirely, we continue to deploy measures in an effort to reduce impacts and, in many cases, those same measures may provide economic benefits to our business. For example, we have launched recycling initiatives in our offices and field facilities, and are exploring opportunities to expand those programs, particularly the recycling of work materials like metals, rubber and plastics.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Energy usage in our network and computing equipment is another important area we have targeted for further improvement. In recent years, we have accelerated the replacement of older network equipment which has greatly reduced our power demands and the lower costs and improved quality of service has made those good financial investments as well. We now routinely include power usage in our analysis of new systems and equipment and factor savings into the timing of upgrades and replacements.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   Upcycling and Reuse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consequences of e-waste disposal pose a serious threat to the environment. The negative effects extend from the soil to water resources and the air we breathe. To help combat the accumulation of landfill waste, we invested in 2021 in an e-device repair company to repurpose broken mobile devices in Bermuda. Based on the success of this program, we are seeking to expand our device repair services to encourage the re-use of handheld devices by many of our operations in the Caribbean.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Rights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in respect for human rights as a foundational principle. As an international telecommunications service provider, we strive to respect and promote human rights in all the markets in which we do business. Our Human and Labor Rights Policy is guided by the international human rights principles encompassed by The International Bill of Human Rights and the International Labor Organization’s 1998 Declaration on Fundamental Principles and Rights at Work. This policy applies to all entities that we own or in which we hold a majority interest.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2024 Annual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suggestions from stockholders are given careful attention. Proposals intended for consideration at next year’s annual meeting of stockholders, including proposals for director nominee candidates, should be sent to ATN International, Inc.; Attn: Secretary, 500 Cummings Center, Suite 2450, Beverly, MA 01915. To be considered for inclusion in our proxy materials for that meeting pursuant to Rule 14a-8 of the Exchange Act, such proposals must be received by us by December 30, 2023, and must comply with certain rules and regulations promulgated by the SEC. A stockholder who wishes to make a proposal at the 2024 annual meeting, but does not wish to have the proposal included in the proxy statement for that meeting, must give notice of the proposal to us no later than March 14, 2024, in order for the notice to be considered timely under Rule 14a-4(c)(1) of the Exchange Act.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Annual Meeting Materials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 and Other SEC Filings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on Form 10-K, Quarterly Reports on Form 10-Q and Current Reports on Form 8-K are available on our website at https://ir.atni.com/. These filings and other SEC filings, including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4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Proxy Statement, are also available on the SEC’s website at www.sec.gov. This Proxy Statement, our Annual Letter to Stockholders and Annual Report on Form 10-K for the fiscal year ended December 31, 2022, and a letter from our Chairman and Chief Executive Officer are also available for viewing, printing and downloading at www.proxyvote.com. To view these materials, please have your control number(s) available that appear on your proxy card.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copy of these filings, including our Annual Letter to Stockholders and our Annual Report on Form 10-K for the fiscal year ended December 31, 2022 (excluding exhibits), may be obtained, at no cost, by writing to ATN International, Inc., Attn: Secretary, 500 Cummings Center, Suite 2450, Beverly, MA 01915.</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Letter to Stockholders, which is being mailed to stockholders with this Proxy Statement, is not incorporated into this Proxy Statement and is not deemed to be part of the proxy soliciting material. </w:t>
      </w:r>
    </w:p>
    <w:p>
      <w:pPr>
        <w:pStyle w:val="TextBody"/>
        <w:spacing w:lineRule="atLeast" w:line="240" w:before="24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Mary M. Mabey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w:t>
        <w:br/>
        <w:t>April 27, 2023</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ANA"/>
      <w:bookmarkEnd w:id="6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w:t>
      </w:r>
      <w:r>
        <w:rPr>
          <w:rFonts w:ascii="Times New Roman;Times;serif" w:hAnsi="Times New Roman;Times;serif"/>
          <w:b w:val="false"/>
          <w:i w:val="false"/>
          <w:caps w:val="false"/>
          <w:smallCaps w:val="false"/>
          <w:color w:val="000000"/>
          <w:sz w:val="20"/>
        </w:rPr>
        <w:t>​</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ATN INTERNATIONAL, INC.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2023 EQUITY INCENTIVE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   Effectiveness and Purpose.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as of the Effective Date, the ATN International, Inc. 2023 Equity Incentive Plan (as may be amended from time to time, the “</w:t>
      </w:r>
      <w:r>
        <w:rPr>
          <w:rFonts w:ascii="Times New Roman;Times;serif" w:hAnsi="Times New Roman;Times;serif"/>
          <w:b/>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is hereby established.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Plan is to provide employees of ATN International, Inc., a Delaware corporation (together with its successors, the “</w:t>
      </w:r>
      <w:r>
        <w:rPr>
          <w:rFonts w:ascii="Times New Roman;Times;serif" w:hAnsi="Times New Roman;Times;serif"/>
          <w:b/>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and its subsidiaries, certain consultants and advisers who perform services for the Company or its subsidiaries, and non-employee members of the Board of Directors of the Company, with the opportunity to receive grants of equity awards in the form of incentive stock options, nonqualified stock options, stock appreciation rights, stock awards, stock units, and other stock-based awards. Capitalized terms used in the Plan and not therein defined shall have the meaning assigned to them in Section 2.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the Plan will encourage the participants to contribute materially to the growth of the Company, thereby benefitting the Company’s stockholders, and will align the economic interests of the participants with those of the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is intended to replace the Prior Plan. No additional grants shall be made under the Prior Plan on or after the Effective Date. Outstanding grants under the Prior Plan shall continue in effect according to their terms.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2.   Definitions.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shall have the meanings set forth below for purposes of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when used with reference to any Person, any other Person that directly or indirectly, through one or more intermediaries, controls, is controlled by or is under common control with, or owns greater than fifty percent (50%) of the voting power in, the specified Person (the term “control” for this purpose means the ability, whether by the ownership of shares or other equity interest, by contract or otherwise, to elect a majority of the directors of a corporation, independently to select the managing partner of a partnership or the managing member or the majority of the managers, as applicable, of a limited liability company, or otherwise to have the power independently to remove and then select a majority of those Persons exercising governing authority over an entity, and control shall be conclusively presumed in the case of the direct or indirect ownership of fifty percent (50%) or more of the voting equity interests in the specified Person).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u w:val="single"/>
        </w:rPr>
        <w:t>Award</w:t>
      </w:r>
      <w:r>
        <w:rPr>
          <w:rFonts w:ascii="Times New Roman;Times;serif" w:hAnsi="Times New Roman;Times;serif"/>
          <w:b w:val="false"/>
          <w:i w:val="false"/>
          <w:caps w:val="false"/>
          <w:smallCaps w:val="false"/>
          <w:color w:val="000000"/>
          <w:spacing w:val="4"/>
          <w:sz w:val="20"/>
        </w:rPr>
        <w:t xml:space="preserve">” means an Option, SAR, Stock Award, Stock Unit or Other Stock-Based Award granted under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means the written agreement that sets forth the terms and conditions of an Award, including all amendments thereto.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i w:val="false"/>
          <w:caps w:val="false"/>
          <w:smallCaps w:val="false"/>
          <w:color w:val="000000"/>
          <w:spacing w:val="-4"/>
          <w:sz w:val="20"/>
          <w:u w:val="single"/>
        </w:rPr>
        <w:t>Cause</w:t>
      </w:r>
      <w:r>
        <w:rPr>
          <w:rFonts w:ascii="Times New Roman;Times;serif" w:hAnsi="Times New Roman;Times;serif"/>
          <w:b w:val="false"/>
          <w:i w:val="false"/>
          <w:caps w:val="false"/>
          <w:smallCaps w:val="false"/>
          <w:color w:val="000000"/>
          <w:spacing w:val="4"/>
          <w:sz w:val="20"/>
        </w:rPr>
        <w:t xml:space="preserve">” has the meaning given to that term in any written employment agreement, offer letter or severance agreement between the Employer and the Participant, or if no such agreement exists or if such term is not defined therein, and unless otherwise defined in the Award Agreement, Cause means a finding by the Committee of any of the following (i) a refusal or material failure by the Participant to perform job duties and responsibilities (other than by reason of serious physical or mental illness, injury, or medical condition); (ii) a failure or refusal by the Participant to comply in any material respect with material Company policies or lawful directives of the Board; (iii) a material breach by the Participant of any contract or agreement between the Participant and the Company (including but not limited to this Agreement and any other confidentiality, restrictive covenant, assignment of inventions agreement or similar agreement between the Participant and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material breach of any statutory duty, fiduciary duty or any other obligation that Participant owes to the Company; (iv) a commission by the Participant of an act of fraud, theft, embezzlement or other unlawful act against the Company or involving its property or assets; (v) the Participant’s engagement in unprofessional, unethical or other intentional acts that materially discredit the Company or are materially detrimental to the reputation, character or standing of the Company; or (vi) an indictment or conviction or plea of nolo contendere or guilty plea by the Participant with respect to any felony or crime of moral turpitude.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i w:val="false"/>
          <w:caps w:val="false"/>
          <w:smallCaps w:val="false"/>
          <w:color w:val="000000"/>
          <w:spacing w:val="-4"/>
          <w:sz w:val="20"/>
          <w:u w:val="single"/>
        </w:rPr>
        <w:t>CEO</w:t>
      </w:r>
      <w:r>
        <w:rPr>
          <w:rFonts w:ascii="Times New Roman;Times;serif" w:hAnsi="Times New Roman;Times;serif"/>
          <w:b w:val="false"/>
          <w:i w:val="false"/>
          <w:caps w:val="false"/>
          <w:smallCaps w:val="false"/>
          <w:color w:val="000000"/>
          <w:spacing w:val="4"/>
          <w:sz w:val="20"/>
        </w:rPr>
        <w:t xml:space="preserve">” means the Chief Executive Officer of the Company.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means, unless otherwise set forth in an Award Agreement, the occurrence of any of the following: </w:t>
      </w:r>
    </w:p>
    <w:p>
      <w:pPr>
        <w:pStyle w:val="TextBody"/>
        <w:spacing w:lineRule="atLeast" w:line="230" w:before="160" w:after="283"/>
        <w:ind w:left="21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any person, entity or group (within the meaning of Section 13(2)(3) or 14(d)(2) of the Securities Exchange Act of 1934, as amended) acquires beneficial ownership of securities of the Company representing more than 50% of the combined voting power of the Company’s then outstanding securities other than by virtue of a merger, consolidation or similar transaction;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notwithstanding the foregoing, a Change in Control will not be deemed to occur solely because the level of beneficial ownership held by any such person, entity or group (the “</w:t>
      </w:r>
      <w:r>
        <w:rPr>
          <w:rFonts w:ascii="Times New Roman;Times;serif" w:hAnsi="Times New Roman;Times;serif"/>
          <w:b/>
          <w:i w:val="false"/>
          <w:caps w:val="false"/>
          <w:smallCaps w:val="false"/>
          <w:color w:val="000000"/>
          <w:spacing w:val="-4"/>
          <w:sz w:val="20"/>
          <w:u w:val="single"/>
        </w:rPr>
        <w:t>Subject Person</w:t>
      </w:r>
      <w:r>
        <w:rPr>
          <w:rFonts w:ascii="Times New Roman;Times;serif" w:hAnsi="Times New Roman;Times;serif"/>
          <w:b w:val="false"/>
          <w:i w:val="false"/>
          <w:caps w:val="false"/>
          <w:smallCaps w:val="false"/>
          <w:color w:val="000000"/>
          <w:spacing w:val="4"/>
          <w:sz w:val="20"/>
        </w:rPr>
        <w:t xml:space="preserve">”) exceeds the designated percentage threshold of the outstanding voting securities as a result of a repurchase or other acquisition of voting securities by the Company reducing the number of shares outstanding;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if a Change in Control would occur (but for the operation of this sentence) as a result of the acquisition of voting securities by the Company, and after such share acquisition, the Subject Person becomes the beneficial owner of any additional voting securities that, assuming the repurchase or other acquisition had not occurred, increases the percentage of the then outstanding voting securities beneficially owned by the Subject Person over the designated percentage threshold, then a Change in Control will be deemed to occur; </w:t>
      </w:r>
    </w:p>
    <w:p>
      <w:pPr>
        <w:pStyle w:val="TextBody"/>
        <w:spacing w:lineRule="atLeast" w:line="23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there is consummated a merger, consolidation or similar transaction involving (directly or indirectly) the Company and, immediately after the consummation of such merger, consolidation or similar transaction, the stockholders of the Company immediately prior thereto do not beneficially own,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beneficial ownership of the outstanding voting securities of the Company immediately prior to such transaction;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or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individuals who, on the date of this Agreement, are members of the Board (the “Incumbent Board”) cease, during any 12-month period, for any reason to constitute at least a majority of the members of the Board;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the appointment or election (or nomination for election) of any new Board member was approved or recommended by a majority vote of the members of the Incumbent Board then still in office, such new member will, for purposes of this Agreement, be considered as a member of the Incumbent Board.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modify the definition of Change in Control for a particular Award as the Committee deems appropriate to comply with Section 409A of the Code or otherwise. Notwithstanding the foregoing, if an Award constitutes deferred compensation subject to Section 409A of the Code and the Award provides for payment upon a Change in Control, then, for purposes of such payment provisions, no Change in Control shall be deemed to have occurred upon an event described in items (i)  – (iv) above unless the event would also constitute a change in ownership or effective control of, or a change in the ownership of a substantial portion of the assets of, the Company under Section 409A of the Code.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and the regulations promulgated thereunder.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means the Compensation Committee of the Board or another committee appointed by the Board to administer the Plan. The Committee shall consist of directors who are “non-employee directors” as defined under Rule 16b-3 promulgated under the Exchange Act and “independent directors,” as determined in accordance with the independence standards established by the stock exchange on which the Common Stock is at the time primarily traded.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means common stock, par value $0.01 per share, of the Company, and such other securities as may be substituted for Common Stock pursuant to Section 5(c).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i w:val="false"/>
          <w:caps w:val="false"/>
          <w:smallCaps w:val="false"/>
          <w:color w:val="000000"/>
          <w:spacing w:val="-4"/>
          <w:sz w:val="20"/>
          <w:u w:val="single"/>
        </w:rPr>
        <w:t>Disability</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u w:val="single"/>
        </w:rPr>
        <w:t>Disabled</w:t>
      </w:r>
      <w:r>
        <w:rPr>
          <w:rFonts w:ascii="Times New Roman;Times;serif" w:hAnsi="Times New Roman;Times;serif"/>
          <w:b w:val="false"/>
          <w:i w:val="false"/>
          <w:caps w:val="false"/>
          <w:smallCaps w:val="false"/>
          <w:color w:val="000000"/>
          <w:spacing w:val="4"/>
          <w:sz w:val="20"/>
        </w:rPr>
        <w:t xml:space="preserve">” means, unless otherwise set forth in the Award Agreement, a Participant’s becoming disabled within the meaning of the Employer’s long-term disability plan applicable to the Participant.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i w:val="false"/>
          <w:caps w:val="false"/>
          <w:smallCaps w:val="false"/>
          <w:color w:val="000000"/>
          <w:spacing w:val="-4"/>
          <w:sz w:val="20"/>
          <w:u w:val="single"/>
        </w:rPr>
        <w:t>Dividend Equivalent</w:t>
      </w:r>
      <w:r>
        <w:rPr>
          <w:rFonts w:ascii="Times New Roman;Times;serif" w:hAnsi="Times New Roman;Times;serif"/>
          <w:b w:val="false"/>
          <w:i w:val="false"/>
          <w:caps w:val="false"/>
          <w:smallCaps w:val="false"/>
          <w:color w:val="000000"/>
          <w:spacing w:val="4"/>
          <w:sz w:val="20"/>
        </w:rPr>
        <w:t xml:space="preserve">” means an amount determined by multiplying the number of shares of Common Stock subject to a Stock Unit or Other Stock-Based Award by the per-share cash dividend paid by the Company on its outstanding Common Stock, or the per-share Fair Market Value of any dividend paid on its outstanding Common Stock in consideration other than cash. If interest is credited on accumulated divided equivalents, the term “Dividend Equivalent” shall include the accrued interest.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i w:val="false"/>
          <w:caps w:val="false"/>
          <w:smallCaps w:val="false"/>
          <w:color w:val="000000"/>
          <w:spacing w:val="-4"/>
          <w:sz w:val="20"/>
          <w:u w:val="single"/>
        </w:rPr>
        <w:t>Effective Date</w:t>
      </w:r>
      <w:r>
        <w:rPr>
          <w:rFonts w:ascii="Times New Roman;Times;serif" w:hAnsi="Times New Roman;Times;serif"/>
          <w:b w:val="false"/>
          <w:i w:val="false"/>
          <w:caps w:val="false"/>
          <w:smallCaps w:val="false"/>
          <w:color w:val="000000"/>
          <w:spacing w:val="4"/>
          <w:sz w:val="20"/>
        </w:rPr>
        <w:t xml:space="preserve">” means the date the Plan is approved by the Company’s stockholders.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i w:val="false"/>
          <w:caps w:val="false"/>
          <w:smallCaps w:val="false"/>
          <w:color w:val="000000"/>
          <w:spacing w:val="-4"/>
          <w:sz w:val="20"/>
          <w:u w:val="single"/>
        </w:rPr>
        <w:t>employed by, or providing service to, the Employer</w:t>
      </w:r>
      <w:r>
        <w:rPr>
          <w:rFonts w:ascii="Times New Roman;Times;serif" w:hAnsi="Times New Roman;Times;serif"/>
          <w:b w:val="false"/>
          <w:i w:val="false"/>
          <w:caps w:val="false"/>
          <w:smallCaps w:val="false"/>
          <w:color w:val="000000"/>
          <w:spacing w:val="4"/>
          <w:sz w:val="20"/>
        </w:rPr>
        <w:t xml:space="preserve">” means employment or service as an Employee or member of the Board (so that, for purposes of exercising Options and SARs and satisfying conditions with respect to Stock Awards, Stock Units, and Other Stock-Based Awards, a Participant shall not be considered to have terminated employment or service until the Participant ceases to be an Employee or member of the Board), unless the Committee determines otherwise (including but not limited to allowing the continued lapse of any Restriction Period with respect to Stock Awards, Stock Units and Other Stock-Based Awards for any Key Adviser). If a Participant’s relationship is with a subsidiary of the Company and that entity ceases to be a subsidiary of the Company, the Participant will be deemed to cease employment or service when the entity ceases to be a subsidiary of the Company, unless the Participant transfers employment or service to an Employer. If a Participant has military, sick leave or other bona fide leave, the Participant will not be deemed to cease employment or service solely as a result of such leave;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leave does not exceed the longer of 90 days or the period during which the absent Participant’s reemployment rights, if any, are guaranteed by statute or contract. To the extent consistent with applicable law, the Committee may provide that Awards continue to vest for all or a portion of the period of such leave, or that vesting shall be tolled during such leave and only recommence upon the Participant’s return from such leave.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i w:val="false"/>
          <w:caps w:val="false"/>
          <w:smallCaps w:val="false"/>
          <w:color w:val="000000"/>
          <w:spacing w:val="-4"/>
          <w:sz w:val="20"/>
          <w:u w:val="single"/>
        </w:rPr>
        <w:t>Employee</w:t>
      </w:r>
      <w:r>
        <w:rPr>
          <w:rFonts w:ascii="Times New Roman;Times;serif" w:hAnsi="Times New Roman;Times;serif"/>
          <w:b w:val="false"/>
          <w:i w:val="false"/>
          <w:caps w:val="false"/>
          <w:smallCaps w:val="false"/>
          <w:color w:val="000000"/>
          <w:spacing w:val="4"/>
          <w:sz w:val="20"/>
        </w:rPr>
        <w:t xml:space="preserve">” means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i w:val="false"/>
          <w:caps w:val="false"/>
          <w:smallCaps w:val="false"/>
          <w:color w:val="000000"/>
          <w:spacing w:val="-4"/>
          <w:sz w:val="20"/>
          <w:u w:val="single"/>
        </w:rPr>
        <w:t>Employer</w:t>
      </w:r>
      <w:r>
        <w:rPr>
          <w:rFonts w:ascii="Times New Roman;Times;serif" w:hAnsi="Times New Roman;Times;serif"/>
          <w:b w:val="false"/>
          <w:i w:val="false"/>
          <w:caps w:val="false"/>
          <w:smallCaps w:val="false"/>
          <w:color w:val="000000"/>
          <w:spacing w:val="4"/>
          <w:sz w:val="20"/>
        </w:rPr>
        <w:t xml:space="preserve">” means the Company and its subsidiaries.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means the per share price at which shares of Common Stock may be purchased under an Option, as designated by the Committee.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means: </w:t>
      </w:r>
    </w:p>
    <w:p>
      <w:pPr>
        <w:pStyle w:val="TextBody"/>
        <w:spacing w:lineRule="atLeast" w:line="23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the Common Stock is publicly traded, the Fair Market Value per share shall be determined as follows: (A) if the principal trading market for the Common Stock is a national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exchange, the closing sales price during regular trading hours on the relevant date or, if there were no trades on that date, the latest preceding date upon which a sale was reported, or (B) if the Common Stock is not principally traded on any such exchange, the last reported sale price of a share of Common Stock during regular trading hours on the relevant date, as reported by the OTC Bulletin Board. </w:t>
      </w:r>
    </w:p>
    <w:p>
      <w:pPr>
        <w:pStyle w:val="TextBody"/>
        <w:spacing w:lineRule="atLeast" w:line="23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the Common Stock is not publicly traded or, if publicly traded, is not subject to reported transactions as set forth above, the Fair Market Value per share shall be determined by the Committee through any reasonable valuation method authorized under the Code.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i w:val="false"/>
          <w:caps w:val="false"/>
          <w:smallCaps w:val="false"/>
          <w:color w:val="000000"/>
          <w:spacing w:val="-4"/>
          <w:sz w:val="20"/>
          <w:u w:val="single"/>
        </w:rPr>
        <w:t>Incentive Stock Option</w:t>
      </w:r>
      <w:r>
        <w:rPr>
          <w:rFonts w:ascii="Times New Roman;Times;serif" w:hAnsi="Times New Roman;Times;serif"/>
          <w:b w:val="false"/>
          <w:i w:val="false"/>
          <w:caps w:val="false"/>
          <w:smallCaps w:val="false"/>
          <w:color w:val="000000"/>
          <w:spacing w:val="4"/>
          <w:sz w:val="20"/>
        </w:rPr>
        <w:t xml:space="preserve">” means an Option that is intended to meet the requirements of an incentive stock option under Section 422 of the Code.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i w:val="false"/>
          <w:caps w:val="false"/>
          <w:smallCaps w:val="false"/>
          <w:color w:val="000000"/>
          <w:spacing w:val="-4"/>
          <w:sz w:val="20"/>
          <w:u w:val="single"/>
        </w:rPr>
        <w:t>Key Adviser</w:t>
      </w:r>
      <w:r>
        <w:rPr>
          <w:rFonts w:ascii="Times New Roman;Times;serif" w:hAnsi="Times New Roman;Times;serif"/>
          <w:b w:val="false"/>
          <w:i w:val="false"/>
          <w:caps w:val="false"/>
          <w:smallCaps w:val="false"/>
          <w:color w:val="000000"/>
          <w:spacing w:val="4"/>
          <w:sz w:val="20"/>
        </w:rPr>
        <w:t xml:space="preserve">” means a consultant or adviser of the Employer.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i w:val="false"/>
          <w:caps w:val="false"/>
          <w:smallCaps w:val="false"/>
          <w:color w:val="000000"/>
          <w:spacing w:val="-4"/>
          <w:sz w:val="20"/>
          <w:u w:val="single"/>
        </w:rPr>
        <w:t>Non-Employee Director</w:t>
      </w:r>
      <w:r>
        <w:rPr>
          <w:rFonts w:ascii="Times New Roman;Times;serif" w:hAnsi="Times New Roman;Times;serif"/>
          <w:b w:val="false"/>
          <w:i w:val="false"/>
          <w:caps w:val="false"/>
          <w:smallCaps w:val="false"/>
          <w:color w:val="000000"/>
          <w:spacing w:val="4"/>
          <w:sz w:val="20"/>
        </w:rPr>
        <w:t xml:space="preserve">” means a member of the Board who is not an Employee.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i w:val="false"/>
          <w:caps w:val="false"/>
          <w:smallCaps w:val="false"/>
          <w:color w:val="000000"/>
          <w:spacing w:val="-4"/>
          <w:sz w:val="20"/>
          <w:u w:val="single"/>
        </w:rPr>
        <w:t>Nonqualified Stock Option</w:t>
      </w:r>
      <w:r>
        <w:rPr>
          <w:rFonts w:ascii="Times New Roman;Times;serif" w:hAnsi="Times New Roman;Times;serif"/>
          <w:b w:val="false"/>
          <w:i w:val="false"/>
          <w:caps w:val="false"/>
          <w:smallCaps w:val="false"/>
          <w:color w:val="000000"/>
          <w:spacing w:val="4"/>
          <w:sz w:val="20"/>
        </w:rPr>
        <w:t xml:space="preserve">” means an Option that is not intended to be taxed as an incentive stock option under Section 422 of the Code. </w:t>
      </w:r>
    </w:p>
    <w:p>
      <w:pPr>
        <w:pStyle w:val="TextBody"/>
        <w:spacing w:lineRule="atLeast" w:line="240" w:before="160" w:after="283"/>
        <w:ind w:left="1393" w:right="0" w:firstLine="8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i w:val="false"/>
          <w:caps w:val="false"/>
          <w:smallCaps w:val="false"/>
          <w:color w:val="000000"/>
          <w:spacing w:val="-4"/>
          <w:sz w:val="20"/>
          <w:u w:val="single"/>
        </w:rPr>
        <w:t>Option</w:t>
      </w:r>
      <w:r>
        <w:rPr>
          <w:rFonts w:ascii="Times New Roman;Times;serif" w:hAnsi="Times New Roman;Times;serif"/>
          <w:b w:val="false"/>
          <w:i w:val="false"/>
          <w:caps w:val="false"/>
          <w:smallCaps w:val="false"/>
          <w:color w:val="000000"/>
          <w:spacing w:val="4"/>
          <w:sz w:val="20"/>
        </w:rPr>
        <w:t xml:space="preserve">” means an option to purchase shares of Common Stock, as described in Section 7.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i w:val="false"/>
          <w:caps w:val="false"/>
          <w:smallCaps w:val="false"/>
          <w:color w:val="000000"/>
          <w:spacing w:val="-4"/>
          <w:sz w:val="20"/>
          <w:u w:val="single"/>
        </w:rPr>
        <w:t>Other Stock-Based Award</w:t>
      </w:r>
      <w:r>
        <w:rPr>
          <w:rFonts w:ascii="Times New Roman;Times;serif" w:hAnsi="Times New Roman;Times;serif"/>
          <w:b w:val="false"/>
          <w:i w:val="false"/>
          <w:caps w:val="false"/>
          <w:smallCaps w:val="false"/>
          <w:color w:val="000000"/>
          <w:spacing w:val="4"/>
          <w:sz w:val="20"/>
        </w:rPr>
        <w:t xml:space="preserve">” means any Award based on, measured by or payable in Common Stock (other than an Option, Stock Unit, Stock Award, or SAR), as described in Section 11.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i w:val="false"/>
          <w:caps w:val="false"/>
          <w:smallCaps w:val="false"/>
          <w:color w:val="000000"/>
          <w:spacing w:val="-4"/>
          <w:sz w:val="20"/>
          <w:u w:val="single"/>
        </w:rPr>
        <w:t>Participant</w:t>
      </w:r>
      <w:r>
        <w:rPr>
          <w:rFonts w:ascii="Times New Roman;Times;serif" w:hAnsi="Times New Roman;Times;serif"/>
          <w:b w:val="false"/>
          <w:i w:val="false"/>
          <w:caps w:val="false"/>
          <w:smallCaps w:val="false"/>
          <w:color w:val="000000"/>
          <w:spacing w:val="4"/>
          <w:sz w:val="20"/>
        </w:rPr>
        <w:t xml:space="preserve">” means an Employee, Key Adviser or Non-Employee Director designated by the Committee to participate in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i w:val="false"/>
          <w:caps w:val="false"/>
          <w:smallCaps w:val="false"/>
          <w:color w:val="000000"/>
          <w:spacing w:val="-4"/>
          <w:sz w:val="20"/>
          <w:u w:val="single"/>
        </w:rPr>
        <w:t>Performance Goals</w:t>
      </w:r>
      <w:r>
        <w:rPr>
          <w:rFonts w:ascii="Times New Roman;Times;serif" w:hAnsi="Times New Roman;Times;serif"/>
          <w:b w:val="false"/>
          <w:i w:val="false"/>
          <w:caps w:val="false"/>
          <w:smallCaps w:val="false"/>
          <w:color w:val="000000"/>
          <w:spacing w:val="4"/>
          <w:sz w:val="20"/>
        </w:rPr>
        <w:t xml:space="preserve">” means the business criteria selected by the Company to measure the level of performance of the Company or an Affiliate during a performance period, which may include, but are not limited to, one or more of the following criteria: (i) net income; (ii) earnings per share; (iii) operating income; (iv) operating cash flow; (v) earnings before income taxes and depreciation; (vi) earnings before interest, taxes, depreciation and amortization; (vii) operating margins; (viii) reductions in operating expenses; (ix) sales or return on sales; (x) total stockholder return; (xi) return on equity; (xii) return on total capital; (xiii) return on invested capital; (xiv) return on assets; (xv) economic value added; (xvi) cost reductions and savings; (xvii) increase in surplus; (xviii) productivity improvements; (xix) an executive’s attainment of personal objectives with respect to any of the foregoing criteria or other criteria such as growth and profitability, customer satisfaction, leadership effectiveness, business development, negotiating transactions and sales or developing long term business goals; (xx) merger and acquisitions; (xxi) strategic goals or objectives (including objectives related to qualitative or quantitative environmental, social or governance metrics); or (xxii) other criteria as determined by the Committee. Performance Goals applicable to an Award shall be determined by the Committee, and may be established on an absolute or relative basis, on a periodic, cumulative, annual or other basis and may be established on a corporate-wide basis or with respect to one or more business units, divisions, subsidiaries or business segments. Relative performance may be measured against a group of peer companies, a financial market index or other objective and quantifiable indices.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any natural person, corporation, limited liability company, partnership, trust, joint stock company, business trust, unincorporated association, joint venture, governmental authority or other legal entity of any nature whatsoever.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i w:val="false"/>
          <w:caps w:val="false"/>
          <w:smallCaps w:val="false"/>
          <w:color w:val="000000"/>
          <w:spacing w:val="-4"/>
          <w:sz w:val="20"/>
          <w:u w:val="single"/>
        </w:rPr>
        <w:t>Prior Plan</w:t>
      </w:r>
      <w:r>
        <w:rPr>
          <w:rFonts w:ascii="Times New Roman;Times;serif" w:hAnsi="Times New Roman;Times;serif"/>
          <w:b w:val="false"/>
          <w:i w:val="false"/>
          <w:caps w:val="false"/>
          <w:smallCaps w:val="false"/>
          <w:color w:val="000000"/>
          <w:spacing w:val="4"/>
          <w:sz w:val="20"/>
        </w:rPr>
        <w:t xml:space="preserve">” means the ATN International, Inc. 2008 Equity Incentive Plan, as amended through the Effective Date.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i w:val="false"/>
          <w:caps w:val="false"/>
          <w:smallCaps w:val="false"/>
          <w:color w:val="000000"/>
          <w:spacing w:val="-4"/>
          <w:sz w:val="20"/>
          <w:u w:val="single"/>
        </w:rPr>
        <w:t>SAR</w:t>
      </w:r>
      <w:r>
        <w:rPr>
          <w:rFonts w:ascii="Times New Roman;Times;serif" w:hAnsi="Times New Roman;Times;serif"/>
          <w:b w:val="false"/>
          <w:i w:val="false"/>
          <w:caps w:val="false"/>
          <w:smallCaps w:val="false"/>
          <w:color w:val="000000"/>
          <w:spacing w:val="4"/>
          <w:sz w:val="20"/>
        </w:rPr>
        <w:t xml:space="preserve">” means a stock appreciation right, as described in Section 10.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i w:val="false"/>
          <w:caps w:val="false"/>
          <w:smallCaps w:val="false"/>
          <w:color w:val="000000"/>
          <w:spacing w:val="-4"/>
          <w:sz w:val="20"/>
          <w:u w:val="single"/>
        </w:rPr>
        <w:t>Stock Award</w:t>
      </w:r>
      <w:r>
        <w:rPr>
          <w:rFonts w:ascii="Times New Roman;Times;serif" w:hAnsi="Times New Roman;Times;serif"/>
          <w:b w:val="false"/>
          <w:i w:val="false"/>
          <w:caps w:val="false"/>
          <w:smallCaps w:val="false"/>
          <w:color w:val="000000"/>
          <w:spacing w:val="4"/>
          <w:sz w:val="20"/>
        </w:rPr>
        <w:t xml:space="preserve">” means an award of Common Stock, as described in Section 8.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i w:val="false"/>
          <w:caps w:val="false"/>
          <w:smallCaps w:val="false"/>
          <w:color w:val="000000"/>
          <w:spacing w:val="-4"/>
          <w:sz w:val="20"/>
          <w:u w:val="single"/>
        </w:rPr>
        <w:t>Stock Unit</w:t>
      </w:r>
      <w:r>
        <w:rPr>
          <w:rFonts w:ascii="Times New Roman;Times;serif" w:hAnsi="Times New Roman;Times;serif"/>
          <w:b w:val="false"/>
          <w:i w:val="false"/>
          <w:caps w:val="false"/>
          <w:smallCaps w:val="false"/>
          <w:color w:val="000000"/>
          <w:spacing w:val="4"/>
          <w:sz w:val="20"/>
        </w:rPr>
        <w:t xml:space="preserve">” means an award of a contractual right to receive one or more shares of Common Stock, cash or combination thereof, as described in Section 9, and denominated in a number of shares of Common Stock specified in an Award Agreement.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3.   Administration.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The Plan shall be administered and interpreted by the Committee. The Committee may delegate authority to one or more subcommittees, as it deems appropriate. Subject to compliance with applicable law and the applicable stock exchange rules, the Board, in its discretion, may perform any action of the Committee hereunder. To the extent that the Board, the Committee, a subcommittee or the CEO, as described below administers the Plan, references in the Plan to the “Committee” shall be deemed to refer to the Board, the Committee, or such subcommittee or the CEO.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Delegation to CEO</w:t>
      </w:r>
      <w:r>
        <w:rPr>
          <w:rFonts w:ascii="Times New Roman;Times;serif" w:hAnsi="Times New Roman;Times;serif"/>
          <w:b w:val="false"/>
          <w:i w:val="false"/>
          <w:caps w:val="false"/>
          <w:smallCaps w:val="false"/>
          <w:color w:val="000000"/>
          <w:spacing w:val="4"/>
          <w:sz w:val="20"/>
        </w:rPr>
        <w:t xml:space="preserve">.   Subject to compliance with applicable law and applicable stock exchange requirements, the Committee may delegate all or part of its authority and power to the CEO, as it deems appropriate, with respect to Awards to Employees or Key Advisers who are not executive officers or directors under Section 16 of the Exchange Act.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Committee Authority</w:t>
      </w:r>
      <w:r>
        <w:rPr>
          <w:rFonts w:ascii="Times New Roman;Times;serif" w:hAnsi="Times New Roman;Times;serif"/>
          <w:b w:val="false"/>
          <w:i w:val="false"/>
          <w:caps w:val="false"/>
          <w:smallCaps w:val="false"/>
          <w:color w:val="000000"/>
          <w:spacing w:val="4"/>
          <w:sz w:val="20"/>
        </w:rPr>
        <w:t xml:space="preserve">.   The Committee shall have the sole authority to (i) determine the individuals to whom Awards shall be made under the Plan, (ii) determine the type, size, terms and conditions of the Awards to be made to each such individual, (iii) determine the time when the Awards will be made and the duration of any applicable exercise or restriction period, including the criteria for exercisability and the acceleration of exercisability, (v) amend the terms of any previously issued Award, subject to the provisions of Section 18 below, (vi) determine and adopt terms, guidelines, and provisions, not inconsistent with the Plan and applicable law, that apply to individuals residing outside of the United States who receive Awards under the Plan, and (vii) deal with any other matters arising under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Committee Determinations</w:t>
      </w:r>
      <w:r>
        <w:rPr>
          <w:rFonts w:ascii="Times New Roman;Times;serif" w:hAnsi="Times New Roman;Times;serif"/>
          <w:b w:val="false"/>
          <w:i w:val="false"/>
          <w:caps w:val="false"/>
          <w:smallCaps w:val="false"/>
          <w:color w:val="000000"/>
          <w:spacing w:val="4"/>
          <w:sz w:val="20"/>
        </w:rPr>
        <w:t xml:space="preserve">.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Indemnification</w:t>
      </w:r>
      <w:r>
        <w:rPr>
          <w:rFonts w:ascii="Times New Roman;Times;serif" w:hAnsi="Times New Roman;Times;serif"/>
          <w:b w:val="false"/>
          <w:i w:val="false"/>
          <w:caps w:val="false"/>
          <w:smallCaps w:val="false"/>
          <w:color w:val="000000"/>
          <w:spacing w:val="4"/>
          <w:sz w:val="20"/>
        </w:rPr>
        <w:t xml:space="preserve">.   No member of the Committee or the Board, and no employee of the Company or any Affiliate shall be liable for any act or failure to act with 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the Board and any agent of the Committee or the Board who is an employee of the Company or a subsidiary against any and all liabilities or expenses to which they may be subjected by reason of any act or failure to act with respect to their duties on behalf of the Plan, except in circumstances involving such person’s bad faith or willful misconduct.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4.   Awards.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Awards under the Plan may consist of Options as described in Section 7, Stock Awards as described in Section 8, Stock Units as described in Section 9, SARs as described in Section 10, and Other Stock-Based Awards as described in Section 11. All Awards shall be subject to the terms and conditions set forth herein and to such other terms and conditions consistent with this Plan as the Committee deems appropriate and as are specified in writing by the Committee to the individual in the Award Agreement. All Awards shall be made conditional upon the Participant’s acknowledgement, in writing or by acceptance of the Award, as evidenced by execution of an Award Agreement subject to this Plan. Awards under a particular Section of the Plan need not be uniform as among the Participants.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Dividends and Dividend Equivalents</w:t>
      </w:r>
      <w:r>
        <w:rPr>
          <w:rFonts w:ascii="Times New Roman;Times;serif" w:hAnsi="Times New Roman;Times;serif"/>
          <w:b w:val="false"/>
          <w:i w:val="false"/>
          <w:caps w:val="false"/>
          <w:smallCaps w:val="false"/>
          <w:color w:val="000000"/>
          <w:spacing w:val="4"/>
          <w:sz w:val="20"/>
        </w:rPr>
        <w:t xml:space="preserve">.   Notwithstanding anything to the contrary herein, any dividends or Dividend Equivalents granted in connection with Awards under the Plan shall vest and be paid only if and to the extent the underlying Awards vest and are paid.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5.   Shares Subject to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Shares Authorized</w:t>
      </w:r>
      <w:r>
        <w:rPr>
          <w:rFonts w:ascii="Times New Roman;Times;serif" w:hAnsi="Times New Roman;Times;serif"/>
          <w:b w:val="false"/>
          <w:i w:val="false"/>
          <w:caps w:val="false"/>
          <w:smallCaps w:val="false"/>
          <w:color w:val="000000"/>
          <w:spacing w:val="4"/>
          <w:sz w:val="20"/>
        </w:rPr>
        <w:t xml:space="preserve">.   Subject to adjustment as described below in Sections 5(b) and 5(e) below, the aggregate number of shares of Common Stock that may be issued or transferred under the Plan shall be 1,432,070 shares of Common Stock, which is equal to the sum of: (i) 1,400,000 shares of Common Stock, plus (ii) 32,070 shares of Common Stock, which is the number of shares of Common Stock reserved for issuance under the Prior Plan that remain available for grant under the Prior Plan as of March 31, 2023. In addition, shares of the Common Stock underlying any outstanding Award granted under the Prior Plan that, following the Effective Date, expires, or is terminated, surrendered or forfeited for any reason without issuance of such shares shall be available for the award of new Awards under this Plan. Subject to adjustment as described below in Sections 5(b) and 5(e) below, the aggregate number of shares of Common Stock that may be issued or transferred under the Plan pursuant to Incentive Stock Options shall not exceed 500,000 shares of Common Stock.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Source of Shares; Share Counting</w:t>
      </w:r>
      <w:r>
        <w:rPr>
          <w:rFonts w:ascii="Times New Roman;Times;serif" w:hAnsi="Times New Roman;Times;serif"/>
          <w:b w:val="false"/>
          <w:i w:val="false"/>
          <w:caps w:val="false"/>
          <w:smallCaps w:val="false"/>
          <w:color w:val="000000"/>
          <w:spacing w:val="4"/>
          <w:sz w:val="20"/>
        </w:rPr>
        <w:t xml:space="preserve">.   Shares issued or transferred under the Plan may be authorized but unissued shares of Common Stock or reacquired shares of Common Stock, including shares purchased by the Company on the open market for purposes of the Plan. If and to the extent Options or SARs granted under the Plan, expire or are canceled, forfeited, exchanged or surrendered without having been exercised, or if any Stock Awards, Stock Units or Other Stock-Based Awards are forfeited, terminated or otherwise not paid in full, the shares subject to such Awards shall again be available for purposes of the Plan. If shares of Common Stock otherwise issuable under the Plan are surrendered in payment of the Exercise Price of an Option, then the number of shares of Common Stock available for issuance under the Plan shall be reduced only by the net number of shares actually issued by the Company upon such exercise and not by the gross number of shares as to which such Option is exercised. Upon the exercise of any SAR under the Plan, the number of shares of Common Stock available for issuance under the Plan shall be reduced by only by the net number of shares actually issued by the Company upon such exercise. If shares of Common Stock otherwise issuable under the Plan are withheld by the Company in satisfaction of the withholding taxes incurred in connection with the issuance, vesting or exercise of any Award or the issuance of Common Stock thereunder, then the number of shares of Common Stock available for issuance under the Plan shall be reduced by the net number of shares issued, vested or exercised under such Award, calculated in each instance after payment of such share withholding. To the extent any Awards are paid in cash, and not in shares of Common Stock, any shares previously subject to such Awards shall again be available for issuance or transfer under the Plan. For the avoidance of doubt, if shares are repurchased by the Company on the open market with the proceeds of the Exercise Price of Options, such shares may not again be made available for issuance under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Substitute Awards</w:t>
      </w:r>
      <w:r>
        <w:rPr>
          <w:rFonts w:ascii="Times New Roman;Times;serif" w:hAnsi="Times New Roman;Times;serif"/>
          <w:b w:val="false"/>
          <w:i w:val="false"/>
          <w:caps w:val="false"/>
          <w:smallCaps w:val="false"/>
          <w:color w:val="000000"/>
          <w:spacing w:val="4"/>
          <w:sz w:val="20"/>
        </w:rPr>
        <w:t>.   Shares issued or transferred under Awards made pursuant to an assumption, substitution or exchange for previously granted awards of a company acquired by the Company in a transaction (“</w:t>
      </w:r>
      <w:r>
        <w:rPr>
          <w:rFonts w:ascii="Times New Roman;Times;serif" w:hAnsi="Times New Roman;Times;serif"/>
          <w:b w:val="false"/>
          <w:i w:val="false"/>
          <w:caps w:val="false"/>
          <w:smallCaps w:val="false"/>
          <w:color w:val="000000"/>
          <w:spacing w:val="4"/>
          <w:sz w:val="20"/>
          <w:u w:val="single"/>
        </w:rPr>
        <w:t>Substitute Awards</w:t>
      </w:r>
      <w:r>
        <w:rPr>
          <w:rFonts w:ascii="Times New Roman;Times;serif" w:hAnsi="Times New Roman;Times;serif"/>
          <w:b w:val="false"/>
          <w:i w:val="false"/>
          <w:caps w:val="false"/>
          <w:smallCaps w:val="false"/>
          <w:color w:val="000000"/>
          <w:spacing w:val="4"/>
          <w:sz w:val="20"/>
        </w:rPr>
        <w:t xml:space="preserve">”) shall not reduce the number of shares of Common Stock available under the Plan and available shares under a stockholder approved plan of an acquired company (as appropriately adjusted to reflect the transaction) may be used for Awards under the Plan and shall not reduce the Plan’s share reserve (subject to applicable stock exchange listing and Code requirements).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Individual Limits for Non-Employee Directors</w:t>
      </w:r>
      <w:r>
        <w:rPr>
          <w:rFonts w:ascii="Times New Roman;Times;serif" w:hAnsi="Times New Roman;Times;serif"/>
          <w:b w:val="false"/>
          <w:i w:val="false"/>
          <w:caps w:val="false"/>
          <w:smallCaps w:val="false"/>
          <w:color w:val="000000"/>
          <w:spacing w:val="4"/>
          <w:sz w:val="20"/>
        </w:rPr>
        <w:t xml:space="preserve">.   Subject to adjustment as described below in Section 5(e), the maximum aggregate grant date value of shares of Common Stock subject to Awards granted to any Non-Employee Director during any calendar year, taken together with any cash fees earned by such Non-Employee Director for services rendered during the calendar year, shall not exceed $1,050,000 in total value. For purposes of this limit, the value of such Awards shall be calculated based on the grant date fair value of such Awards for financial reporting purposes.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If there is any change in the number or kind of shares of Common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Common Stock as a class without the Company’s receipt of consideration, or if the value of outstanding shares of Common Stock is substantially reduced as a result of a spinoff or the Company’s payment of an extraordinary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dividend or distribution, the maximum number and kind of shares of Common Stock available for issuance under the Plan, the maximum amount of Awards which a Non-Employee Director may receive in any year, the number and kind of shares covered by outstanding Awards, the number and kind of shares issued and to be issued under the Plan, and the price per share or the applicable market value of such Awards shall be equitably adjusted by the Committee to reflect any increase or decrease in the number of, or change in the kind or value of, the issued shares of Common Stock to preclude, to the extent practicable, the enlargement or dilution of rights and benefits under the Plan and such outstanding Awards;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any fractional shares resulting from such adjustment shall be eliminated. In addition, the Committee is authorized to make adjustments in the terms and conditions of, and the criteria included in, Awards in recognition of unusual or nonrecurring events (including, without limitation, events described in the preceding sentence, and acquisitions and dispositions of businesses and assets) affecting the Company, any subsidiary or any business unit, or the financial statements of the Company or any subsidiary, or in response to changes in applicable laws, regulations, or accounting principles. In addition, in the event of a Change in Control, the provisions of Section 13 of the Plan shall apply. Any adjustments to outstanding Awards shall be consistent with Section 409A or 424 of the Code, to the extent applicable. Subject to Section 18(b), the adjustments of Awards under this Section 5(e) shall include adjustment of shares, Exercise Price of Options, base amount of SARs, Performance Goals or other terms and conditions, as the Committee deems appropriate. The Committee shall have the sole discretion and authority to determine what appropriate adjustments shall be made and any adjustments determined by the Committee shall be final, binding and conclusive.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6.   Eligibility for Participation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Eligible Persons</w:t>
      </w:r>
      <w:r>
        <w:rPr>
          <w:rFonts w:ascii="Times New Roman;Times;serif" w:hAnsi="Times New Roman;Times;serif"/>
          <w:b w:val="false"/>
          <w:i w:val="false"/>
          <w:caps w:val="false"/>
          <w:smallCaps w:val="false"/>
          <w:color w:val="000000"/>
          <w:spacing w:val="4"/>
          <w:sz w:val="20"/>
        </w:rPr>
        <w:t xml:space="preserve">.   All Employees and Non-Employee Directors shall be eligible to participate in the Plan. Key Advisers shall be eligible to participate in the Plan if the Key Advisers render bona fide services to the Employer, the services are not in connection with the offer and sale of securities in a capital-raising transaction and the Key Advisers do not directly or indirectly promote or maintain a market for the Company’s securities.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Selection of Participants</w:t>
      </w:r>
      <w:r>
        <w:rPr>
          <w:rFonts w:ascii="Times New Roman;Times;serif" w:hAnsi="Times New Roman;Times;serif"/>
          <w:b w:val="false"/>
          <w:i w:val="false"/>
          <w:caps w:val="false"/>
          <w:smallCaps w:val="false"/>
          <w:color w:val="000000"/>
          <w:spacing w:val="4"/>
          <w:sz w:val="20"/>
        </w:rPr>
        <w:t xml:space="preserve">.   The Committee shall select the Employees, Non-Employee Directors and Key Advisers to receive Awards and shall determine the number of shares of Common Stock subject to a particular Award in such manner as the Committee determines.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7.   Options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grant Options to an Employee, Non-Employee Director or Key Adviser upon such terms as the Committee deems appropriate. The following provisions are applicable to Options: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The Committee shall determine the number of shares of Common Stock that will be subject to each Award of Options to Employees, Non-Employee Directors and Key Advisers.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Type of Option and Exercise Price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Committee may grant Incentive Stock Options or Nonqualified Stock Options or any combination of the two, all in accordance with the terms and conditions set forth herein. Incentive Stock Options may be granted only to Employees of the Company or its parent or subsidiary corporations, as defined in Section 424 of the Code. Nonqualified Stock Options may be granted to Employees, Non-Employee Directors and Key Advisers.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Exercise Price of Common Stock subject to an Option shall be determined by the Committee and shall be equal to or greater than the Fair Market Value of a share of Common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Common Stock on the date of grant.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Option Term</w:t>
      </w:r>
      <w:r>
        <w:rPr>
          <w:rFonts w:ascii="Times New Roman;Times;serif" w:hAnsi="Times New Roman;Times;serif"/>
          <w:b w:val="false"/>
          <w:i w:val="false"/>
          <w:caps w:val="false"/>
          <w:smallCaps w:val="false"/>
          <w:color w:val="000000"/>
          <w:spacing w:val="4"/>
          <w:sz w:val="20"/>
        </w:rPr>
        <w:t xml:space="preserve">.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Common Stock under the Company’s insider trading policy, the term of the Option shall be extended for a period of 30 days following the end of the legal prohibition, unless the Committee determines otherwise.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Exercisability of Options</w:t>
      </w:r>
      <w:r>
        <w:rPr>
          <w:rFonts w:ascii="Times New Roman;Times;serif" w:hAnsi="Times New Roman;Times;serif"/>
          <w:b w:val="false"/>
          <w:i w:val="false"/>
          <w:caps w:val="false"/>
          <w:smallCaps w:val="false"/>
          <w:color w:val="000000"/>
          <w:spacing w:val="4"/>
          <w:sz w:val="20"/>
        </w:rPr>
        <w:t xml:space="preserve">.   Options shall become exercisable in accordance with such terms and conditions, consistent with the Plan, as may be determined by the Committee and specified in the Award Agreement. The Committee may accelerate the exercisability of any or all outstanding Options at any time for any reason.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Awards to Non-Exempt Employees</w:t>
      </w:r>
      <w:r>
        <w:rPr>
          <w:rFonts w:ascii="Times New Roman;Times;serif" w:hAnsi="Times New Roman;Times;serif"/>
          <w:b w:val="false"/>
          <w:i w:val="false"/>
          <w:caps w:val="false"/>
          <w:smallCaps w:val="false"/>
          <w:color w:val="000000"/>
          <w:spacing w:val="4"/>
          <w:sz w:val="20"/>
        </w:rPr>
        <w:t xml:space="preserve">.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Participant’s death, Disability or retirement, or upon a Change in Control or other circumstances permitted by applicable regulations).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Termination of Employment or Service</w:t>
      </w:r>
      <w:r>
        <w:rPr>
          <w:rFonts w:ascii="Times New Roman;Times;serif" w:hAnsi="Times New Roman;Times;serif"/>
          <w:b w:val="false"/>
          <w:i w:val="false"/>
          <w:caps w:val="false"/>
          <w:smallCaps w:val="false"/>
          <w:color w:val="000000"/>
          <w:spacing w:val="4"/>
          <w:sz w:val="20"/>
        </w:rPr>
        <w:t xml:space="preserve">.   Except as provided in the Award Agreement, an Option may only be exercised while the Participant is employed by, or providing services to, the Employer. The Committee shall determine in the Award Agreement under what circumstances and during what time periods a Participant may exercise an Option after termination of employment or service.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Exercise of Options</w:t>
      </w:r>
      <w:r>
        <w:rPr>
          <w:rFonts w:ascii="Times New Roman;Times;serif" w:hAnsi="Times New Roman;Times;serif"/>
          <w:b w:val="false"/>
          <w:i w:val="false"/>
          <w:caps w:val="false"/>
          <w:smallCaps w:val="false"/>
          <w:color w:val="000000"/>
          <w:spacing w:val="4"/>
          <w:sz w:val="20"/>
        </w:rPr>
        <w:t xml:space="preserve">.   A Participant may exercise an Option that has become exercisable, in whole or in part, by delivering a notice of exercise to the Company. The Participant shall pay the Exercise Price for an Option as specified by the Committee (i) in cash or by check, (ii) unless the Committee determines otherwise, by delivering shares of Common Stock owned by the Participant and having a Fair Market Value on the date of exercise at least equal to the Exercise Price or by attestation (on a form prescribed by the Committee) to ownership of shares of Common Stock having a Fair Market Value on the date of exercise at least equal to the Exercise Price, (iii) by payment through a broker in accordance with procedures permitted by Regulation T of the Federal Reserve Board, (iv) by withholding shares of Common Stock subject to the exercisable Option, which have a Fair Market Value on the date of exercise equal to the Exercise Price, or (v) by such other method as the Committee may approve. Shares of Common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withholding taxes, must be received by the Company by the time specified by the Committee depending on the type of payment being made, but in all cases prior to the issuance or transfer of such shares.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Limits on Incentive Stock Options</w:t>
      </w:r>
      <w:r>
        <w:rPr>
          <w:rFonts w:ascii="Times New Roman;Times;serif" w:hAnsi="Times New Roman;Times;serif"/>
          <w:b w:val="false"/>
          <w:i w:val="false"/>
          <w:caps w:val="false"/>
          <w:smallCaps w:val="false"/>
          <w:color w:val="000000"/>
          <w:spacing w:val="4"/>
          <w:sz w:val="20"/>
        </w:rPr>
        <w:t xml:space="preserve">.   Each Incentive Stock Option shall provide that, if the aggregate Fair Market Value of the Common Stock on the date of the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8.   Stock Awards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issue or transfer shares of Common Stock to an Employee, Non-Employee Director or Key Adviser under a Stock Award, upon such terms as the Committee deems appropriate. The following provisions are applicable to Stock Awards: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General Requirements</w:t>
      </w:r>
      <w:r>
        <w:rPr>
          <w:rFonts w:ascii="Times New Roman;Times;serif" w:hAnsi="Times New Roman;Times;serif"/>
          <w:b w:val="false"/>
          <w:i w:val="false"/>
          <w:caps w:val="false"/>
          <w:smallCaps w:val="false"/>
          <w:color w:val="000000"/>
          <w:spacing w:val="4"/>
          <w:sz w:val="20"/>
        </w:rPr>
        <w:t xml:space="preserve">.   Shares of Common Stock issued or transferred pursuant to Stock Awards may be issued or transferred for consideration or for no consideration, and subject to restrictions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no restrictions, as determined by the Committee. The Committee may, but shall not be required to, establish conditions under which restrictions on Stock Awards shall lapse over a period of time or according to such other criteria as the Committee deems appropriate, including, without limitation, restrictions based on the achievement of specific Performance Goals. The period of time during which the Stock Awards will remain subject to restrictions will be designated in the Award Agreement as the “</w:t>
      </w:r>
      <w:r>
        <w:rPr>
          <w:rFonts w:ascii="Times New Roman;Times;serif" w:hAnsi="Times New Roman;Times;serif"/>
          <w:b w:val="false"/>
          <w:i w:val="false"/>
          <w:caps w:val="false"/>
          <w:smallCaps w:val="false"/>
          <w:color w:val="000000"/>
          <w:spacing w:val="4"/>
          <w:sz w:val="20"/>
          <w:u w:val="single"/>
        </w:rPr>
        <w:t>Restriction Period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The Committee shall determine the number of shares of Common Stock to be issued or transferred pursuant to a Stock Award and the vesting or other restrictions applicable to such shares.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Requirement of Employment or Service</w:t>
      </w:r>
      <w:r>
        <w:rPr>
          <w:rFonts w:ascii="Times New Roman;Times;serif" w:hAnsi="Times New Roman;Times;serif"/>
          <w:b w:val="false"/>
          <w:i w:val="false"/>
          <w:caps w:val="false"/>
          <w:smallCaps w:val="false"/>
          <w:color w:val="000000"/>
          <w:spacing w:val="4"/>
          <w:sz w:val="20"/>
        </w:rPr>
        <w:t xml:space="preserve">.   If the Participant ceases to be employed by, or provide service to, the Employer during a period designated in the Award Agreement as the Restriction Period, or if other specified conditions are not met, the Stock Award shall terminate as to all shares covered by the Award as to which the restrictions have not lapsed, and those shares of Common Stock must be immediately returned to the Company. The Committee may, however, provide for complete or partial exceptions to this requirement as it deems appropriate. To the extent consistent with applicable law, the Committee hereby delegates to the Chief Executive Officer the ability to approve the continued vesting or lapse of restrictions for any Participant following termination, limited only to (i) such period as such Participant remains a Key Adviser to the Company and (ii) Participants who are not executive officers or directors under Section 16 of the Exchange Act.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Restrictions on Transfer and Legend on Stock Certificate</w:t>
      </w:r>
      <w:r>
        <w:rPr>
          <w:rFonts w:ascii="Times New Roman;Times;serif" w:hAnsi="Times New Roman;Times;serif"/>
          <w:b w:val="false"/>
          <w:i w:val="false"/>
          <w:caps w:val="false"/>
          <w:smallCaps w:val="false"/>
          <w:color w:val="000000"/>
          <w:spacing w:val="4"/>
          <w:sz w:val="20"/>
        </w:rPr>
        <w:t xml:space="preserve">.   During the Restriction Period, a Participant may not sell, assign, transfer, pledge or otherwise dispose of the shares of a Stock Award except under Section 16 below. Unless otherwise determined by the Committee, the Company will retain possession of certificates for shares of Stock Awards until all restrictions on such shares have lapsed. Each certificate for a Stock Award, unless held by the Company, shall contain a legend giving appropriate notice of the restrictions in the Award. The Participant shall be entitled to have the legend removed from the stock certificate covering the shares subject to restrictions when all restrictions on such shares have lapsed. The Committee may determine that the Company will not issue certificates for Stock Awards until all restrictions on such shares have lapsed.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Right to Vote and to Receive Dividends</w:t>
      </w:r>
      <w:r>
        <w:rPr>
          <w:rFonts w:ascii="Times New Roman;Times;serif" w:hAnsi="Times New Roman;Times;serif"/>
          <w:b w:val="false"/>
          <w:i w:val="false"/>
          <w:caps w:val="false"/>
          <w:smallCaps w:val="false"/>
          <w:color w:val="000000"/>
          <w:spacing w:val="4"/>
          <w:sz w:val="20"/>
        </w:rPr>
        <w:t xml:space="preserve">.   Unless the Committee determines otherwise, during the applicability of any vesting or restrictions, the Participant shall have the right: (i) to vote shares of Stock Awards and (ii) subject to Section 4(b), to receive any dividends or other distributions paid on such shares, subject to any restrictions deemed appropriate by the Committee, including, without limitation, the achievement of specific Performance Goals.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Lapse of Restrictions</w:t>
      </w:r>
      <w:r>
        <w:rPr>
          <w:rFonts w:ascii="Times New Roman;Times;serif" w:hAnsi="Times New Roman;Times;serif"/>
          <w:b w:val="false"/>
          <w:i w:val="false"/>
          <w:caps w:val="false"/>
          <w:smallCaps w:val="false"/>
          <w:color w:val="000000"/>
          <w:spacing w:val="4"/>
          <w:sz w:val="20"/>
        </w:rPr>
        <w:t xml:space="preserve">.   All restrictions imposed on Stock Awards shall lapse upon the expiration of the applicable Restriction Period and the satisfaction of all conditions, if any, imposed by the Committee. The Committee may determine, as to any or all Stock Awards, that the restrictions shall lapse without regard to any Restriction Period.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9.   Stock Units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grant Stock Units, each of which shall represent one hypothetical share of Common Stock, to an Employee, Non-Employee Director or Key Adviser upon such terms and conditions as the Committee deems appropriate. The following provisions are applicable to Stock Units: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Crediting of Units</w:t>
      </w:r>
      <w:r>
        <w:rPr>
          <w:rFonts w:ascii="Times New Roman;Times;serif" w:hAnsi="Times New Roman;Times;serif"/>
          <w:b w:val="false"/>
          <w:i w:val="false"/>
          <w:caps w:val="false"/>
          <w:smallCaps w:val="false"/>
          <w:color w:val="000000"/>
          <w:spacing w:val="4"/>
          <w:sz w:val="20"/>
        </w:rPr>
        <w:t xml:space="preserve">.   Each Stock Unit shall represent the right of the Participant to receive a share of Common Stock or an amount of cash based on the value of a share of Common Stock, if and when specified conditions are met. All Stock Units shall be credited to bookkeeping accounts established on the Company’s records for purposes of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Terms of Stock Units</w:t>
      </w:r>
      <w:r>
        <w:rPr>
          <w:rFonts w:ascii="Times New Roman;Times;serif" w:hAnsi="Times New Roman;Times;serif"/>
          <w:b w:val="false"/>
          <w:i w:val="false"/>
          <w:caps w:val="false"/>
          <w:smallCaps w:val="false"/>
          <w:color w:val="000000"/>
          <w:spacing w:val="4"/>
          <w:sz w:val="20"/>
        </w:rPr>
        <w:t xml:space="preserve">.   The Committee may grant Stock Units that vest and are payable if specified Performance Goals, time-based restrictions or other conditions are met, or under other circumstances. Stock Units may be paid at the end of a specified performance period or other period, or payment may be deferred to a date authorized by the Committee. The Committee may accelerate vesting or payment, as to any or all Stock Units at any time for any reason, provided such acceleration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complies with Section 409A of the Code. The Committee shall determine the number of Stock Units to be granted and the requirements applicable to such Stock Units.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Requirement of Employment or Service</w:t>
      </w:r>
      <w:r>
        <w:rPr>
          <w:rFonts w:ascii="Times New Roman;Times;serif" w:hAnsi="Times New Roman;Times;serif"/>
          <w:b w:val="false"/>
          <w:i w:val="false"/>
          <w:caps w:val="false"/>
          <w:smallCaps w:val="false"/>
          <w:color w:val="000000"/>
          <w:spacing w:val="4"/>
          <w:sz w:val="20"/>
        </w:rPr>
        <w:t xml:space="preserve">.   If the Participant ceases to be employed by, or provide service to, the Employer prior to the vesting of Stock Units, or if other conditions established by the Committee are not met, the Participant’s Stock Units shall be forfeited. The Committee may, however, provide for complete or partial exceptions to this requirement as it deems appropriate.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Payment With Respect to Stock Units</w:t>
      </w:r>
      <w:r>
        <w:rPr>
          <w:rFonts w:ascii="Times New Roman;Times;serif" w:hAnsi="Times New Roman;Times;serif"/>
          <w:b w:val="false"/>
          <w:i w:val="false"/>
          <w:caps w:val="false"/>
          <w:smallCaps w:val="false"/>
          <w:color w:val="000000"/>
          <w:spacing w:val="4"/>
          <w:sz w:val="20"/>
        </w:rPr>
        <w:t xml:space="preserve">.   Payments with respect to Stock Units shall be made in cash, Common Stock or any combination of the foregoing, as the Committee shall determine.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10.   Stock Appreciation Rights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grant SARs to an Employee, Non-Employee Director or Key Adviser separately or in tandem with any Option. The following provisions are applicable to SARs: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General Requirements</w:t>
      </w:r>
      <w:r>
        <w:rPr>
          <w:rFonts w:ascii="Times New Roman;Times;serif" w:hAnsi="Times New Roman;Times;serif"/>
          <w:b w:val="false"/>
          <w:i w:val="false"/>
          <w:caps w:val="false"/>
          <w:smallCaps w:val="false"/>
          <w:color w:val="000000"/>
          <w:spacing w:val="4"/>
          <w:sz w:val="20"/>
        </w:rPr>
        <w:t xml:space="preserve">.   The Committee may grant SARs to an Employee, Non-Employee Director or Key Adviser separately or in tandem with any Option (for all or a portion of the applicable Option). Tandem SARs may be granted either at the time the Option is granted or at any time thereafter while the Option remains outstanding;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 of a share of Common Stock as of the date of grant of the SAR. The term of any SAR shall not exceed ten years from the date of grant. Notwithstanding the foregoing, in the event that on the last business day of the term of a SAR, the exercise of the SAR is prohibited by applicable law, including a prohibition on purchases or sales of Common Stock under the Company’s insider trading policy, the term shall be extended for a period of 30 days following the end of the legal prohibition, unless the Committee determines otherwise.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Tandem SARs</w:t>
      </w:r>
      <w:r>
        <w:rPr>
          <w:rFonts w:ascii="Times New Roman;Times;serif" w:hAnsi="Times New Roman;Times;serif"/>
          <w:b w:val="false"/>
          <w:i w:val="false"/>
          <w:caps w:val="false"/>
          <w:smallCaps w:val="false"/>
          <w:color w:val="000000"/>
          <w:spacing w:val="4"/>
          <w:sz w:val="20"/>
        </w:rPr>
        <w:t xml:space="preserve">.   In the case of tandem SARs, the number of SARs granted to a Participant that shall be exercisable during a specified period shall not exceed the number of shares of Common Stock that the Participant may purchase upon the exercise of the related Option during such period. Upon the exercise of an Option, the SARs relating to the Common Stock covered by such Option shall terminate. Upon the exercise of SARs, the related Option shall terminate to the extent of an equal number of shares of Common Stock.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Exercisability</w:t>
      </w:r>
      <w:r>
        <w:rPr>
          <w:rFonts w:ascii="Times New Roman;Times;serif" w:hAnsi="Times New Roman;Times;serif"/>
          <w:b w:val="false"/>
          <w:i w:val="false"/>
          <w:caps w:val="false"/>
          <w:smallCaps w:val="false"/>
          <w:color w:val="000000"/>
          <w:spacing w:val="4"/>
          <w:sz w:val="20"/>
        </w:rPr>
        <w:t xml:space="preserve">.   A SAR shall be exercisable during the period specified by the Committee in the Award Agreement and shall be subject to such vesting and other restrictions as may be specified in the Award Agreement.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Awards to Non-Exempt Employees</w:t>
      </w:r>
      <w:r>
        <w:rPr>
          <w:rFonts w:ascii="Times New Roman;Times;serif" w:hAnsi="Times New Roman;Times;serif"/>
          <w:b w:val="false"/>
          <w:i w:val="false"/>
          <w:caps w:val="false"/>
          <w:smallCaps w:val="false"/>
          <w:color w:val="000000"/>
          <w:spacing w:val="4"/>
          <w:sz w:val="20"/>
        </w:rPr>
        <w:t xml:space="preserve">.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Participant’s death, Disability or retirement, or upon a Change in Control or other circumstances permitted by applicable regulations).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Value of SARs</w:t>
      </w:r>
      <w:r>
        <w:rPr>
          <w:rFonts w:ascii="Times New Roman;Times;serif" w:hAnsi="Times New Roman;Times;serif"/>
          <w:b w:val="false"/>
          <w:i w:val="false"/>
          <w:caps w:val="false"/>
          <w:smallCaps w:val="false"/>
          <w:color w:val="000000"/>
          <w:spacing w:val="4"/>
          <w:sz w:val="20"/>
        </w:rPr>
        <w:t xml:space="preserve">.   When a Participant exercises SARs, the Participant shall receive in settlement of such SARs an amount equal to the value of the stock appreciation for the number of SARs exercised. The stock appreciation for a SAR is the amount by which the Fair Market Value of the underlying Common Stock on the date of exercise of the SAR exceeds the base amount of the SAR as described in Section 10(a).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Form of Payment</w:t>
      </w:r>
      <w:r>
        <w:rPr>
          <w:rFonts w:ascii="Times New Roman;Times;serif" w:hAnsi="Times New Roman;Times;serif"/>
          <w:b w:val="false"/>
          <w:i w:val="false"/>
          <w:caps w:val="false"/>
          <w:smallCaps w:val="false"/>
          <w:color w:val="000000"/>
          <w:spacing w:val="4"/>
          <w:sz w:val="20"/>
        </w:rPr>
        <w:t xml:space="preserve">.   The appreciation in a SAR shall be paid in shares of Common Stock, cash or any combination of the foregoing, as the Committee shall determine. For purposes of calculating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to be received, shares of Common Stock shall be valued at their Fair Market Value on the date of exercise of the SAR.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11.   Other Stock-Based Awards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grant Other Stock-Based Awards, which are awards (other than those described in Sections 7, 8, 9 and 10 of the Plan) that are based on or measured by Common Stock, to any Employee, Non-Employee Director or Key Adviser, on such terms and conditions as the Committee shall determine. Other Stock-Based Awards may be awarded subject to the achievement of Performance Goals or other criteria or other conditions and may be payable in cash, Common Stock or any combination of the foregoing, as the Committee shall determine.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12.   Dividend Equivalents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grant Dividend Equivalents in connection with Stock Units or Other Stock-Based Awards in an applicable Award Agreement or at any point following the grant of such Award. Dividend Equivalents, subject to Section 4(c), may be paid currently or accrued as contingent cash obligations and may be payable in cash or shares of Common Stock, and upon such terms and conditions as the Committee shall determine. For the avoidance of doubt, dividends or Dividend Equivalents shall not be granted in connection with Options or SARs.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13.   Consequences of a Change in Control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Assumption of Outstanding Awards</w:t>
      </w:r>
      <w:r>
        <w:rPr>
          <w:rFonts w:ascii="Times New Roman;Times;serif" w:hAnsi="Times New Roman;Times;serif"/>
          <w:b w:val="false"/>
          <w:i w:val="false"/>
          <w:caps w:val="false"/>
          <w:smallCaps w:val="false"/>
          <w:color w:val="000000"/>
          <w:spacing w:val="4"/>
          <w:sz w:val="20"/>
        </w:rPr>
        <w:t xml:space="preserve">.   Upon a Change in Control where the Company is not the surviving corporation (or survives only as a subsidiary of another corporation), unless the Committee determines otherwise, all outstanding Awards that are not exercised or paid at the time of the Change in Control shall be assumed by, or replaced with grants (which may be in respect to cash, securities, or a combination thereof) that have comparable terms by, the surviving corporation (or a parent or subsidiary of the surviving corporation). After a Change in Control, references to the “Company” as they relate to employment matters shall include the successor employer in the transaction, subject to applicable law. For purposes of the foregoing, an Award under the Plan shall not be treated as continued, assumed, or replaced on comparable terms unless it is continued, assumed, or replaced with substantially equivalent terms, including, without limitation, the same vesting terms.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Treatment on a Change in Control</w:t>
      </w:r>
      <w:r>
        <w:rPr>
          <w:rFonts w:ascii="Times New Roman;Times;serif" w:hAnsi="Times New Roman;Times;serif"/>
          <w:b w:val="false"/>
          <w:i w:val="false"/>
          <w:caps w:val="false"/>
          <w:smallCaps w:val="false"/>
          <w:color w:val="000000"/>
          <w:spacing w:val="4"/>
          <w:sz w:val="20"/>
        </w:rPr>
        <w:t xml:space="preserve">.   Each Award Agreement will provide the treatment, if any, of the applicable Award in the event of a Change in Control or a termination of employment following a Change in Control.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Other Alternatives</w:t>
      </w:r>
      <w:r>
        <w:rPr>
          <w:rFonts w:ascii="Times New Roman;Times;serif" w:hAnsi="Times New Roman;Times;serif"/>
          <w:b w:val="false"/>
          <w:i w:val="false"/>
          <w:caps w:val="false"/>
          <w:smallCaps w:val="false"/>
          <w:color w:val="000000"/>
          <w:spacing w:val="4"/>
          <w:sz w:val="20"/>
        </w:rPr>
        <w:t xml:space="preserve">.   In the event of a Change in Control, if any outstanding Awards are not assumed by, or replaced with grants that have comparable terms by, the surviving corporation (or a parent or subsidiary of the surviving corporation), the Committee may (but is not obligated to) make adjustments to the terms and conditions of outstanding Awards, including, without limitation, taking any of the following actions (or combination thereof) with respect to any or all outstanding Awards, without the consent of any Participant: (i) the Committee may determine that outstanding Options and SARs shall automatically accelerate and become fully exercisable and the restrictions and conditions on outstanding Stock Awards, Stock Units, Other Stock-Based Awards and Dividend Equivalents shall immediately lapse; (ii) the Committee may determine that Participants shall receive a payment in settlement of outstanding Stock Units, Other Stock-Based Awards or Dividend Equivalents, in such amount and form as may be determined by the Committee; (iii) the Committee may require that Participants surrender their outstanding Options and SARs in exchange for a payment by the Company, in cash or Common Stock as determined by the Committee, in an amount equal to the amount, if any, by which the then Fair Market Value of the shares of Common Stock subject to the Participant’s unexercised Options and SARs exceeds the Option Exercise Price or SAR base amount, and (iv) after giving Participants an opportunity to exercise all of their outstanding Options and SARs, the Committee may terminate any or all unexercised Options and SARs at such time as the Committee deems appropriate. Such surrender, termination or payment shall take place as of the date of the Change in Control or such other date as the Committee may specify. Without limiting the foregoing, if the per share Fair Market Value of the Common Stock does not exceed the per share Option Exercise Price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SAR base amount, as applicable, the Company shall not be required to make any payment to the Participant upon surrender of the Option or SAR.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14.   Deferrals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permit or require a Participant to defer receipt of the payment of cash or the delivery of shares that would otherwise be due to such Participant in connection with any Award.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15.   Withholding of Taxes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Required Withholding</w:t>
      </w:r>
      <w:r>
        <w:rPr>
          <w:rFonts w:ascii="Times New Roman;Times;serif" w:hAnsi="Times New Roman;Times;serif"/>
          <w:b w:val="false"/>
          <w:i w:val="false"/>
          <w:caps w:val="false"/>
          <w:smallCaps w:val="false"/>
          <w:color w:val="000000"/>
          <w:spacing w:val="4"/>
          <w:sz w:val="20"/>
        </w:rPr>
        <w:t xml:space="preserve">.   All Awards under the Plan shall be subject to applicable United States federal (including FICA), state and local, foreign country or other tax withholding requirements. The Employer may require that the Participant or other person receiving Awards or exercising Awards pay to the Employer an amount sufficient to satisfy such tax withholding requirements with respect to such Awards, or the Employer may deduct from other wages and compensation paid by the Employer the amount of any withholding taxes due with respect to such Awards, or the Employer may take such other action as the Committee may deem advisable to enable the Employer to satisfy obligations for the payment of withholding taxes and other tax obligations relating to any Award.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Share Withholding</w:t>
      </w:r>
      <w:r>
        <w:rPr>
          <w:rFonts w:ascii="Times New Roman;Times;serif" w:hAnsi="Times New Roman;Times;serif"/>
          <w:b w:val="false"/>
          <w:i w:val="false"/>
          <w:caps w:val="false"/>
          <w:smallCaps w:val="false"/>
          <w:color w:val="000000"/>
          <w:spacing w:val="4"/>
          <w:sz w:val="20"/>
        </w:rPr>
        <w:t xml:space="preserve">.   The Committee may permit or require the Employer’s tax withholding obligation with respect to Awards paid in Common Stock to be satisfied by having shares withheld up to an amount that does not exceed the Participant’s applicable withholding tax rate for United States federal (including FICA), state and local, foreign country or other tax liabilities. The Committee may, in its discretion, and subject to such rules as the Committee may adopt, allow Participants to elect to have such share withholding applied to all or a portion of the tax withholding obligation arising in connection with any particular Award. Unless the Committee determines otherwise, share withholding for taxes shall not exceed the Participant’s minimum applicable tax withholding amount.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16.   Transferability of Awards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Nontransferability of Awards</w:t>
      </w:r>
      <w:r>
        <w:rPr>
          <w:rFonts w:ascii="Times New Roman;Times;serif" w:hAnsi="Times New Roman;Times;serif"/>
          <w:b w:val="false"/>
          <w:i w:val="false"/>
          <w:caps w:val="false"/>
          <w:smallCaps w:val="false"/>
          <w:color w:val="000000"/>
          <w:spacing w:val="4"/>
          <w:sz w:val="20"/>
        </w:rPr>
        <w:t xml:space="preserve">.   Except as described in subsection (b) below, only the Participant may exercise rights under an Award during the Participant’s lifetime. A Participant may not transfer those rights except (i) by will or by the laws of descent and distribution or (ii) with respect to Awards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Award under the Participant’s will or under the applicable laws of descent and distribution.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Transfer of Nonqualified Stock Options and Stock Awards</w:t>
      </w:r>
      <w:r>
        <w:rPr>
          <w:rFonts w:ascii="Times New Roman;Times;serif" w:hAnsi="Times New Roman;Times;serif"/>
          <w:b w:val="false"/>
          <w:i w:val="false"/>
          <w:caps w:val="false"/>
          <w:smallCaps w:val="false"/>
          <w:color w:val="000000"/>
          <w:spacing w:val="4"/>
          <w:sz w:val="20"/>
        </w:rPr>
        <w:t xml:space="preserve">.   Notwithstanding the foregoing, the Committee may provide, in an Award Agreement or at such other time after the grant of an award, that a Participant may transfer Nonqualified Stock Options or Stock Awards to family members, or one or more trusts or other entities for the benefit of or owned by family members, consistent with the applicable securities laws, according to such terms as the Committee may determine;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Participant receives no consideration for the transfer of an Option or Stock Award and the transferred Option or Stock Award shall continue to be subject to the same terms and conditions as were applicable to the Option or Stock Award immediately before the transfer.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17.   Requirements for Issuance or Transfer of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Common Stock shall be issued or transferred in connection with any Award hereunder unless and until all legal requirements applicable to the issuance or transfer of such Common Stock have been complied with to the satisfaction of the Committee. The Committee shall have the right to condition any Award on the Participant’s undertaking in writing to comply with such restrictions on his or her subsequent disposition of the shares of Common Stock as the Committee shall deem necessary or advisable, and certificates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representing such shares may be legended to reflect any such restrictions. Certificates representing shares of Common Stock issued or transferred under the Plan may be subject to such stop-transfer orders and other restrictions as the Committee deems appropriate to comply with applicable laws, regulations and interpretations, including any requirement that a legend be placed thereon.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18.   Amendment and Termination of the Plan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The Board may amend or terminate the Plan at any time;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Board shall not amend the Plan without stockholder approval if such approval is required in order to comply with the Code or other applicable law, or to comply with applicable stock exchange requirements.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Repricing of Options or SARs</w:t>
      </w:r>
      <w:r>
        <w:rPr>
          <w:rFonts w:ascii="Times New Roman;Times;serif" w:hAnsi="Times New Roman;Times;serif"/>
          <w:b w:val="false"/>
          <w:i w:val="false"/>
          <w:caps w:val="false"/>
          <w:smallCaps w:val="false"/>
          <w:color w:val="000000"/>
          <w:spacing w:val="4"/>
          <w:sz w:val="20"/>
        </w:rPr>
        <w:t xml:space="preserve">.   Except in connection with a corporate transaction involving the Company (including, without limitation, any stock dividend, distribution (whether in the form of cash, Common Stock, other securities or property), stock split, extraordinary cash dividend, recapitalization, change in control, reorganization, merger, consolidation, split-up, spin-off, combination, repurchase or exchange of shares of Common Stock or other securities, or similar transactions), the Company may not, without obtaining stockholder approval, (i) amend the terms of outstanding Options or SARs to reduce the Exercise Price of such outstanding Options or base price of such SARs, (ii) cancel outstanding Options or SARs in exchange for Options or SARs with an Exercise Price or base price, as applicable, that is less than the Exercise Price or base price of the original Options or SARs or (iii) cancel outstanding Options or SARs with an Exercise Price or base price, as applicable, above the current stock price in exchange for cash or other securities.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Termination of Plan</w:t>
      </w:r>
      <w:r>
        <w:rPr>
          <w:rFonts w:ascii="Times New Roman;Times;serif" w:hAnsi="Times New Roman;Times;serif"/>
          <w:b w:val="false"/>
          <w:i w:val="false"/>
          <w:caps w:val="false"/>
          <w:smallCaps w:val="false"/>
          <w:color w:val="000000"/>
          <w:spacing w:val="4"/>
          <w:sz w:val="20"/>
        </w:rPr>
        <w:t xml:space="preserve">.   The Board may amend, suspend or terminate the Plan or any portion thereof at any time, subject to such stockholder approval.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Termination and Amendment of Outstanding Awards</w:t>
      </w:r>
      <w:r>
        <w:rPr>
          <w:rFonts w:ascii="Times New Roman;Times;serif" w:hAnsi="Times New Roman;Times;serif"/>
          <w:b w:val="false"/>
          <w:i w:val="false"/>
          <w:caps w:val="false"/>
          <w:smallCaps w:val="false"/>
          <w:color w:val="000000"/>
          <w:spacing w:val="4"/>
          <w:sz w:val="20"/>
        </w:rPr>
        <w:t xml:space="preserve">.   A termination or amendment of the Plan that occurs after an Award is made shall not materially impair the rights of a Participant with respect to such Award unless the Participant consents or unless the Committee acts under Section 19(f) below. The termination of the Plan shall not impair the power and authority of the Committee with respect to an outstanding Award. Whether or not the Plan has terminated, an outstanding Award may be terminated or amended under Section 19(f) below or may be amended by agreement of the Company and the Participant consistent with the Plan.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19.   Miscellaneous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Awards in Connection with Corporate Transactions and Otherwise</w:t>
      </w:r>
      <w:r>
        <w:rPr>
          <w:rFonts w:ascii="Times New Roman;Times;serif" w:hAnsi="Times New Roman;Times;serif"/>
          <w:b w:val="false"/>
          <w:i w:val="false"/>
          <w:caps w:val="false"/>
          <w:smallCaps w:val="false"/>
          <w:color w:val="000000"/>
          <w:spacing w:val="4"/>
          <w:sz w:val="20"/>
        </w:rPr>
        <w:t xml:space="preserve">.   Nothing contained in the Plan shall be construed to (i) limit the right of the Committee to make Awards under the Plan in connection with the acquisition, by purchase, lease, merger, consolidation or otherwise, of the business or assets of any corporation, firm or association, including Awards to employees thereof who become Employees, or (ii) limit the right of the Company to grant stock options or make other awards outside of the Plan. The Committee may make an Award to an employee of another corporation who becomes an Employee by reason of a corporate merger, consolidation, acquisition of stock or property, reorganization or liquidation involving the Company, in substitution for a stock option or stock awards grant made by such corporation. Notwithstanding anything in the Plan to the contrary, the Committee may establish such terms and conditions of the new Awards as it deems appropriate, including setting the Exercise Price of Options or the base price of SARs at a price necessary to retain for the Participant the same economic value as the prior options or rights.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Governing Document</w:t>
      </w:r>
      <w:r>
        <w:rPr>
          <w:rFonts w:ascii="Times New Roman;Times;serif" w:hAnsi="Times New Roman;Times;serif"/>
          <w:b w:val="false"/>
          <w:i w:val="false"/>
          <w:caps w:val="false"/>
          <w:smallCaps w:val="false"/>
          <w:color w:val="000000"/>
          <w:spacing w:val="4"/>
          <w:sz w:val="20"/>
        </w:rPr>
        <w:t xml:space="preserve">.   The Plan shall be the controlling document. No other statements, representations, explanatory materials or examples, oral or written, may amend the Plan in any manner. The Plan shall be binding upon and enforceable against the Company and its successors and assigns.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Funding of the Plan</w:t>
      </w:r>
      <w:r>
        <w:rPr>
          <w:rFonts w:ascii="Times New Roman;Times;serif" w:hAnsi="Times New Roman;Times;serif"/>
          <w:b w:val="false"/>
          <w:i w:val="false"/>
          <w:caps w:val="false"/>
          <w:smallCaps w:val="false"/>
          <w:color w:val="000000"/>
          <w:spacing w:val="4"/>
          <w:sz w:val="20"/>
        </w:rPr>
        <w:t xml:space="preserve">.   The Plan shall be unfunded. The Company shall not be required to establish any special or separate fund or to make any other segregation of assets to assure the payment of any Awards under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Rights of Participants</w:t>
      </w:r>
      <w:r>
        <w:rPr>
          <w:rFonts w:ascii="Times New Roman;Times;serif" w:hAnsi="Times New Roman;Times;serif"/>
          <w:b w:val="false"/>
          <w:i w:val="false"/>
          <w:caps w:val="false"/>
          <w:smallCaps w:val="false"/>
          <w:color w:val="000000"/>
          <w:spacing w:val="4"/>
          <w:sz w:val="20"/>
        </w:rPr>
        <w:t xml:space="preserve">.   Nothing in the Plan shall entitle any Employee, Non-Employee Director, Key Adviser or other person to any claim or right to receive an Award under the Plan. Neither the Plan nor any action taken hereunder shall be construed as giving any individual any rights to be retained by or in the employ of the Employer or any other employment rights.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Fractional Shares</w:t>
      </w:r>
      <w:r>
        <w:rPr>
          <w:rFonts w:ascii="Times New Roman;Times;serif" w:hAnsi="Times New Roman;Times;serif"/>
          <w:b w:val="false"/>
          <w:i w:val="false"/>
          <w:caps w:val="false"/>
          <w:smallCaps w:val="false"/>
          <w:color w:val="000000"/>
          <w:spacing w:val="4"/>
          <w:sz w:val="20"/>
        </w:rPr>
        <w:t xml:space="preserve">.   No fractional shares of Common Stock shall be issued or delivered pursuant to the Plan or any Award. Except as otherwise provided under the Plan, the Committee shall determine whether cash, other awards or other property shall be issued or paid in lieu of such fractional shares or whether such fractional shares or any rights thereto shall be forfeited or otherwise eliminated.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Compliance with Law</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Plan, the exercise of Options and SARs and the obligations of the Company to issue or transfer shares of Common Stock under Awards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Awards comply with the requirements of Section 409A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Award if it is contrary to law or modify an Award to bring it into compliance with any valid and mandatory government regulation. The Committee may also adopt rules regarding the withholding of taxes on payments to Participants. The Committee may, in its sole discretion, agree to limit its authority under this Section.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Plan is intended to comply with the requirements of Section 409A of the Code, to the extent applicable. Each Award shall be construed and administered such that the Award either (A) qualifies for an exemption from the requirements of Section 409A of the Code or (B) satisfies the requirements of Section 409A of the Code. If an Award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Award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Any Award that is subject to Section 409A of the Code and that is to be distributed to a Key Employee (as defined below) upon separation from service shall be administered so that any distribution with respect to such Award shall be postponed for six months following the date of the Participant’s separation from service, if required by Section 409A of the Code. If a distribution is delayed pursuant to Section 409A of the Code, the distribution shall be paid within 15 days after the end of the six-month period. If the Participant dies during such six-month period, any postponed amounts shall be paid within 90 days of the Participant’s death. The determination and identification of “</w:t>
      </w:r>
      <w:r>
        <w:rPr>
          <w:rFonts w:ascii="Times New Roman;Times;serif" w:hAnsi="Times New Roman;Times;serif"/>
          <w:b/>
          <w:i w:val="false"/>
          <w:caps w:val="false"/>
          <w:smallCaps w:val="false"/>
          <w:color w:val="000000"/>
          <w:spacing w:val="-4"/>
          <w:sz w:val="20"/>
          <w:u w:val="single"/>
        </w:rPr>
        <w:t>Key Employees</w:t>
      </w:r>
      <w:r>
        <w:rPr>
          <w:rFonts w:ascii="Times New Roman;Times;serif" w:hAnsi="Times New Roman;Times;serif"/>
          <w:b w:val="false"/>
          <w:i w:val="false"/>
          <w:caps w:val="false"/>
          <w:smallCaps w:val="false"/>
          <w:color w:val="000000"/>
          <w:spacing w:val="4"/>
          <w:sz w:val="20"/>
        </w:rPr>
        <w:t xml:space="preserve">”, including the number and identity of persons considered Key Employees and the identification date, shall be made by the Committee or its delegate each year in accordance with Section 416(i) of the Code and the “specified employee” requirements of Section 409A of the Code.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Notwithstanding anything in the Plan or any Award Agreement to the contrary, each Participant shall be solely responsible for the tax consequences of Awards under the Plan, and in no event shall the Company or any subsidiary or Affiliate of the Company have any responsibility or liability if an Award does not meet any applicable requirements of Section 409A of the Code. Although the Company intends to administer the Plan to prevent taxation under Section 409A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the Company does not represent or warrant that the Plan or any Award complies with any provision of federal, state, local or other tax law.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Awards in Foreign Countries; Establishment of Subplans</w:t>
      </w:r>
      <w:r>
        <w:rPr>
          <w:rFonts w:ascii="Times New Roman;Times;serif" w:hAnsi="Times New Roman;Times;serif"/>
          <w:b w:val="false"/>
          <w:i w:val="false"/>
          <w:caps w:val="false"/>
          <w:smallCaps w:val="false"/>
          <w:color w:val="000000"/>
          <w:spacing w:val="4"/>
          <w:sz w:val="20"/>
        </w:rPr>
        <w:t xml:space="preserve">.   The Committee has the authority to award Awards to Participants who are foreign nationals or employed outside the United States on any different terms and conditions than those specified in the Plan that the Committee, in its discretion, believes to be necessary or desirable to accommodate differences in applicable law, tax policy, or custom, while furthering the purposes of the Plan.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Employer shall not be required to provide copies of any supplement to Participants in any jurisdiction that is not affected. Notwithstanding the foregoing, the Committee may not approve any sub-plan inconsistent with the terms or share limits in the Plan or which would otherwise cause the Plan to cease to satisfy any conditions under Rule 16b-3 under the 1934 Act.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Company Policies and Clawback Rights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All Awards under the Plan shall be subject to any applicable clawback or recoupment policies, share trading policies and other policies that may be approved or implemented by the Board or the Committee from time to time, whether or not approved before or after the Effective Date. The Company may offset any payments due under this Plan or in connection with an Award to a Participant by any required repayments that such Participant under any applicable clawback or recoupment policy;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than any application of a clawback policy or offset in respect thereof will be applied consistent with Section 409A (as defined below). </w:t>
      </w:r>
    </w:p>
    <w:p>
      <w:pPr>
        <w:pStyle w:val="TextBody"/>
        <w:spacing w:lineRule="atLeast" w:line="24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Subject to the requirements of applicable law, the Committee may provide in any Award Agreement that, if a Participant breaches any restrictive covenant obligation or agreement between the Participant and the Employer (which may be set forth in any Award Agreement) or otherwise engages in activities that constitute Cause either while employed by, or providing service to, the Employer or within a specified period of time thereafter, all Awards held by the Participant shall terminate, and the Company may rescind any exercise of an Option or SAR and the vesting of any other Award and delivery of shares upon such exercise or vesting (including pursuant to dividends and Dividend Equivalents), as applicable on such terms as the Committee shall determine, including the right to require that in the event of any such rescission, (i) the Participant shall return to the Company the shares received upon the exercise of any Option or SAR and/or the vesting and payment of any other Award (including pursuant to dividends and Dividend Equivalents)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Award Agreement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The validity, construction, interpretation and effect of the Plan and Award Agreements issued under the Plan shall be governed and construed by and determined in accordance with the laws of the State of Delaware, without giving effect to the conflict of laws provisions thereof. Any action arising out of, or relating to, any of the provisions of the Plan and Awards made hereunder shall be brought only in the United States District Court for the District of Delaware, or if such court does not have jurisdiction or will not accept jurisdiction, in any court of general jurisdiction in the State of Delaware, and the jurisdiction of such court in any such proceeding shall be exclusive.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9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spacing w:lineRule="atLeast" w:line="141" w:before="140"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ATN INTERNATIONAL, INC.500 CUMMINGS CENTER, SUITE 2450BEVERLY, MA 01915SCAN TOVIEW MATERIALS &amp; VOTEVOTE BY INTERNET - www.proxyvote.com or scan the QR Barcode aboveUse the Internet to transmit your voting instructions and for electronic deliveryof information up until 11:59 p.m. Eastern Time the day before the cut-off dateor meeting date. Have your proxy card in hand when you access the web siteand follow the instructions to obtain your records and to create an electronicvoting instruction form.VOTE BY PHONE - 1-800-690-6903Use any touch-tone telephone to transmit your voting instructions up until11:59 p.m. Eastern Time the day before the cut-off date or meeting date. Haveyour proxy card in hand when you call and then follow the instructions.VOTE BY MAILMark, sign and date your proxy card and return it in the postage-paidenvelope we have provided or return it to Vote Processing, c/o Broadridge,51 Mercedes Way, Edgewood, NY 11717.TO VOTE, MARK BLOCKS BELOW IN BLUE OR BLACK INK AS FOLLOWS:V07279-P86089KEEP THIS PORTION FOR YOUR RECORDSTHIS PROXY CARD IS VALID ONLY WHEN SIGNED AND DATED.DETACH AND RETURN THIS PORTION ONLYATN INTERNATIONAL, INC.The Board of Directors recommends you vote FORthe following:1. To elect the </w:t>
      </w:r>
    </w:p>
    <w:p>
      <w:pPr>
        <w:pStyle w:val="TextBody"/>
        <w:spacing w:lineRule="atLeast" w:line="141"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following seven (7) directors to serve on theBoard of Directors of the Company until their successorsare elected and qualified or their earlier death, resignationor removal:Nominees:For Against AbstainThe Board of Directors recommends you vote FORproposals 2 and 3.For Against Abstain1a. Bernard J. Bulkin2. To approve the adoption of the Company’s 2023 EquityCompensation Plan and the reservation of 1,400,000shares of Company common stock for issuancetherewith.1b. Richard J. Ganong1c. April V. Henry3. To hold an advisory vote (known as a “Say on Pay” vote) on thecompensation of the Company’s named executive officers.1d. Derek HudsonThe Board of Directors recommends you vote3 Years on proposal 4.3 Years 2 Years 1 Year Abstain1e. Patricia Jacobs4. To hold an advisory vote (known as a "SayWhen on Pay" vote) on the frequency offuture advisory votes on the compensationof our named executive officers.1f. Pamela F. Lenehan1g. Michael T. PriorThe Board of Directors recommends you vote FORproposal 5.For Against AbstainYes No5. To ratify the selection of PricewaterhouseCoopers LLPas independent auditors for the Company for the fiscalyear ending December 31, 2023.Please indicate if you plan to attend this meeting.NOTE: In their discretion, the Proxies are authorized to vote uponsuch other further business, if any, as may properly come beforethe meeting or any adjournment or postponement thereof.Please sign exactly as your name(s) appear(s) hereon. When signing as attorney, executor, administrator, or other fiduciary, please give full title as such. Jointowners should each sign personally. All holders must sign. If a corporation or partnership, please sign in full corporate or partnership name by authorized officer.Signature [PLEASE SIGN WITHIN BOX] Date Signature (Joint Owners) Date</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TextBody"/>
        <w:spacing w:before="0" w:after="0"/>
        <w:ind w:left="0"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9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 descr=""/>
                    <pic:cNvPicPr>
                      <a:picLocks noChangeAspect="1" noChangeArrowheads="1"/>
                    </pic:cNvPicPr>
                  </pic:nvPicPr>
                  <pic:blipFill>
                    <a:blip r:embed="rId10"/>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Important notice regarding the Internet availability of proxy materialsfor the Annual Meeting of Stockholders to be held on June 6, 2023.The Proxy Statement, Letter to Stockholders and the Annual Report on Form 10-K for the fiscal year endedDecember 31, 2022, are available at http://ir.atni.com/financials.cfmThe annual meeting is scheduled to take place at 9:00 a.m., local time, at 500 Cummings Center, Suite 2450, Beverly, MA 01915.Even if you expect to attend the annual meeting, please promptly complete, sign, date and mail this proxy card. Stockholders who attend the meeting may revoke their proxies and vote during the meeting if they so desire.V07280-P86089ATN INTERNATIONAL, INC.ANNUAL MEETING OF STOCKHOLDERS - JUNE 6, 2023THIS PROXY IS SOLICITED BY THE BOARD OF DIRECTORS OF THE COMPANYThe undersigned appoints Michael T. Prior and Mary M. Mabey and each of them, as proxies, each with the power of substitution, and hereby authorizes them to represent and to vote as instructed herein, all shares of Common Stock of ATN International, Inc.held of record by the undersigned on April 14, 2023, at the Annual Meeting of Stockholders to be held on June 6, 2023 or any adjournment or postponement thereof on the matters set forth in the Notice and Proxy Statement.THIS PROXY WHEN PROPERLY EXECUTED WILL </w:t>
      </w:r>
    </w:p>
    <w:p>
      <w:pPr>
        <w:pStyle w:val="TextBody"/>
        <w:spacing w:lineRule="atLeast" w:line="141" w:before="18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BE VOTED IN THE MANNER INSTRUCTED ON THE REVERSE SIDE. IF NO INSTRUCTIONS ARE INDICATED, THE PROXY WILL BE VOTED "FOR" ALL NOMINEES LISTED IN ITEM 1, "FOR" ITEMS 2, 3,AND 5 AND "3 YEARS" ON ITEM 4 AND AT THE DISCRETION OF THE PROXIES NAMED ABOVE, ON ANY OTHER MATTERS THAT MAY PROPERLY COME BEFORE THE MEETING OR ANY ADJOURNMENTS OR POSTPONEMENTS THEREOF.(Continued and to be marked, dated and signed on other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43977</Words>
  <CharactersWithSpaces>285966</CharactersWithSpaces>
  <Paragraphs>7554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