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163195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72" w:lineRule="exact"/>
        <w:rPr>
          <w:sz w:val="24"/>
          <w:szCs w:val="24"/>
          <w:color w:val="auto"/>
        </w:rPr>
      </w:pPr>
    </w:p>
    <w:p>
      <w:pPr>
        <w:ind w:left="660" w:right="200" w:hanging="409"/>
        <w:spacing w:after="0" w:line="27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220"/>
        <w:spacing w:after="0" w:line="230" w:lineRule="exact"/>
        <w:tabs>
          <w:tab w:leader="none" w:pos="64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Times New Roman" w:cs="Times New Roman" w:eastAsia="Times New Roman" w:hAnsi="Times New Roman"/>
          <w:sz w:val="19"/>
          <w:szCs w:val="19"/>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-102235</wp:posOffset>
            </wp:positionV>
            <wp:extent cx="3429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 1934</w:t>
      </w:r>
    </w:p>
    <w:p>
      <w:pPr>
        <w:spacing w:after="0" w:line="120" w:lineRule="exact"/>
        <w:rPr>
          <w:sz w:val="24"/>
          <w:szCs w:val="24"/>
          <w:color w:val="auto"/>
        </w:rPr>
      </w:pPr>
    </w:p>
    <w:p>
      <w:pPr>
        <w:ind w:left="310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-3175</wp:posOffset>
            </wp:positionV>
            <wp:extent cx="882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184785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ATN INTERNATIONAL, INC.</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0"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378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47-0728886</w:t>
            </w:r>
          </w:p>
        </w:tc>
      </w:tr>
      <w:tr>
        <w:trPr>
          <w:trHeight w:val="135"/>
        </w:trPr>
        <w:tc>
          <w:tcPr>
            <w:tcW w:w="3780" w:type="dxa"/>
            <w:vAlign w:val="bottom"/>
          </w:tcPr>
          <w:p>
            <w:pPr>
              <w:jc w:val="center"/>
              <w:ind w:right="16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720" w:type="dxa"/>
            <w:vAlign w:val="bottom"/>
          </w:tcPr>
          <w:p>
            <w:pPr>
              <w:jc w:val="center"/>
              <w:ind w:left="171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33"/>
        </w:trPr>
        <w:tc>
          <w:tcPr>
            <w:tcW w:w="3780" w:type="dxa"/>
            <w:vAlign w:val="bottom"/>
          </w:tcPr>
          <w:p>
            <w:pPr>
              <w:jc w:val="center"/>
              <w:ind w:right="1717"/>
              <w:spacing w:after="0" w:line="133" w:lineRule="exact"/>
              <w:rPr>
                <w:sz w:val="20"/>
                <w:szCs w:val="20"/>
                <w:color w:val="auto"/>
              </w:rPr>
            </w:pPr>
            <w:r>
              <w:rPr>
                <w:rFonts w:ascii="Times New Roman" w:cs="Times New Roman" w:eastAsia="Times New Roman" w:hAnsi="Times New Roman"/>
                <w:sz w:val="13"/>
                <w:szCs w:val="13"/>
                <w:color w:val="auto"/>
                <w:w w:val="96"/>
              </w:rPr>
              <w:t>incorporation or organization)</w:t>
            </w:r>
          </w:p>
        </w:tc>
        <w:tc>
          <w:tcPr>
            <w:tcW w:w="2720" w:type="dxa"/>
            <w:vAlign w:val="bottom"/>
          </w:tcPr>
          <w:p>
            <w:pPr>
              <w:jc w:val="center"/>
              <w:ind w:left="1717"/>
              <w:spacing w:after="0" w:line="133" w:lineRule="exact"/>
              <w:rPr>
                <w:sz w:val="20"/>
                <w:szCs w:val="20"/>
                <w:color w:val="auto"/>
              </w:rPr>
            </w:pPr>
            <w:r>
              <w:rPr>
                <w:rFonts w:ascii="Times New Roman" w:cs="Times New Roman" w:eastAsia="Times New Roman" w:hAnsi="Times New Roman"/>
                <w:sz w:val="13"/>
                <w:szCs w:val="13"/>
                <w:color w:val="auto"/>
                <w:w w:val="97"/>
              </w:rPr>
              <w:t>Identification No.)</w:t>
            </w:r>
          </w:p>
        </w:tc>
      </w:tr>
      <w:tr>
        <w:trPr>
          <w:trHeight w:val="135"/>
        </w:trPr>
        <w:tc>
          <w:tcPr>
            <w:tcW w:w="3780" w:type="dxa"/>
            <w:vAlign w:val="bottom"/>
          </w:tcPr>
          <w:p>
            <w:pPr>
              <w:jc w:val="center"/>
              <w:ind w:right="1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500 Cummings Center, Suite 2450</w:t>
            </w:r>
          </w:p>
        </w:tc>
        <w:tc>
          <w:tcPr>
            <w:tcW w:w="2720" w:type="dxa"/>
            <w:vAlign w:val="bottom"/>
          </w:tcPr>
          <w:p>
            <w:pPr>
              <w:spacing w:after="0"/>
              <w:rPr>
                <w:sz w:val="11"/>
                <w:szCs w:val="11"/>
                <w:color w:val="auto"/>
              </w:rPr>
            </w:pPr>
          </w:p>
        </w:tc>
      </w:tr>
      <w:tr>
        <w:trPr>
          <w:trHeight w:val="137"/>
        </w:trPr>
        <w:tc>
          <w:tcPr>
            <w:tcW w:w="3780" w:type="dxa"/>
            <w:vAlign w:val="bottom"/>
          </w:tcPr>
          <w:p>
            <w:pPr>
              <w:jc w:val="center"/>
              <w:ind w:right="1717"/>
              <w:spacing w:after="0" w:line="137" w:lineRule="exact"/>
              <w:rPr>
                <w:sz w:val="20"/>
                <w:szCs w:val="20"/>
                <w:color w:val="auto"/>
              </w:rPr>
            </w:pPr>
            <w:r>
              <w:rPr>
                <w:rFonts w:ascii="Times New Roman" w:cs="Times New Roman" w:eastAsia="Times New Roman" w:hAnsi="Times New Roman"/>
                <w:sz w:val="13"/>
                <w:szCs w:val="13"/>
                <w:b w:val="1"/>
                <w:bCs w:val="1"/>
                <w:color w:val="auto"/>
                <w:w w:val="95"/>
              </w:rPr>
              <w:t>Beverly, Massachusetts</w:t>
            </w:r>
          </w:p>
        </w:tc>
        <w:tc>
          <w:tcPr>
            <w:tcW w:w="2720" w:type="dxa"/>
            <w:vAlign w:val="bottom"/>
          </w:tcPr>
          <w:p>
            <w:pPr>
              <w:jc w:val="right"/>
              <w:ind w:right="257"/>
              <w:spacing w:after="0" w:line="137" w:lineRule="exact"/>
              <w:rPr>
                <w:sz w:val="20"/>
                <w:szCs w:val="20"/>
                <w:color w:val="auto"/>
              </w:rPr>
            </w:pPr>
            <w:r>
              <w:rPr>
                <w:rFonts w:ascii="Times New Roman" w:cs="Times New Roman" w:eastAsia="Times New Roman" w:hAnsi="Times New Roman"/>
                <w:sz w:val="13"/>
                <w:szCs w:val="13"/>
                <w:b w:val="1"/>
                <w:bCs w:val="1"/>
                <w:color w:val="auto"/>
              </w:rPr>
              <w:t>01915</w:t>
            </w:r>
          </w:p>
        </w:tc>
      </w:tr>
      <w:tr>
        <w:trPr>
          <w:trHeight w:val="164"/>
        </w:trPr>
        <w:tc>
          <w:tcPr>
            <w:tcW w:w="3780" w:type="dxa"/>
            <w:vAlign w:val="bottom"/>
          </w:tcPr>
          <w:p>
            <w:pPr>
              <w:jc w:val="center"/>
              <w:ind w:right="171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20" w:type="dxa"/>
            <w:vAlign w:val="bottom"/>
          </w:tcPr>
          <w:p>
            <w:pPr>
              <w:jc w:val="center"/>
              <w:ind w:left="1697"/>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(978) 619-1300</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6"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w:t>
            </w:r>
          </w:p>
        </w:tc>
        <w:tc>
          <w:tcPr>
            <w:tcW w:w="0" w:type="dxa"/>
            <w:vAlign w:val="bottom"/>
          </w:tcPr>
          <w:p>
            <w:pPr>
              <w:spacing w:after="0"/>
              <w:rPr>
                <w:sz w:val="1"/>
                <w:szCs w:val="1"/>
                <w:color w:val="auto"/>
              </w:rPr>
            </w:pPr>
          </w:p>
        </w:tc>
      </w:tr>
      <w:tr>
        <w:trPr>
          <w:trHeight w:val="99"/>
        </w:trPr>
        <w:tc>
          <w:tcPr>
            <w:tcW w:w="2420" w:type="dxa"/>
            <w:vAlign w:val="bottom"/>
            <w:gridSpan w:val="2"/>
            <w:vMerge w:val="continue"/>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0" w:type="dxa"/>
            <w:vAlign w:val="bottom"/>
          </w:tcPr>
          <w:p>
            <w:pPr>
              <w:spacing w:after="0"/>
              <w:rPr>
                <w:sz w:val="1"/>
                <w:szCs w:val="1"/>
                <w:color w:val="auto"/>
              </w:rPr>
            </w:pPr>
          </w:p>
        </w:tc>
      </w:tr>
      <w:tr>
        <w:trPr>
          <w:trHeight w:val="77"/>
        </w:trPr>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Common Stock, par value $.01 per share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ATNI</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firstLine="32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60"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1" w:right="899" w:bottom="1440" w:gutter="0" w:footer="0" w:header="0"/>
        </w:sectPr>
      </w:pPr>
    </w:p>
    <w:p>
      <w:pPr>
        <w:spacing w:after="0" w:line="83" w:lineRule="exact"/>
        <w:rPr>
          <w:sz w:val="24"/>
          <w:szCs w:val="24"/>
          <w:color w:val="auto"/>
        </w:rPr>
      </w:pPr>
    </w:p>
    <w:p>
      <w:pPr>
        <w:ind w:left="168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sectPr>
          <w:pgSz w:w="11900" w:h="16838" w:orient="portrait"/>
          <w:cols w:equalWidth="0" w:num="2">
            <w:col w:w="6340" w:space="720"/>
            <w:col w:w="3100"/>
          </w:cols>
          <w:pgMar w:left="840" w:top="661" w:right="899" w:bottom="1440" w:gutter="0" w:footer="0" w:header="0"/>
          <w:type w:val="continuous"/>
        </w:sectPr>
      </w:pPr>
    </w:p>
    <w:p>
      <w:pPr>
        <w:ind w:left="1720"/>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5980" w:space="720"/>
            <w:col w:w="3460"/>
          </w:cols>
          <w:pgMar w:left="840" w:top="661" w:right="899" w:bottom="1440" w:gutter="0" w:footer="0" w:header="0"/>
          <w:type w:val="continuous"/>
        </w:sectPr>
      </w:pPr>
    </w:p>
    <w:p>
      <w:pPr>
        <w:spacing w:after="0" w:line="4" w:lineRule="exact"/>
        <w:rPr>
          <w:sz w:val="24"/>
          <w:szCs w:val="24"/>
          <w:color w:val="auto"/>
        </w:rPr>
      </w:pPr>
    </w:p>
    <w:p>
      <w:pPr>
        <w:ind w:left="670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160"/>
          </w:cols>
          <w:pgMar w:left="840" w:top="661" w:right="899" w:bottom="1440" w:gutter="0" w:footer="0" w:header="0"/>
          <w:type w:val="continuous"/>
        </w:sectPr>
      </w:pPr>
    </w:p>
    <w:p>
      <w:pPr>
        <w:spacing w:after="0" w:line="227" w:lineRule="exact"/>
        <w:rPr>
          <w:sz w:val="24"/>
          <w:szCs w:val="24"/>
          <w:color w:val="auto"/>
        </w:rPr>
      </w:pPr>
    </w:p>
    <w:p>
      <w:pPr>
        <w:ind w:right="20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left="320"/>
        <w:spacing w:after="0" w:line="215" w:lineRule="exact"/>
        <w:tabs>
          <w:tab w:leader="none" w:pos="8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17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August 11, 2025, the registrant had outstanding 15,257,391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543560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140335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123190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June 30, 2025</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 LOOKING STATEMENTS</w:t>
            </w:r>
          </w:p>
        </w:tc>
        <w:tc>
          <w:tcPr>
            <w:tcW w:w="1900" w:type="dxa"/>
            <w:vAlign w:val="bottom"/>
            <w:gridSpan w:val="6"/>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Unaudited Condensed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at June 30, 2025 and December 31,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June 30, 2025</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and Six Months</w:t>
            </w:r>
          </w:p>
        </w:tc>
        <w:tc>
          <w:tcPr>
            <w:tcW w:w="36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2025 and 2024</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and Six Months Ended June 30, 2025 and</w:t>
            </w: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2025 and 2024</w:t>
            </w:r>
          </w:p>
        </w:tc>
        <w:tc>
          <w:tcPr>
            <w:tcW w:w="24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8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260" w:type="dxa"/>
            <w:vAlign w:val="bottom"/>
            <w:tcBorders>
              <w:left w:val="single" w:sz="8" w:color="0000EE"/>
            </w:tcBorders>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56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6"/>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6"/>
            <w:shd w:val="clear" w:color="auto" w:fill="0000EE"/>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5</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2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120" w:type="dxa"/>
            <w:vAlign w:val="bottom"/>
            <w:gridSpan w:val="1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53"/>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6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0" w:lineRule="exact"/>
        <w:rPr>
          <w:sz w:val="20"/>
          <w:szCs w:val="20"/>
          <w:color w:val="auto"/>
        </w:rPr>
      </w:pPr>
    </w:p>
    <w:p>
      <w:pPr>
        <w:spacing w:after="0" w:line="286"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(or the “Report”) contains forward-looking statements relating to, among other matters, the Company’s future financial performance, business goals and objectives, and results of operations, expectations regarding its strategic investment plan, its future revenues, operating income, operating margin, cash flows, network and operating costs, EBITDA, Adjusted EBITDA, Net Debt, Net Debt Ratio, cost management initiatives, and capital investments; demand for the Company’s services and industry trends; the timing of revenue, the Company’s liquidity; the expansion of the Company’s customer base and networks; receipt of certain government grants and management’s plans, expectations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the Company’s operations, including operating margins, revenues, capital expenditures, the impact of cost savings initiatives, and the retention of and future growth of the Company’s subscriber base and ARPU; (2) the Company’s reliance on a limited number of key suppliers and vendors for timely supply of equipment and services relating to the Company’s network infrastructure; (3) the Company’s ability to satisfy the needs and demands of the Company’s major carrier customers; (4) the Company’s ability to realize expansion plans for its fiber markets; (5) the adequacy and expansion capabilities of the Company’s network capacity and customer service system to support the Company’s customer growth; (6) the Company’s ability to efficiently and cost-effectively upgrade the Company’s networks and information technology platforms to address rapid and significant technological changes in the telecommunications industry; (7) the Company’s continued access to capital and credit markets on terms it deems favorable; (8) government subsidy program availability and regulation of the Company’s businesses, which may impact the Company’s telecommunications licenses, the Company’s revenue and the Company’s operating costs; (9) the Company’s ability to successfully transition its US Telecom business away from wholesale mobility to other carrier and consumer-based services; (10) ongoing risk of an economic downturn, political, geopolitical and other risks and opportunities facing the Company’s operations, including those resulting from changes to trade policies or tariff regulations, financial market volatility and disruption, uncertain economic conditions in the U.S. and abroad, inflationary concerns, and other macroeconomic headwinds including increased costs and supply chain disruptions; (11) management transitions, and the loss of, or an inability to recruit skilled personnel in the Company’s various jurisdictions, including key members of management; (12) the Company’s ability to find investment or acquisition or disposition opportunities that fit the strategic goals of the Company; (13) the occurrence of weather events and natural catastrophes and the Company’s ability to secure the appropriate level of insurance coverage for these assets; and the impact of such events on the timing of project implementation and corresponding revenue, and (14) increased competition. These and other additional factors that may cause actual future events and results to differ materially from the events and results indicated in the forward-looking statements above are set forth more fully under Item 1A “Risk Factors” of the Company’s Annual Report on Form 10-K for the year ended December 31, 2024, filed with the SEC on March 17, 2025, and the other reports the Company files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w:t>
      </w:r>
    </w:p>
    <w:p>
      <w:pPr>
        <w:spacing w:after="0" w:line="240"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9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98,965</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$14.1 million and $15.1 million, respectively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Government grant receivables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Customer receivable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materials and supplies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7,757</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327,752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309,161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 net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1,010,631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1,040,193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Telecommunication licenses, net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99,427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 long term</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107,228</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1,707,006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14,851</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customer receivable credit facility</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169,064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taxes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 payments and deposits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46,381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269,024</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excluding current portion</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 long-term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60,845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credit facility, net of current portion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excluding current portion</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568,548</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549,130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1,060,519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1,055,349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redeemable noncontrolling interests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68,669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redeemable noncontrolling interests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10,046</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78,715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76,303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ATN International, Inc. Stockholders’ Equity:</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$0.01 par value per share; 10,000,000 shares authorized, none issued and outstanding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6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50,000,000 shares authorized; 18,061,239 and 17,879,110 shares</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issued, respectively, 15,257,391 and 15,114,216 shares outstanding, respectively</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Treasury stock, at cost; 2,803,848 and 2,764,894 shares, respectively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333,231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11,634</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ATN International, Inc. stockholders’ equity</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458,719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489,493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109,053</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567,772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595,451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redeemable noncontrolling interests and equity</w:t>
            </w:r>
          </w:p>
        </w:tc>
        <w:tc>
          <w:tcPr>
            <w:tcW w:w="3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1,707,006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8"/>
              </w:rPr>
              <w:t>Three months ended June 30,</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6"/>
              </w:rPr>
              <w:t>Six months ended June 30,</w:t>
            </w:r>
          </w:p>
        </w:tc>
        <w:tc>
          <w:tcPr>
            <w:tcW w:w="0" w:type="dxa"/>
            <w:vAlign w:val="bottom"/>
          </w:tcPr>
          <w:p>
            <w:pPr>
              <w:spacing w:after="0"/>
              <w:rPr>
                <w:sz w:val="1"/>
                <w:szCs w:val="1"/>
                <w:color w:val="auto"/>
              </w:rPr>
            </w:pPr>
          </w:p>
        </w:tc>
      </w:tr>
      <w:tr>
        <w:trPr>
          <w:trHeight w:val="129"/>
        </w:trPr>
        <w:tc>
          <w:tcPr>
            <w:tcW w:w="52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Communication services</w:t>
            </w:r>
          </w:p>
        </w:tc>
        <w:tc>
          <w:tcPr>
            <w:tcW w:w="28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174,874</w:t>
            </w:r>
          </w:p>
        </w:tc>
        <w:tc>
          <w:tcPr>
            <w:tcW w:w="3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177,365</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348,905</w:t>
            </w:r>
          </w:p>
        </w:tc>
        <w:tc>
          <w:tcPr>
            <w:tcW w:w="140" w:type="dxa"/>
            <w:vAlign w:val="bottom"/>
          </w:tcPr>
          <w:p>
            <w:pPr>
              <w:spacing w:after="0"/>
              <w:rPr>
                <w:sz w:val="12"/>
                <w:szCs w:val="12"/>
                <w:color w:val="auto"/>
              </w:rPr>
            </w:pP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358,633</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148"/>
        </w:trPr>
        <w:tc>
          <w:tcPr>
            <w:tcW w:w="52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5,096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8,427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9,037</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181,300</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183,281</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360,594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370,076</w:t>
            </w:r>
          </w:p>
        </w:tc>
        <w:tc>
          <w:tcPr>
            <w:tcW w:w="0" w:type="dxa"/>
            <w:vAlign w:val="bottom"/>
          </w:tcPr>
          <w:p>
            <w:pPr>
              <w:spacing w:after="0"/>
              <w:rPr>
                <w:sz w:val="1"/>
                <w:szCs w:val="1"/>
                <w:color w:val="auto"/>
              </w:rPr>
            </w:pPr>
          </w:p>
        </w:tc>
      </w:tr>
      <w:tr>
        <w:trPr>
          <w:trHeight w:val="104"/>
        </w:trPr>
        <w:tc>
          <w:tcPr>
            <w:tcW w:w="524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i w:val="1"/>
                <w:iCs w:val="1"/>
                <w:color w:val="auto"/>
              </w:rPr>
              <w:t>(excluding depreciation and amortization unless otherwise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indicated)</w:t>
            </w: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communication services and other</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77,165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155,389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156,527</w:t>
            </w:r>
          </w:p>
        </w:tc>
        <w:tc>
          <w:tcPr>
            <w:tcW w:w="0" w:type="dxa"/>
            <w:vAlign w:val="bottom"/>
          </w:tcPr>
          <w:p>
            <w:pPr>
              <w:spacing w:after="0"/>
              <w:rPr>
                <w:sz w:val="1"/>
                <w:szCs w:val="1"/>
                <w:color w:val="auto"/>
              </w:rPr>
            </w:pPr>
          </w:p>
        </w:tc>
      </w:tr>
      <w:tr>
        <w:trPr>
          <w:trHeight w:val="149"/>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construction 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2,382</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56,160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118,979</w:t>
            </w: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Transaction-related charges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Restructuring and reorganization expenses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6,737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33,863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69,897</w:t>
            </w: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intangibles from acquisitions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3,924</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on disposition of assets and transfers</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2,685</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(16,422)</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181,067</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158,965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357,694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341,186</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24,316</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28,890</w:t>
            </w:r>
          </w:p>
        </w:tc>
        <w:tc>
          <w:tcPr>
            <w:tcW w:w="0" w:type="dxa"/>
            <w:vAlign w:val="bottom"/>
          </w:tcPr>
          <w:p>
            <w:pPr>
              <w:spacing w:after="0"/>
              <w:rPr>
                <w:sz w:val="1"/>
                <w:szCs w:val="1"/>
                <w:color w:val="auto"/>
              </w:rPr>
            </w:pPr>
          </w:p>
        </w:tc>
      </w:tr>
      <w:tr>
        <w:trPr>
          <w:trHeight w:val="142"/>
        </w:trPr>
        <w:tc>
          <w:tcPr>
            <w:tcW w:w="5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(24,760)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Other expense</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(12,775)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(27,514)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(23,677)</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(13,036)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(24,614)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5,213</w:t>
            </w:r>
          </w:p>
        </w:tc>
        <w:tc>
          <w:tcPr>
            <w:tcW w:w="0" w:type="dxa"/>
            <w:vAlign w:val="bottom"/>
          </w:tcPr>
          <w:p>
            <w:pPr>
              <w:spacing w:after="0"/>
              <w:rPr>
                <w:sz w:val="1"/>
                <w:szCs w:val="1"/>
                <w:color w:val="auto"/>
              </w:rPr>
            </w:pPr>
          </w:p>
        </w:tc>
      </w:tr>
      <w:tr>
        <w:trPr>
          <w:trHeight w:val="148"/>
        </w:trPr>
        <w:tc>
          <w:tcPr>
            <w:tcW w:w="52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(3,776)</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(3,967)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1,822</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(9,260)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(20,647)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3,391</w:t>
            </w:r>
          </w:p>
        </w:tc>
        <w:tc>
          <w:tcPr>
            <w:tcW w:w="0" w:type="dxa"/>
            <w:vAlign w:val="bottom"/>
          </w:tcPr>
          <w:p>
            <w:pPr>
              <w:spacing w:after="0"/>
              <w:rPr>
                <w:sz w:val="1"/>
                <w:szCs w:val="1"/>
                <w:color w:val="auto"/>
              </w:rPr>
            </w:pPr>
          </w:p>
        </w:tc>
      </w:tr>
      <w:tr>
        <w:trPr>
          <w:trHeight w:val="126"/>
        </w:trPr>
        <w:tc>
          <w:tcPr>
            <w:tcW w:w="52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Net loss attributable to noncontrolling interests, net of tax (benefit) expense of $(0.2)</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million, ($0.4) million, $(0.4) million and $(0.1) million respectively</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524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NET INCOME (LOSS) ATTRIBUTABLE TO ATN INTERNATIONAL, INC.</w:t>
            </w:r>
          </w:p>
        </w:tc>
        <w:tc>
          <w:tcPr>
            <w:tcW w:w="28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(7,026)</w:t>
            </w:r>
          </w:p>
        </w:tc>
        <w:tc>
          <w:tcPr>
            <w:tcW w:w="32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(15,954)</w:t>
            </w:r>
          </w:p>
        </w:tc>
        <w:tc>
          <w:tcPr>
            <w:tcW w:w="14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8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INCOME (LOSS) PER WEIGHTED AVERAGE SHARE ATTRIBUTABLE</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5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 ATN INTERNATIONAL, INC. STOCKHOLDERS: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8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32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(0.56)</w:t>
            </w:r>
          </w:p>
        </w:tc>
        <w:tc>
          <w:tcPr>
            <w:tcW w:w="1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0.50</w:t>
            </w: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5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15,223</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15,254</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15,177</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15,346</w:t>
            </w:r>
          </w:p>
        </w:tc>
        <w:tc>
          <w:tcPr>
            <w:tcW w:w="0" w:type="dxa"/>
            <w:vAlign w:val="bottom"/>
          </w:tcPr>
          <w:p>
            <w:pPr>
              <w:spacing w:after="0"/>
              <w:rPr>
                <w:sz w:val="1"/>
                <w:szCs w:val="1"/>
                <w:color w:val="auto"/>
              </w:rPr>
            </w:pPr>
          </w:p>
        </w:tc>
      </w:tr>
      <w:tr>
        <w:trPr>
          <w:trHeight w:val="129"/>
        </w:trPr>
        <w:tc>
          <w:tcPr>
            <w:tcW w:w="524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15,223</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15,255</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15,177</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15,346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DIVIDENDS PER SHARE APPLICABLE TO COMMON STOCK</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0.275</w:t>
            </w:r>
          </w:p>
        </w:tc>
        <w:tc>
          <w:tcPr>
            <w:tcW w:w="14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0.24</w:t>
            </w:r>
          </w:p>
        </w:tc>
        <w:tc>
          <w:tcPr>
            <w:tcW w:w="14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0.515</w:t>
            </w:r>
          </w:p>
        </w:tc>
        <w:tc>
          <w:tcPr>
            <w:tcW w:w="1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760" w:type="dxa"/>
            <w:vAlign w:val="bottom"/>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(9,260)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(20,647)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$ 3,391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8"/>
        </w:trPr>
        <w:tc>
          <w:tcPr>
            <w:tcW w:w="5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on derivatives, net of tax expense of $0, $(0.1) million, $0</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$(0.6) million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0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09"/>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ATN International, Inc.</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(6,600)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(15,097)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$ 4,412</w:t>
            </w:r>
          </w:p>
        </w:tc>
      </w:tr>
      <w:tr>
        <w:trPr>
          <w:trHeight w:val="20"/>
        </w:trPr>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ATN INTERNATIONAL, INC. AND SUBSIDIARIES</w:t>
      </w:r>
    </w:p>
    <w:p>
      <w:pPr>
        <w:spacing w:after="0" w:line="6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EQUITY</w:t>
      </w:r>
    </w:p>
    <w:p>
      <w:pPr>
        <w:spacing w:after="0" w:line="5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 2025 AND 2024</w:t>
      </w:r>
    </w:p>
    <w:p>
      <w:pPr>
        <w:spacing w:after="0" w:line="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36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r>
      <w:tr>
        <w:trPr>
          <w:trHeight w:val="116"/>
        </w:trPr>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2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21"/>
        </w:trPr>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120" w:type="dxa"/>
            <w:vAlign w:val="bottom"/>
          </w:tcPr>
          <w:p>
            <w:pPr>
              <w:spacing w:after="0"/>
              <w:rPr>
                <w:sz w:val="10"/>
                <w:szCs w:val="10"/>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w w:val="95"/>
              </w:rPr>
              <w:t>Paid In</w:t>
            </w:r>
          </w:p>
        </w:tc>
        <w:tc>
          <w:tcPr>
            <w:tcW w:w="160" w:type="dxa"/>
            <w:vAlign w:val="bottom"/>
          </w:tcPr>
          <w:p>
            <w:pPr>
              <w:spacing w:after="0"/>
              <w:rPr>
                <w:sz w:val="10"/>
                <w:szCs w:val="10"/>
                <w:color w:val="auto"/>
              </w:rPr>
            </w:pPr>
          </w:p>
        </w:tc>
        <w:tc>
          <w:tcPr>
            <w:tcW w:w="520" w:type="dxa"/>
            <w:vAlign w:val="bottom"/>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w w:val="99"/>
              </w:rPr>
              <w:t>Retained</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2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7"/>
        </w:trPr>
        <w:tc>
          <w:tcPr>
            <w:tcW w:w="36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680" w:type="dxa"/>
            <w:vAlign w:val="bottom"/>
            <w:tcBorders>
              <w:right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4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(103,143)$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214,362</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350,728</w:t>
            </w:r>
          </w:p>
        </w:tc>
        <w:tc>
          <w:tcPr>
            <w:tcW w:w="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473,335</w:t>
            </w:r>
          </w:p>
        </w:tc>
        <w:tc>
          <w:tcPr>
            <w:tcW w:w="26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107,385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580,720</w:t>
            </w:r>
          </w:p>
        </w:tc>
      </w:tr>
      <w:tr>
        <w:trPr>
          <w:trHeight w:val="128"/>
        </w:trPr>
        <w:tc>
          <w:tcPr>
            <w:tcW w:w="3680" w:type="dxa"/>
            <w:vAlign w:val="bottom"/>
            <w:tcBorders>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43,476 shares of common stock</w:t>
            </w:r>
          </w:p>
        </w:tc>
        <w:tc>
          <w:tcPr>
            <w:tcW w:w="40" w:type="dxa"/>
            <w:vAlign w:val="bottom"/>
            <w:tcBorders>
              <w:left w:val="single" w:sz="8" w:color="auto"/>
            </w:tcBorders>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1"/>
                <w:szCs w:val="11"/>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91"/>
              <w:spacing w:after="0"/>
              <w:rPr>
                <w:sz w:val="20"/>
                <w:szCs w:val="20"/>
                <w:color w:val="auto"/>
              </w:rPr>
            </w:pPr>
            <w:r>
              <w:rPr>
                <w:rFonts w:ascii="Times New Roman" w:cs="Times New Roman" w:eastAsia="Times New Roman" w:hAnsi="Times New Roman"/>
                <w:sz w:val="10"/>
                <w:szCs w:val="10"/>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2,615 shares of common stock</w:t>
            </w:r>
          </w:p>
        </w:tc>
        <w:tc>
          <w:tcPr>
            <w:tcW w:w="40" w:type="dxa"/>
            <w:vAlign w:val="bottom"/>
            <w:tcBorders>
              <w:left w:val="single" w:sz="8" w:color="auto"/>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0"/>
                <w:szCs w:val="10"/>
                <w:color w:val="auto"/>
              </w:rPr>
              <w:t>(40)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left w:val="single" w:sz="8" w:color="auto"/>
            </w:tcBorders>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2,495</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2,495</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2,686</w:t>
            </w:r>
          </w:p>
        </w:tc>
      </w:tr>
      <w:tr>
        <w:trPr>
          <w:trHeight w:val="149"/>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($0.275 per common share)</w:t>
            </w:r>
          </w:p>
        </w:tc>
        <w:tc>
          <w:tcPr>
            <w:tcW w:w="40" w:type="dxa"/>
            <w:vAlign w:val="bottom"/>
            <w:tcBorders>
              <w:left w:val="single" w:sz="8" w:color="auto"/>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(4,196)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0"/>
                <w:szCs w:val="10"/>
                <w:color w:val="auto"/>
              </w:rPr>
              <w:t>(4,196)</w:t>
            </w:r>
          </w:p>
        </w:tc>
        <w:tc>
          <w:tcPr>
            <w:tcW w:w="8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(1,404)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(5,600)</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40" w:type="dxa"/>
            <w:vAlign w:val="bottom"/>
            <w:tcBorders>
              <w:left w:val="single" w:sz="8" w:color="auto"/>
            </w:tcBorders>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(1,507)</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223"/>
              <w:spacing w:after="0"/>
              <w:rPr>
                <w:sz w:val="20"/>
                <w:szCs w:val="20"/>
                <w:color w:val="auto"/>
              </w:rPr>
            </w:pPr>
            <w:r>
              <w:rPr>
                <w:rFonts w:ascii="Times New Roman" w:cs="Times New Roman" w:eastAsia="Times New Roman" w:hAnsi="Times New Roman"/>
                <w:sz w:val="10"/>
                <w:szCs w:val="10"/>
                <w:color w:val="auto"/>
              </w:rPr>
              <w:t>(1,507)</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(1,507)</w:t>
            </w:r>
          </w:p>
        </w:tc>
      </w:tr>
      <w:tr>
        <w:trPr>
          <w:trHeight w:val="148"/>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40" w:type="dxa"/>
            <w:vAlign w:val="bottom"/>
            <w:tcBorders>
              <w:left w:val="single" w:sz="8" w:color="auto"/>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(4,768)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0"/>
                <w:szCs w:val="10"/>
                <w:color w:val="auto"/>
              </w:rPr>
              <w:t>(4,768)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4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8"/>
        </w:trPr>
        <w:tc>
          <w:tcPr>
            <w:tcW w:w="36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40" w:type="dxa"/>
            <w:vAlign w:val="bottom"/>
            <w:tcBorders>
              <w:left w:val="single" w:sz="8" w:color="auto"/>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0"/>
                <w:szCs w:val="10"/>
                <w:color w:val="auto"/>
              </w:rPr>
              <w:t>(7,026)</w:t>
            </w:r>
          </w:p>
        </w:tc>
        <w:tc>
          <w:tcPr>
            <w:tcW w:w="8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(2,234)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(9,260)</w:t>
            </w:r>
          </w:p>
        </w:tc>
      </w:tr>
      <w:tr>
        <w:trPr>
          <w:trHeight w:val="149"/>
        </w:trPr>
        <w:tc>
          <w:tcPr>
            <w:tcW w:w="3680" w:type="dxa"/>
            <w:vAlign w:val="bottom"/>
            <w:tcBorders>
              <w:bottom w:val="single" w:sz="8" w:color="CCEEFF"/>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0" w:type="dxa"/>
            <w:vAlign w:val="bottom"/>
            <w:tcBorders>
              <w:left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426</w:t>
            </w:r>
          </w:p>
        </w:tc>
      </w:tr>
      <w:tr>
        <w:trPr>
          <w:trHeight w:val="128"/>
        </w:trPr>
        <w:tc>
          <w:tcPr>
            <w:tcW w:w="3680" w:type="dxa"/>
            <w:vAlign w:val="bottom"/>
            <w:tcBorders>
              <w:right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40" w:type="dxa"/>
            <w:vAlign w:val="bottom"/>
            <w:tcBorders>
              <w:left w:val="single" w:sz="8" w:color="auto"/>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(7,026)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0"/>
                <w:szCs w:val="10"/>
                <w:color w:val="auto"/>
              </w:rPr>
              <w:t>(6,600)</w:t>
            </w:r>
          </w:p>
        </w:tc>
        <w:tc>
          <w:tcPr>
            <w:tcW w:w="820" w:type="dxa"/>
            <w:vAlign w:val="bottom"/>
            <w:tcBorders>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(2,234)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(8,834)</w:t>
            </w:r>
          </w:p>
        </w:tc>
      </w:tr>
      <w:tr>
        <w:trPr>
          <w:trHeight w:val="155"/>
        </w:trPr>
        <w:tc>
          <w:tcPr>
            <w:tcW w:w="3680" w:type="dxa"/>
            <w:vAlign w:val="bottom"/>
            <w:tcBorders>
              <w:bottom w:val="single" w:sz="8" w:color="CCEEFF"/>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June 30, 2025</w:t>
            </w:r>
          </w:p>
        </w:tc>
        <w:tc>
          <w:tcPr>
            <w:tcW w:w="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(103,183)$</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216,856</w:t>
            </w: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333,231</w:t>
            </w:r>
          </w:p>
        </w:tc>
        <w:tc>
          <w:tcPr>
            <w:tcW w:w="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11,634</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458,719</w:t>
            </w:r>
          </w:p>
        </w:tc>
        <w:tc>
          <w:tcPr>
            <w:tcW w:w="2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109,053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567,772</w:t>
            </w:r>
          </w:p>
        </w:tc>
      </w:tr>
      <w:tr>
        <w:trPr>
          <w:trHeight w:val="102"/>
        </w:trPr>
        <w:tc>
          <w:tcPr>
            <w:tcW w:w="3680" w:type="dxa"/>
            <w:vAlign w:val="bottom"/>
            <w:tcBorders>
              <w:right w:val="single" w:sz="8" w:color="auto"/>
            </w:tcBorders>
            <w:shd w:val="clear" w:color="auto" w:fill="CCEEFF"/>
          </w:tcPr>
          <w:p>
            <w:pPr>
              <w:spacing w:after="0"/>
              <w:rPr>
                <w:sz w:val="8"/>
                <w:szCs w:val="8"/>
                <w:color w:val="auto"/>
              </w:rPr>
            </w:pPr>
          </w:p>
        </w:tc>
        <w:tc>
          <w:tcPr>
            <w:tcW w:w="40" w:type="dxa"/>
            <w:vAlign w:val="bottom"/>
            <w:tcBorders>
              <w:left w:val="single" w:sz="8" w:color="auto"/>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r>
      <w:tr>
        <w:trPr>
          <w:trHeight w:val="148"/>
        </w:trPr>
        <w:tc>
          <w:tcPr>
            <w:tcW w:w="368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(92,463)$</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207,551</w:t>
            </w: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405,031</w:t>
            </w:r>
          </w:p>
        </w:tc>
        <w:tc>
          <w:tcPr>
            <w:tcW w:w="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9,700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529,992</w:t>
            </w:r>
          </w:p>
        </w:tc>
        <w:tc>
          <w:tcPr>
            <w:tcW w:w="2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98,724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628,716</w:t>
            </w:r>
          </w:p>
        </w:tc>
      </w:tr>
      <w:tr>
        <w:trPr>
          <w:trHeight w:val="129"/>
        </w:trPr>
        <w:tc>
          <w:tcPr>
            <w:tcW w:w="3680" w:type="dxa"/>
            <w:vAlign w:val="bottom"/>
            <w:tcBorders>
              <w:right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Repurchase of 420,959 shares of common stock</w:t>
            </w:r>
          </w:p>
        </w:tc>
        <w:tc>
          <w:tcPr>
            <w:tcW w:w="40" w:type="dxa"/>
            <w:vAlign w:val="bottom"/>
            <w:tcBorders>
              <w:left w:val="single" w:sz="8" w:color="auto"/>
            </w:tcBorders>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(9,916)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0"/>
                <w:szCs w:val="10"/>
                <w:color w:val="auto"/>
              </w:rPr>
              <w:t>(9,916)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(9,916)</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left w:val="single" w:sz="8" w:color="auto"/>
            </w:tcBorders>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2,393</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2,393</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2,781</w:t>
            </w:r>
          </w:p>
        </w:tc>
      </w:tr>
      <w:tr>
        <w:trPr>
          <w:trHeight w:val="148"/>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($0.24 per common share)</w:t>
            </w:r>
          </w:p>
        </w:tc>
        <w:tc>
          <w:tcPr>
            <w:tcW w:w="40" w:type="dxa"/>
            <w:vAlign w:val="bottom"/>
            <w:tcBorders>
              <w:left w:val="single" w:sz="8" w:color="auto"/>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0"/>
                <w:szCs w:val="10"/>
                <w:color w:val="auto"/>
              </w:rPr>
              <w:t>(3,626)</w:t>
            </w:r>
          </w:p>
        </w:tc>
        <w:tc>
          <w:tcPr>
            <w:tcW w:w="8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(2,115)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(5,741)</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40" w:type="dxa"/>
            <w:vAlign w:val="bottom"/>
            <w:tcBorders>
              <w:left w:val="single" w:sz="8" w:color="auto"/>
            </w:tcBorders>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(1,376)</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223"/>
              <w:spacing w:after="0"/>
              <w:rPr>
                <w:sz w:val="20"/>
                <w:szCs w:val="20"/>
                <w:color w:val="auto"/>
              </w:rPr>
            </w:pPr>
            <w:r>
              <w:rPr>
                <w:rFonts w:ascii="Times New Roman" w:cs="Times New Roman" w:eastAsia="Times New Roman" w:hAnsi="Times New Roman"/>
                <w:sz w:val="10"/>
                <w:szCs w:val="10"/>
                <w:color w:val="auto"/>
              </w:rPr>
              <w:t>(1,376)</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(1,376)</w:t>
            </w:r>
          </w:p>
        </w:tc>
      </w:tr>
      <w:tr>
        <w:trPr>
          <w:trHeight w:val="149"/>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40" w:type="dxa"/>
            <w:vAlign w:val="bottom"/>
            <w:tcBorders>
              <w:left w:val="single" w:sz="8" w:color="auto"/>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2,674</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4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8"/>
        </w:trPr>
        <w:tc>
          <w:tcPr>
            <w:tcW w:w="36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tcBorders>
              <w:left w:val="single" w:sz="8" w:color="auto"/>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9,003</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9,003</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2,334</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11,337</w:t>
            </w:r>
          </w:p>
        </w:tc>
      </w:tr>
      <w:tr>
        <w:trPr>
          <w:trHeight w:val="149"/>
        </w:trPr>
        <w:tc>
          <w:tcPr>
            <w:tcW w:w="3680" w:type="dxa"/>
            <w:vAlign w:val="bottom"/>
            <w:tcBorders>
              <w:bottom w:val="single" w:sz="8" w:color="CCEEFF"/>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0" w:type="dxa"/>
            <w:vAlign w:val="bottom"/>
            <w:tcBorders>
              <w:left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290</w:t>
            </w:r>
          </w:p>
        </w:tc>
      </w:tr>
      <w:tr>
        <w:trPr>
          <w:trHeight w:val="128"/>
        </w:trPr>
        <w:tc>
          <w:tcPr>
            <w:tcW w:w="3680" w:type="dxa"/>
            <w:vAlign w:val="bottom"/>
            <w:tcBorders>
              <w:right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comprehensive income</w:t>
            </w:r>
          </w:p>
        </w:tc>
        <w:tc>
          <w:tcPr>
            <w:tcW w:w="40" w:type="dxa"/>
            <w:vAlign w:val="bottom"/>
            <w:tcBorders>
              <w:left w:val="single" w:sz="8" w:color="auto"/>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9,003</w:t>
            </w: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9,293</w:t>
            </w: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2,334</w:t>
            </w: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11,627</w:t>
            </w:r>
          </w:p>
        </w:tc>
      </w:tr>
      <w:tr>
        <w:trPr>
          <w:trHeight w:val="115"/>
        </w:trPr>
        <w:tc>
          <w:tcPr>
            <w:tcW w:w="3680" w:type="dxa"/>
            <w:vAlign w:val="bottom"/>
            <w:tcBorders>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June 30, 2024</w:t>
            </w:r>
          </w:p>
        </w:tc>
        <w:tc>
          <w:tcPr>
            <w:tcW w:w="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(102,379)$</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209,944</w:t>
            </w: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409,043</w:t>
            </w:r>
          </w:p>
        </w:tc>
        <w:tc>
          <w:tcPr>
            <w:tcW w:w="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9,990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526,771</w:t>
            </w:r>
          </w:p>
        </w:tc>
        <w:tc>
          <w:tcPr>
            <w:tcW w:w="2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101,994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628,765</w:t>
            </w:r>
          </w:p>
        </w:tc>
      </w:tr>
      <w:tr>
        <w:trPr>
          <w:trHeight w:val="20"/>
        </w:trPr>
        <w:tc>
          <w:tcPr>
            <w:tcW w:w="3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460"/>
        </w:trPr>
        <w:tc>
          <w:tcPr>
            <w:tcW w:w="3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116"/>
        </w:trPr>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2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22"/>
        </w:trPr>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120" w:type="dxa"/>
            <w:vAlign w:val="bottom"/>
          </w:tcPr>
          <w:p>
            <w:pPr>
              <w:spacing w:after="0"/>
              <w:rPr>
                <w:sz w:val="10"/>
                <w:szCs w:val="10"/>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Paid In</w:t>
            </w:r>
          </w:p>
        </w:tc>
        <w:tc>
          <w:tcPr>
            <w:tcW w:w="160" w:type="dxa"/>
            <w:vAlign w:val="bottom"/>
          </w:tcPr>
          <w:p>
            <w:pPr>
              <w:spacing w:after="0"/>
              <w:rPr>
                <w:sz w:val="10"/>
                <w:szCs w:val="10"/>
                <w:color w:val="auto"/>
              </w:rPr>
            </w:pPr>
          </w:p>
        </w:tc>
        <w:tc>
          <w:tcPr>
            <w:tcW w:w="520" w:type="dxa"/>
            <w:vAlign w:val="bottom"/>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w w:val="99"/>
              </w:rPr>
              <w:t>Retained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Stockholders’</w:t>
            </w:r>
          </w:p>
        </w:tc>
        <w:tc>
          <w:tcPr>
            <w:tcW w:w="2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7"/>
        </w:trPr>
        <w:tc>
          <w:tcPr>
            <w:tcW w:w="36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42"/>
        </w:trPr>
        <w:tc>
          <w:tcPr>
            <w:tcW w:w="3680" w:type="dxa"/>
            <w:vAlign w:val="bottom"/>
            <w:tcBorders>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December 31, 2024</w:t>
            </w:r>
          </w:p>
        </w:tc>
        <w:tc>
          <w:tcPr>
            <w:tcW w:w="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(102,413)$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212,759</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368,191</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10,777</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489,493</w:t>
            </w:r>
          </w:p>
        </w:tc>
        <w:tc>
          <w:tcPr>
            <w:tcW w:w="2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105,958</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595,451</w:t>
            </w:r>
          </w:p>
        </w:tc>
      </w:tr>
      <w:tr>
        <w:trPr>
          <w:trHeight w:val="142"/>
        </w:trPr>
        <w:tc>
          <w:tcPr>
            <w:tcW w:w="368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Issuance of 181,489 shares of common stock</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9"/>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38,314 shares of common stock</w:t>
            </w:r>
          </w:p>
        </w:tc>
        <w:tc>
          <w:tcPr>
            <w:tcW w:w="4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(770)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4,106</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4,106</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484</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4,590</w:t>
            </w:r>
          </w:p>
        </w:tc>
      </w:tr>
      <w:tr>
        <w:trPr>
          <w:trHeight w:val="148"/>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($0.515 per common share)</w:t>
            </w:r>
          </w:p>
        </w:tc>
        <w:tc>
          <w:tcPr>
            <w:tcW w:w="4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(7,848)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(7,848)</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(1,404)</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(9,252)</w:t>
            </w:r>
          </w:p>
        </w:tc>
      </w:tr>
      <w:tr>
        <w:trPr>
          <w:trHeight w:val="149"/>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Repurchase of noncontrolling interests</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r>
      <w:tr>
        <w:trPr>
          <w:trHeight w:val="148"/>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4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(2,965)</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(2,965)</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(2,965)</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(8,193)</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(8,193)</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8,746</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w:t>
            </w:r>
          </w:p>
        </w:tc>
      </w:tr>
      <w:tr>
        <w:trPr>
          <w:trHeight w:val="149"/>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4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8"/>
        </w:trPr>
        <w:tc>
          <w:tcPr>
            <w:tcW w:w="36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(15,954)</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(15,954)</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(4,693)</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(20,647)</w:t>
            </w:r>
          </w:p>
        </w:tc>
      </w:tr>
      <w:tr>
        <w:trPr>
          <w:trHeight w:val="149"/>
        </w:trPr>
        <w:tc>
          <w:tcPr>
            <w:tcW w:w="36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0" w:type="dxa"/>
            <w:vAlign w:val="bottom"/>
            <w:tcBorders>
              <w:left w:val="single" w:sz="8" w:color="CCEEFF"/>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857</w:t>
            </w: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857</w:t>
            </w:r>
          </w:p>
        </w:tc>
        <w:tc>
          <w:tcPr>
            <w:tcW w:w="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857</w:t>
            </w:r>
          </w:p>
        </w:tc>
      </w:tr>
      <w:tr>
        <w:trPr>
          <w:trHeight w:val="142"/>
        </w:trPr>
        <w:tc>
          <w:tcPr>
            <w:tcW w:w="3680" w:type="dxa"/>
            <w:vAlign w:val="bottom"/>
            <w:tcBorders>
              <w:bottom w:val="single" w:sz="8" w:color="CCEEFF"/>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(15,954)</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857</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(15,097)</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(4,693)</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(19,790)</w:t>
            </w:r>
          </w:p>
        </w:tc>
      </w:tr>
      <w:tr>
        <w:trPr>
          <w:trHeight w:val="142"/>
        </w:trPr>
        <w:tc>
          <w:tcPr>
            <w:tcW w:w="3680" w:type="dxa"/>
            <w:vAlign w:val="bottom"/>
            <w:tcBorders>
              <w:bottom w:val="single" w:sz="8" w:color="CCEEFF"/>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June 30, 2025</w:t>
            </w:r>
          </w:p>
        </w:tc>
        <w:tc>
          <w:tcPr>
            <w:tcW w:w="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(103,183)$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216,856</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333,231</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11,634</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458,719</w:t>
            </w:r>
          </w:p>
        </w:tc>
        <w:tc>
          <w:tcPr>
            <w:tcW w:w="2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109,053</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567,772</w:t>
            </w:r>
          </w:p>
        </w:tc>
      </w:tr>
      <w:tr>
        <w:trPr>
          <w:trHeight w:val="20"/>
        </w:trPr>
        <w:tc>
          <w:tcPr>
            <w:tcW w:w="3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29"/>
        </w:trPr>
        <w:tc>
          <w:tcPr>
            <w:tcW w:w="36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8"/>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(90,447)$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205,797</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417,282</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8,268</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541,073</w:t>
            </w:r>
          </w:p>
        </w:tc>
        <w:tc>
          <w:tcPr>
            <w:tcW w:w="2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96,730</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637,803</w:t>
            </w:r>
          </w:p>
        </w:tc>
      </w:tr>
      <w:tr>
        <w:trPr>
          <w:trHeight w:val="142"/>
        </w:trPr>
        <w:tc>
          <w:tcPr>
            <w:tcW w:w="368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Repurchase of 483,899 shares of common stock</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(11,932)</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(11,932)</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(11,932)</w:t>
            </w:r>
          </w:p>
        </w:tc>
      </w:tr>
      <w:tr>
        <w:trPr>
          <w:trHeight w:val="148"/>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4,147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4,147</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4,690</w:t>
            </w:r>
          </w:p>
        </w:tc>
      </w:tr>
      <w:tr>
        <w:trPr>
          <w:trHeight w:val="149"/>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($0.48 per common share)</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(7,345)</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(7,345)</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(2,156)</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(9,501)</w:t>
            </w:r>
          </w:p>
        </w:tc>
      </w:tr>
      <w:tr>
        <w:trPr>
          <w:trHeight w:val="148"/>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4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(2,727)</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(2,727)</w:t>
            </w:r>
          </w:p>
        </w:tc>
      </w:tr>
      <w:tr>
        <w:trPr>
          <w:trHeight w:val="148"/>
        </w:trPr>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(857)</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(857)</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6,176</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5,319</w:t>
            </w:r>
          </w:p>
        </w:tc>
      </w:tr>
      <w:tr>
        <w:trPr>
          <w:trHeight w:val="149"/>
        </w:trPr>
        <w:tc>
          <w:tcPr>
            <w:tcW w:w="36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4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8"/>
        </w:trPr>
        <w:tc>
          <w:tcPr>
            <w:tcW w:w="36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2,690</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3,391</w:t>
            </w:r>
          </w:p>
        </w:tc>
      </w:tr>
      <w:tr>
        <w:trPr>
          <w:trHeight w:val="149"/>
        </w:trPr>
        <w:tc>
          <w:tcPr>
            <w:tcW w:w="36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0" w:type="dxa"/>
            <w:vAlign w:val="bottom"/>
            <w:tcBorders>
              <w:left w:val="single" w:sz="8" w:color="CCEEFF"/>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1,722</w:t>
            </w:r>
          </w:p>
        </w:tc>
      </w:tr>
      <w:tr>
        <w:trPr>
          <w:trHeight w:val="142"/>
        </w:trPr>
        <w:tc>
          <w:tcPr>
            <w:tcW w:w="3680" w:type="dxa"/>
            <w:vAlign w:val="bottom"/>
            <w:tcBorders>
              <w:bottom w:val="single" w:sz="8" w:color="CCEEFF"/>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comprehensive income</w:t>
            </w: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2,690</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4,412</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701</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5,113</w:t>
            </w:r>
          </w:p>
        </w:tc>
      </w:tr>
      <w:tr>
        <w:trPr>
          <w:trHeight w:val="142"/>
        </w:trPr>
        <w:tc>
          <w:tcPr>
            <w:tcW w:w="3680" w:type="dxa"/>
            <w:vAlign w:val="bottom"/>
            <w:tcBorders>
              <w:bottom w:val="single" w:sz="8" w:color="CCEEFF"/>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June 30, 2024</w:t>
            </w:r>
          </w:p>
        </w:tc>
        <w:tc>
          <w:tcPr>
            <w:tcW w:w="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(102,379)$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209,944</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409,043</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9,990</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526,771</w:t>
            </w:r>
          </w:p>
        </w:tc>
        <w:tc>
          <w:tcPr>
            <w:tcW w:w="2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101,994</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628,765</w:t>
            </w:r>
          </w:p>
        </w:tc>
      </w:tr>
      <w:tr>
        <w:trPr>
          <w:trHeight w:val="20"/>
        </w:trPr>
        <w:tc>
          <w:tcPr>
            <w:tcW w:w="3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60" w:right="79"/>
        <w:spacing w:after="0" w:line="256" w:lineRule="auto"/>
        <w:rPr>
          <w:sz w:val="20"/>
          <w:szCs w:val="20"/>
          <w:color w:val="auto"/>
        </w:rPr>
      </w:pPr>
      <w:r>
        <w:rPr>
          <w:rFonts w:ascii="Times New Roman" w:cs="Times New Roman" w:eastAsia="Times New Roman" w:hAnsi="Times New Roman"/>
          <w:sz w:val="18"/>
          <w:szCs w:val="18"/>
          <w:b w:val="1"/>
          <w:bCs w:val="1"/>
          <w:color w:val="auto"/>
        </w:rPr>
        <w:t>ATN INTERNATIONAL, INC. AND SUBSIDIARIES CONDENSED CONSOLIDATED STATEMENTS OF CASH FLOWS FOR THE SIX MONTHS ENDED JUNE 30, 2025 AND 2024</w:t>
      </w:r>
    </w:p>
    <w:p>
      <w:pPr>
        <w:jc w:val="center"/>
        <w:spacing w:after="0" w:line="223"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5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15"/>
        </w:trPr>
        <w:tc>
          <w:tcPr>
            <w:tcW w:w="576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2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29"/>
        </w:trPr>
        <w:tc>
          <w:tcPr>
            <w:tcW w:w="5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Net income (loss)</w:t>
            </w:r>
          </w:p>
        </w:tc>
        <w:tc>
          <w:tcPr>
            <w:tcW w:w="124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(20,647)</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3,391</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Adjustments to reconcile net loss to net cash flows provided by operating activities: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68,390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69,897</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2,452</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3,924</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Provision for doubtful accounts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4,135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2,855</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debt issuance costs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1,435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1,249</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loss on disposition of assets and transfers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3,434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(16,422)</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Stock-based compensation</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4,590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4,690</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Deferred income taxes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(5,432)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(2,550)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loss on investments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(218)</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Changes in operating assets and liabilities, excluding the effects of acquisitions and dispositions: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receivable and government grant receivables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(10,148)</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(8,751)</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Customer receivable</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1,780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1,418</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Prepaid income taxes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23</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Accrued taxes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1,666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250</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Materials and supplies, prepayments, and other current assets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9,854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2,208</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payable and accrued liabilities and advance payments and deposits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5,715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(1,110)</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727</w:t>
            </w:r>
          </w:p>
        </w:tc>
      </w:tr>
      <w:tr>
        <w:trPr>
          <w:trHeight w:val="135"/>
        </w:trPr>
        <w:tc>
          <w:tcPr>
            <w:tcW w:w="5760" w:type="dxa"/>
            <w:vAlign w:val="bottom"/>
            <w:tcBorders>
              <w:bottom w:val="single" w:sz="8" w:color="CCEEFF"/>
            </w:tcBorders>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10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(7,002)</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(3,171)</w:t>
            </w:r>
          </w:p>
        </w:tc>
      </w:tr>
      <w:tr>
        <w:trPr>
          <w:trHeight w:val="129"/>
        </w:trPr>
        <w:tc>
          <w:tcPr>
            <w:tcW w:w="5760" w:type="dxa"/>
            <w:vAlign w:val="bottom"/>
            <w:shd w:val="clear" w:color="auto" w:fill="CCEEFF"/>
          </w:tcPr>
          <w:p>
            <w:pPr>
              <w:ind w:left="320"/>
              <w:spacing w:after="0" w:line="129"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0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59,843</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58,410</w:t>
            </w:r>
          </w:p>
        </w:tc>
      </w:tr>
      <w:tr>
        <w:trPr>
          <w:trHeight w:val="128"/>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Capital expenditures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(42,016)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(61,830)</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Government capital programs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disbursed</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(45,906)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(46,198)</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received</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41,364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43,686</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intangible assets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(573)</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investments - employee benefit plan</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(39)</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investments - employee benefit plan</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729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201</w:t>
            </w:r>
          </w:p>
        </w:tc>
      </w:tr>
      <w:tr>
        <w:trPr>
          <w:trHeight w:val="135"/>
        </w:trPr>
        <w:tc>
          <w:tcPr>
            <w:tcW w:w="576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sale of assets</w:t>
            </w:r>
          </w:p>
        </w:tc>
        <w:tc>
          <w:tcPr>
            <w:tcW w:w="10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221</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17,910</w:t>
            </w:r>
          </w:p>
        </w:tc>
      </w:tr>
      <w:tr>
        <w:trPr>
          <w:trHeight w:val="129"/>
        </w:trPr>
        <w:tc>
          <w:tcPr>
            <w:tcW w:w="57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0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(45,636)</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(46,843)</w:t>
            </w:r>
          </w:p>
        </w:tc>
      </w:tr>
      <w:tr>
        <w:trPr>
          <w:trHeight w:val="128"/>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paid on common stock</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(7,279)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(7,421)</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Distributions to noncontrolling interests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(1,404)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(2,116)</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Payment of debt issuance costs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(280)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(974)</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Finance lease payments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(974)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(915)</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Term loan - repayments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(3,314)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(12,112)</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borrowings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41,000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75,000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repayments</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(13,000)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(40,002)</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customer receivable credit facility</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3,700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Repayment of customer receivable credit facility</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(4,071)</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(3,709)</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stock- based compensation</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(770)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(1,932)</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share repurchase plan</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(10,000)</w:t>
            </w:r>
          </w:p>
        </w:tc>
      </w:tr>
      <w:tr>
        <w:trPr>
          <w:trHeight w:val="135"/>
        </w:trPr>
        <w:tc>
          <w:tcPr>
            <w:tcW w:w="576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2"/>
                <w:szCs w:val="12"/>
                <w:color w:val="auto"/>
              </w:rPr>
              <w:t>Repurchases of noncontrolling interests</w:t>
            </w:r>
          </w:p>
        </w:tc>
        <w:tc>
          <w:tcPr>
            <w:tcW w:w="10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(44)</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57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10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9,864</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(481)</w:t>
            </w:r>
          </w:p>
        </w:tc>
      </w:tr>
      <w:tr>
        <w:trPr>
          <w:trHeight w:val="129"/>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24,071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11,086</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cash, cash equivalents, and restricted cash, beginning of period</w:t>
            </w:r>
          </w:p>
        </w:tc>
        <w:tc>
          <w:tcPr>
            <w:tcW w:w="10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89,244</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62,167</w:t>
            </w:r>
          </w:p>
        </w:tc>
      </w:tr>
      <w:tr>
        <w:trPr>
          <w:trHeight w:val="169"/>
        </w:trPr>
        <w:tc>
          <w:tcPr>
            <w:tcW w:w="57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Total cash, cash equivalents, and restricted cash, end of period</w:t>
            </w:r>
          </w:p>
        </w:tc>
        <w:tc>
          <w:tcPr>
            <w:tcW w:w="1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113,315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73,253</w:t>
            </w:r>
          </w:p>
        </w:tc>
      </w:tr>
      <w:tr>
        <w:trPr>
          <w:trHeight w:val="115"/>
        </w:trPr>
        <w:tc>
          <w:tcPr>
            <w:tcW w:w="57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Supplemental cash flow information:</w:t>
            </w: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Interest paid</w:t>
            </w:r>
          </w:p>
        </w:tc>
        <w:tc>
          <w:tcPr>
            <w:tcW w:w="124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22,968</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22,589</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Taxes paid</w:t>
            </w:r>
          </w:p>
        </w:tc>
        <w:tc>
          <w:tcPr>
            <w:tcW w:w="124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2,162</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4,615</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declared, not paid</w:t>
            </w:r>
          </w:p>
        </w:tc>
        <w:tc>
          <w:tcPr>
            <w:tcW w:w="124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4,196</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3,626</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Noncash operating activity:</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480"/>
              <w:spacing w:after="0" w:line="135" w:lineRule="exact"/>
              <w:rPr>
                <w:sz w:val="20"/>
                <w:szCs w:val="20"/>
                <w:color w:val="auto"/>
              </w:rPr>
            </w:pPr>
            <w:r>
              <w:rPr>
                <w:rFonts w:ascii="Times New Roman" w:cs="Times New Roman" w:eastAsia="Times New Roman" w:hAnsi="Times New Roman"/>
                <w:sz w:val="12"/>
                <w:szCs w:val="12"/>
                <w:color w:val="auto"/>
              </w:rPr>
              <w:t>Assets held for sale</w:t>
            </w:r>
          </w:p>
        </w:tc>
        <w:tc>
          <w:tcPr>
            <w:tcW w:w="124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7,757</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Noncash investing activity:</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property, plant and equipment included in accounts payable and accrued expenses</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480"/>
              <w:spacing w:after="0" w:line="135" w:lineRule="exact"/>
              <w:rPr>
                <w:sz w:val="20"/>
                <w:szCs w:val="20"/>
                <w:color w:val="auto"/>
              </w:rPr>
            </w:pPr>
            <w:r>
              <w:rPr>
                <w:rFonts w:ascii="Times New Roman" w:cs="Times New Roman" w:eastAsia="Times New Roman" w:hAnsi="Times New Roman"/>
                <w:sz w:val="12"/>
                <w:szCs w:val="12"/>
                <w:color w:val="auto"/>
              </w:rPr>
              <w:t>Amounts accrued for reimbursable capital expenditures from government capital programs</w:t>
            </w:r>
          </w:p>
        </w:tc>
        <w:tc>
          <w:tcPr>
            <w:tcW w:w="124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18,279</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27,418</w:t>
            </w:r>
          </w:p>
        </w:tc>
      </w:tr>
      <w:tr>
        <w:trPr>
          <w:trHeight w:val="150"/>
        </w:trPr>
        <w:tc>
          <w:tcPr>
            <w:tcW w:w="57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Amounts accrued for non-reimbursable capital expenditures</w:t>
            </w:r>
          </w:p>
        </w:tc>
        <w:tc>
          <w:tcPr>
            <w:tcW w:w="124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8,936</w:t>
            </w: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12,928</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BUSINESS OPERATIONS</w:t>
      </w:r>
    </w:p>
    <w:p>
      <w:pPr>
        <w:spacing w:after="0" w:line="270" w:lineRule="exact"/>
        <w:rPr>
          <w:sz w:val="20"/>
          <w:szCs w:val="20"/>
          <w:color w:val="auto"/>
        </w:rPr>
      </w:pPr>
    </w:p>
    <w:p>
      <w:pPr>
        <w:jc w:val="both"/>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 is a leading provider of digital infrastructure and communications services with a focus on rural and remote markets in the United States and internationally, including Bermuda and the Caribbean region.</w:t>
      </w:r>
    </w:p>
    <w:p>
      <w:pPr>
        <w:spacing w:after="0" w:line="189" w:lineRule="exact"/>
        <w:rPr>
          <w:sz w:val="20"/>
          <w:szCs w:val="20"/>
          <w:color w:val="auto"/>
        </w:rPr>
      </w:pPr>
    </w:p>
    <w:p>
      <w:pPr>
        <w:jc w:val="both"/>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The Company has developed significant operational expertise and resources that it uses to augment its capabilities in its local markets. With this support, the Company’s operating subsidiaries can improve their quality of service with greater economies of scale and expertise than would typically be available in the size markets the Company operates in. The Company provides management, technical, financial, regulatory and marketing services to its operating subsidiaries and typically receives a management fee calculated as a percentage of their revenues, which is eliminated in consolidation. The Company also actively evaluates investment opportunities and other strategic transactions, both domestic and international, and generally looks for those that it believes fit its profile of telecommunications businesses while keeping a focus on generating excess operating cash flows over extended periods of time. The Company uses the cash generated from its operations to maintain an appropriate ratio of debt and cash on hand and to re-invest in organic growth, fund capital expenditures, return value to its stockholders through dividends or stock repurchases and make strategic investments or acquisitions.</w:t>
      </w:r>
    </w:p>
    <w:p>
      <w:pPr>
        <w:spacing w:after="0" w:line="232" w:lineRule="exact"/>
        <w:rPr>
          <w:sz w:val="20"/>
          <w:szCs w:val="20"/>
          <w:color w:val="auto"/>
        </w:rPr>
      </w:pPr>
    </w:p>
    <w:p>
      <w:pPr>
        <w:jc w:val="both"/>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the Company’s financial segments see Note 12 to the Consolidated Financial Statements included in this Report.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2025, the Company offered the following types of services to its customers:</w:t>
      </w:r>
    </w:p>
    <w:p>
      <w:pPr>
        <w:spacing w:after="0" w:line="221" w:lineRule="exact"/>
        <w:rPr>
          <w:sz w:val="20"/>
          <w:szCs w:val="20"/>
          <w:color w:val="auto"/>
        </w:rPr>
      </w:pPr>
    </w:p>
    <w:p>
      <w:pPr>
        <w:jc w:val="both"/>
        <w:ind w:left="1220" w:right="179" w:hanging="319"/>
        <w:spacing w:after="0" w:line="26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The Company provides fixed data and voice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business and consumer customers. These services include high-speed consumer broadband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jc w:val="both"/>
        <w:ind w:left="1220" w:right="179" w:hanging="319"/>
        <w:spacing w:after="0" w:line="26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The Company delivers services to other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including the leasing of critical network infrastructure such as tower and transport facilities, wholesale roaming and long-distance voice services, site maintenance and international long-distance services.</w:t>
      </w:r>
    </w:p>
    <w:p>
      <w:pPr>
        <w:spacing w:after="0" w:line="176" w:lineRule="exact"/>
        <w:rPr>
          <w:rFonts w:ascii="Times New Roman" w:cs="Times New Roman" w:eastAsia="Times New Roman" w:hAnsi="Times New Roman"/>
          <w:sz w:val="18"/>
          <w:szCs w:val="18"/>
          <w:color w:val="auto"/>
        </w:rPr>
      </w:pPr>
    </w:p>
    <w:p>
      <w:pPr>
        <w:ind w:left="1220" w:right="179" w:hanging="319"/>
        <w:spacing w:after="0" w:line="286"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w:t>
      </w:r>
      <w:r>
        <w:rPr>
          <w:rFonts w:ascii="Times New Roman" w:cs="Times New Roman" w:eastAsia="Times New Roman" w:hAnsi="Times New Roman"/>
          <w:sz w:val="18"/>
          <w:szCs w:val="18"/>
          <w:color w:val="auto"/>
        </w:rPr>
        <w:t>. The Company offers mobile communications services over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wireless networks and related equipment (such as handsets) to both business and consumer customers.</w:t>
      </w:r>
    </w:p>
    <w:p>
      <w:pPr>
        <w:spacing w:after="0" w:line="154" w:lineRule="exact"/>
        <w:rPr>
          <w:rFonts w:ascii="Times New Roman" w:cs="Times New Roman" w:eastAsia="Times New Roman" w:hAnsi="Times New Roman"/>
          <w:sz w:val="18"/>
          <w:szCs w:val="18"/>
          <w:color w:val="auto"/>
        </w:rPr>
      </w:pPr>
    </w:p>
    <w:p>
      <w:pPr>
        <w:ind w:left="1220" w:right="159" w:hanging="319"/>
        <w:spacing w:after="0" w:line="268"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The Company provides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its business and consumer customers to complement its fixed telecommunications services in its existing markets.</w:t>
      </w:r>
    </w:p>
    <w:p>
      <w:pPr>
        <w:spacing w:after="0" w:line="175"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2025, the Company identified two operating segments to manage and review its operations, as well as to support investor presentations of its results. These two operating segments are as follows:</w:t>
      </w:r>
    </w:p>
    <w:p>
      <w:pPr>
        <w:spacing w:after="0" w:line="158" w:lineRule="exact"/>
        <w:rPr>
          <w:sz w:val="20"/>
          <w:szCs w:val="20"/>
          <w:color w:val="auto"/>
        </w:rPr>
      </w:pPr>
    </w:p>
    <w:p>
      <w:pPr>
        <w:ind w:left="1240" w:right="119" w:hanging="326"/>
        <w:spacing w:after="0" w:line="268"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color w:val="auto"/>
        </w:rPr>
        <w:t>. In the United States, the Company offers fixed, carrier, and managed services 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consumer customers in Alaska and the western United States. In 2024, the Company ceased providing mobility services to retail customers in the western United States.</w:t>
      </w:r>
    </w:p>
    <w:p>
      <w:pPr>
        <w:spacing w:after="0" w:line="170" w:lineRule="exact"/>
        <w:rPr>
          <w:rFonts w:ascii="Times New Roman" w:cs="Times New Roman" w:eastAsia="Times New Roman" w:hAnsi="Times New Roman"/>
          <w:sz w:val="18"/>
          <w:szCs w:val="18"/>
          <w:color w:val="auto"/>
        </w:rPr>
      </w:pPr>
    </w:p>
    <w:p>
      <w:pPr>
        <w:ind w:left="1240" w:right="559" w:hanging="326"/>
        <w:spacing w:after="0" w:line="317"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International Telecom. </w:t>
      </w:r>
      <w:r>
        <w:rPr>
          <w:rFonts w:ascii="Times New Roman" w:cs="Times New Roman" w:eastAsia="Times New Roman" w:hAnsi="Times New Roman"/>
          <w:sz w:val="17"/>
          <w:szCs w:val="17"/>
          <w:color w:val="auto"/>
        </w:rPr>
        <w:t>In its international markets, the Company offers fixed, carrier, mobility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managed services to customers in Bermuda, the Cayman Islands, Guyana and the US Virgin Islands.</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the Company’s principal subsidiaries, the segments in which it reports its revenue and the markets it served during the three months ended June 30, 2025:</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 Telecom</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US Telecom</w:t>
            </w:r>
          </w:p>
        </w:tc>
      </w:tr>
      <w:tr>
        <w:trPr>
          <w:trHeight w:val="142"/>
        </w:trPr>
        <w:tc>
          <w:tcPr>
            <w:tcW w:w="130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40" w:type="dxa"/>
            <w:vAlign w:val="bottom"/>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40" w:type="dxa"/>
            <w:vAlign w:val="bottom"/>
            <w:tcBorders>
              <w:right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 (1)</w:t>
            </w:r>
          </w:p>
        </w:tc>
        <w:tc>
          <w:tcPr>
            <w:tcW w:w="120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2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90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2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w:t>
            </w: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w:t>
            </w:r>
          </w:p>
        </w:tc>
        <w:tc>
          <w:tcPr>
            <w:tcW w:w="10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Choice, Choice NTUA</w:t>
            </w:r>
          </w:p>
        </w:tc>
      </w:tr>
      <w:tr>
        <w:trPr>
          <w:trHeight w:val="234"/>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(rural markets)</w:t>
            </w: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w:t>
            </w:r>
          </w:p>
        </w:tc>
      </w:tr>
      <w:tr>
        <w:trPr>
          <w:trHeight w:val="198"/>
        </w:trPr>
        <w:tc>
          <w:tcPr>
            <w:tcW w:w="13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4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Islands, Guyana, US</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 Islands</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Sacred Wind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Ethos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Broadband, Deploycom</w:t>
            </w:r>
          </w:p>
        </w:tc>
      </w:tr>
      <w:tr>
        <w:trPr>
          <w:trHeight w:val="198"/>
        </w:trPr>
        <w:tc>
          <w:tcPr>
            <w:tcW w:w="13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Carrier Services</w:t>
            </w:r>
          </w:p>
        </w:tc>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Bermuda, Guyana,</w:t>
            </w:r>
          </w:p>
        </w:tc>
        <w:tc>
          <w:tcPr>
            <w:tcW w:w="144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w:t>
            </w:r>
          </w:p>
        </w:tc>
        <w:tc>
          <w:tcPr>
            <w:tcW w:w="1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Essextel</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198"/>
        </w:trPr>
        <w:tc>
          <w:tcPr>
            <w:tcW w:w="13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4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Islands, US Virgin</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Choice</w:t>
            </w:r>
          </w:p>
        </w:tc>
      </w:tr>
      <w:tr>
        <w:trPr>
          <w:trHeight w:val="234"/>
        </w:trPr>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Islands, Guyana</w:t>
            </w:r>
          </w:p>
        </w:tc>
        <w:tc>
          <w:tcPr>
            <w:tcW w:w="60" w:type="dxa"/>
            <w:vAlign w:val="bottom"/>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Brava</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bl>
    <w:p>
      <w:pPr>
        <w:ind w:left="1040" w:right="239" w:hanging="315"/>
        <w:spacing w:after="0" w:line="253"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Company completed a rebranding in Guyana and GTT is now known as “One Communications.” The Company refers to its business in Guyana as “OneGY” throughout this report. In April 2025, the Company completed a rebranding in the US Virgin Islands and Viya is now known as “One Communications.” The Company refers to its business in the U.S. Virgin Islands as “OneVI” throughout this report.”</w:t>
      </w:r>
    </w:p>
    <w:p>
      <w:pPr>
        <w:spacing w:after="0" w:line="227"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2024, the Company undertook a rebranding of its retail services in its International Telecom segment to “One Communications” in Guyana and completed the brand implementation in the US Virgin Islands during the second quarter of 2025. The Company intends to utilize the GTT and Viya brands for legacy voice services in certain markets for a period of time.</w:t>
      </w:r>
    </w:p>
    <w:p>
      <w:pPr>
        <w:spacing w:after="0" w:line="220" w:lineRule="exact"/>
        <w:rPr>
          <w:sz w:val="20"/>
          <w:szCs w:val="20"/>
          <w:color w:val="auto"/>
        </w:rPr>
      </w:pPr>
    </w:p>
    <w:p>
      <w:pPr>
        <w:jc w:val="both"/>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For further information about the Company’s financial segments and geographical information about its operating revenues and assets, see Note 12 to the Unaudited Condensed Consolidated Financial Statements included in this Report.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6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reclassified $7.8 million of telecommunication licenses, net, included within our US Telecom segment, to assets held for sale in its June 30, 2025 balance sheet. As of that date, the Company has entered into a sale agreement and received regulatory approval to complete the transaction, and the Company expects to complete the transfer of the licenses in stages during the second half of 2025 and recognize a pre-tax gain of approximately $6.0 million on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and reorganization expense</w:t>
      </w:r>
    </w:p>
    <w:p>
      <w:pPr>
        <w:spacing w:after="0" w:line="26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engages in restructuring and reorganization activities from time to time. These activities are primarily reduction in force costs incurred to increase operational efficiency and improve the Company’s operating margins. The Company’s 2024 reorganization plan began in July 2024 and was completed in December 2024. As of June 30, 2025, the 2024 reorganization plan is complete and all amounts are expensed and paid. The Company’s 2025 reorganization plan began in January 2025. As of June 30, 2025, the Company recorded $6.7 million of costs under the 2025 reorganization plan and of that amount $3.0 million was accrued and payable. The Company expects the 2025 reorganization plan to end in the second half of 2025 and to incur approximately $2 million of additional costs under the plan. A summary of the restructuring and reorganization costs is below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27"/>
        </w:trPr>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9"/>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20" w:type="dxa"/>
            <w:vAlign w:val="bottom"/>
          </w:tcPr>
          <w:p>
            <w:pPr>
              <w:spacing w:after="0"/>
              <w:rPr>
                <w:sz w:val="17"/>
                <w:szCs w:val="17"/>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1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Consulting costs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9"/>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42"/>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7"/>
        </w:trPr>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9"/>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20" w:type="dxa"/>
            <w:vAlign w:val="bottom"/>
          </w:tcPr>
          <w:p>
            <w:pPr>
              <w:spacing w:after="0"/>
              <w:rPr>
                <w:sz w:val="17"/>
                <w:szCs w:val="17"/>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1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Consulting costs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2024, filed with the SEC on March 17, 2025.</w:t>
      </w:r>
    </w:p>
    <w:p>
      <w:pPr>
        <w:spacing w:after="0" w:line="235"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released ASU 2023-09, titled "Enhancements to Income Tax Disclosures,"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has chosen not to early adopt this standard and is currently assessing its potential impact on our consolidated financial statements and accompanying disclosures.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Statements Expenses (DISE)” (ASU 2024-03), which requires that a public entity provide additional disclosure of the nature of expenses included in the income statement. The new standard requires disclosures about specific types of expenses included in the expense captions presented on the face of the income statement as well as disclosures about selling expenses. ASU 2024-03 will be effective for annual periods beginning after December 15, 2026, and interim periods beginning after December 15, 2027, with retrospective application. The standard allows early adoption of these requirements, and the Company is currently evaluating the disclosure impacts of adoption.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 AND RECEIVABLES</w:t>
      </w:r>
    </w:p>
    <w:p>
      <w:pPr>
        <w:spacing w:after="0" w:line="270"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revenue in accordance with ASC 606 from contracts with customers and ASC 842 from lease agreements, as well as government grants. Lease revenue recognized under ASC 842 is disclosed in Note 4 and government support revenue is disclosed in Note 8.</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recognized consisted of the following for the periods presented below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1"/>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0" w:type="dxa"/>
            <w:vAlign w:val="bottom"/>
          </w:tcPr>
          <w:p>
            <w:pPr>
              <w:spacing w:after="0"/>
              <w:rPr>
                <w:sz w:val="1"/>
                <w:szCs w:val="1"/>
                <w:color w:val="auto"/>
              </w:rPr>
            </w:pPr>
          </w:p>
        </w:tc>
      </w:tr>
      <w:tr>
        <w:trPr>
          <w:trHeight w:val="227"/>
        </w:trPr>
        <w:tc>
          <w:tcPr>
            <w:tcW w:w="358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9"/>
                <w:szCs w:val="19"/>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8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90,196</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69,474</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$ 159,670</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90,271</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$ 71,829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$ 166,484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$ 75,477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169,366</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1,827</w:t>
            </w:r>
          </w:p>
        </w:tc>
        <w:tc>
          <w:tcPr>
            <w:tcW w:w="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support revenue (1)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0" w:type="dxa"/>
            <w:vAlign w:val="bottom"/>
          </w:tcPr>
          <w:p>
            <w:pPr>
              <w:spacing w:after="0"/>
              <w:rPr>
                <w:sz w:val="1"/>
                <w:szCs w:val="1"/>
                <w:color w:val="auto"/>
              </w:rPr>
            </w:pPr>
          </w:p>
        </w:tc>
      </w:tr>
      <w:tr>
        <w:trPr>
          <w:trHeight w:val="210"/>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94,895</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86,405</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$ 181,300</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95,357</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$ 87,924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183,281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227"/>
        </w:trPr>
        <w:tc>
          <w:tcPr>
            <w:tcW w:w="358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9"/>
                <w:szCs w:val="19"/>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9"/>
                <w:szCs w:val="19"/>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80" w:type="dxa"/>
            <w:vAlign w:val="bottom"/>
          </w:tcPr>
          <w:p>
            <w:pPr>
              <w:spacing w:after="0"/>
              <w:rPr>
                <w:sz w:val="17"/>
                <w:szCs w:val="17"/>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179,712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138,179</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$ 317,891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178,831</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$ 149,872</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328,703</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$ 331,123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$ 156,791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342,274</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3,655</w:t>
            </w:r>
          </w:p>
        </w:tc>
        <w:tc>
          <w:tcPr>
            <w:tcW w:w="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4,031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4,070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support revenue (1)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w:t>
            </w:r>
          </w:p>
        </w:tc>
        <w:tc>
          <w:tcPr>
            <w:tcW w:w="0" w:type="dxa"/>
            <w:vAlign w:val="bottom"/>
          </w:tcPr>
          <w:p>
            <w:pPr>
              <w:spacing w:after="0"/>
              <w:rPr>
                <w:sz w:val="1"/>
                <w:szCs w:val="1"/>
                <w:color w:val="auto"/>
              </w:rPr>
            </w:pPr>
          </w:p>
        </w:tc>
      </w:tr>
      <w:tr>
        <w:trPr>
          <w:trHeight w:val="209"/>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171,204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$ 360,594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188,416</w:t>
            </w: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$ 181,660</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370,076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20" w:right="2279" w:hanging="3695"/>
        <w:spacing w:after="0" w:line="783" w:lineRule="auto"/>
        <w:tabs>
          <w:tab w:leader="none" w:pos="10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recognized from CAF II, USF and RDOF programs. Refer to Note 8.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Network Build and Maintenance Agreement with AT&amp;T Mobility, LLC (“AT&amp;T”) that was subsequently amended through March 31, 2025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current portion of receivables under this agreement is recorded in customer receivable and the long-term portion is recorded in customer receivable long-term on the Company’s balance sheet.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 (amounts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9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35"/>
              <w:spacing w:after="0" w:line="108" w:lineRule="exact"/>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 – current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 noncurrent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liability – current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6.9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liability – noncurrent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(51,393)</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liability</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decrease in the Company’s net contract liability was due to the timing of customer prepayments, contract billings, and recognition of deferred revenue. During the six months ended June 30, 2025, the Company recognized revenue of $22.8 million related to its December 31, 2024 contract liability and amortized $2.1 million of the December 31, 2024 contract asset to revenue. During the six months ended June 30, 2024, the Company recognized revenue of $22.2 million related to its December 31, 2023 contract liability and amortized $2.5 million of the December 31, 2023 contract asset to revenue.</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54"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June 30, 2025 and December 31, 2024 balance sheets include contract acquisition costs of $11.3 million and $10.7 million, respectively, in other assets. During the three and six months ended June 30, 2025, the Company amortized $1.7 million and $3.5 million, respectively, of contract acquisition costs. During the three and six months ended June 30, 2024, the Company amortized $1.7 million and $3.3 million, respectively, of contract acquisition costs.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6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allocated to unsatisfied performance obligations of certain multiyear Mobility and Fixed communication services contracts, Managed Services contracts, and the Company’s Carrier Services construction and service contracts. The transaction price allocated to unsatisfied performance obligations was $580 million at June 30, 2025. The Company expects to satisfy approximately 44% of the remaining performance obligations and recognize the transaction price within 24 months and approximately $60 million annually from 2027 through 2032. The Company omits performance obligations with a duration of one year or less and variable consideration under the right to invoice or wholly unsatisfied performance obligation practical expedients from this disclosure.</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Disaggregation</w:t>
      </w:r>
    </w:p>
    <w:p>
      <w:pPr>
        <w:spacing w:after="0" w:line="26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Company's revenue is presented on a disaggregated basis in Note 12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Communication Services revenue is further disaggregated into business and consumer Mobility, business and consumer Fixed, Carrier Services, and Other services. Other revenue is further disaggregated into Managed Services revenue.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26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an estimate of future credit losses in conjunction with revenue transactions based on the information available including historical experience and management’s expectations of future conditions. Those estimates are updated as additional information becomes available. The Company’s allowance for uncollectible accounts receivable is based on management’s assessment of the collectability of assets pooled together with similar risk characteristics.</w:t>
      </w:r>
    </w:p>
    <w:p>
      <w:pPr>
        <w:spacing w:after="0" w:line="207"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had gross accounts receivables of $104.0 million and $98.8 million as of June 30, 2025 and December 31, 2024, respectively. The Company also recorded allowances for credit losses against these receivables of $14.1 million and $15.1 million as of June 30, 2025 and December 31, 2024, respectively.</w:t>
      </w:r>
    </w:p>
    <w:p>
      <w:pPr>
        <w:spacing w:after="0" w:line="21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Company has also recorded a receivable under the FirstNet Agreement totaling $47.2 million as of June 30, 2025 of which $8.2 million was current and $39.0 million was long-term and had a receivable under that same agreement of $49.0 million as of December 31, 2024, of which $8.0 million was current and $41.0 million was long-term. As of June 30, 2025, the Company has recorded $41.3 million of receivables under certain government support agreements which include $32.7 million under the Replace and Remove Program and $8.6 million related to the Company’s participation in other government support programs. As of December 31, 2024, the Company had recorded $50.5 million of receivables under certain government support agreements which included $37.7 million under the Replace and Remove Program and $12.8 million under the Company’s participation in other government support programs (refer to Note 8).</w:t>
      </w:r>
    </w:p>
    <w:p>
      <w:pPr>
        <w:spacing w:after="0" w:line="232" w:lineRule="exact"/>
        <w:rPr>
          <w:sz w:val="20"/>
          <w:szCs w:val="20"/>
          <w:color w:val="auto"/>
        </w:rPr>
      </w:pPr>
    </w:p>
    <w:p>
      <w:pPr>
        <w:jc w:val="both"/>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Company monitors receivables through the use of historical operating data adjusted for the expectation of future performance as appropriate. Activity in the allowance for credit losses is below (in thousands):</w:t>
      </w:r>
    </w:p>
    <w:p>
      <w:pPr>
        <w:spacing w:after="0" w:line="236"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2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expected losses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0" w:type="dxa"/>
            <w:vAlign w:val="bottom"/>
          </w:tcPr>
          <w:p>
            <w:pPr>
              <w:spacing w:after="0"/>
              <w:rPr>
                <w:sz w:val="18"/>
                <w:szCs w:val="18"/>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r>
      <w:tr>
        <w:trPr>
          <w:trHeight w:val="210"/>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2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Disclosure</w:t>
      </w:r>
    </w:p>
    <w:p>
      <w:pPr>
        <w:spacing w:after="0" w:line="268"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cost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lease cost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Variable lease cost</w:t>
            </w:r>
          </w:p>
        </w:tc>
        <w:tc>
          <w:tcPr>
            <w:tcW w:w="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Amortization of right-of-use asset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Variable costs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costs</w:t>
            </w:r>
          </w:p>
        </w:tc>
        <w:tc>
          <w:tcPr>
            <w:tcW w:w="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paid $13.2 million and $9.5 million, respectively, for operating lease liabilities. During the six months ended June 30, 2025 and 2024, the Company recorded $13.1 million and $5.7 million, respectively, of operating lease liabilities arising from right of use assets.</w:t>
      </w:r>
    </w:p>
    <w:p>
      <w:pPr>
        <w:spacing w:after="0" w:line="21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At June 30, 2025, finance leases with a net book value of $26.2 million were included in fixed assets, net. During the six months ended June 30, 2025, the Company paid $1.0 million of financing cash flows and $0.2 million of operating cash flows for finance lease liabilities. During the six months ended June 30, 2024, the Company paid $0.9 million of financing cash flows and $0.2 million of operating cash flows for finance lease liabilities. At June 30, 2025, finance leases had a lease liability of $4.4 million, of which $0.9 million was current.</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December 31, 2024, finance leases with a net book value of $29.6 million were included in fixed assets, net.</w:t>
      </w:r>
    </w:p>
    <w:p>
      <w:pPr>
        <w:spacing w:after="0" w:line="26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terms and discount rates as of June 30, 2025 and December 31, 2024 are noted in the table below:</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92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7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years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7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years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June 30, 2025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09"/>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Company did not have any material operating or finance leases that have not yet commenced.</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Disclosure</w:t>
      </w:r>
    </w:p>
    <w:p>
      <w:pPr>
        <w:spacing w:after="0" w:line="25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is the lessor in agreements to lease the use of its network assets including its wireless cell sites and buildings. For the six months ended June 30, 2025 and 2024, the Company recorded $4.0 million and $4.2 million, respectively, of lease income from agreements in which the Company is the lessor. Lease income is classified as Carrier Services revenue in the statement of operations.</w:t>
      </w:r>
    </w:p>
    <w:p>
      <w:pPr>
        <w:spacing w:after="0" w:line="22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of future undiscounted lease payments for the periods indicated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140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4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USE OF ESTIMATES</w:t>
      </w:r>
    </w:p>
    <w:p>
      <w:pPr>
        <w:spacing w:after="0" w:line="27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Company bases its estimates on historical experience and on various other assumptions that it believes are reasonable under the circumstances. The most significant estimates relate to revenue recognition, goodwill and long-lived intangible assets, income taxes, and contingencies. Actual results could differ significantly from those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 AND INVESTMENTS</w:t>
      </w:r>
    </w:p>
    <w:p>
      <w:pPr>
        <w:spacing w:after="0" w:line="27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16"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89" w:lineRule="exact"/>
        <w:rPr>
          <w:sz w:val="20"/>
          <w:szCs w:val="20"/>
          <w:color w:val="auto"/>
        </w:rPr>
      </w:pPr>
    </w:p>
    <w:p>
      <w:pPr>
        <w:ind w:left="1980" w:right="1679" w:hanging="634"/>
        <w:spacing w:after="0" w:line="256"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00" w:lineRule="exact"/>
        <w:rPr>
          <w:sz w:val="20"/>
          <w:szCs w:val="20"/>
          <w:color w:val="auto"/>
        </w:rPr>
      </w:pPr>
    </w:p>
    <w:p>
      <w:pPr>
        <w:spacing w:after="0" w:line="203" w:lineRule="exact"/>
        <w:rPr>
          <w:sz w:val="20"/>
          <w:szCs w:val="20"/>
          <w:color w:val="auto"/>
        </w:rPr>
      </w:pPr>
    </w:p>
    <w:p>
      <w:pPr>
        <w:ind w:left="1980" w:right="1739" w:hanging="634"/>
        <w:spacing w:after="0" w:line="255"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 w:lineRule="exact"/>
        <w:rPr>
          <w:sz w:val="20"/>
          <w:szCs w:val="20"/>
          <w:color w:val="auto"/>
        </w:rPr>
      </w:pPr>
    </w:p>
    <w:p>
      <w:pPr>
        <w:ind w:left="1980" w:right="1659"/>
        <w:spacing w:after="0" w:line="252" w:lineRule="auto"/>
        <w:rPr>
          <w:sz w:val="20"/>
          <w:szCs w:val="20"/>
          <w:color w:val="auto"/>
        </w:rPr>
      </w:pPr>
      <w:r>
        <w:rPr>
          <w:rFonts w:ascii="Times New Roman" w:cs="Times New Roman" w:eastAsia="Times New Roman" w:hAnsi="Times New Roman"/>
          <w:sz w:val="18"/>
          <w:szCs w:val="18"/>
          <w:color w:val="auto"/>
        </w:rPr>
        <w:t>Level 2 assets and liabilities include debt securities with quoted prices that are traded less frequently than exchange 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00" w:lineRule="exact"/>
        <w:rPr>
          <w:sz w:val="20"/>
          <w:szCs w:val="20"/>
          <w:color w:val="auto"/>
        </w:rPr>
      </w:pPr>
    </w:p>
    <w:p>
      <w:pPr>
        <w:spacing w:after="0" w:line="206" w:lineRule="exact"/>
        <w:rPr>
          <w:sz w:val="20"/>
          <w:szCs w:val="20"/>
          <w:color w:val="auto"/>
        </w:rPr>
      </w:pPr>
    </w:p>
    <w:p>
      <w:pPr>
        <w:ind w:left="1980" w:right="1579" w:hanging="634"/>
        <w:spacing w:after="0" w:line="255"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and liabilities of the Company measured at fair value on a recurring basis as of June 30, 2025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are summarized as follows (in thousands):</w:t>
      </w:r>
    </w:p>
    <w:p>
      <w:pPr>
        <w:spacing w:after="0" w:line="200" w:lineRule="exact"/>
        <w:rPr>
          <w:sz w:val="20"/>
          <w:szCs w:val="20"/>
          <w:color w:val="auto"/>
        </w:rPr>
      </w:pP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center"/>
              <w:ind w:right="417"/>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8"/>
        </w:trPr>
        <w:tc>
          <w:tcPr>
            <w:tcW w:w="39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gridSpan w:val="4"/>
          </w:tcPr>
          <w:p>
            <w:pPr>
              <w:jc w:val="center"/>
              <w:ind w:right="41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198"/>
        </w:trPr>
        <w:tc>
          <w:tcPr>
            <w:tcW w:w="39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6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Company holds investments in equity securities consisting of noncontrolling investments in privately held companies. Historically, the investments are accounted for using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As of June 30, 2025, the Company’s investments are all accounted for under the measurement alternative for investments without a readily determinable value. A roll forward of the investments is below (in thousands):</w:t>
      </w:r>
    </w:p>
    <w:p>
      <w:pPr>
        <w:spacing w:after="0" w:line="18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without a</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readily</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determinable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 and June 30, 2025</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42,907</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recognized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investments are included with other assets on the consolidated balance sheets.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Common Units and Warrants</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has issued redeemable common units, and warrants to purchase additional common units, in consolidated subsidiaries of the Company. The instruments are redeemable at the option of the holder. The common units are recorded at the higher or historical cost or fair value and the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 in November 2026. The put options for the Alaska Communications redeemable common units begin the earlier of a public offering or July 2028. The fair value of the Alaska Commun Units was zero at both June 30, 2025 and December 31, 2024. The fair value of the warrants to purchase Alaska common units was zero and $(0.2) million at June 30, 2025 and December 31, 2024, respectively. The Alloy common units were carried at historical cost at of $10.0 million and $10.6 million at June 30, 2025 and December 31, 2024, respectively, which exceeded its fair value. The Company calculates the fair value of the instruments using a combination of market and discounted cash flows approaches with Level 3 inputs.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6" w:lineRule="exact"/>
        <w:rPr>
          <w:sz w:val="20"/>
          <w:szCs w:val="20"/>
          <w:color w:val="auto"/>
        </w:rPr>
      </w:pPr>
    </w:p>
    <w:p>
      <w:pPr>
        <w:jc w:val="both"/>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180"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long-term debt is estimated using Level 2 inputs. At June 30, 2025, the fair value of long-term debt, including the current portion, was $590.4 million and its book value was $583.4 million. At December 31, 2024, the fair value of long-term debt, including the current portion, was $564.4 million and its book value was $557.4 million.</w:t>
      </w:r>
    </w:p>
    <w:p>
      <w:pPr>
        <w:spacing w:after="0" w:line="21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receivable credit facility is estimated using Level 2 inputs. At June 30, 2025, the fair value of the customer receivable credit facility, including the current portion, was $39.9 million and its book value was $40.2 million. At December 31, 2024, the fair value of the customer receivable credit facility, including the current portion, was $42.7 million and its book value was $44.2 million.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70"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On July 13, 2023, the Company, along with certain of its subsidiaries as guarantors, entered into a Credit Agreement with CoBank, ACB and a syndicate of other lenders (as may be amended from time to time, the “2023 CoBank Credit Facility”). On July 10, 2024, the Company amended the 2023 CoBank Credit Facility to add certain subsidiaries as guarantors and to provide further flexibility in order to accept certain grant and government program obligations.</w:t>
      </w:r>
    </w:p>
    <w:p>
      <w:pPr>
        <w:spacing w:after="0" w:line="19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Revolving Loan for letters of credit, and (ii) up to $20 million under a swingline sub-facility. Upon the closing of the 2023 CoBank Credit Facility, the Company drew all of the 2023 CoBank Term Loan and approximately $13.6 million of the 2023 CoBank Revolving Loan. These borrowings were used to repay all of the $139.5 million of debt outstanding under a previously held credit facility, upon close.</w:t>
      </w:r>
    </w:p>
    <w:p>
      <w:pPr>
        <w:spacing w:after="0" w:line="228"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76" w:lineRule="exact"/>
        <w:rPr>
          <w:sz w:val="20"/>
          <w:szCs w:val="20"/>
          <w:color w:val="auto"/>
        </w:rPr>
      </w:pPr>
    </w:p>
    <w:tbl>
      <w:tblPr>
        <w:tblLayout w:type="fixed"/>
        <w:tblInd w:w="730" w:type="dxa"/>
        <w:tblCellMar>
          <w:top w:w="0" w:type="dxa"/>
          <w:left w:w="0" w:type="dxa"/>
          <w:bottom w:w="0" w:type="dxa"/>
          <w:right w:w="0" w:type="dxa"/>
        </w:tblCellMar>
      </w:tblPr>
      <w:tr>
        <w:trPr>
          <w:trHeight w:val="284"/>
        </w:trPr>
        <w:tc>
          <w:tcPr>
            <w:tcW w:w="3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Payment</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Repayments</w:t>
            </w:r>
          </w:p>
        </w:tc>
      </w:tr>
      <w:tr>
        <w:trPr>
          <w:trHeight w:val="169"/>
        </w:trPr>
        <w:tc>
          <w:tcPr>
            <w:tcW w:w="366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7"/>
              </w:rPr>
              <w:t>Dates</w:t>
            </w:r>
          </w:p>
        </w:tc>
        <w:tc>
          <w:tcPr>
            <w:tcW w:w="3920" w:type="dxa"/>
            <w:vAlign w:val="bottom"/>
            <w:tcBorders>
              <w:bottom w:val="single" w:sz="8" w:color="auto"/>
              <w:right w:val="single" w:sz="8" w:color="auto"/>
            </w:tcBorders>
          </w:tcPr>
          <w:p>
            <w:pPr>
              <w:spacing w:after="0"/>
              <w:rPr>
                <w:sz w:val="14"/>
                <w:szCs w:val="14"/>
                <w:color w:val="auto"/>
              </w:rPr>
            </w:pP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 June 30, 2025</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23"/>
        </w:trPr>
        <w:tc>
          <w:tcPr>
            <w:tcW w:w="3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306"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and 1.75% to 3.50% for Revolving Loans or (ii) a base rate plus an applicable margin ranging from 1.00% to 2.75% for the Term Loan and 0.75% to 2.50% for the 2023 CoBank Revolving Loans. Swingline loans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the Company’s maximum Total Net Leverage Ratio. Under the terms of the 2023 CoBank Credit Agreement, the Company must also pay a fee ranging from 0.25% to 0.50% on the average daily unused portion of the 2023 CoBank Credit Facility over each calendar quarter.</w:t>
      </w:r>
    </w:p>
    <w:p>
      <w:pPr>
        <w:spacing w:after="0" w:line="23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1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$4.5 million of fees associated with the 2023 CoBank Credit Facility which are being amortized over the life of the debt and $2.9 million were unamortized as of June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 had $124.3 million outstanding under the 2023 CoBank Term Loan as of June 30, 2025. Under the 2023 CoBank Revolving Loan, the Company had $76.6 million outstanding and $93.4 million of availability as of June 30, 2025. The Company was in compliance with all financial covenants as of June 30, 2025.</w:t>
      </w:r>
    </w:p>
    <w:p>
      <w:pPr>
        <w:spacing w:after="0" w:line="21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$0.1 million and $(0.3) million as of June 30, 2025 and December 31, 2024,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56"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the Company entered into a General Agreement of Indemnity to issue performance Standby Letters of Credit on behalf of the Company and its subsidiaries. As of June 30, 2025, $34.8 million of Standby Letters of Credit had been issued under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Alaska Credit Facility</w:t>
      </w:r>
    </w:p>
    <w:p>
      <w:pPr>
        <w:spacing w:after="0" w:line="270"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spacing w:after="0" w:line="207"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June 30, 2025, $300.0 million was outstanding under the 2024 Alaska Term Facility.</w:t>
      </w:r>
    </w:p>
    <w:p>
      <w:pPr>
        <w:spacing w:after="0" w:line="205" w:lineRule="exact"/>
        <w:rPr>
          <w:sz w:val="20"/>
          <w:szCs w:val="20"/>
          <w:color w:val="auto"/>
        </w:rPr>
      </w:pPr>
    </w:p>
    <w:p>
      <w:pPr>
        <w:ind w:left="60" w:right="99" w:firstLine="693"/>
        <w:spacing w:after="0" w:line="258" w:lineRule="auto"/>
        <w:rPr>
          <w:sz w:val="20"/>
          <w:szCs w:val="20"/>
          <w:color w:val="auto"/>
        </w:rPr>
      </w:pPr>
      <w:r>
        <w:rPr>
          <w:rFonts w:ascii="Times New Roman" w:cs="Times New Roman" w:eastAsia="Times New Roman" w:hAnsi="Times New Roman"/>
          <w:sz w:val="18"/>
          <w:szCs w:val="18"/>
          <w:color w:val="auto"/>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June 30, 2025, $5.0 million was outstanding under the 2024 Alaska Revolving Facility and $1.0 million of letters of credit were issued. As a result, $84.0 million was available under the 2024 Alaska Revolving Facility as of June 30, 2025.</w:t>
      </w:r>
    </w:p>
    <w:p>
      <w:pPr>
        <w:spacing w:after="0" w:line="224" w:lineRule="exact"/>
        <w:rPr>
          <w:sz w:val="20"/>
          <w:szCs w:val="20"/>
          <w:color w:val="auto"/>
        </w:rPr>
      </w:pPr>
    </w:p>
    <w:p>
      <w:pPr>
        <w:ind w:left="60" w:right="1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spacing w:after="0" w:line="20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2024 Alaska Credit Facility, the Company incurred $6.9 million of fees and rolled over $2.1 million of fees for the 2022 Alaska Credit Facility to be amortized over the life of the debt. As of June 30, 2025, the Company had $7.5 million of unamortized fees, which are being amortized over the life of the debt, associated with the 2024 Alaska Credit Facility.</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maturity date for the 2024 Alaska Credit Facility is August 29,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Amounts outstanding under the 2024 Alaska Credit Facility bear an interest rate of the following:</w:t>
      </w:r>
    </w:p>
    <w:p>
      <w:pPr>
        <w:spacing w:after="0" w:line="237"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580" w:type="dxa"/>
            <w:vAlign w:val="bottom"/>
            <w:tcBorders>
              <w:top w:val="single" w:sz="8" w:color="auto"/>
              <w:left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Alaska</w:t>
            </w:r>
          </w:p>
        </w:tc>
        <w:tc>
          <w:tcPr>
            <w:tcW w:w="2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 Term</w:t>
            </w:r>
          </w:p>
        </w:tc>
        <w:tc>
          <w:tcPr>
            <w:tcW w:w="2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 Base Rate</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 Margin</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Tier /</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248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SOFR Loans and L/C</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 Reimbursement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 Commitment</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Net Leverage</w:t>
            </w:r>
          </w:p>
        </w:tc>
        <w:tc>
          <w:tcPr>
            <w:tcW w:w="248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Fees</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0" w:type="dxa"/>
            <w:vAlign w:val="bottom"/>
          </w:tcPr>
          <w:p>
            <w:pPr>
              <w:spacing w:after="0"/>
              <w:rPr>
                <w:sz w:val="1"/>
                <w:szCs w:val="1"/>
                <w:color w:val="auto"/>
              </w:rPr>
            </w:pPr>
          </w:p>
        </w:tc>
      </w:tr>
      <w:tr>
        <w:trPr>
          <w:trHeight w:val="130"/>
        </w:trPr>
        <w:tc>
          <w:tcPr>
            <w:tcW w:w="5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248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Greater than 4.00:1.00</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c>
          <w:tcPr>
            <w:tcW w:w="0" w:type="dxa"/>
            <w:vAlign w:val="bottom"/>
          </w:tcPr>
          <w:p>
            <w:pPr>
              <w:spacing w:after="0"/>
              <w:rPr>
                <w:sz w:val="1"/>
                <w:szCs w:val="1"/>
                <w:color w:val="auto"/>
              </w:rPr>
            </w:pPr>
          </w:p>
        </w:tc>
      </w:tr>
      <w:tr>
        <w:trPr>
          <w:trHeight w:val="198"/>
        </w:trPr>
        <w:tc>
          <w:tcPr>
            <w:tcW w:w="58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Less than or equal to</w:t>
            </w:r>
          </w:p>
        </w:tc>
        <w:tc>
          <w:tcPr>
            <w:tcW w:w="24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4.00:1.00 but greater</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0" w:type="dxa"/>
            <w:vAlign w:val="bottom"/>
          </w:tcPr>
          <w:p>
            <w:pPr>
              <w:spacing w:after="0"/>
              <w:rPr>
                <w:sz w:val="1"/>
                <w:szCs w:val="1"/>
                <w:color w:val="auto"/>
              </w:rPr>
            </w:pPr>
          </w:p>
        </w:tc>
      </w:tr>
      <w:tr>
        <w:trPr>
          <w:trHeight w:val="241"/>
        </w:trPr>
        <w:tc>
          <w:tcPr>
            <w:tcW w:w="580" w:type="dxa"/>
            <w:vAlign w:val="bottom"/>
            <w:tcBorders>
              <w:left w:val="single" w:sz="8" w:color="auto"/>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3.25:1.00</w:t>
            </w:r>
          </w:p>
        </w:tc>
        <w:tc>
          <w:tcPr>
            <w:tcW w:w="24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Less than or equal to</w:t>
            </w:r>
          </w:p>
        </w:tc>
        <w:tc>
          <w:tcPr>
            <w:tcW w:w="24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3.25:1.00 but greater</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0" w:type="dxa"/>
            <w:vAlign w:val="bottom"/>
          </w:tcPr>
          <w:p>
            <w:pPr>
              <w:spacing w:after="0"/>
              <w:rPr>
                <w:sz w:val="1"/>
                <w:szCs w:val="1"/>
                <w:color w:val="auto"/>
              </w:rPr>
            </w:pPr>
          </w:p>
        </w:tc>
      </w:tr>
      <w:tr>
        <w:trPr>
          <w:trHeight w:val="241"/>
        </w:trPr>
        <w:tc>
          <w:tcPr>
            <w:tcW w:w="580" w:type="dxa"/>
            <w:vAlign w:val="bottom"/>
            <w:tcBorders>
              <w:left w:val="single" w:sz="8" w:color="auto"/>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2.50:1.00</w:t>
            </w:r>
          </w:p>
        </w:tc>
        <w:tc>
          <w:tcPr>
            <w:tcW w:w="24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IV</w:t>
            </w:r>
          </w:p>
        </w:tc>
        <w:tc>
          <w:tcPr>
            <w:tcW w:w="1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Less than or equal to</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126"/>
        </w:trPr>
        <w:tc>
          <w:tcPr>
            <w:tcW w:w="58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2.50:1.00</w:t>
            </w:r>
          </w:p>
        </w:tc>
        <w:tc>
          <w:tcPr>
            <w:tcW w:w="248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spacing w:after="0" w:line="229" w:lineRule="exact"/>
        <w:rPr>
          <w:sz w:val="20"/>
          <w:szCs w:val="20"/>
          <w:color w:val="auto"/>
        </w:rPr>
      </w:pPr>
    </w:p>
    <w:p>
      <w:pPr>
        <w:ind w:left="60" w:right="99" w:firstLine="690"/>
        <w:spacing w:after="0" w:line="254" w:lineRule="auto"/>
        <w:rPr>
          <w:sz w:val="20"/>
          <w:szCs w:val="20"/>
          <w:color w:val="auto"/>
        </w:rPr>
      </w:pPr>
      <w:r>
        <w:rPr>
          <w:rFonts w:ascii="Times New Roman" w:cs="Times New Roman" w:eastAsia="Times New Roman" w:hAnsi="Times New Roman"/>
          <w:sz w:val="18"/>
          <w:szCs w:val="18"/>
          <w:color w:val="auto"/>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 (b) 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spacing w:after="0" w:line="219" w:lineRule="exact"/>
        <w:rPr>
          <w:sz w:val="20"/>
          <w:szCs w:val="20"/>
          <w:color w:val="auto"/>
        </w:rPr>
      </w:pPr>
    </w:p>
    <w:p>
      <w:pPr>
        <w:ind w:left="60" w:right="239" w:firstLine="690"/>
        <w:spacing w:after="0" w:line="258" w:lineRule="auto"/>
        <w:rPr>
          <w:sz w:val="20"/>
          <w:szCs w:val="20"/>
          <w:color w:val="auto"/>
        </w:rPr>
      </w:pPr>
      <w:r>
        <w:rPr>
          <w:rFonts w:ascii="Times New Roman" w:cs="Times New Roman" w:eastAsia="Times New Roman" w:hAnsi="Times New Roman"/>
          <w:sz w:val="18"/>
          <w:szCs w:val="18"/>
          <w:color w:val="auto"/>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spacing w:after="0" w:line="224" w:lineRule="exact"/>
        <w:rPr>
          <w:sz w:val="20"/>
          <w:szCs w:val="20"/>
          <w:color w:val="auto"/>
        </w:rPr>
      </w:pPr>
    </w:p>
    <w:p>
      <w:pPr>
        <w:ind w:left="60" w:right="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Agreement contains usual and customary affirmative and negative covenants of the parties for credit facilities of this type or as otherwise deemed appropriate by the administrative agent, subject to customary exceptions and materiality standards.</w:t>
      </w:r>
    </w:p>
    <w:p>
      <w:pPr>
        <w:spacing w:after="0" w:line="21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 guarantor under the 2024 Alaska Credit Agreement, and the lenders have no recourse against the Company in the event of an occurrence of an “Event of Default.”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Alaska Credit Facility</w:t>
      </w:r>
    </w:p>
    <w:p>
      <w:pPr>
        <w:spacing w:after="0" w:line="27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On December 23, 2022, Alaska Communications entered into a Credit Agreement (the “2022 Alaska Credit Facility”) with Fifth Third Bank, National Association, as Administrative Agent, and a syndicate of lenders to provide a Revolving Credit Commitment of $75.0 million (the “2022 Alaska Revolving Facility”) and Term Loan Commitment of $230.0 million (the “2022 Alaska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2022 Alaska Credit Facility included the following:</w:t>
      </w:r>
    </w:p>
    <w:p>
      <w:pPr>
        <w:spacing w:after="0" w:line="266" w:lineRule="exact"/>
        <w:rPr>
          <w:sz w:val="20"/>
          <w:szCs w:val="20"/>
          <w:color w:val="auto"/>
        </w:rPr>
      </w:pPr>
    </w:p>
    <w:p>
      <w:pPr>
        <w:ind w:left="1380" w:right="259" w:hanging="331"/>
        <w:spacing w:after="0" w:line="276" w:lineRule="auto"/>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outstanding bore an interest rate of the forward-looking SOFR rate with a one-month interest period, plus the SOFR Spread Adjustment of 10 basis points, plus a margin ranging from 3.00% to</w:t>
      </w:r>
    </w:p>
    <w:p>
      <w:pPr>
        <w:ind w:left="1380" w:right="31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4.00% based on Alaska Communications’ Consolidated Total Net Leverage Ratio (as defined in the Credit Agreement) or at an alternate base rate at a margin that is 1% lower than the counterpart SOFR margin;</w:t>
      </w:r>
    </w:p>
    <w:p>
      <w:pPr>
        <w:spacing w:after="0" w:line="185"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$1.4 million were made quarterly commencing with the fourth quarter of 2023;</w:t>
      </w:r>
    </w:p>
    <w:p>
      <w:pPr>
        <w:spacing w:after="0" w:line="225" w:lineRule="exact"/>
        <w:rPr>
          <w:rFonts w:ascii="Times New Roman" w:cs="Times New Roman" w:eastAsia="Times New Roman" w:hAnsi="Times New Roman"/>
          <w:sz w:val="18"/>
          <w:szCs w:val="18"/>
          <w:color w:val="auto"/>
        </w:rPr>
      </w:pPr>
    </w:p>
    <w:p>
      <w:pPr>
        <w:ind w:left="1380" w:right="139" w:hanging="331"/>
        <w:spacing w:after="0" w:line="254"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9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Alaska Credit Facility was non-recourse to the Company and was secured by substantially all of the personal property and certain material real property owned by Alaska Communications.</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August 29, 2024, all outstanding amounts under the 2022 Alaska Credit Facility were repaid in full using the proceeds received upon the completion of the 2024 Alaska Credit Facility.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5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On June 15, 2022, Holdings entered into a secured lending arrangement with Bristol Bay Industrial, LLC (the “Alaska Term Facility”).</w:t>
      </w:r>
    </w:p>
    <w:p>
      <w:pPr>
        <w:spacing w:after="0" w:line="20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six months ended June 30, 2024.</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Interest Rate Swap Agreements</w:t>
      </w:r>
    </w:p>
    <w:p>
      <w:pPr>
        <w:spacing w:after="0" w:line="25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1-month floating to fixed SOFR interest rate swap agreements. The total non-amortizing notional amount of the agreements is $200.0 million, with fixed SOFR rates of 4.8695% and 4.8980% and both agreements mature on June 30, 2025. The swap agreement had a fair value of $(0.5) million as of December 31, 2024, and matured on June 30,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Commnet Wireless, and CoBank, ACB (the “Receivables Credit Facility”).</w:t>
      </w:r>
    </w:p>
    <w:p>
      <w:pPr>
        <w:spacing w:after="0" w:line="18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Wireless. The receivables to be financed and sold under the Receivables Credit Facility, which provides the loan security, relate to the obligations of AT&amp;T under the FirstNet Agreement.</w:t>
      </w:r>
    </w:p>
    <w:p>
      <w:pPr>
        <w:spacing w:after="0" w:line="20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2024, CoBank amended the Receivables Credit Facility and extended the delayed draw period to December 31, 2025.</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66"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As of June 30, 2025, Commnet Wireless had $40.5 million outstanding, of which $8.2 million was classified as being current and $32.3 million as long-term on the Company’s balance sheet, and $9.2 million of availability under the Receivables Credit Facility. Commnet Wireless capitalized $0.8 million in fees associated with the Receivables Credit Facility which are being amortized over the life of the debt and $0.3 million were unamortized as of June 30,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OneGY Credit Facilities</w:t>
      </w:r>
    </w:p>
    <w:p>
      <w:pPr>
        <w:spacing w:after="0" w:line="27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October 12, 2022, OneGY entered into a $2.9 million term facility and a $5.7 million overdraft facility (the “Guyana Credit Facilities”) with Republic Bank (Guyana) Limited. The OneGY Credit Facilities were secured by real estate assets and carried a fixed interest rate of 7.5%. On November 29, 2024, the overdraft facility and term facility were canceled at the request of OneGY.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Credit Facilities</w:t>
      </w:r>
    </w:p>
    <w:p>
      <w:pPr>
        <w:spacing w:after="0" w:line="25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May 8, 2025, OneGY entered into a Credit Agreement (the “2025 IDB Credit Facilities”) with Inter-American Investment Corporation (“IDB Invest”) to provide a Revolving Credit Commitment of $10.0 million (the “2025 IDB Revolving Facility”) and Term Loan Commitment of up to $30.0 million (the “2025 IDB Term Loan”). The debt is secured by certain assets of OneGY and is not guaranteed by the Company.</w:t>
      </w:r>
    </w:p>
    <w:p>
      <w:pPr>
        <w:spacing w:after="0" w:line="22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Each disbursement under the 2025 IDB Revolving Facility requires an established repayment date. Amounts may be prepaid with prior notice to IDB Invest.</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2027,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w:t>
      </w:r>
    </w:p>
    <w:p>
      <w:pPr>
        <w:spacing w:after="0" w:line="200" w:lineRule="exact"/>
        <w:rPr>
          <w:sz w:val="20"/>
          <w:szCs w:val="20"/>
          <w:color w:val="auto"/>
        </w:rPr>
      </w:pPr>
    </w:p>
    <w:p>
      <w:pPr>
        <w:spacing w:after="0" w:line="234" w:lineRule="exact"/>
        <w:rPr>
          <w:sz w:val="20"/>
          <w:szCs w:val="20"/>
          <w:color w:val="auto"/>
        </w:rPr>
      </w:pPr>
    </w:p>
    <w:tbl>
      <w:tblPr>
        <w:tblLayout w:type="fixed"/>
        <w:tblInd w:w="510" w:type="dxa"/>
        <w:tblCellMar>
          <w:top w:w="0" w:type="dxa"/>
          <w:left w:w="0" w:type="dxa"/>
          <w:bottom w:w="0" w:type="dxa"/>
          <w:right w:w="0" w:type="dxa"/>
        </w:tblCellMar>
      </w:tblPr>
      <w:tr>
        <w:trPr>
          <w:trHeight w:val="237"/>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Payment Dates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Repayments</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2027 – December 22, 2030</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bi-annually</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2031 – December 22, 2034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bi-annually</w:t>
            </w:r>
          </w:p>
        </w:tc>
      </w:tr>
    </w:tbl>
    <w:p>
      <w:pPr>
        <w:spacing w:after="0" w:line="306"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Amounts borrowed under the 2025 IDB Credit Facilities bear interest at a rate equal to the applicable secured overnight financing rate as administered by the Federal Reserve Bank of New York (SOFR) plus an applicable margin of</w:t>
      </w:r>
    </w:p>
    <w:p>
      <w:pPr>
        <w:spacing w:after="0" w:line="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2.4% for the Revolving Facility and 3.0% for the Term Loans. In the case of the IDB Term Loan, there is a prepayment fee equal to 1% until the first anniversary from the effective date, 0.5% until the second anniversary from the effective date, and 0.0% thereafter.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2025 IDB Credit Agreement contains a financial covenant that imposes on OneGY a maximum Net Financial Debt to EBITDA Ratio and a maximum Debt to Equity ratio and a minimum EBITDA to Net Financial Expense Ratio,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2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OneGY had $5.0 million outstanding under the 2025 IDB Revolving Facility. There were no outstanding borrowings under the 2025 IDB Term loan as of that date.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56"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The Sacred Wind Term Debt with the United States of America,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United States of America. These mortgage notes are to be repaid in equal monthly installments covering principal and interest beginning after date of issue and expiring by 2035.</w:t>
      </w:r>
    </w:p>
    <w:p>
      <w:pPr>
        <w:spacing w:after="0" w:line="20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of the RUS noteholders. The agreements also contain a financial covenant which Sacred Wind was not in compliance with as of December 31, 2024. Sacred Wind submitted a corrective action plan to comply with the financial covenant by December 31, 2028. The corrective action plan was accepted by the RUS and, as of June 30, 2025, the Company was in compliance with that corrective action plan.</w:t>
      </w:r>
    </w:p>
    <w:p>
      <w:pPr>
        <w:spacing w:after="0" w:line="224"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$23.2 million was outstanding under the Sacred Wind Term Debt. Of that amount, $3.4 million was current and $19.8 million was long term.</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OneVI Debt</w:t>
      </w:r>
    </w:p>
    <w:p>
      <w:pPr>
        <w:spacing w:after="0" w:line="27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have entered into a $60.0 million loan agreement (the “OneVI Debt”) with National Cooperative Services Corporation (“NCSC”). The OneVI Debt agreement contains customary representations, warranties, and affirmative and negative covenants (including limitations on additional debt, guaranties, sale of assets and liens) and a financial covenant that limits the maximum ratio of indebtedness to annual operating cash flow of 3.5 to 1.0 (the “Net Leverage Ratio”). This covenant is tested on an annual basis at the end of each fiscal year. Interest is paid quarterly at a fixed rate of 4.0% per annum and principal repayment is not required until maturity on July 1, 2026. Prepayment of the OneVI Debt may be subject to a fee under certain circumstances. The debt is secured by certain assets of the OneVI subsidiaries and is guaranteed by the Company.</w:t>
      </w:r>
    </w:p>
    <w:p>
      <w:pPr>
        <w:spacing w:after="0" w:line="21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paid a fee of $0.9 million in 2016 to lock the interest rate at 4% per annum over the term of the OneVI Debt. The fee was recorded as a reduction to the OneVI Debt carrying amount and is being amortized over the life of the loan.</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2025, $60.0 million of the OneVI Debt remained outstanding.</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5, 2022, the Net Leverage Ratio was amended to 7.0 to 1.0 through the maturity date of July 1, 2026.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Ratio is tested annually, and the Company was in compliance with the Net Leverage Ratio as of December 31,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On July 17, 2025, NCSC issued a commitment letter to amend and extend the maturity date of the loan to July 1, 2035. The interest rate will be reset on the original loan maturity date of July 1, 2026. On July 1, 2026, the loan will be subject to a quarterly repayment schedule. The covenants tested on an annual basis will change as of December 31, 2026.</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the Company’s debt instruments (amounts in thousands).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199"/>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through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105,228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376,187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594,124</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40,531</w:t>
            </w:r>
          </w:p>
        </w:tc>
      </w:tr>
      <w:tr>
        <w:trPr>
          <w:trHeight w:val="21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Discounts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as of June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320,472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583,399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GOVERNMENT SUPPORT AND SPECTRUM MATTERS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recognizes revenue from several government funded programs including but not limited to,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1040" w:right="79" w:hanging="315"/>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federal USF support under the Alaska Connect Fund (“ACF”). Beginning January 1, 2025, the Company began receiving $25.6 million per year and expects such annual funding to continue until December 31, 2028. Beginning in 2029 and continuing through 2034, the amount of ACF support will be determined by FCC staff taking into consideration broadband deployment funded through the Broadband Equity Access and Deployment Program. The ACF replaced the $19.7 million per year that the Company had previously received in Connect America Fund II support in Alaska;</w:t>
      </w:r>
    </w:p>
    <w:p>
      <w:pPr>
        <w:spacing w:after="0" w:line="106"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Enhanced Alternative Connect America Model funding available to the Company’s operations in the southwest, we are estimated to receive approximately $105 million over the next 14 years, through 2038, with approximately $9 million annually through 2030 before a gradual step down to $6 million annually in 2038;</w:t>
      </w:r>
    </w:p>
    <w:p>
      <w:pPr>
        <w:spacing w:after="0" w:line="112"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$8.0 million per year in Connect America Fund II support in the rural southwest until July 2028;</w:t>
      </w:r>
    </w:p>
    <w:p>
      <w:pPr>
        <w:spacing w:after="0" w:line="80"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$5.5 million annually in the US Virgin Islands through December 31, 2025, subject to the requirement to enhance network resiliency and operations in those markets;</w:t>
      </w:r>
    </w:p>
    <w:p>
      <w:pPr>
        <w:spacing w:after="0" w:line="80"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awarded $2.3 million annually in the western United States through December 31, 2031, as part of the Rural Digital Opportunity Fund Phase I (“RDOF”) auction. In exchange for this support,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66" w:lineRule="auto"/>
        <w:rPr>
          <w:sz w:val="20"/>
          <w:szCs w:val="20"/>
          <w:color w:val="auto"/>
        </w:rPr>
      </w:pPr>
      <w:r>
        <w:rPr>
          <w:rFonts w:ascii="Times New Roman" w:cs="Times New Roman" w:eastAsia="Times New Roman" w:hAnsi="Times New Roman"/>
          <w:sz w:val="18"/>
          <w:szCs w:val="18"/>
          <w:color w:val="auto"/>
        </w:rPr>
        <w:t>committed to deploy voice and broadband service to covered areas within six years and to provide service in those areas for ten years. As of June 2025, the Company transferred $1.3 million of the annual awards to other providers and returned $0.7 million of the annual awards to the FCC; and</w:t>
      </w:r>
    </w:p>
    <w:p>
      <w:pPr>
        <w:spacing w:after="0" w:line="108"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state USF support in Alaska of approximately $2.5 million annually.</w:t>
      </w:r>
    </w:p>
    <w:p>
      <w:pPr>
        <w:spacing w:after="0" w:line="15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Company was in compliance in all material respects with its requirements associated with such funding.</w:t>
      </w:r>
    </w:p>
    <w:p>
      <w:pPr>
        <w:spacing w:after="0" w:line="81" w:lineRule="exact"/>
        <w:rPr>
          <w:sz w:val="20"/>
          <w:szCs w:val="20"/>
          <w:color w:val="auto"/>
        </w:rPr>
      </w:pPr>
    </w:p>
    <w:p>
      <w:pPr>
        <w:ind w:left="60" w:right="359" w:firstLine="648"/>
        <w:spacing w:after="0" w:line="256" w:lineRule="auto"/>
        <w:rPr>
          <w:sz w:val="20"/>
          <w:szCs w:val="20"/>
          <w:color w:val="auto"/>
        </w:rPr>
      </w:pPr>
      <w:r>
        <w:rPr>
          <w:rFonts w:ascii="Times New Roman" w:cs="Times New Roman" w:eastAsia="Times New Roman" w:hAnsi="Times New Roman"/>
          <w:sz w:val="18"/>
          <w:szCs w:val="18"/>
          <w:color w:val="auto"/>
        </w:rPr>
        <w:t>Additionally, in 2024, the Company recognized revenue from the FCC’s Affordable Connectivity Program (“ACP”) and the Emergency Connectivity Fund (“ECF”) that expired in the second quarter of 2024. During the three months ended June 30, 2025 the Company recorded a loss of $1.9 million related to the transfer of RDOF awards. This loss is recorded in Loss on disposition of assets and transfers in the Company’s income statement. The Company has a liability of $5.1 million accrued related to transferring its RDOF awards as of June 30, 2025. The Company expects to complete the transfers in the second half of 2025.</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Revenue recognized from the USF High Cost Program, including the CAF II, ACF, E-ACAM, and RDOF programs, is recognized as revenue from government grants. Revenue from other programs is recognized in accordance with ASC 606.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the amounts below as communication services revenue for the reported periods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7"/>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7"/>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3200" w:type="dxa"/>
            <w:vAlign w:val="bottom"/>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Telecom</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3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 (including ACF)</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3200" w:type="dxa"/>
            <w:vAlign w:val="bottom"/>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 (including ACF)</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Grants</w:t>
      </w:r>
    </w:p>
    <w:p>
      <w:pPr>
        <w:spacing w:after="0" w:line="27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has also been awarded construction grants to build network connectivity for eligible communities. The funding of these grants, used to reimburse the Company for its construction costs, is generally distributed upon completion of a project. Completion deadlines begin in 2025 and once these projects are constructed, the Company is obligated to provide service to the participants. In June of 2025, the National Telecommunications and Information Administration (“NTIA”) rescinded previously awarded Broadband Equity, Access and Deployment Program grants. The Company was awarded $51 million of grants under this program which are presented below in Transferred and rescinded grants. The Company expects to meet all requirements associated with these grants. A roll forward of the Company’s grant awards is below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Grants awarded,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-119380</wp:posOffset>
            </wp:positionV>
            <wp:extent cx="285432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4325" cy="146050"/>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4325" cy="13716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Construction complete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Transferred and rescinded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5715</wp:posOffset>
            </wp:positionV>
            <wp:extent cx="28543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Grants awarded, June 30, 2025</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48" w:lineRule="exact"/>
        <w:rPr>
          <w:sz w:val="20"/>
          <w:szCs w:val="20"/>
          <w:color w:val="auto"/>
        </w:rPr>
      </w:pPr>
    </w:p>
    <w:p>
      <w:pPr>
        <w:ind w:left="280" w:hanging="273"/>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150,189</w:t>
      </w:r>
    </w:p>
    <w:p>
      <w:pPr>
        <w:spacing w:after="0" w:line="27"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15,781</w:t>
      </w:r>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(9,652)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(52,487)</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103,831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746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3179"/>
          </w:cols>
          <w:pgMar w:left="1440" w:top="513" w:right="1440" w:bottom="1440" w:gutter="0" w:footer="0" w:header="0"/>
          <w:type w:val="continuous"/>
        </w:sectPr>
      </w:pPr>
    </w:p>
    <w:p>
      <w:pPr>
        <w:spacing w:after="0" w:line="8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addition, the Company partners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The Company was identified as a sub recipient of grants under these programs totaling $239 million as of June 30, 2025. Under these grants the Company expects to enter into agreements to construct and operate the networks for the grant recipient. Once construction is complete the Company will hold a long-term lease to operate the network. The operating agreement will require the Company to meet certain minimum service requirements. Through June 30, 2025, the Company has received $23.5 million of funding under these programs and spent $25.4 million on construction obligations. These amounts are recorded as operating cash 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7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July 2022, the Company was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the Company’s networks in the western United States and in the US Virgin Islands, however, in December 2024 this program was fully funded for an increased allocation to the Company of an aggregate amount of approximately $517 million. The Replace and Remove Program requires each of the Company’s participating subsidiaries to complete the project no later than a specified deadline, which was recently extended to the second quarter of 2026.</w:t>
      </w:r>
    </w:p>
    <w:p>
      <w:pPr>
        <w:spacing w:after="0" w:line="235" w:lineRule="exact"/>
        <w:rPr>
          <w:sz w:val="20"/>
          <w:szCs w:val="20"/>
          <w:color w:val="auto"/>
        </w:rPr>
      </w:pPr>
    </w:p>
    <w:p>
      <w:pPr>
        <w:ind w:left="60" w:right="919" w:firstLine="648"/>
        <w:spacing w:after="0" w:line="282" w:lineRule="auto"/>
        <w:rPr>
          <w:sz w:val="20"/>
          <w:szCs w:val="20"/>
          <w:color w:val="auto"/>
        </w:rPr>
      </w:pPr>
      <w:r>
        <w:rPr>
          <w:rFonts w:ascii="Times New Roman" w:cs="Times New Roman" w:eastAsia="Times New Roman" w:hAnsi="Times New Roman"/>
          <w:sz w:val="18"/>
          <w:szCs w:val="18"/>
          <w:color w:val="auto"/>
        </w:rPr>
        <w:t>A summary of the amounts spent and reimbursed under the Replace and Remove Program is below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June 30, 2025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(27,181)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(31,940)</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June 30, 2025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June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(41,421)</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(10,721)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June 30, 2024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At June 30, 2025, $17.0 million of the capital expenditures spent under the Replace and Remove Program were accrued and unpaid. The Company expects to be reimbursed, within the next twelve months, for all amounts spent to date. Amounts identified as capital are recorded as investing cash flows and amounts identified as operating are recorded as operating cash 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Multi-employer Defined Benefit Plan</w:t>
      </w:r>
    </w:p>
    <w:p>
      <w:pPr>
        <w:spacing w:after="0" w:line="268" w:lineRule="exact"/>
        <w:rPr>
          <w:sz w:val="20"/>
          <w:szCs w:val="20"/>
          <w:color w:val="auto"/>
        </w:rPr>
      </w:pPr>
    </w:p>
    <w:p>
      <w:pPr>
        <w:ind w:left="100" w:right="220" w:firstLine="648"/>
        <w:spacing w:after="0" w:line="272" w:lineRule="auto"/>
        <w:rPr>
          <w:sz w:val="20"/>
          <w:szCs w:val="20"/>
          <w:color w:val="auto"/>
        </w:rPr>
      </w:pPr>
      <w:r>
        <w:rPr>
          <w:rFonts w:ascii="Times New Roman" w:cs="Times New Roman" w:eastAsia="Times New Roman" w:hAnsi="Times New Roman"/>
          <w:sz w:val="17"/>
          <w:szCs w:val="17"/>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w:t>
      </w:r>
    </w:p>
    <w:p>
      <w:pPr>
        <w:spacing w:after="0" w:line="2" w:lineRule="exact"/>
        <w:rPr>
          <w:sz w:val="20"/>
          <w:szCs w:val="20"/>
          <w:color w:val="auto"/>
        </w:rPr>
      </w:pPr>
    </w:p>
    <w:p>
      <w:pPr>
        <w:ind w:left="100" w:right="100"/>
        <w:spacing w:after="0" w:line="260" w:lineRule="auto"/>
        <w:rPr>
          <w:sz w:val="20"/>
          <w:szCs w:val="20"/>
          <w:color w:val="auto"/>
        </w:rPr>
      </w:pPr>
      <w:r>
        <w:rPr>
          <w:rFonts w:ascii="Times New Roman" w:cs="Times New Roman" w:eastAsia="Times New Roman" w:hAnsi="Times New Roman"/>
          <w:sz w:val="18"/>
          <w:szCs w:val="18"/>
          <w:color w:val="auto"/>
        </w:rPr>
        <w:t>are not determined for, or allocated separately to, the individual employer. This plan was not in endangered or critical status during the plan year.</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68" w:lineRule="exact"/>
        <w:rPr>
          <w:sz w:val="20"/>
          <w:szCs w:val="20"/>
          <w:color w:val="auto"/>
        </w:rPr>
      </w:pPr>
    </w:p>
    <w:p>
      <w:pPr>
        <w:jc w:val="both"/>
        <w:ind w:left="100"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noncontributory defined benefit pension and noncontributory defined medical, dental, vision, and life benefit plans for eligible employees who meet certain eligibility criteria. The majority of benefits under the plans are frozen and the plans no longer allow new participants to join.</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recorded the net periodic benefit cost identified below (in thousands):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17"/>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Pension Postretirement</w:t>
            </w:r>
          </w:p>
        </w:tc>
        <w:tc>
          <w:tcPr>
            <w:tcW w:w="120" w:type="dxa"/>
            <w:vAlign w:val="bottom"/>
          </w:tcPr>
          <w:p>
            <w:pPr>
              <w:spacing w:after="0"/>
              <w:rPr>
                <w:sz w:val="10"/>
                <w:szCs w:val="10"/>
                <w:color w:val="auto"/>
              </w:rPr>
            </w:pPr>
          </w:p>
        </w:tc>
        <w:tc>
          <w:tcPr>
            <w:tcW w:w="14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Pension Postretirement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0" w:type="dxa"/>
            <w:vAlign w:val="bottom"/>
          </w:tcPr>
          <w:p>
            <w:pPr>
              <w:spacing w:after="0"/>
              <w:rPr>
                <w:sz w:val="1"/>
                <w:szCs w:val="1"/>
                <w:color w:val="auto"/>
              </w:rPr>
            </w:pPr>
          </w:p>
        </w:tc>
      </w:tr>
      <w:tr>
        <w:trPr>
          <w:trHeight w:val="173"/>
        </w:trPr>
        <w:tc>
          <w:tcPr>
            <w:tcW w:w="2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unrecognized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78"/>
        </w:trPr>
        <w:tc>
          <w:tcPr>
            <w:tcW w:w="24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periodic pension expense</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1"/>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w:t>
            </w:r>
          </w:p>
        </w:tc>
        <w:tc>
          <w:tcPr>
            <w:tcW w:w="20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00"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was not required to make contributions to its pension plans during the six months ended June 30, 2025 and 2024. However, the Company periodically evaluates whether to make discretionary contributions. The Company funds its postretirement benefit plans as claims are made and did not make contributions to its pension plans during the six months ended June 30, 2025 and 2024.</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ind w:left="100"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2025 and 2024 was 29.0% and 1.8% respectively.</w:t>
      </w:r>
    </w:p>
    <w:p>
      <w:pPr>
        <w:spacing w:after="0" w:line="202" w:lineRule="exact"/>
        <w:rPr>
          <w:sz w:val="20"/>
          <w:szCs w:val="20"/>
          <w:color w:val="auto"/>
        </w:rPr>
      </w:pPr>
    </w:p>
    <w:p>
      <w:pPr>
        <w:ind w:left="100"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recorded an income tax benefit of $3.8 million in relation to a pretax loss of $13.0 million for the three months ended June 30, 2025. The effective tax rate for the three months ended June 30, 2025 was primarily impacted by the following items: (i) the mix of income generated among the jurisdictions in which the Company operates, (ii) 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$0.6 million expense for interest on prior years uncertain tax positions, and a $1.0 million benefit from the release of a capital loss carryover</w:t>
      </w:r>
    </w:p>
    <w:p>
      <w:pPr>
        <w:sectPr>
          <w:pgSz w:w="11900" w:h="16838" w:orient="portrait"/>
          <w:cols w:equalWidth="0" w:num="1">
            <w:col w:w="9100"/>
          </w:cols>
          <w:pgMar w:left="140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valuation allowance based on the Company’s conclusion that it was more likely than not that this deferred tax asset would be realized in the future.</w:t>
      </w:r>
    </w:p>
    <w:p>
      <w:pPr>
        <w:spacing w:after="0" w:line="20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recorded an income tax expense of $0.2 million in relation to a pretax loss of $11.5 million for the three months ended June 30, 2024. The effective tax rate for the three months ended June 30, 2024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and a $0.8 million expense for interest on unrecognized tax positions.</w:t>
      </w:r>
    </w:p>
    <w:p>
      <w:pPr>
        <w:spacing w:after="0" w:line="229"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six months ended June 30, 2025 and 2024 was 16.1% and 35.0%, respectively.</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recorded an income tax benefit of $4.0 million in relation to a pretax loss of $24.6 million for the six months ended June 30, 2025. The effective tax rate for the six months ended June 30,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$1.2 million expense for interest on prior years uncertain tax positions, a $0.5 million expense associated with stock option shortfalls, and a $1.0 million benefit from the release of a capital loss carryover valuation allowance based on the Company’s conclusion that it was more likely than not that this deferred tax asset would be realized in the future.</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recorded an income tax expense of $1.8 million in relation to a pretax income of $5.2 million for the six months ended June 30, 2024. The effective tax rate for the six months ended June 30, 2024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 $1.5 million expense to record an unrecognized tax position for the current year, and a $1.5 million expense for interest on unrecognized tax positions.</w:t>
      </w:r>
    </w:p>
    <w:p>
      <w:pPr>
        <w:spacing w:after="0" w:line="23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 AND REDEEMABLE NONCONTROLLING INTERESTS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7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2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ATN International, Inc.</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Basic</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(15,954)</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dividends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(1,376)</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ATN International, Inc. common</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18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(8,533)</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   (18,919)</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1"/>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Diluted</w:t>
            </w:r>
          </w:p>
        </w:tc>
        <w:tc>
          <w:tcPr>
            <w:tcW w:w="1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7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20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records the common units at the higher of the book value or the estimated fair value of the common units.</w:t>
      </w:r>
    </w:p>
    <w:p>
      <w:pPr>
        <w:spacing w:after="0" w:line="22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216"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The put options for both the common and preferred units, if any, are nonrecourse to the Company. The put options for the Alloy common units are exercisable beginning in 2026 and the put options for the Alaska Communications common and preferred units are exercisable at the earlier of a future initial public offering of the subsidiary or July 2028.</w:t>
      </w:r>
    </w:p>
    <w:p>
      <w:pPr>
        <w:spacing w:after="0" w:line="18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allocated losses of $5.1 million and $2.7 million, respectively, to the redeemable common units representing their proportionate share of operating losses. For the six months ended June 30, 2025 and 2024, the Company allocated $8.7 million and $6.2 million, respectively, to the redeemable common units representing their proportionate share of operating losses. The fair value of the Alaska common units was zero at both June 30, 2025 and December 31, 2024. The Alloy common units were carried at historical cost of $10.0 million and $10.6 million at June 30, 2025 and December 31, 2024, respectively, which exceeded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activity related to the Company’s redeemable noncontrolling interests for the six months ended June 30,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0" w:type="dxa"/>
            <w:vAlign w:val="bottom"/>
          </w:tcPr>
          <w:p>
            <w:pPr>
              <w:spacing w:after="0"/>
              <w:rPr>
                <w:sz w:val="1"/>
                <w:szCs w:val="1"/>
                <w:color w:val="auto"/>
              </w:rPr>
            </w:pPr>
          </w:p>
        </w:tc>
      </w:tr>
      <w:tr>
        <w:trPr>
          <w:trHeight w:val="10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8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3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0" w:type="dxa"/>
            <w:vAlign w:val="bottom"/>
          </w:tcPr>
          <w:p>
            <w:pPr>
              <w:spacing w:after="0"/>
              <w:rPr>
                <w:sz w:val="1"/>
                <w:szCs w:val="1"/>
                <w:color w:val="auto"/>
              </w:rPr>
            </w:pPr>
          </w:p>
        </w:tc>
      </w:tr>
      <w:tr>
        <w:trPr>
          <w:trHeight w:val="10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8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2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7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2025, the Company has the following two reportable and operating segments: (i) International Telecom and (ii) US Telecom.</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Operating income is the segment measure of profit or loss reported to the chief operating decision maker for purposes of assessing the segments' performance and making capital allocation decisions. The Company believes operating income is a useful measure of its operating results as it provides relevant and useful information to investors and other users of its financial data in evaluating the effectiveness of its operations and underlying business trends in a manner that is consistent with management's evaluation of business performance. The Company’s chief operating decision maker is 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 information for each operating segment (in thousands):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r>
      <w:tr>
        <w:trPr>
          <w:trHeight w:val="210"/>
        </w:trPr>
        <w:tc>
          <w:tcPr>
            <w:tcW w:w="4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w:t>
            </w: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47,270</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65,838</w:t>
            </w:r>
          </w:p>
        </w:tc>
      </w:tr>
      <w:tr>
        <w:trPr>
          <w:trHeight w:val="210"/>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61,749</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113,108</w:t>
            </w:r>
          </w:p>
        </w:tc>
      </w:tr>
      <w:tr>
        <w:trPr>
          <w:trHeight w:val="20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33,229</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10"/>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174,874</w:t>
            </w: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09"/>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94,894</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86,406</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181,300</w:t>
            </w:r>
          </w:p>
        </w:tc>
      </w:tr>
      <w:tr>
        <w:trPr>
          <w:trHeight w:val="196"/>
        </w:trPr>
        <w:tc>
          <w:tcPr>
            <w:tcW w:w="4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77,165</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56,160</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33,863</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 and transfers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78,673</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181,067</w:t>
            </w: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w:t>
            </w: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10"/>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8"/>
        </w:trPr>
        <w:tc>
          <w:tcPr>
            <w:tcW w:w="40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w:t>
            </w:r>
          </w:p>
        </w:tc>
      </w:tr>
      <w:tr>
        <w:trPr>
          <w:trHeight w:val="209"/>
        </w:trPr>
        <w:tc>
          <w:tcPr>
            <w:tcW w:w="4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49,532</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65,174</w:t>
            </w:r>
          </w:p>
        </w:tc>
      </w:tr>
      <w:tr>
        <w:trPr>
          <w:trHeight w:val="209"/>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62,215</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52,491</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114,706</w:t>
            </w:r>
          </w:p>
        </w:tc>
      </w:tr>
      <w:tr>
        <w:trPr>
          <w:trHeight w:val="20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09"/>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177,365</w:t>
            </w: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09"/>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87,924</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183,281</w:t>
            </w:r>
          </w:p>
        </w:tc>
      </w:tr>
      <w:tr>
        <w:trPr>
          <w:trHeight w:val="197"/>
        </w:trPr>
        <w:tc>
          <w:tcPr>
            <w:tcW w:w="4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76,137</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35,558</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transfers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(15,842)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62,952</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158,965</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0"/>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w:t>
            </w: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40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(5,137)</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r>
    </w:tbl>
    <w:p>
      <w:pPr>
        <w:spacing w:after="0" w:line="198" w:lineRule="exact"/>
        <w:rPr>
          <w:sz w:val="20"/>
          <w:szCs w:val="20"/>
          <w:color w:val="auto"/>
        </w:rPr>
      </w:pPr>
    </w:p>
    <w:p>
      <w:pPr>
        <w:ind w:left="1040" w:right="39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2"/>
        </w:trPr>
        <w:tc>
          <w:tcPr>
            <w:tcW w:w="40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42,657</w:t>
            </w:r>
          </w:p>
        </w:tc>
      </w:tr>
      <w:tr>
        <w:trPr>
          <w:trHeight w:val="209"/>
        </w:trPr>
        <w:tc>
          <w:tcPr>
            <w:tcW w:w="4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52,409</w:t>
            </w:r>
          </w:p>
        </w:tc>
      </w:tr>
      <w:tr>
        <w:trPr>
          <w:trHeight w:val="21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95,008</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131,126</w:t>
            </w:r>
          </w:p>
        </w:tc>
      </w:tr>
      <w:tr>
        <w:trPr>
          <w:trHeight w:val="209"/>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123,115</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226,134</w:t>
            </w:r>
          </w:p>
        </w:tc>
      </w:tr>
      <w:tr>
        <w:trPr>
          <w:trHeight w:val="21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66,359</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09"/>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348,905</w:t>
            </w: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r>
      <w:tr>
        <w:trPr>
          <w:trHeight w:val="210"/>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w:t>
            </w: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360,594</w:t>
            </w:r>
          </w:p>
        </w:tc>
      </w:tr>
      <w:tr>
        <w:trPr>
          <w:trHeight w:val="216"/>
        </w:trPr>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155,389</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111,390</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68,390</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 and transfers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158,420</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179,152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357,694</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w:t>
            </w: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10"/>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(27,514)</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w:t>
            </w: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8"/>
        </w:trPr>
        <w:tc>
          <w:tcPr>
            <w:tcW w:w="40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(3,781)</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2"/>
        </w:trPr>
        <w:tc>
          <w:tcPr>
            <w:tcW w:w="40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44,573</w:t>
            </w:r>
          </w:p>
        </w:tc>
      </w:tr>
      <w:tr>
        <w:trPr>
          <w:trHeight w:val="209"/>
        </w:trPr>
        <w:tc>
          <w:tcPr>
            <w:tcW w:w="4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54,454</w:t>
            </w: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103,030</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130,882</w:t>
            </w:r>
          </w:p>
        </w:tc>
      </w:tr>
      <w:tr>
        <w:trPr>
          <w:trHeight w:val="209"/>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123,536</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110,376</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233,912</w:t>
            </w:r>
          </w:p>
        </w:tc>
      </w:tr>
      <w:tr>
        <w:trPr>
          <w:trHeight w:val="20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10"/>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358,633</w:t>
            </w: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09"/>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370,076</w:t>
            </w:r>
          </w:p>
        </w:tc>
      </w:tr>
      <w:tr>
        <w:trPr>
          <w:trHeight w:val="216"/>
        </w:trPr>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156,527</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118,979</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69,897</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 and transfers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(15,842)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144,326</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180,178</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341,186</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28,890</w:t>
            </w: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0"/>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8"/>
        </w:trPr>
        <w:tc>
          <w:tcPr>
            <w:tcW w:w="40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(6,574)</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Selected balance sheet data for each of the Company’s segments as of June 30, 2025 and December 31, 2024 consists of the following (in thousands):</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66,726</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44,866</w:t>
            </w:r>
          </w:p>
        </w:tc>
        <w:tc>
          <w:tcPr>
            <w:tcW w:w="4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113,315</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1,010,631</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1,707,006</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269,024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583,399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4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89,244</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1,040,193</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1,727,103</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267,314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and 2024, the Company spent $87.9 million and $108.0 million, respectively, on capital expenditures relating to its telecommunications networks and business support systems of which $45.9 million and $46.2 million, respectively, are reimbursable under various government programs. The following notes the Company’s capital expenditures, by operating segment, for these periods (in thousands).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87,922</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1,579</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40" w:right="399" w:hanging="315"/>
        <w:spacing w:after="0" w:line="282" w:lineRule="auto"/>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Litigation Matters</w:t>
      </w:r>
    </w:p>
    <w:p>
      <w:pPr>
        <w:spacing w:after="0" w:line="27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The Company believes that, except for the items discussed below, for which the Company is currently unable to predict the final outcome,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disposition of matters currently pending will not have a material adverse effect on the Company’s financial position or results of operations.</w:t>
      </w:r>
    </w:p>
    <w:p>
      <w:pPr>
        <w:spacing w:after="0" w:line="20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Beginning in 2006, the National Frequency Management Unit (now the Telecommunications Agency, or the “NFMU”) and OneGY have been engaged in discussions regarding the amount of and methodology for calculation of spectrum fees payable by OneGY in Guyana. Since that time, OneGY has made payments of undisputed spectrum, license and other fees when invoiced by the NFMU, and to its successor, the TA. OneGY continues to dispute in good faith the methodology used for calculation and has reached out for further discussion on the subject of a revised spectrum fee methodology with the TA.</w:t>
      </w:r>
    </w:p>
    <w:p>
      <w:pPr>
        <w:spacing w:after="0" w:line="228"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OneGY has filed several lawsuits in the High Court of Guyana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the Company cannot accurately predict at this time when the consolidated suit will reach a court of final determination.</w:t>
      </w:r>
    </w:p>
    <w:p>
      <w:pPr>
        <w:spacing w:after="0" w:line="21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and while all matters have been appealed by the GRA, only one remains pending for determination by the High Court.</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Rural Health Care Support Program. On May 8, 2024, the Company entered into a Consent Decree with the FCC Enforcement Bureau, regarding both the USAC and FCC Enforcement Bureau’s investigation and agreed to (i) pay a settlement amount of approximately $6.3 million, and (ii) enter into a three-year compliance agreement in connection with Alaska Communication’s continued participation in the RHC Program. At this time, the Company believes that it can comply with all of the terms of the compliance agreement. The settlement amount of $6.3 million consists of a $5.3 million cash payment and the $1.0 million forgiveness of certain receivables, both of which have been accrued on the Company’s balance sheet as of June 30, 2025. As such, this settlement will not impact the statement of operations in future periods.</w:t>
      </w:r>
    </w:p>
    <w:p>
      <w:pPr>
        <w:spacing w:after="0" w:line="230"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With respect to all of the foregoing unresolved matters, the Company believes that some adverse outcome is probable and has accordingly accrued $15.3 million as of June 30, 2025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70" w:lineRule="exact"/>
        <w:rPr>
          <w:sz w:val="20"/>
          <w:szCs w:val="20"/>
          <w:color w:val="auto"/>
        </w:rPr>
      </w:pPr>
    </w:p>
    <w:p>
      <w:pPr>
        <w:jc w:val="both"/>
        <w:ind w:left="60" w:right="659"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The Company is currently evaluating the provisions of the bill and any potential impacts on its financial position and operations, but does not anticipate any material impacts to its financial statements for the year ending December 31,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80" w:right="159" w:firstLine="648"/>
        <w:spacing w:after="0" w:line="282" w:lineRule="auto"/>
        <w:rPr>
          <w:sz w:val="20"/>
          <w:szCs w:val="20"/>
          <w:color w:val="auto"/>
        </w:rPr>
      </w:pPr>
      <w:r>
        <w:rPr>
          <w:rFonts w:ascii="Times New Roman" w:cs="Times New Roman" w:eastAsia="Times New Roman" w:hAnsi="Times New Roman"/>
          <w:sz w:val="18"/>
          <w:szCs w:val="18"/>
          <w:color w:val="auto"/>
        </w:rPr>
        <w:t>We are a leading provider of digital infrastructure and communications services with a focus on rural and remote markets in the United States, and internationally, including Bermuda and the Caribbean region.</w:t>
      </w:r>
    </w:p>
    <w:p>
      <w:pPr>
        <w:spacing w:after="0" w:line="162" w:lineRule="exact"/>
        <w:rPr>
          <w:sz w:val="20"/>
          <w:szCs w:val="20"/>
          <w:color w:val="auto"/>
        </w:rPr>
      </w:pPr>
    </w:p>
    <w:p>
      <w:pPr>
        <w:ind w:left="8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developed significant operational expertise and resources that we use to augment our capabilities in our local markets. With this support, our operating subsidiaries can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while keeping a focus on generating excess operating cash flows over extended periods of time. We use the cash generated from our operations to maintain an appropriate ratio of debt and cash on hand and to re-invest in organic growth, to fund capital expenditures, to return value to our stockholders through dividends or stock repurchases, and to make strategic investments or acquisitions.</w:t>
      </w:r>
    </w:p>
    <w:p>
      <w:pPr>
        <w:spacing w:after="0" w:line="194" w:lineRule="exact"/>
        <w:rPr>
          <w:sz w:val="20"/>
          <w:szCs w:val="20"/>
          <w:color w:val="auto"/>
        </w:rPr>
      </w:pPr>
    </w:p>
    <w:p>
      <w:pPr>
        <w:ind w:left="80" w:right="17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our financial segments and geographical information about our operating revenues and assets, see Notes 1 and 12 to the Consolidated Financial Statements included in this Report.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2025, we offered the following types of services to our customers:</w:t>
      </w:r>
    </w:p>
    <w:p>
      <w:pPr>
        <w:spacing w:after="0" w:line="221" w:lineRule="exact"/>
        <w:rPr>
          <w:sz w:val="20"/>
          <w:szCs w:val="20"/>
          <w:color w:val="auto"/>
        </w:rPr>
      </w:pPr>
    </w:p>
    <w:p>
      <w:pPr>
        <w:ind w:left="1240" w:right="99" w:hanging="326"/>
        <w:spacing w:after="0" w:line="26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We provide fixed data and voice telecommunications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and consumer customers. These services include high-speed consumer broadband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ind w:left="1240" w:right="399" w:hanging="326"/>
        <w:spacing w:after="0" w:line="268"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We deliver services to other telecommunications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leasing of critical network infrastructure such as tower and transport facilities, wholesale roaming and long-distance voice services, site maintenance and international long-distance services.</w:t>
      </w:r>
    </w:p>
    <w:p>
      <w:pPr>
        <w:spacing w:after="0" w:line="170" w:lineRule="exact"/>
        <w:rPr>
          <w:rFonts w:ascii="Times New Roman" w:cs="Times New Roman" w:eastAsia="Times New Roman" w:hAnsi="Times New Roman"/>
          <w:sz w:val="18"/>
          <w:szCs w:val="18"/>
          <w:color w:val="auto"/>
        </w:rPr>
      </w:pPr>
    </w:p>
    <w:p>
      <w:pPr>
        <w:ind w:left="1240" w:right="619" w:hanging="326"/>
        <w:spacing w:after="0" w:line="317" w:lineRule="auto"/>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Mobile Telecommunications Services</w:t>
      </w:r>
      <w:r>
        <w:rPr>
          <w:rFonts w:ascii="Times New Roman" w:cs="Times New Roman" w:eastAsia="Times New Roman" w:hAnsi="Times New Roman"/>
          <w:sz w:val="17"/>
          <w:szCs w:val="17"/>
          <w:color w:val="auto"/>
        </w:rPr>
        <w:t>. We offer mobile communications services over our wireless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networks and related equipment (such as handsets) to both business and consumer customers.</w:t>
      </w:r>
    </w:p>
    <w:p>
      <w:pPr>
        <w:spacing w:after="0" w:line="131" w:lineRule="exact"/>
        <w:rPr>
          <w:rFonts w:ascii="Times New Roman" w:cs="Times New Roman" w:eastAsia="Times New Roman" w:hAnsi="Times New Roman"/>
          <w:sz w:val="17"/>
          <w:szCs w:val="17"/>
          <w:color w:val="auto"/>
        </w:rPr>
      </w:pPr>
    </w:p>
    <w:p>
      <w:pPr>
        <w:ind w:left="1240" w:right="179" w:hanging="326"/>
        <w:spacing w:after="0" w:line="268"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We provide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our business and consumer customers to complement our fixed telecommunications services in our existing markets.</w:t>
      </w:r>
    </w:p>
    <w:p>
      <w:pPr>
        <w:spacing w:after="0" w:line="175"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2025, we identified two operating segments to manage and review our operations, as well as to support investor presentations of our results. These operating segments are as follows:</w:t>
      </w:r>
    </w:p>
    <w:p>
      <w:pPr>
        <w:spacing w:after="0" w:line="158" w:lineRule="exact"/>
        <w:rPr>
          <w:sz w:val="20"/>
          <w:szCs w:val="20"/>
          <w:color w:val="auto"/>
        </w:rPr>
      </w:pPr>
    </w:p>
    <w:p>
      <w:pPr>
        <w:jc w:val="both"/>
        <w:ind w:left="1240" w:right="139" w:hanging="326"/>
        <w:spacing w:after="0" w:line="268"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United States, we offer fixed, carrier, and managed services to business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customers in Alaska and the western United States. In 2024, we ceased providing mobility services to retail customers in the western United States.</w:t>
      </w:r>
    </w:p>
    <w:p>
      <w:pPr>
        <w:spacing w:after="0" w:line="170" w:lineRule="exact"/>
        <w:rPr>
          <w:rFonts w:ascii="Times New Roman" w:cs="Times New Roman" w:eastAsia="Times New Roman" w:hAnsi="Times New Roman"/>
          <w:sz w:val="18"/>
          <w:szCs w:val="18"/>
          <w:color w:val="auto"/>
        </w:rPr>
      </w:pPr>
    </w:p>
    <w:p>
      <w:pPr>
        <w:ind w:left="1240" w:right="79" w:hanging="326"/>
        <w:spacing w:after="0" w:line="28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our international markets, we offer fixed, carrier, mobility and managed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customers in Bermuda, the Cayman Islands, Guyana and the US Virgin Islands.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our principal subsidiaries, the segments in which we reported our revenue and the markets we served as of June 30, 2025:</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Telecom</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US Telecom</w:t>
            </w:r>
          </w:p>
        </w:tc>
      </w:tr>
      <w:tr>
        <w:trPr>
          <w:trHeight w:val="142"/>
        </w:trPr>
        <w:tc>
          <w:tcPr>
            <w:tcW w:w="120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right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 (1)</w:t>
            </w:r>
          </w:p>
        </w:tc>
        <w:tc>
          <w:tcPr>
            <w:tcW w:w="110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w:t>
            </w:r>
          </w:p>
        </w:tc>
        <w:tc>
          <w:tcPr>
            <w:tcW w:w="80" w:type="dxa"/>
            <w:vAlign w:val="bottom"/>
            <w:shd w:val="clear" w:color="auto" w:fill="CCEEFF"/>
          </w:tcPr>
          <w:p>
            <w:pPr>
              <w:spacing w:after="0"/>
              <w:rPr>
                <w:sz w:val="16"/>
                <w:szCs w:val="16"/>
                <w:color w:val="auto"/>
              </w:rPr>
            </w:pPr>
          </w:p>
        </w:tc>
        <w:tc>
          <w:tcPr>
            <w:tcW w:w="142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Choice, Choice NTUA</w:t>
            </w: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Virgin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(rural markets)</w:t>
            </w: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Wireless</w:t>
            </w: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500" w:type="dxa"/>
            <w:vAlign w:val="bottom"/>
            <w:tcBorders>
              <w:right w:val="single" w:sz="8" w:color="auto"/>
            </w:tcBorders>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Guyana, US</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Virgin Islands</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Logic</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Sacred Wind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 Ethos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Broadband, Deploycom</w:t>
            </w: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 Services</w:t>
            </w:r>
          </w:p>
        </w:tc>
        <w:tc>
          <w:tcPr>
            <w:tcW w:w="16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Guyana,</w:t>
            </w:r>
          </w:p>
        </w:tc>
        <w:tc>
          <w:tcPr>
            <w:tcW w:w="1500" w:type="dxa"/>
            <w:vAlign w:val="bottom"/>
            <w:tcBorders>
              <w:right w:val="single" w:sz="8" w:color="auto"/>
            </w:tcBorders>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w:t>
            </w:r>
          </w:p>
        </w:tc>
        <w:tc>
          <w:tcPr>
            <w:tcW w:w="1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Virgin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Essextel</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500" w:type="dxa"/>
            <w:vAlign w:val="bottom"/>
            <w:tcBorders>
              <w:right w:val="single" w:sz="8" w:color="auto"/>
            </w:tcBorders>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US Virgin</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w:t>
            </w:r>
          </w:p>
        </w:tc>
      </w:tr>
      <w:tr>
        <w:trPr>
          <w:trHeight w:val="234"/>
        </w:trPr>
        <w:tc>
          <w:tcPr>
            <w:tcW w:w="1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Guyana</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Logic, Brava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720" w:right="19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completed a rebranding in Guyana and GTT is now known as “One Communications.” We refer to our business in Guyana as “OneGY” throughout this report. In April 2025, we completed a rebranding in the US Virgin Islands and Viya is now known as “One Communications.” We refer to our business in the U.S. Virgin Islands as “OneVI” throughout this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Carrier Managed Services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July 2019, we entered into a Network Build and Maintenance Agreement with AT&amp;T Mobility, LLC (“AT&amp;T”) that we subsequently amended through March 31, 2025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Since the inception of the project through June 30, 2025, we have recorded $77 million in construction revenue and expect to record approximately $6 million in additional construction revenue and related costs as sites are completed. We expect to substantially complete the build by the end of 2025. Revenues from construction are expected to have minimal impact on the Company’s operating income.</w:t>
      </w:r>
    </w:p>
    <w:p>
      <w:pPr>
        <w:spacing w:after="0" w:line="188" w:lineRule="exact"/>
        <w:rPr>
          <w:sz w:val="20"/>
          <w:szCs w:val="20"/>
          <w:color w:val="auto"/>
        </w:rPr>
      </w:pPr>
    </w:p>
    <w:p>
      <w:pPr>
        <w:jc w:val="both"/>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w:t>
      </w:r>
    </w:p>
    <w:p>
      <w:pPr>
        <w:spacing w:after="0" w:line="164"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On May 10, 2023, we entered into a Carrier Managed Services Master Agreement (the “Verizon CMS Agreement”) with Cellco Partnership d/b/a Verizon Wireless (“Verizon”), pursuant to which we will provide a variety of network, infrastructure and technical services that will help deliver next generation wireless services to Verizon’s subscribers in our current operating areas in the southwestern United States.</w:t>
      </w:r>
    </w:p>
    <w:p>
      <w:pPr>
        <w:spacing w:after="0" w:line="18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Pursuant to the Verizon CMS Agreement and subject to certain limitations contained therein, we will upgrade our wireless service in specific areas and provide services to Verizon for an initial term ending in 2030.</w:t>
      </w:r>
    </w:p>
    <w:p>
      <w:pPr>
        <w:spacing w:after="0" w:line="162"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Following acceptance of a cell site, we will continue to own the cell site. In addition to building the network, we will provide ongoing equipment and site maintenance and high-capacity transport to and from these cell sites for an initial term ending in 2030.</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With respect to each of our FirstNet and Verizon agreements, our carrier partners will continue to use our wholesale domestic mobility network for roaming services at a fixed rate per site during the construction period until such time as the cell site is completed. Thereafter, revenue from the maintenance, leasing and transport services provided is expected to generally offset revenue from wholesale mobility roaming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(“USAC”) with respect to our federal contributions and our receipts of universal service funding. To our knowledge, we comply in all material respects with applicable federal and state USF assessment and support requirements.</w:t>
      </w:r>
    </w:p>
    <w:p>
      <w:pPr>
        <w:spacing w:after="0" w:line="187" w:lineRule="exact"/>
        <w:rPr>
          <w:sz w:val="20"/>
          <w:szCs w:val="20"/>
          <w:color w:val="auto"/>
        </w:rPr>
      </w:pPr>
    </w:p>
    <w:p>
      <w:pPr>
        <w:ind w:left="60" w:right="23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USF High-Cost Support. </w:t>
      </w:r>
      <w:r>
        <w:rPr>
          <w:rFonts w:ascii="Times New Roman" w:cs="Times New Roman" w:eastAsia="Times New Roman" w:hAnsi="Times New Roman"/>
          <w:sz w:val="18"/>
          <w:szCs w:val="18"/>
          <w:color w:val="auto"/>
        </w:rPr>
        <w:t>The Federal Communications Commission’s (“FCC) high-cost USF (or alternatives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high-cost USF) mechanisms promote the deployment and operation of voice and broadband 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 We receive several forms of high-cost support, including but not limited to, as follows:</w:t>
      </w:r>
    </w:p>
    <w:p>
      <w:pPr>
        <w:spacing w:after="0" w:line="76" w:lineRule="exact"/>
        <w:rPr>
          <w:sz w:val="20"/>
          <w:szCs w:val="20"/>
          <w:color w:val="auto"/>
        </w:rPr>
      </w:pPr>
    </w:p>
    <w:p>
      <w:pPr>
        <w:ind w:left="1040" w:right="139" w:hanging="315"/>
        <w:spacing w:after="0" w:line="25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federal USF support under the Alaska Connect Fund (“ACF”). Beginning January 1, 2025, we began receiving $25.6 million per year and expect such annual funding to continue until December 31, 2028. Beginning in 2029 and continuing through 2034, the amount of ACF support we receive will be determined by FCC staff taking into consideration broadband deployment funded through the Broadband Equity Access and Deployment Program. The ACF replaced the $19.7 million per year that we had previously received in Connect America Fund II support in Alaska;</w:t>
      </w:r>
    </w:p>
    <w:p>
      <w:pPr>
        <w:spacing w:after="0" w:line="106" w:lineRule="exact"/>
        <w:rPr>
          <w:rFonts w:ascii="Times New Roman" w:cs="Times New Roman" w:eastAsia="Times New Roman" w:hAnsi="Times New Roman"/>
          <w:sz w:val="18"/>
          <w:szCs w:val="18"/>
          <w:color w:val="auto"/>
        </w:rPr>
      </w:pPr>
    </w:p>
    <w:p>
      <w:pPr>
        <w:ind w:left="1040" w:right="279" w:hanging="315"/>
        <w:spacing w:after="0" w:line="258"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Enhanced Alternative Connect America Model funding available to our operations in the southwest, we are estimated to receive approximately $105 million over the next 14 years, through 2038, with approximately $9 million annually through 2030 before a gradual step down to $6 million annually in 2038. This funding is subject to a requirement to deploy voice and broadband service at speeds of 100/20 Mbps to all required locations by the end of calendar year 2028;</w:t>
      </w:r>
    </w:p>
    <w:p>
      <w:pPr>
        <w:spacing w:after="0" w:line="11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receive approximately $8 million per year in Connect America Fund II support in the rural southwest until July 2028;</w:t>
      </w:r>
    </w:p>
    <w:p>
      <w:pPr>
        <w:spacing w:after="0" w:line="80"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estimated to receive approximately $5.5 million annually in the US Virgin Islands through December 31, 2025 (this annual support is scheduled to end in 2025), subject to the requirement to enhance network resiliency and operations in those markets;</w:t>
      </w:r>
    </w:p>
    <w:p>
      <w:pPr>
        <w:spacing w:after="0" w:line="94"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awarded approximately $2.3 million annually in the western United States through December 31, 2031 as part of the Rural Digital Opportunity Fund Phase I (“RDOF”) auction. In exchange for this support, we committed to deploy voice and broadband service to covered areas within six years and to provide service in those areas for ten years. As of June 2025, we transferred $1.3 million of the annual awards to other providers and returned $0.7 million of the annual awards to the FCC;</w:t>
      </w:r>
    </w:p>
    <w:p>
      <w:pPr>
        <w:spacing w:after="0" w:line="11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state USF support in Alaska of approximately $2.5 million annually.</w:t>
      </w:r>
    </w:p>
    <w:p>
      <w:pPr>
        <w:spacing w:after="0" w:line="25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we were in compliance in all material respects with requirements associated with such funding. If we fail to meet these obligations or require substantial additional capital expenditures to meet the obligations in a timely manner, our revenue, results of operations and liquidity may be materially adversely impacted.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Grants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have also been awarded construction grants to build network connectivity for eligible communities. The funding of these grants, used to reimburse us for our construction costs, is generally distributed after we incur reimbursable costs. Completion deadlines began in 2025 and once these projects are constructed, we are obligated to provide service to the participants. We expect to meet all requirements associated with these grants. As of June 30, 2025, we were awarded $103.8 million of construction grants.</w:t>
      </w:r>
    </w:p>
    <w:p>
      <w:pPr>
        <w:spacing w:after="0" w:line="183" w:lineRule="exact"/>
        <w:rPr>
          <w:sz w:val="20"/>
          <w:szCs w:val="20"/>
          <w:color w:val="auto"/>
        </w:rPr>
      </w:pPr>
    </w:p>
    <w:p>
      <w:pPr>
        <w:jc w:val="both"/>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disbursed capital expenditures of $12.2 million under these programs and received reimbursement of $9.4 million. These cash flows are classified as investing activities in our statement of cash flows.</w:t>
      </w:r>
    </w:p>
    <w:p>
      <w:pPr>
        <w:spacing w:after="0" w:line="17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We were identified as a sub recipient of grants under these programs totaling $239 million as of June 30, 2025. Through June 30, 2025, we have received $23.5 million of funding under these programs and spent $25.4 million on construction obligations. These amounts are recorded as operating cash flows in the Company’s statement of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July 2022, we were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our networks in the western United States and in the US Virgin Islands, however, in December 2024, this program was fully funded for an increased allocation to the Company of an aggregate amount of approximately $517 million. The Replace and Remove Program requires each of our participating subsidiaries to complete the project no later than a specified deadline, which was recently extended to the second quarter of 2026.</w:t>
      </w:r>
    </w:p>
    <w:p>
      <w:pPr>
        <w:spacing w:after="0" w:line="19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incurred total expenditures of $200.5 million related to this project, of which $32.1 million were incurred in 2025. Of these total expenditures, $167.8 million were classified as capital.</w:t>
      </w:r>
    </w:p>
    <w:p>
      <w:pPr>
        <w:spacing w:after="0" w:line="16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 June 30, 2025, $17.0 million of capital expenditures were accrued and unpaid under the Replace and Remove Program. We expect to be reimbursed, within the next twelve months, for all amounts spent to date. During the six months ended June 30, 2025, we received $37.0 million of reimbursement under the program, of which $5.1 million was classified as operating cash inflows and $31.9 million was classified as investing cash inflows in our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Segment Financial Information</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2025, the Company has the following two reportable and operating segments: (i) International Telecom and (ii) US Telecom.</w:t>
      </w:r>
    </w:p>
    <w:p>
      <w:pPr>
        <w:spacing w:after="0" w:line="162"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Operating income is the segment measure of profit or loss reported to the chief operating decision maker for purposes of assessing the segments' performance and making capital allocation decisions. We believe operating income is a useful measure of our operating results as it provides relevant and useful information to investors and other users of our financial data in evaluating the effectiveness of our operations and underlying business trends in a manner that is consistent with management's evaluation of business performance. Our chief operating decision maker is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three months ended June 30, 2025 and 2024 (in thousands):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r>
      <w:tr>
        <w:trPr>
          <w:trHeight w:val="210"/>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w:t>
            </w:r>
          </w:p>
        </w:tc>
      </w:tr>
      <w:tr>
        <w:trPr>
          <w:trHeight w:val="20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47,270</w:t>
            </w: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65,838</w:t>
            </w:r>
          </w:p>
        </w:tc>
      </w:tr>
      <w:tr>
        <w:trPr>
          <w:trHeight w:val="210"/>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113,108</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33,229</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10"/>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174,874</w:t>
            </w:r>
          </w:p>
        </w:tc>
      </w:tr>
      <w:tr>
        <w:trPr>
          <w:trHeight w:val="20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09"/>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5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86,406</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181,300</w:t>
            </w:r>
          </w:p>
        </w:tc>
      </w:tr>
      <w:tr>
        <w:trPr>
          <w:trHeight w:val="196"/>
        </w:trPr>
        <w:tc>
          <w:tcPr>
            <w:tcW w:w="4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77,165</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56,160</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33,863</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 and transfers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1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78,673</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181,067</w:t>
            </w: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w:t>
            </w: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10"/>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r>
    </w:tbl>
    <w:p>
      <w:pPr>
        <w:spacing w:after="0" w:line="179" w:lineRule="exact"/>
        <w:rPr>
          <w:sz w:val="20"/>
          <w:szCs w:val="20"/>
          <w:color w:val="auto"/>
        </w:rPr>
      </w:pPr>
    </w:p>
    <w:p>
      <w:pPr>
        <w:ind w:left="1040" w:right="39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62,215</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52,491</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transfers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(15,842)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right="499" w:hanging="282"/>
        <w:spacing w:after="0" w:line="282" w:lineRule="auto"/>
        <w:tabs>
          <w:tab w:leader="none" w:pos="9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three months ended June 30, 2025 and 2024 is as follows:</w:t>
      </w:r>
    </w:p>
    <w:p>
      <w:pPr>
        <w:spacing w:after="0" w:line="223"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International Telecom. </w:t>
      </w:r>
      <w:r>
        <w:rPr>
          <w:rFonts w:ascii="Times New Roman" w:cs="Times New Roman" w:eastAsia="Times New Roman" w:hAnsi="Times New Roman"/>
          <w:sz w:val="17"/>
          <w:szCs w:val="17"/>
          <w:color w:val="auto"/>
        </w:rPr>
        <w:t>Revenues within our International Telecom segment decreased $0.5 million, or 0.5%,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$94.9 million from $95.4 million for the three months ended June 30, 2025 and 2024, respectively. This decrease was primarily the result of decreases in Mobility, Fixed and Carrier Services revenues of $0.5 million, $0.5 million and $0.2 million, respectively, which were partially offset by a $1.1 million increase in revenues from certain ancillary services.</w:t>
      </w:r>
    </w:p>
    <w:p>
      <w:pPr>
        <w:spacing w:after="0" w:line="16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increased by $15.7 million, or 24.9%, to $78.7 million from $63.0 million for the three months ended June 30, 2025 and 2024, respectively. Operating expenses for the three months ended June 30, 2024 included a $15.8 million gain on the disposition of long-lived assets, primarily real estate. Operating expenses for the three months ended June 30, 2025 were reduced by the result of certain cost savings initiatives, including reorganization and reductions in force that were implemented in current and previous periods partially offset by $1.4 million of restructuring and reorganization expenses that were incurred during the current period.</w:t>
      </w:r>
    </w:p>
    <w:p>
      <w:pPr>
        <w:spacing w:after="0" w:line="187"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decreased $16.2 million, or 50.0%, to $16.2 million from $32.4 million for the three months ended June 30, 2025 and 2024, respectively.</w:t>
      </w:r>
    </w:p>
    <w:p>
      <w:pPr>
        <w:spacing w:after="0" w:line="16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decreased by $1.5 million, or 1.7%, to $86.4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$87.9 million for the three months ended June 30, 2025 and 2024, respectively, primarily as a result of a $1.1 million reduction in Fixed revenues which were negatively impacted by the conclusion of both the Emergency Connectivity Fund and the Affordable Care Program, both of which provided revenue through April 2024. In addition, the US Telecom segment’s Carrier Services revenue decreased by $0.3 million primarily as the result of the transition of legacy roaming arrangements to carrier service management contracts, and Mobility revenue decreased $0.8 million within our retail operations as a result of our conclusion of our providing retail mobility services under our own brand name to retail customers. Partially offsetting these decreases was the increase in construction revenue of $1.4 million as a result of an increase in the number of sites completed during the three months ended June 30, 2025 as compared to the same period of 2024.</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within our US Telecom segment increased $4.9 million, or 5.6%, to $91.9 million from $87.0 million for the three months ended June 30, 2025 and 2024, respectively, as a result of the recording of $2.4 million in restructuring and reorganization expenses and a $2.6 million increase in the loss on the disposition of assets and transfers. Such increases were partially offset by the result of certain cost savings initiatives, including reorganization and reductions in force that were implemented in current and previous periods.</w:t>
      </w:r>
    </w:p>
    <w:p>
      <w:pPr>
        <w:spacing w:after="0" w:line="183"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decreased to a loss of $5.5 million from income of $0.9 million for the three months ended June 30,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three months ended June 30,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174,874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177,365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183,281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communications services and 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disposition of long-lived assets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181,067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158,965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(LOSS) ATTRIBUTABLE TO ATN</w:t>
            </w: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(178.0)</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4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ind w:left="60" w:right="1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Mobility Revenue. </w:t>
      </w:r>
      <w:r>
        <w:rPr>
          <w:rFonts w:ascii="Times New Roman" w:cs="Times New Roman" w:eastAsia="Times New Roman" w:hAnsi="Times New Roman"/>
          <w:sz w:val="18"/>
          <w:szCs w:val="18"/>
          <w:color w:val="auto"/>
        </w:rPr>
        <w:t>Our Mobility revenue consists of revenue generated within our International Telecom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by providing business and retail mobile voice and data services over our wireless networks as well as through the sale and repair services of related equipment, such as handsets and other accessories, to our subscribers. Wholesale Mobility revenue is recorded under Carrier Services Revenue.</w:t>
      </w:r>
    </w:p>
    <w:p>
      <w:pPr>
        <w:spacing w:after="0" w:line="221"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Mobility revenue decreased by $1.3 million, or 4.7%, to $26.3 million for the three months ended June 30, 2025 from $27.6 million for the three months ended June 30, 2024. The decrease in Mobility revenue, within our segments, consisted of the following:</w:t>
      </w:r>
    </w:p>
    <w:p>
      <w:pPr>
        <w:spacing w:after="0" w:line="201" w:lineRule="exact"/>
        <w:rPr>
          <w:sz w:val="20"/>
          <w:szCs w:val="20"/>
          <w:color w:val="auto"/>
        </w:rPr>
      </w:pPr>
    </w:p>
    <w:p>
      <w:pPr>
        <w:ind w:left="1040" w:right="35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Mobility revenue decreased by $0.5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1.9%, to $26.3 million from $26.8 million for the three months ended June 30, 2025 and 2024, respectively. Revenue from business and consumer customers declined by $0.1 million and $0.4 million, respectively.</w:t>
      </w:r>
    </w:p>
    <w:p>
      <w:pPr>
        <w:spacing w:after="0" w:line="179"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Telecom. </w:t>
      </w:r>
      <w:r>
        <w:rPr>
          <w:rFonts w:ascii="Times New Roman" w:cs="Times New Roman" w:eastAsia="Times New Roman" w:hAnsi="Times New Roman"/>
          <w:sz w:val="18"/>
          <w:szCs w:val="18"/>
          <w:color w:val="auto"/>
        </w:rPr>
        <w:t>Mobility revenue within our US Telecom segment decreased by $0.8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as compared to the three months ended June 30, 2024 as we recorded only a nominal amount of Mobility revenue within this segment during the three months ended June 30, 2025 due to the conclusion of our providing retail mobility services under our own brand name to retail customers.</w:t>
      </w:r>
    </w:p>
    <w:p>
      <w:pPr>
        <w:spacing w:after="0" w:line="222"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Mobility revenue within our International Telecom may decrease as a result of increased competition and regulatory changes partially offset by our continued network upgrades, marketing efforts and conversion of our current subscriber base to higher margin prepaid and postpaid plans.</w:t>
      </w:r>
    </w:p>
    <w:p>
      <w:pPr>
        <w:spacing w:after="0" w:line="216"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We do not expect to record Mobility revenue within our US Telecom segment in future periods due to the conclusion of our providing retail mobility services under our own brand name to retail customers.</w:t>
      </w:r>
    </w:p>
    <w:p>
      <w:pPr>
        <w:spacing w:after="0" w:line="18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Fixed Revenue. </w:t>
      </w:r>
      <w:r>
        <w:rPr>
          <w:rFonts w:ascii="Times New Roman" w:cs="Times New Roman" w:eastAsia="Times New Roman" w:hAnsi="Times New Roman"/>
          <w:sz w:val="18"/>
          <w:szCs w:val="18"/>
          <w:color w:val="auto"/>
        </w:rPr>
        <w:t>Fixed revenue is primarily generated by broadband, voice, and video service revenues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retail and business customers over our wireline networks. Fixed revenue within our US Telecom segment also includes awards from the Connect America Fund Phase II program, the Enhanced Alternative Connect America Cost Model program, and the Alaska Universal Service Fund. In addition, and through early April 2024, Fixed revenue within the US Telecom segment also included revenue from the Emergency Connectivity Fund (ECF) and Affordable Care Program (ACP). Within our International Telecom segment, Fixed revenue includes funding under the FCC’s High-Cost Program in the US Virgin Islands.</w:t>
      </w:r>
    </w:p>
    <w:p>
      <w:pPr>
        <w:spacing w:after="0" w:line="227"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Fixed revenue decreased by $1.6 million, or 1.4%, to $113.1 million from $114.7 million for the three months ended June 30, 2025 and 2024, respectively. This decrease primarily pertained to a decrease in Fixed revenue from business customers and consisted of the following:</w:t>
      </w:r>
    </w:p>
    <w:p>
      <w:pPr>
        <w:spacing w:after="0" w:line="214" w:lineRule="exact"/>
        <w:rPr>
          <w:sz w:val="20"/>
          <w:szCs w:val="20"/>
          <w:color w:val="auto"/>
        </w:rPr>
      </w:pPr>
    </w:p>
    <w:p>
      <w:pPr>
        <w:ind w:left="1040" w:right="13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revenue decreased by $0.5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0.8%, to $61.7 million from $62.2 million for the three months ended June 30, 2025 and 2024, respectively. This decrease included a $0.3 million and $0.2 million decrease in revenue from business and consumer customers, respectively.</w:t>
      </w:r>
    </w:p>
    <w:p>
      <w:pPr>
        <w:spacing w:after="0" w:line="179" w:lineRule="exact"/>
        <w:rPr>
          <w:rFonts w:ascii="Times New Roman" w:cs="Times New Roman" w:eastAsia="Times New Roman" w:hAnsi="Times New Roman"/>
          <w:sz w:val="18"/>
          <w:szCs w:val="18"/>
          <w:color w:val="auto"/>
        </w:rPr>
      </w:pPr>
    </w:p>
    <w:p>
      <w:pPr>
        <w:ind w:left="1040" w:right="119" w:hanging="315"/>
        <w:spacing w:after="0" w:line="25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revenue within our US Telecom segment decreased by $1.1 million, or 2.1%, to $51.4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$52.5 million for the three months ended June 30, 2025 and 2024, respectively. This decrease was primarily a result of the conclusion of the Emergency Connectivity Fund and Affordable Care Programs, both of which provided revenue through April 2024. Fixed revenue from business customers in this segment decreased by $1.9 million, but such decrease was partially offset by an increase in revenues from consumer customers of $0.8 million.</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Fixed revenue within our International Telecom segment may increase due to the popularity of video and audio streaming, the demand for cloud services and smart home, business and city solutions to increase the demand for broadband and other data services from consumers, businesses and governments. However, such increases may be offset by a decrease in demand for our legacy services due to subscribers using alternative methods to receive video and audio content.</w:t>
      </w:r>
    </w:p>
    <w:p>
      <w:pPr>
        <w:spacing w:after="0" w:line="224"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Within our US Telecom segment, Fixed revenue from business customers in Alaska and our western United States operations may increase as we further deploy fiber and fiber-fed broadband with capital investment and government grant funding, which will increase access for both consumers and businesses.</w:t>
      </w:r>
    </w:p>
    <w:p>
      <w:pPr>
        <w:spacing w:after="0" w:line="212" w:lineRule="exact"/>
        <w:rPr>
          <w:sz w:val="20"/>
          <w:szCs w:val="20"/>
          <w:color w:val="auto"/>
        </w:rPr>
      </w:pPr>
    </w:p>
    <w:p>
      <w:pPr>
        <w:ind w:left="60" w:right="49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is generated by both our International Telecom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Agreement and Verizon Carrier Managed Services Agreement, wholesale roaming revenues, the provision of network switching services, tower lease revenue and other services provided to other carriers.</w:t>
      </w:r>
    </w:p>
    <w:p>
      <w:pPr>
        <w:spacing w:after="0" w:line="214"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Carrier Services revenue decreased by $0.5 million, or 1.5%, to $33.2 million from $33.7 million for the three months ended June 30, 2025 and 2024, respectively. The decrease, within our segments, consisted of the following:</w:t>
      </w:r>
    </w:p>
    <w:p>
      <w:pPr>
        <w:spacing w:after="0" w:line="178"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decreased by</w:t>
      </w:r>
    </w:p>
    <w:p>
      <w:pPr>
        <w:spacing w:after="0" w:line="29" w:lineRule="exact"/>
        <w:rPr>
          <w:rFonts w:ascii="Times New Roman" w:cs="Times New Roman" w:eastAsia="Times New Roman" w:hAnsi="Times New Roman"/>
          <w:sz w:val="18"/>
          <w:szCs w:val="18"/>
          <w:color w:val="auto"/>
        </w:rPr>
      </w:pPr>
    </w:p>
    <w:p>
      <w:pPr>
        <w:ind w:left="1040" w:right="13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$0.2 million, or 5.6%, to $3.4 million, from $3.6 million for the three months ended June 30, 2025 and 2024, respectively, primarily as a result of a decrease in roaming revenues in some of our international markets.</w:t>
      </w:r>
    </w:p>
    <w:p>
      <w:pPr>
        <w:spacing w:after="0" w:line="155" w:lineRule="exact"/>
        <w:rPr>
          <w:rFonts w:ascii="Times New Roman" w:cs="Times New Roman" w:eastAsia="Times New Roman" w:hAnsi="Times New Roman"/>
          <w:sz w:val="18"/>
          <w:szCs w:val="18"/>
          <w:color w:val="auto"/>
        </w:rPr>
      </w:pPr>
    </w:p>
    <w:p>
      <w:pPr>
        <w:ind w:left="1040" w:right="21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decreased by $0.3 million, or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$29.8 million from $30.1 million, for the three months ended June 30, 2025 and 2024, respectively. This decrease is primarily the result of the transition of legacy roaming arrangements to carrier service management contracts.</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Within our International Telecom segment, Carrier Services revenue may increase if international travel increases.</w:t>
      </w:r>
    </w:p>
    <w:p>
      <w:pPr>
        <w:spacing w:after="0" w:line="252"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Within our US Telecom segment, Carrier Services revenue may continue to decrease as a result of the impact of carrier service management contracts.</w:t>
      </w:r>
    </w:p>
    <w:p>
      <w:pPr>
        <w:spacing w:after="0" w:line="198"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includes project-related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within both our International and US Telecom segments and ancillary services that the operations within our International Telecom segment provide to its retail subscribers. Other Communications Services revenue increased $0.8 million, or 57.1%, to $2.2 million from $1.4 million for the three months ended June 30, 2025 and 2024, respectively, as a result of an increase in revenue from ancillary services in our International Telecom segment partially offset by a reduction in certain non-recurring project-related revenue being recognized in our US Telecom segment.</w:t>
      </w:r>
    </w:p>
    <w:p>
      <w:pPr>
        <w:spacing w:after="0" w:line="227" w:lineRule="exact"/>
        <w:rPr>
          <w:sz w:val="20"/>
          <w:szCs w:val="20"/>
          <w:color w:val="auto"/>
        </w:rPr>
      </w:pPr>
    </w:p>
    <w:p>
      <w:pPr>
        <w:ind w:left="60" w:right="579" w:firstLine="648"/>
        <w:spacing w:after="0" w:line="312" w:lineRule="auto"/>
        <w:rPr>
          <w:sz w:val="20"/>
          <w:szCs w:val="20"/>
          <w:color w:val="auto"/>
        </w:rPr>
      </w:pPr>
      <w:r>
        <w:rPr>
          <w:rFonts w:ascii="Times New Roman" w:cs="Times New Roman" w:eastAsia="Times New Roman" w:hAnsi="Times New Roman"/>
          <w:sz w:val="17"/>
          <w:szCs w:val="17"/>
          <w:color w:val="auto"/>
        </w:rPr>
        <w:t>Other Communication Services revenue may increase in future periods as the demand for ancillary services increase but may be partially offset by a decrease in project-related revenues as those projects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Construction revenue represents revenue generated within our US Telecom segment for the construction of network cell sites related to the FirstNet Agreement. During the three months ended June 30, 2025 and 2024, Construction revenue increased to $2.2 million from $0.8 million, respectively, primarily as a result of an increase in the number of sites completed during 2025 as compared to 2024. We expect to substantially complete the build related to the FirstNet Agreement by the end of 2025.</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52" w:lineRule="exact"/>
        <w:rPr>
          <w:sz w:val="20"/>
          <w:szCs w:val="20"/>
          <w:color w:val="auto"/>
        </w:rPr>
      </w:pPr>
    </w:p>
    <w:p>
      <w:pPr>
        <w:ind w:left="60" w:right="5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is generated within both our International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 and includes network, application, infrastructure, and hosting services.</w:t>
      </w:r>
    </w:p>
    <w:p>
      <w:pPr>
        <w:spacing w:after="0" w:line="199"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Managed Services revenue decreased by $0.9 million, or 17.6%, to $4.2 million from $5.1 million for the three months ended June 30, 2025 and 2024, respectively. The decreases, within our segments consisted of the following:</w:t>
      </w:r>
    </w:p>
    <w:p>
      <w:pPr>
        <w:spacing w:after="0" w:line="178" w:lineRule="exact"/>
        <w:rPr>
          <w:sz w:val="20"/>
          <w:szCs w:val="20"/>
          <w:color w:val="auto"/>
        </w:rPr>
      </w:pPr>
    </w:p>
    <w:p>
      <w:pPr>
        <w:ind w:left="60" w:right="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Managed Services revenue in our International Telecom segment decreased $0.4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23.5%, to $1.3 million from $1.7 million for the three months ended June 30, 2025 and 2024, respectively.</w:t>
      </w:r>
    </w:p>
    <w:p>
      <w:pPr>
        <w:spacing w:after="0" w:line="185" w:lineRule="exact"/>
        <w:rPr>
          <w:sz w:val="20"/>
          <w:szCs w:val="20"/>
          <w:color w:val="auto"/>
        </w:rPr>
      </w:pPr>
    </w:p>
    <w:p>
      <w:pPr>
        <w:ind w:left="60" w:right="2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Managed Services revenue decreased $0.5 million, or 14.7%,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million from $3.4 million for the three months ended June 30, 2025 and 2024, respectively.</w:t>
      </w:r>
    </w:p>
    <w:p>
      <w:pPr>
        <w:spacing w:after="0" w:line="201"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Managed Services revenue may continue to increase in both our US and International Telecom segments as a result of our continued effort to sell certain Managed Services solutions to primarily business customers in all of our markets.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communication services and other. </w:t>
      </w:r>
      <w:r>
        <w:rPr>
          <w:rFonts w:ascii="Times New Roman" w:cs="Times New Roman" w:eastAsia="Times New Roman" w:hAnsi="Times New Roman"/>
          <w:sz w:val="18"/>
          <w:szCs w:val="18"/>
          <w:color w:val="auto"/>
        </w:rPr>
        <w:t>Cost of communication services and other are charges that we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voice and data transport circuits,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227" w:lineRule="exact"/>
        <w:rPr>
          <w:sz w:val="20"/>
          <w:szCs w:val="20"/>
          <w:color w:val="auto"/>
        </w:rPr>
      </w:pPr>
    </w:p>
    <w:p>
      <w:pPr>
        <w:jc w:val="both"/>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and other increased by $1.1 million, or 1.45%, to $77.2 million from $76.1 million for the three months ended June 30, 2025 and 2024, respectively. The net increase in cost of communication services and other, within our segments, consisted of the following:</w:t>
      </w:r>
    </w:p>
    <w:p>
      <w:pPr>
        <w:spacing w:after="0" w:line="214" w:lineRule="exact"/>
        <w:rPr>
          <w:sz w:val="20"/>
          <w:szCs w:val="20"/>
          <w:color w:val="auto"/>
        </w:rPr>
      </w:pPr>
    </w:p>
    <w:p>
      <w:pPr>
        <w:ind w:left="1040" w:right="119" w:hanging="315"/>
        <w:spacing w:after="0" w:line="258"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cost of communication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remained consistent at $33.8 million, for the three months ended June 30, 2025 and 2024, respectively. Increases in this segment’s provision for doubtful accounts, licensing costs and maintenance expenses offset the impact of cost savings initiatives, including reorganizations and reductions in force, that were implemented in the current and previous periods.</w:t>
      </w:r>
    </w:p>
    <w:p>
      <w:pPr>
        <w:spacing w:after="0" w:line="115" w:lineRule="exact"/>
        <w:rPr>
          <w:rFonts w:ascii="Times New Roman" w:cs="Times New Roman" w:eastAsia="Times New Roman" w:hAnsi="Times New Roman"/>
          <w:sz w:val="18"/>
          <w:szCs w:val="18"/>
          <w:color w:val="auto"/>
        </w:rPr>
      </w:pPr>
    </w:p>
    <w:p>
      <w:pPr>
        <w:ind w:left="1040" w:right="259" w:hanging="315"/>
        <w:spacing w:after="0" w:line="258"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increased by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2.6%, to $43.4 million from $42.3 million for the three months ended June 30, 2025 and 2024, respectively. Such increase was a result of an increase in cell site rents in certain locations which was partially offset by the beneficial impact of certain cost savings initiatives, including reorganizations and reductions in force, that were implemented in the current and previous periods as well as a reduction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spacing w:after="0" w:line="282" w:lineRule="auto"/>
        <w:rPr>
          <w:sz w:val="20"/>
          <w:szCs w:val="20"/>
          <w:color w:val="auto"/>
        </w:rPr>
      </w:pPr>
      <w:r>
        <w:rPr>
          <w:rFonts w:ascii="Times New Roman" w:cs="Times New Roman" w:eastAsia="Times New Roman" w:hAnsi="Times New Roman"/>
          <w:sz w:val="18"/>
          <w:szCs w:val="18"/>
          <w:color w:val="auto"/>
        </w:rPr>
        <w:t>costs associated with the Emergency Connectivity Fund program which concluded during the second quarter of 2024.</w:t>
      </w:r>
    </w:p>
    <w:p>
      <w:pPr>
        <w:spacing w:after="0" w:line="20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in both our International and US Telecom segments may decrease as a result of the ongoing cost reduction initiatives that commenced in previous periods, but such decrease may be partially offset by future inflationary pressure.</w:t>
      </w:r>
    </w:p>
    <w:p>
      <w:pPr>
        <w:spacing w:after="0" w:line="212" w:lineRule="exact"/>
        <w:rPr>
          <w:sz w:val="20"/>
          <w:szCs w:val="20"/>
          <w:color w:val="auto"/>
        </w:rPr>
      </w:pPr>
    </w:p>
    <w:p>
      <w:pPr>
        <w:ind w:left="60" w:right="3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Cost of construction revenue includes the expenses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of and the delivery to AT&amp;T of cell sites in accordance with our FirstNet Agreement. During the three months ended June 30, 2025 and 2024, cost of construction revenue increased to $2.2 million from $0.8 million, respectively, as a result of an increase in the number of sites completed during 2025 as compared to 2024. We expect to substantially complete the build by the end of 2025.</w:t>
      </w:r>
    </w:p>
    <w:p>
      <w:pPr>
        <w:spacing w:after="0" w:line="206"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227"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$1.5 million, or 2.6%, to $56.2 million from $57.7 million for the three months ended June 30, 2025 and 2024, respectively. The decreases in selling, general and administrative expenses occurred within all of our segments and were primarily related to certain cost containment initiatives, including reorganizations and reductions in force, that were implemented in the current and previous periods. The impact to each of our segments, consisted of the following:</w:t>
      </w:r>
    </w:p>
    <w:p>
      <w:pPr>
        <w:spacing w:after="0" w:line="222" w:lineRule="exact"/>
        <w:rPr>
          <w:sz w:val="20"/>
          <w:szCs w:val="20"/>
          <w:color w:val="auto"/>
        </w:rPr>
      </w:pPr>
    </w:p>
    <w:p>
      <w:pPr>
        <w:ind w:left="1040" w:right="119" w:hanging="315"/>
        <w:spacing w:after="0" w:line="26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decreased by $0.4 million, or 1.4%, to $27.9 million from $28.3 million for the three months ended June 30, 2025 and 2024, respectively.</w:t>
      </w:r>
    </w:p>
    <w:p>
      <w:pPr>
        <w:spacing w:after="0" w:line="173" w:lineRule="exact"/>
        <w:rPr>
          <w:rFonts w:ascii="Times New Roman" w:cs="Times New Roman" w:eastAsia="Times New Roman" w:hAnsi="Times New Roman"/>
          <w:sz w:val="18"/>
          <w:szCs w:val="18"/>
          <w:color w:val="auto"/>
        </w:rPr>
      </w:pPr>
    </w:p>
    <w:p>
      <w:pPr>
        <w:ind w:left="1040" w:right="99" w:hanging="315"/>
        <w:spacing w:after="0" w:line="26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Selling, general and administrative expenses decreased within our US Telecom segment by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1.3%, to $22.6 million from $22.9 million, for the three months ended June 30, 2025 and 2024, respectively.</w:t>
      </w:r>
    </w:p>
    <w:p>
      <w:pPr>
        <w:spacing w:after="0" w:line="173" w:lineRule="exact"/>
        <w:rPr>
          <w:rFonts w:ascii="Times New Roman" w:cs="Times New Roman" w:eastAsia="Times New Roman" w:hAnsi="Times New Roman"/>
          <w:sz w:val="18"/>
          <w:szCs w:val="18"/>
          <w:color w:val="auto"/>
        </w:rPr>
      </w:pPr>
    </w:p>
    <w:p>
      <w:pPr>
        <w:ind w:left="1040" w:right="159" w:hanging="315"/>
        <w:spacing w:after="0" w:line="26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$0.8 million, or 12.3%, to $5.7 million from $6.5 million, for the three months ended June 30, 2025 and 2024, respectively.</w:t>
      </w:r>
    </w:p>
    <w:p>
      <w:pPr>
        <w:spacing w:after="0" w:line="202"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all our segments may continue to decrease as a result of the ongoing cost reduction initiatives that commenced in previous periods, but such decrease may be partially offset by future inflationary pressure.</w:t>
      </w:r>
    </w:p>
    <w:p>
      <w:pPr>
        <w:spacing w:after="0" w:line="212"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represents a non-cash expense related to the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grants of equity awards to employees and directors.</w:t>
      </w:r>
    </w:p>
    <w:p>
      <w:pPr>
        <w:spacing w:after="0" w:line="19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for the three months ended June 30, 2025 and 2024 was $2.7 million and $2.8 million, respectively.</w:t>
      </w:r>
    </w:p>
    <w:p>
      <w:pPr>
        <w:spacing w:after="0" w:line="185"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Transaction-related charges include the external costs, such as legal,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consulting fees directly associated with acquisition and disposition-related activities and certain financing activities that are expensed as incurred. Transaction-related charges do not include employee salary and travel-related expenses incurred in connection with acquisitions or dispositions or any integration-related costs.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incurred $0.2 million and a nominal amount of transaction-related charges during the three months ended June 30, 2025 and 2024, respectively.</w:t>
      </w:r>
    </w:p>
    <w:p>
      <w:pPr>
        <w:spacing w:after="0" w:line="198" w:lineRule="exact"/>
        <w:rPr>
          <w:sz w:val="20"/>
          <w:szCs w:val="20"/>
          <w:color w:val="auto"/>
        </w:rPr>
      </w:pPr>
    </w:p>
    <w:p>
      <w:pPr>
        <w:ind w:left="60" w:right="33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Restructuring and reorganization expenses. </w:t>
      </w:r>
      <w:r>
        <w:rPr>
          <w:rFonts w:ascii="Times New Roman" w:cs="Times New Roman" w:eastAsia="Times New Roman" w:hAnsi="Times New Roman"/>
          <w:sz w:val="18"/>
          <w:szCs w:val="18"/>
          <w:color w:val="auto"/>
        </w:rPr>
        <w:t>In our efforts to advance our cost management actions to drive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operating efficiencies and margins, we incurred certain restructuring and reorganization expenses, primarily reductions in force, totaling $1.4 million, $2.4 million and $1.2 million within our International Telecom segment, US Telecom segment and Corporate and Other segment, respectively, during the three months ended June 30, 2025.</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incur any restructuring and reorganization expenses during the three months ended June 30, 2024.</w:t>
      </w:r>
    </w:p>
    <w:p>
      <w:pPr>
        <w:spacing w:after="0" w:line="248" w:lineRule="exact"/>
        <w:rPr>
          <w:sz w:val="20"/>
          <w:szCs w:val="20"/>
          <w:color w:val="auto"/>
        </w:rPr>
      </w:pPr>
    </w:p>
    <w:p>
      <w:pPr>
        <w:ind w:left="60" w:right="339" w:firstLine="6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represent the depreciation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amortization charges we record on our property and equipment.</w:t>
      </w:r>
    </w:p>
    <w:p>
      <w:pPr>
        <w:spacing w:after="0" w:line="19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decreased by $1.7 million, or 4.8%, to $33.9 million from $35.6 million for the three months ended June 30, 2025 and 2024, respectively. The net decrease in depreciation and amortization expenses, within our segments, consisted primarily of the following:</w:t>
      </w:r>
    </w:p>
    <w:p>
      <w:pPr>
        <w:spacing w:after="0" w:line="214" w:lineRule="exact"/>
        <w:rPr>
          <w:sz w:val="20"/>
          <w:szCs w:val="20"/>
          <w:color w:val="auto"/>
        </w:rPr>
      </w:pPr>
    </w:p>
    <w:p>
      <w:pPr>
        <w:ind w:left="1040" w:right="179" w:hanging="315"/>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Depreciation and amortization expenses decreased within our International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$1.1 million, or 6.7%, to $15.2 million from $16.3 million, for the three months ended June 30, 2025 and 2024, respectively. The decrease was the result of this segment’s reduction in capital expenditures in recent periods as well as certain assets becoming fully depreciated in recent periods.</w:t>
      </w:r>
    </w:p>
    <w:p>
      <w:pPr>
        <w:spacing w:after="0" w:line="179"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decreased within our US Telecom segment by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7.3%, to $17.8 million from $19.2 million, for the three months ended June 30, 2025 and 2024, respectively, primarily as a result of this segment’s reduction in capital expenditures in recent periods as well as certain assets becoming fully depreciated in recent periods.</w:t>
      </w:r>
    </w:p>
    <w:p>
      <w:pPr>
        <w:spacing w:after="0" w:line="179" w:lineRule="exact"/>
        <w:rPr>
          <w:rFonts w:ascii="Times New Roman" w:cs="Times New Roman" w:eastAsia="Times New Roman" w:hAnsi="Times New Roman"/>
          <w:sz w:val="18"/>
          <w:szCs w:val="18"/>
          <w:color w:val="auto"/>
        </w:rPr>
      </w:pPr>
    </w:p>
    <w:p>
      <w:pPr>
        <w:ind w:left="1040" w:right="319" w:hanging="315"/>
        <w:spacing w:after="0" w:line="257"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increased within our corporate overhead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$0.9 million from a nominal amount for the three months ended June 30, 2025 and 2024, respectively. Depreciation and amortization expense for the three months ended June 30, 2024 was impacted by certain capital expenditure credits received in previous periods that were being credited to depreciation and amortization expense over the depreciable lives of the underlying assets associated with the issued credits. Such credits became fully depreciated in early 2025.</w:t>
      </w:r>
    </w:p>
    <w:p>
      <w:pPr>
        <w:spacing w:after="0" w:line="211"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to decrease as a result of an expected decline in capital expenditures and as a result of some of our previously acquired assets becoming fully depreciated.</w:t>
      </w:r>
    </w:p>
    <w:p>
      <w:pPr>
        <w:spacing w:after="0" w:line="198" w:lineRule="exact"/>
        <w:rPr>
          <w:sz w:val="20"/>
          <w:szCs w:val="20"/>
          <w:color w:val="auto"/>
        </w:rPr>
      </w:pPr>
    </w:p>
    <w:p>
      <w:pPr>
        <w:ind w:left="60" w:right="5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customer relationships and trade names related to our completed acquisitions.</w:t>
      </w:r>
    </w:p>
    <w:p>
      <w:pPr>
        <w:spacing w:after="0" w:line="19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Amortization of intangibles from acquisitions decreased by $0.7 million to $1.2 million from $1.9 million for the three months ended June 30, 2025 and 2024, respectively.</w:t>
      </w:r>
    </w:p>
    <w:p>
      <w:pPr>
        <w:spacing w:after="0" w:line="18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We expect that amortization of intangibles from acquisitions will continue to decrease in future periods as such assets continue to amortize.</w:t>
      </w:r>
    </w:p>
    <w:p>
      <w:pPr>
        <w:spacing w:after="0" w:line="198" w:lineRule="exact"/>
        <w:rPr>
          <w:sz w:val="20"/>
          <w:szCs w:val="20"/>
          <w:color w:val="auto"/>
        </w:rPr>
      </w:pPr>
    </w:p>
    <w:p>
      <w:pPr>
        <w:jc w:val="both"/>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(Gain) loss on disposition of assets and transfers</w:t>
      </w:r>
      <w:r>
        <w:rPr>
          <w:rFonts w:ascii="Times New Roman" w:cs="Times New Roman" w:eastAsia="Times New Roman" w:hAnsi="Times New Roman"/>
          <w:sz w:val="18"/>
          <w:szCs w:val="18"/>
          <w:color w:val="auto"/>
        </w:rPr>
        <w:t>. During the three months ended June 30, 2025, we recorded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on the disposition of assets of $2.7 million. Of this net loss, $0.1 million and $2.6 million were recognized within our International and US Telecom segments, respectively.</w:t>
      </w:r>
    </w:p>
    <w:p>
      <w:pPr>
        <w:spacing w:after="0" w:line="215"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we recorded a gain on the disposition of assets of $15.9 million primarily relating to the sale of real estate in our International Telecom segment.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4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represents interest earned on our cash, cash equivalents, restricted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 balances. Interest income was $0.1 million for the three months ended June 30, 2025 and 2024.</w:t>
      </w:r>
    </w:p>
    <w:p>
      <w:pPr>
        <w:spacing w:after="0" w:line="195" w:lineRule="exact"/>
        <w:rPr>
          <w:sz w:val="20"/>
          <w:szCs w:val="20"/>
          <w:color w:val="auto"/>
        </w:rPr>
      </w:pPr>
    </w:p>
    <w:p>
      <w:pPr>
        <w:ind w:left="60" w:right="5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We incur interest expense on the 2023 CoBank Credit Facility, the 2024 Alaska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the FirstNet Receivables Credit Facility, the OneGY Credit Facilities, the Sacred Wind Term Debt and the OneVI Debt. In addition, interest expense includes commitment fees, letter of credit fees and the amortization of debt issuance costs.</w:t>
      </w:r>
    </w:p>
    <w:p>
      <w:pPr>
        <w:spacing w:after="0" w:line="221"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to $12.8 million from $12.3 million for the three months ended June 30, 2025 and 2024, respectively, as additional interest expense was incurred as a result of an increase in borrowings under our credit facilities.</w:t>
      </w:r>
    </w:p>
    <w:p>
      <w:pPr>
        <w:spacing w:after="0" w:line="203"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Interest expense may increase in future periods as a result of additional borrowings or an increase in interest rates on those borrowings.</w:t>
      </w:r>
    </w:p>
    <w:p>
      <w:pPr>
        <w:spacing w:after="0" w:line="198"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color w:val="auto"/>
        </w:rPr>
        <w:t>For the three months ended June 30, 2025, other income (expense) was $0.6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primarily related to losses on foreign currency transactions.</w:t>
      </w:r>
    </w:p>
    <w:p>
      <w:pPr>
        <w:spacing w:after="0" w:line="19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other income (expense) was $0.6 million of expense primarily related to expenses for certain employee benefit plans and losses on foreign currency transactions.</w:t>
      </w:r>
    </w:p>
    <w:p>
      <w:pPr>
        <w:spacing w:after="0" w:line="185" w:lineRule="exact"/>
        <w:rPr>
          <w:sz w:val="20"/>
          <w:szCs w:val="20"/>
          <w:color w:val="auto"/>
        </w:rPr>
      </w:pPr>
    </w:p>
    <w:p>
      <w:pPr>
        <w:ind w:left="60" w:right="3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for the three months ended June 30, 2025 and 2024 was 29.0% and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w:t>
      </w:r>
    </w:p>
    <w:p>
      <w:pPr>
        <w:spacing w:after="0" w:line="19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recorded an income tax benefit of $3.8 million in relation to a pretax loss of $13.0 million for the three months ended June 30, 2025. The effective tax rate for the three months ended June 30,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$0.6 million expense for interest on prior years uncertain tax positions, and a $1.0 million benefit from the release of a capital loss carryover valuation allowance based on our conclusion that it was more likely than not that this deferred tax asset would be realized in the future.</w:t>
      </w:r>
    </w:p>
    <w:p>
      <w:pPr>
        <w:spacing w:after="0" w:line="23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recorded an income tax expense of $0.2 million in relation to a pretax income of $11.5 million for the three months ended June 30, 2024. The effective tax rate for the three months ended June 30, 2024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and a $0.8 million expense for interest on unrecognized tax positions.</w:t>
      </w:r>
    </w:p>
    <w:p>
      <w:pPr>
        <w:spacing w:after="0" w:line="21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noncontrolling interests, net of tax. </w:t>
      </w:r>
      <w:r>
        <w:rPr>
          <w:rFonts w:ascii="Times New Roman" w:cs="Times New Roman" w:eastAsia="Times New Roman" w:hAnsi="Times New Roman"/>
          <w:sz w:val="18"/>
          <w:szCs w:val="18"/>
          <w:color w:val="auto"/>
        </w:rPr>
        <w:t>Net loss attributable to noncontrolling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net of tax reflected an allocation of $2.2 million of losses and $2.3 million of income generated by our less than wholly owned subsidiaries for the three months ended June 30, 2025 and 2024, respectively. Changes in net income (loss) attributable to noncontrolling interests, net of tax, within our segments, consisted of the following:</w:t>
      </w:r>
    </w:p>
    <w:p>
      <w:pPr>
        <w:spacing w:after="0" w:line="219" w:lineRule="exact"/>
        <w:rPr>
          <w:sz w:val="20"/>
          <w:szCs w:val="20"/>
          <w:color w:val="auto"/>
        </w:rPr>
      </w:pPr>
    </w:p>
    <w:p>
      <w:pPr>
        <w:ind w:left="1040" w:right="99" w:hanging="315"/>
        <w:spacing w:after="0" w:line="258"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attributable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net of tax decreased by $2.8 million to an allocation of $2.3 million of income from an allocation of $5.1 million of income for the three months ended June 30, 2025 and 2024, respectively, largely as a result of the $15.9 million gain we recorded on the disposition of assets, primarily real estate, during the three months ended June 30, 2024, and increased profitability at certain less than wholly owned subsidiaries.</w:t>
      </w:r>
    </w:p>
    <w:p>
      <w:pPr>
        <w:spacing w:after="0" w:line="183"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loss attributable to noncontrolling interests, net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$1.7 million to an allocation of losses of $4.5 million from an allocation of losses of $2.8 million for the three months ended June 30, 2025 and 2024, respectively, as a result of increased losses at our less than wholly owned subsidiaries within this segment.</w:t>
      </w:r>
    </w:p>
    <w:p>
      <w:pPr>
        <w:spacing w:after="0" w:line="218" w:lineRule="exact"/>
        <w:rPr>
          <w:sz w:val="20"/>
          <w:szCs w:val="20"/>
          <w:color w:val="auto"/>
        </w:rPr>
      </w:pPr>
    </w:p>
    <w:p>
      <w:pPr>
        <w:jc w:val="both"/>
        <w:ind w:left="6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ATN International, Inc. stockholders. </w:t>
      </w:r>
      <w:r>
        <w:rPr>
          <w:rFonts w:ascii="Times New Roman" w:cs="Times New Roman" w:eastAsia="Times New Roman" w:hAnsi="Times New Roman"/>
          <w:sz w:val="18"/>
          <w:szCs w:val="18"/>
          <w:color w:val="auto"/>
        </w:rPr>
        <w:t>Net income (loss) attributable to ATN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Inc. stockholders was a loss of $7.0 million for the three months ended June 30, 2025 as compared to income of $9.0 million for the three months ended June 30, 2024.</w:t>
      </w:r>
    </w:p>
    <w:p>
      <w:pPr>
        <w:spacing w:after="0" w:line="20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loss was $0.56 per diluted share for the three months ended June 30, 2025 as compared to income of $0.50 per diluted share for the three months ended June 30, 2024. Such per share amounts were negatively impacted by accrued preferred dividends of $1.5 million and $1.4 million for the three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six months ended June 30, 2025 and 2024 (in thousands):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2"/>
        </w:trPr>
        <w:tc>
          <w:tcPr>
            <w:tcW w:w="44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42,657</w:t>
            </w:r>
          </w:p>
        </w:tc>
      </w:tr>
      <w:tr>
        <w:trPr>
          <w:trHeight w:val="209"/>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52,409</w:t>
            </w:r>
          </w:p>
        </w:tc>
      </w:tr>
      <w:tr>
        <w:trPr>
          <w:trHeight w:val="20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95,008</w:t>
            </w: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131,126</w:t>
            </w:r>
          </w:p>
        </w:tc>
      </w:tr>
      <w:tr>
        <w:trPr>
          <w:trHeight w:val="209"/>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123,115</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226,134</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66,359</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10"/>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348,905</w:t>
            </w:r>
          </w:p>
        </w:tc>
      </w:tr>
      <w:tr>
        <w:trPr>
          <w:trHeight w:val="20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r>
      <w:tr>
        <w:trPr>
          <w:trHeight w:val="209"/>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360,594</w:t>
            </w: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155,389</w:t>
            </w: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16"/>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111,390</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68,390</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 and transfers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1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158,420</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179,152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357,694</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w:t>
            </w: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10"/>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(27,514)</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r>
    </w:tbl>
    <w:p>
      <w:pPr>
        <w:spacing w:after="0" w:line="179" w:lineRule="exact"/>
        <w:rPr>
          <w:sz w:val="20"/>
          <w:szCs w:val="20"/>
          <w:color w:val="auto"/>
        </w:rPr>
      </w:pPr>
    </w:p>
    <w:p>
      <w:pPr>
        <w:ind w:left="720" w:right="7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2"/>
        </w:trPr>
        <w:tc>
          <w:tcPr>
            <w:tcW w:w="44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44,573</w:t>
            </w:r>
          </w:p>
        </w:tc>
      </w:tr>
      <w:tr>
        <w:trPr>
          <w:trHeight w:val="210"/>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54,454</w:t>
            </w:r>
          </w:p>
        </w:tc>
      </w:tr>
      <w:tr>
        <w:trPr>
          <w:trHeight w:val="20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103,030</w:t>
            </w: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130,882</w:t>
            </w:r>
          </w:p>
        </w:tc>
      </w:tr>
      <w:tr>
        <w:trPr>
          <w:trHeight w:val="210"/>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233,912</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10"/>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358,633</w:t>
            </w:r>
          </w:p>
        </w:tc>
      </w:tr>
      <w:tr>
        <w:trPr>
          <w:trHeight w:val="20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10"/>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370,076</w:t>
            </w: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156,527</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118,979</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69,897</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 and transfers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(15,842)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1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180,178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341,186</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28,890</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9"/>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bl>
    <w:p>
      <w:pPr>
        <w:spacing w:after="0" w:line="179" w:lineRule="exact"/>
        <w:rPr>
          <w:sz w:val="20"/>
          <w:szCs w:val="20"/>
          <w:color w:val="auto"/>
        </w:rPr>
      </w:pPr>
    </w:p>
    <w:p>
      <w:pPr>
        <w:ind w:left="720" w:right="7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six months ended June 30, 2025 and 2024 is as follows:</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Revenues within our International Telecom segment increased $1.0 million, or 0.5%, to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$189.4 million from $188.4 million for the six months ended June 30, 2025 and 2024, respectively, primarily as a result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 increase in ancillary services partially offset by reductions in Mobility revenue, primarily equipment sales, and Fixed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w:t>
      </w:r>
    </w:p>
    <w:p>
      <w:pPr>
        <w:spacing w:after="0" w:line="20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increased by $14.1 million, or 9.8%, to $158.4 million from $144.3 million for the six months ended June 30, 2025 and 2024, respectively. Operating expenses for the six months ended June 30, 2024 included a $15.8 million gain on the disposition of long-lived assets, primarily real estate. Operating expenses for the six months ended June 30, 2025 were reduced by the result of certain cost savings initiatives, including reorganization and reductions in force that were implemented in current and previous periods but offset by a $1.7 million increase in restructuring and reorganization expenses.</w:t>
      </w:r>
    </w:p>
    <w:p>
      <w:pPr>
        <w:spacing w:after="0" w:line="187"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decreased $13.2 million, or 29.9%, to $31.0 million from $44.1 million for the six months ended June 30, 2025 and 2024, respectively.</w:t>
      </w:r>
    </w:p>
    <w:p>
      <w:pPr>
        <w:spacing w:after="0" w:line="160"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decreased by $10.5 million, or 5.8%, to $171.2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$181.7 million for the six months ended June 30, 2025 and 2024, respectively, primarily as a result of a $7.4 million reduction in Fixed revenues which were negatively impacted by the April 2024 conclusion of both the Emergency Connectivity Fund and the Affordable Care Program, a $1.6 million decrease in Mobility revenue as a result of the conclusion of our providing retail mobility services under our own brand name, and a $1.1 million decrease in Carrier Services revenue primarily as the result of the transition of legacy roaming arrangements to carrier service management contracts. Partially offsetting these decreases was an increase in construction revenue of $0.9 million as a result of an increase in the number of sites completed during 2025 as compared to 2024.</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Operating expenses within our US Telecom segment decreased $1.0 million, or 0.6%, to $179.2 million from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$180.2 million for the six months ended June 30, 2025 and 2024, respectively, as a result of the reduction in the direct costs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services associated with the revenue decline and the impact of certain cost savings initiatives, including reorganization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reductions in force, that were implemented in the current and previous periods.</w:t>
      </w:r>
    </w:p>
    <w:p>
      <w:pPr>
        <w:spacing w:after="0" w:line="207"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decreased to a loss of $7.9 million from income of $1.5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six months ended June 30, 2025 and 2024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7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$ 348,905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358,633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(9,728)</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360,594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370,076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155,389</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156,527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111,390</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118,979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(7,589)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68,390</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disposition of assets and transfers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357,694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341,186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(24,760)</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(3,158)</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(3,967)</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(5,789)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ATN</w:t>
            </w: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20" w:type="dxa"/>
            <w:vAlign w:val="bottom"/>
            <w:vMerge w:val="continue"/>
          </w:tcPr>
          <w:p>
            <w:pPr>
              <w:spacing w:after="0"/>
              <w:rPr>
                <w:sz w:val="15"/>
                <w:szCs w:val="15"/>
                <w:color w:val="auto"/>
              </w:rPr>
            </w:pP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 (15,954)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(18,644)</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960" w:type="dxa"/>
            <w:vAlign w:val="bottom"/>
            <w:gridSpan w:val="3"/>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Mobility Revenue. </w:t>
      </w:r>
      <w:r>
        <w:rPr>
          <w:rFonts w:ascii="Times New Roman" w:cs="Times New Roman" w:eastAsia="Times New Roman" w:hAnsi="Times New Roman"/>
          <w:sz w:val="18"/>
          <w:szCs w:val="18"/>
          <w:color w:val="auto"/>
        </w:rPr>
        <w:t>Mobility revenue decreased by $2.1 million, or 3.9%, to $52.4 million for the six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2025 from $54.5 million for the six months ended June 30, 2024. The decrease in Mobility revenue, within our segments, consisted of the following:</w:t>
      </w:r>
    </w:p>
    <w:p>
      <w:pPr>
        <w:spacing w:after="0" w:line="200" w:lineRule="exact"/>
        <w:rPr>
          <w:sz w:val="20"/>
          <w:szCs w:val="20"/>
          <w:color w:val="auto"/>
        </w:rPr>
      </w:pPr>
    </w:p>
    <w:p>
      <w:pPr>
        <w:ind w:left="1040" w:right="139" w:hanging="315"/>
        <w:spacing w:after="0" w:line="26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Mobility revenue decreased by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to $52.4 million for the six months ended June 30, 2025 from $52.8 million for the six months ended June 30, 2024. This decrease in revenue was attributable to a decrease in revenue from consumer customers and relates primarily to a reduction in equipment sales.</w:t>
      </w:r>
    </w:p>
    <w:p>
      <w:pPr>
        <w:spacing w:after="0" w:line="179" w:lineRule="exact"/>
        <w:rPr>
          <w:rFonts w:ascii="Times New Roman" w:cs="Times New Roman" w:eastAsia="Times New Roman" w:hAnsi="Times New Roman"/>
          <w:sz w:val="18"/>
          <w:szCs w:val="18"/>
          <w:color w:val="auto"/>
        </w:rPr>
      </w:pPr>
    </w:p>
    <w:p>
      <w:pPr>
        <w:ind w:left="1040" w:right="139" w:hanging="315"/>
        <w:spacing w:after="0" w:line="26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Telecom. </w:t>
      </w:r>
      <w:r>
        <w:rPr>
          <w:rFonts w:ascii="Times New Roman" w:cs="Times New Roman" w:eastAsia="Times New Roman" w:hAnsi="Times New Roman"/>
          <w:sz w:val="18"/>
          <w:szCs w:val="18"/>
          <w:color w:val="auto"/>
        </w:rPr>
        <w:t>Mobility revenue within our US Telecom segment decreased to a nominal amount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from $1.6 million for the six months ended June 30, 2024 due to the conclusion of our providing retail mobility services under our own brand name to retail customers.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Fixed Revenue. </w:t>
      </w:r>
      <w:r>
        <w:rPr>
          <w:rFonts w:ascii="Times New Roman" w:cs="Times New Roman" w:eastAsia="Times New Roman" w:hAnsi="Times New Roman"/>
          <w:sz w:val="18"/>
          <w:szCs w:val="18"/>
          <w:color w:val="auto"/>
        </w:rPr>
        <w:t>Fixed revenue decreased by $7.8 million, or 3.3%, to $226.1 million from $233.9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six months ended June 30, 2025 and 2024, respectively. This decrease primarily pertained to a decrease in Fixed revenue from business customers and consisted of the following:</w:t>
      </w:r>
    </w:p>
    <w:p>
      <w:pPr>
        <w:spacing w:after="0" w:line="213" w:lineRule="exact"/>
        <w:rPr>
          <w:sz w:val="20"/>
          <w:szCs w:val="20"/>
          <w:color w:val="auto"/>
        </w:rPr>
      </w:pPr>
    </w:p>
    <w:p>
      <w:pPr>
        <w:ind w:left="1040" w:right="139" w:hanging="315"/>
        <w:spacing w:after="0" w:line="26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revenue decreased by $0.4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0.3%, to $123.1 million from $123.5 million for the six months ended June 30, 2025 and 2024, respectively. This decrease was primarily related to a decrease in revenue from business customers.</w:t>
      </w:r>
    </w:p>
    <w:p>
      <w:pPr>
        <w:spacing w:after="0" w:line="173"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revenue within our US Telecom segment decreased by $7.4 million, or 6.7%, to $103.0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$110.4 million for the six months ended June 30, 2025 and 2024, respectively. This decrease was primarily related to a decrease in revenue from business customers and driven by the conclusion of the Emergency Connectivity Fund and Affordable Care Programs, both of which provided revenue through April 2024.</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decreased by $0.9 million, or 1.3%, to $66.4 million from</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$67.3 million for the six months ended June 30, 2025 and 2024, respectively. The decrease, within our segments, consisted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following:</w:t>
      </w:r>
    </w:p>
    <w:p>
      <w:pPr>
        <w:spacing w:after="0" w:line="232" w:lineRule="exact"/>
        <w:rPr>
          <w:sz w:val="20"/>
          <w:szCs w:val="20"/>
          <w:color w:val="auto"/>
        </w:rPr>
      </w:pPr>
    </w:p>
    <w:p>
      <w:pPr>
        <w:ind w:left="1040" w:right="279" w:hanging="315"/>
        <w:spacing w:after="0" w:line="267"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or 1.4%, to $7.3 million, from $7.2 million for the six months ended June 30, 2025 and 2024, respectively, primarily as a result of an increase in roaming revenues in some of our international markets.</w:t>
      </w:r>
    </w:p>
    <w:p>
      <w:pPr>
        <w:spacing w:after="0" w:line="173" w:lineRule="exact"/>
        <w:rPr>
          <w:rFonts w:ascii="Times New Roman" w:cs="Times New Roman" w:eastAsia="Times New Roman" w:hAnsi="Times New Roman"/>
          <w:sz w:val="18"/>
          <w:szCs w:val="18"/>
          <w:color w:val="auto"/>
        </w:rPr>
      </w:pPr>
    </w:p>
    <w:p>
      <w:pPr>
        <w:ind w:left="1040" w:right="21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decreased by $1.1 million, or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$59.0 million from $60.1 million, for the six months ended June 30, 2025 and 2024, respectively. This decrease is primarily the result of the transition of legacy roaming arrangements to carrier service management contracts.</w:t>
      </w:r>
    </w:p>
    <w:p>
      <w:pPr>
        <w:spacing w:after="0" w:line="218" w:lineRule="exact"/>
        <w:rPr>
          <w:sz w:val="20"/>
          <w:szCs w:val="20"/>
          <w:color w:val="auto"/>
        </w:rPr>
      </w:pPr>
    </w:p>
    <w:p>
      <w:pPr>
        <w:ind w:left="60" w:right="1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increased $1.1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37.9%, to $4.0 million from $2.9 million for the six months ended June 30, 2025 and 2024, respectively, as a result of an increase in project-related revenue and revenue from ancillary services in our International Telecom segment partially offset by a reduction in certain non-recurring project-related revenue being recognized in our US Telecom segment.</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5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Construction revenue represents revenue generated within our US Telecom segment for the construction of network cell sites related to the FirstNet Agreement. During the six months ended June 30, 2025 and 2024, Construction revenue increased to $3.3 million from $2.4 million, respectively, primarily as a result of an increase in the number of sites completed during 2025 as compared to 2024. We expect to substantially complete the build by the end of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66"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decreased by $0.6 million, or 6.7%, to $8.4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$9.0 million for the six months ended June 30, 2025 and 2024, respectively. The decrease included a decrease within our International Telecom segment of $0.2 million, or 6.7%, to $2.8 million from $3.0 million for the six months ended June 30, 2025 and 2024, respectively, as well as a decrease within our US Telecom segment of $0.4 million, or 6.6%, to $5.7 million from $6.1 million for the six months ended June 30, 2025 and 2024, respectively.</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6" w:lineRule="exact"/>
        <w:rPr>
          <w:sz w:val="20"/>
          <w:szCs w:val="20"/>
          <w:color w:val="auto"/>
        </w:rPr>
      </w:pPr>
    </w:p>
    <w:p>
      <w:pPr>
        <w:jc w:val="both"/>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communication services and other. </w:t>
      </w:r>
      <w:r>
        <w:rPr>
          <w:rFonts w:ascii="Times New Roman" w:cs="Times New Roman" w:eastAsia="Times New Roman" w:hAnsi="Times New Roman"/>
          <w:sz w:val="18"/>
          <w:szCs w:val="18"/>
          <w:color w:val="auto"/>
        </w:rPr>
        <w:t>Cost of communication services and other are charges that we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voice and data transport circuits, internet capacity, video programming costs, access fees we pay to terminate our calls, telecommunication spectrum fees and direct costs associated within our managed services businesses. These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22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and other decreased by $1.1 million, or 0.7%, to $155.4 million from $156.5 million for the six months ended June 30, 2025 and 2024, respectively. The net decrease in cost of communication services and other, within our segments, consisted of the following:</w:t>
      </w:r>
    </w:p>
    <w:p>
      <w:pPr>
        <w:spacing w:after="0" w:line="214" w:lineRule="exact"/>
        <w:rPr>
          <w:sz w:val="20"/>
          <w:szCs w:val="20"/>
          <w:color w:val="auto"/>
        </w:rPr>
      </w:pPr>
    </w:p>
    <w:p>
      <w:pPr>
        <w:ind w:left="1040" w:right="119" w:hanging="315"/>
        <w:spacing w:after="0" w:line="258"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cost of communication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$0.7 million, or 1.0%, to $68.7 million from $68.0 million, for the six months ended June 30, 2025 and 2024, respectively. Increases in this segment’s transport costs to secure capacity, its provision for doubtful accounts and increased maintenance expenses offset the impact of cost savings initiatives, including reorganizations and reductions in force, that were implemented in the current and previous periods.</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57"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decreased by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2.3%, to $86.7 million from $88.7 million for the six months ended June 30, 2025 and 2024, respectively. Such decrease was a result of the beneficial impact of certain cost savings initiatives, including reorganizations and reductions in force, that were implemented in the current and previous periods as well as a reduction in the costs associated with the Emergency Connectivity Fund program which concluded during the second quarter of 2024.</w:t>
      </w:r>
    </w:p>
    <w:p>
      <w:pPr>
        <w:spacing w:after="0" w:line="211"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in both our International and US Telecom segments may decrease as a result of the ongoing cost reduction initiatives that commenced in previous periods, but such decrease may be partially offset by future inflationary pressure.</w:t>
      </w:r>
    </w:p>
    <w:p>
      <w:pPr>
        <w:spacing w:after="0" w:line="212"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During the six months ended June 30, 2025 and 2024, cost of construction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decreased to $3.7 million from $2.4 million, respectively, as a result of a decrease in the number of sites completed during 2025 as compared to 2024. We expect to substantially complete the build by the end of 2025.</w:t>
      </w:r>
    </w:p>
    <w:p>
      <w:pPr>
        <w:spacing w:after="0" w:line="211"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$7.6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6.4%, to $111.4 million from $119.0 million for the six months ended June 30, 2025 and 2024, respectively. The decreases in selling, general and administrative expenses occurred within all of our segments and were primarily related to certain cost containment initiatives, including reorganizations and reductions in force, that were implemented in the current and previous periods. The impact to each of our segments, consisted of the following:</w:t>
      </w:r>
    </w:p>
    <w:p>
      <w:pPr>
        <w:spacing w:after="0" w:line="208" w:lineRule="exact"/>
        <w:rPr>
          <w:sz w:val="20"/>
          <w:szCs w:val="20"/>
          <w:color w:val="auto"/>
        </w:rPr>
      </w:pPr>
    </w:p>
    <w:p>
      <w:pPr>
        <w:ind w:left="1040" w:right="279" w:hanging="315"/>
        <w:spacing w:after="0" w:line="267"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decreased by $2.9 million, or 5.0%, to $55.0 million from $57.9 million for the six months ended June 30, 2025 and 2024, respectively.</w:t>
      </w:r>
    </w:p>
    <w:p>
      <w:pPr>
        <w:spacing w:after="0" w:line="173" w:lineRule="exact"/>
        <w:rPr>
          <w:rFonts w:ascii="Times New Roman" w:cs="Times New Roman" w:eastAsia="Times New Roman" w:hAnsi="Times New Roman"/>
          <w:sz w:val="18"/>
          <w:szCs w:val="18"/>
          <w:color w:val="auto"/>
        </w:rPr>
      </w:pPr>
    </w:p>
    <w:p>
      <w:pPr>
        <w:ind w:left="1040" w:right="99" w:hanging="315"/>
        <w:spacing w:after="0" w:line="267"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Selling, general and administrative expenses decreased within our US Telecom segment by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5.8%, to $45.1 million from $47.9 million, for the six months ended June 30, 2025 and 2024, respectively.</w:t>
      </w:r>
    </w:p>
    <w:p>
      <w:pPr>
        <w:spacing w:after="0" w:line="173" w:lineRule="exact"/>
        <w:rPr>
          <w:rFonts w:ascii="Times New Roman" w:cs="Times New Roman" w:eastAsia="Times New Roman" w:hAnsi="Times New Roman"/>
          <w:sz w:val="18"/>
          <w:szCs w:val="18"/>
          <w:color w:val="auto"/>
        </w:rPr>
      </w:pPr>
    </w:p>
    <w:p>
      <w:pPr>
        <w:ind w:left="1040" w:right="159" w:hanging="315"/>
        <w:spacing w:after="0" w:line="267"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$1.8 million, or 13.7%, to $11.3 million from $13.1 million, for the six months ended June 30, 2025 and 2024, respectively.</w:t>
      </w:r>
    </w:p>
    <w:p>
      <w:pPr>
        <w:spacing w:after="0" w:line="212" w:lineRule="exact"/>
        <w:rPr>
          <w:sz w:val="20"/>
          <w:szCs w:val="20"/>
          <w:color w:val="auto"/>
        </w:rPr>
      </w:pPr>
    </w:p>
    <w:p>
      <w:pPr>
        <w:ind w:left="60" w:right="3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for the six months ended June 30, 2025 and 2024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 million and $4.7 million, respectively.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We incurred $1.6 million and a nominal amount of transaction-related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six months ended June 30, 2025 and 2024, respectively.</w:t>
      </w:r>
    </w:p>
    <w:p>
      <w:pPr>
        <w:spacing w:after="0" w:line="195" w:lineRule="exact"/>
        <w:rPr>
          <w:sz w:val="20"/>
          <w:szCs w:val="20"/>
          <w:color w:val="auto"/>
        </w:rPr>
      </w:pPr>
    </w:p>
    <w:p>
      <w:pPr>
        <w:ind w:left="60" w:right="33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Restructuring and reorganization expenses. </w:t>
      </w:r>
      <w:r>
        <w:rPr>
          <w:rFonts w:ascii="Times New Roman" w:cs="Times New Roman" w:eastAsia="Times New Roman" w:hAnsi="Times New Roman"/>
          <w:sz w:val="18"/>
          <w:szCs w:val="18"/>
          <w:color w:val="auto"/>
        </w:rPr>
        <w:t>In our efforts to advance our cost management actions to drive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operating efficiencies and margins, we incurred certain restructuring and reorganization expenses, primarily reductions in force, totaling $2.9 million, $2.5 million and $1.4 million within our International Telecom segment, US Telecom segment and Corporate and Other segment, respectively, during the six months ended June 30, 2025.</w:t>
      </w:r>
    </w:p>
    <w:p>
      <w:pPr>
        <w:spacing w:after="0" w:line="221"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incurred certain reduction in force costs totaling $1.2 million within our International Telecom segment during the six months ended June 30, 2024.</w:t>
      </w:r>
    </w:p>
    <w:p>
      <w:pPr>
        <w:spacing w:after="0" w:line="185" w:lineRule="exact"/>
        <w:rPr>
          <w:sz w:val="20"/>
          <w:szCs w:val="20"/>
          <w:color w:val="auto"/>
        </w:rPr>
      </w:pPr>
    </w:p>
    <w:p>
      <w:pPr>
        <w:jc w:val="both"/>
        <w:ind w:left="60" w:right="59" w:firstLine="69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decreased by $1.5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 to $68.4 million from $69.9 million for the six months ended June 30, 2025 and 2024, respectively. The net decrease in depreciation and amortization expenses, within our segments, consisted primarily of the following:</w:t>
      </w:r>
    </w:p>
    <w:p>
      <w:pPr>
        <w:spacing w:after="0" w:line="213" w:lineRule="exact"/>
        <w:rPr>
          <w:sz w:val="20"/>
          <w:szCs w:val="20"/>
          <w:color w:val="auto"/>
        </w:rPr>
      </w:pPr>
    </w:p>
    <w:p>
      <w:pPr>
        <w:ind w:left="1040" w:right="179" w:hanging="315"/>
        <w:spacing w:after="0" w:line="26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Depreciation and amortization expenses decreased within our International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$1.9 million, or 5.9%, to $30.5 million from $32.4 million, for the six months ended June 30, 2025 and 2024, respectively. The decrease was the result of this segment’s reduction in capital expenditures in recent periods and certain assets becoming fully depreciated in recent periods.</w:t>
      </w:r>
    </w:p>
    <w:p>
      <w:pPr>
        <w:spacing w:after="0" w:line="179" w:lineRule="exact"/>
        <w:rPr>
          <w:rFonts w:ascii="Times New Roman" w:cs="Times New Roman" w:eastAsia="Times New Roman" w:hAnsi="Times New Roman"/>
          <w:sz w:val="18"/>
          <w:szCs w:val="18"/>
          <w:color w:val="auto"/>
        </w:rPr>
      </w:pPr>
    </w:p>
    <w:p>
      <w:pPr>
        <w:ind w:left="1040" w:right="379" w:hanging="315"/>
        <w:spacing w:after="0" w:line="26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decreased within our US Telecom segment by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3.5%, to $36.1 million from $37.4 million, for the six months ended June 30, 2025 and 2024, respectively, primarily as a result of this segment’s reduction in capital expenditures in recent periods and certain assets becoming fully depreciated in recent periods.</w:t>
      </w:r>
    </w:p>
    <w:p>
      <w:pPr>
        <w:spacing w:after="0" w:line="179" w:lineRule="exact"/>
        <w:rPr>
          <w:rFonts w:ascii="Times New Roman" w:cs="Times New Roman" w:eastAsia="Times New Roman" w:hAnsi="Times New Roman"/>
          <w:sz w:val="18"/>
          <w:szCs w:val="18"/>
          <w:color w:val="auto"/>
        </w:rPr>
      </w:pPr>
    </w:p>
    <w:p>
      <w:pPr>
        <w:ind w:left="1040" w:right="179" w:hanging="315"/>
        <w:spacing w:after="0" w:line="257"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increased within our corporate overhead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 million from $0.1 million, for the six months ended June 30, 2025 and 2024, respectively. Depreciation and amortization expense for the six months ended June 30, 2024 was impacted by certain capital expenditure credits received in previous periods that were being credited to depreciation and amortization expense over the depreciable lives of the underlying assets associated with the issued credits. Such credits became fully depreciated in early 2025.</w:t>
      </w:r>
    </w:p>
    <w:p>
      <w:pPr>
        <w:spacing w:after="0" w:line="200" w:lineRule="exact"/>
        <w:rPr>
          <w:sz w:val="20"/>
          <w:szCs w:val="20"/>
          <w:color w:val="auto"/>
        </w:rPr>
      </w:pPr>
    </w:p>
    <w:p>
      <w:pPr>
        <w:spacing w:after="0" w:line="241"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to decrease as a result of an expected decline in capital expenditures and as a result of some of our previously acquired assets becoming fully depreciated.</w:t>
      </w:r>
    </w:p>
    <w:p>
      <w:pPr>
        <w:spacing w:after="0" w:line="185"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decreased by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to $2.5 million from $3.9 million for the six months ended June 30, 2025 and 2024, respectively.</w:t>
      </w:r>
    </w:p>
    <w:p>
      <w:pPr>
        <w:spacing w:after="0" w:line="195" w:lineRule="exact"/>
        <w:rPr>
          <w:sz w:val="20"/>
          <w:szCs w:val="20"/>
          <w:color w:val="auto"/>
        </w:rPr>
      </w:pPr>
    </w:p>
    <w:p>
      <w:pPr>
        <w:jc w:val="both"/>
        <w:ind w:left="6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(Gain) loss on disposition of assets and transfers</w:t>
      </w:r>
      <w:r>
        <w:rPr>
          <w:rFonts w:ascii="Times New Roman" w:cs="Times New Roman" w:eastAsia="Times New Roman" w:hAnsi="Times New Roman"/>
          <w:sz w:val="18"/>
          <w:szCs w:val="18"/>
          <w:color w:val="auto"/>
        </w:rPr>
        <w:t>. During the six months ended June 30, 2025, we recorded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on the disposition of assets of $3.4 million. Of this net loss, $0.4 million and $3.0 million were recognized within our International and US Telecom segments, respectively.</w:t>
      </w:r>
    </w:p>
    <w:p>
      <w:pPr>
        <w:spacing w:after="0" w:line="21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recorded a gain on the disposition of assets of $16.4 million. This gain is comprised primarily of a $15.9 million gain related to the sale of real estate within our International Telecom segment and a $0.5 million gain pertaining to the previously completed disposition of our renewable energy assets.</w:t>
      </w:r>
    </w:p>
    <w:p>
      <w:pPr>
        <w:spacing w:after="0" w:line="199" w:lineRule="exact"/>
        <w:rPr>
          <w:sz w:val="20"/>
          <w:szCs w:val="20"/>
          <w:color w:val="auto"/>
        </w:rPr>
      </w:pPr>
    </w:p>
    <w:p>
      <w:pPr>
        <w:ind w:left="6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was $0.4 million and $0.6 million for the six months ended June 30,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respectively.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increased to $24.8 million from $23.9 million for the six months ended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2025 and 2024, respectively, as additional interest expense was incurred as a result of an increase in borrowings under our credit facilities.</w:t>
      </w:r>
    </w:p>
    <w:p>
      <w:pPr>
        <w:spacing w:after="0" w:line="211" w:lineRule="exact"/>
        <w:rPr>
          <w:sz w:val="20"/>
          <w:szCs w:val="20"/>
          <w:color w:val="auto"/>
        </w:rPr>
      </w:pPr>
    </w:p>
    <w:p>
      <w:pPr>
        <w:ind w:left="60" w:right="2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color w:val="auto"/>
        </w:rPr>
        <w:t>For the six months ended June 30, 2025, other income (expense) was $3.2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primarily related to a non-operating employee-related matter, and $1.0 million in losses on foreign currency transactions.</w:t>
      </w:r>
    </w:p>
    <w:p>
      <w:pPr>
        <w:spacing w:after="0" w:line="215"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other income (expense) was $0.4 million of expense primarily related to certain employee benefit plans and losses on foreign currency transactions.</w:t>
      </w:r>
    </w:p>
    <w:p>
      <w:pPr>
        <w:spacing w:after="0" w:line="185" w:lineRule="exact"/>
        <w:rPr>
          <w:sz w:val="20"/>
          <w:szCs w:val="20"/>
          <w:color w:val="auto"/>
        </w:rPr>
      </w:pPr>
    </w:p>
    <w:p>
      <w:pPr>
        <w:ind w:left="60" w:right="3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for the six months ended June 30, 2025 and 2024 was 16.1% and 35.0%,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w:t>
      </w:r>
    </w:p>
    <w:p>
      <w:pPr>
        <w:spacing w:after="0" w:line="19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recorded an income tax benefit of $4.0 million in relation to a pretax loss of $24.6 million for the six months ended June 30, 2025. The effective tax rate for the six months ended June 30,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$1.2 million expense for interest on prior years uncertain tax positions, a $0.5 million expense associated with stock option shortfalls, and a $1.0 million benefit from the release of a capital loss carryover valuation allowance based on our conclusion that it was more likely than not that this deferred tax asset would be realized in the future.</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recorded an income tax expense of $1.8 million in relation to a pretax income of $5.2 million for the six months ended June 30, 2024. The effective tax rate for the six months ended June 30, 2024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 $1.5 million expense to record an unrecognized tax position for the current year, and a $1.5 million expense for interest on unrecognized tax positions.</w:t>
      </w:r>
    </w:p>
    <w:p>
      <w:pPr>
        <w:spacing w:after="0" w:line="21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25"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noncontrolling interests, net of tax. </w:t>
      </w:r>
      <w:r>
        <w:rPr>
          <w:rFonts w:ascii="Times New Roman" w:cs="Times New Roman" w:eastAsia="Times New Roman" w:hAnsi="Times New Roman"/>
          <w:sz w:val="18"/>
          <w:szCs w:val="18"/>
          <w:color w:val="auto"/>
        </w:rPr>
        <w:t>Net (income) loss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noncontrolling interests, net of tax reflected an allocation of $4.7 million of losses and $0.7 million of income generated by our less than wholly owned subsidiaries for the six months ended June 30, 2025 and 2024, respectively. Changes in net loss attributable to noncontrolling interests, net of tax, within our segments, consisted of the following:</w:t>
      </w:r>
    </w:p>
    <w:p>
      <w:pPr>
        <w:spacing w:after="0" w:line="219" w:lineRule="exact"/>
        <w:rPr>
          <w:sz w:val="20"/>
          <w:szCs w:val="20"/>
          <w:color w:val="auto"/>
        </w:rPr>
      </w:pPr>
    </w:p>
    <w:p>
      <w:pPr>
        <w:ind w:left="1040" w:right="99" w:hanging="315"/>
        <w:spacing w:after="0" w:line="26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attributable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net of tax decreased by $2.8 million to an allocation of $3.8 million of income from an allocation of $6.6 million of income for the six months ended June 30, 2025 and 2024, respectively, largely as a result of a $15.9 million gain on a disposition of assets, primarily real estate, we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59"/>
        <w:spacing w:after="0" w:line="282" w:lineRule="auto"/>
        <w:rPr>
          <w:sz w:val="20"/>
          <w:szCs w:val="20"/>
          <w:color w:val="auto"/>
        </w:rPr>
      </w:pPr>
      <w:r>
        <w:rPr>
          <w:rFonts w:ascii="Times New Roman" w:cs="Times New Roman" w:eastAsia="Times New Roman" w:hAnsi="Times New Roman"/>
          <w:sz w:val="18"/>
          <w:szCs w:val="18"/>
          <w:color w:val="auto"/>
        </w:rPr>
        <w:t>recorded during the six months ended June 30, 2024 and increased profitability at certain less than wholly owned subsidiaries.</w:t>
      </w:r>
    </w:p>
    <w:p>
      <w:pPr>
        <w:spacing w:after="0" w:line="160" w:lineRule="exact"/>
        <w:rPr>
          <w:sz w:val="20"/>
          <w:szCs w:val="20"/>
          <w:color w:val="auto"/>
        </w:rPr>
      </w:pPr>
    </w:p>
    <w:p>
      <w:pPr>
        <w:ind w:left="1040" w:right="259" w:hanging="315"/>
        <w:spacing w:after="0" w:line="261"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loss attributable to noncontrolling interests, net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$2.6 million to an allocation of losses of $8.5 million from an allocation of losses of $5.9 million for the six months ended June 30, 2025 and 2024, respectively, as a result of increased losses at our less than wholly owned subsidiaries within this segment.</w:t>
      </w:r>
    </w:p>
    <w:p>
      <w:pPr>
        <w:spacing w:after="0" w:line="218" w:lineRule="exact"/>
        <w:rPr>
          <w:sz w:val="20"/>
          <w:szCs w:val="20"/>
          <w:color w:val="auto"/>
        </w:rPr>
      </w:pPr>
    </w:p>
    <w:p>
      <w:pPr>
        <w:ind w:left="60" w:right="1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ATN International, Inc. stockholders. </w:t>
      </w:r>
      <w:r>
        <w:rPr>
          <w:rFonts w:ascii="Times New Roman" w:cs="Times New Roman" w:eastAsia="Times New Roman" w:hAnsi="Times New Roman"/>
          <w:sz w:val="18"/>
          <w:szCs w:val="18"/>
          <w:color w:val="auto"/>
        </w:rPr>
        <w:t>Net loss attributable to ATN International,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was $16.0 million for the six months ended June 30, 2025 as compared to $2.7 million for the six months ended June 30, 2024.</w:t>
      </w:r>
    </w:p>
    <w:p>
      <w:pPr>
        <w:spacing w:after="0" w:line="21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loss was $1.25 per diluted share for the six months ended June 30, 2025 as compared to break even per diluted share for the six months ended June 30, 2024. Such per share amounts were negatively impacted by accrued preferred dividends of $3.0 million and $2.7 million for the six months ended June 30, 2025 and 2024,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and Tax Issues</w:t>
      </w:r>
    </w:p>
    <w:p>
      <w:pPr>
        <w:spacing w:after="0" w:line="27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involved in a number of regulatory and tax proceedings. A material and adverse outcome in one or more of these proceedings could have a material adverse impact on our financial condition and future operations. For discussion of ongoing proceedings, see Note 13 to the Consolidated Financial Statements in this Report</w:t>
      </w:r>
      <w:r>
        <w:rPr>
          <w:rFonts w:ascii="Times New Roman" w:cs="Times New Roman" w:eastAsia="Times New Roman" w:hAnsi="Times New Roman"/>
          <w:sz w:val="18"/>
          <w:szCs w:val="18"/>
          <w:color w:val="212529"/>
        </w:rPr>
        <w: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met our operational liquidity needs and have funded our capital expenditures and acquisitions through a combination of cash-on-hand, internally generated funds, borrowings under our credit facilities, proceeds from dispositions, and seller financings. We believe our current cash, cash equivalents, short term investments and availability under our current credit facilities will be sufficient to meet our cash needs for at least the next twelve months for working capital and capital expenditure requirements.</w:t>
      </w:r>
    </w:p>
    <w:p>
      <w:pPr>
        <w:spacing w:after="0" w:line="222"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June 30, 2025, we had approximately $113.3 million in cash, cash equivalents, and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Of this amount, $55.5 million was held by our foreign subsidiaries and is indefinitely invested outside the United States. In addition, we had approximately $583.4 million of debt outstanding, net of unamortized deferred financing costs, and $191.6 million available under our credit facilities as of June 30, 2025. How and when we deploy our balance sheet capacity, including the availability under our various credit facilities (as further described below), will figure prominently in our longer-term growth prospects and stockholder returns.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68" w:lineRule="exact"/>
        <w:rPr>
          <w:sz w:val="20"/>
          <w:szCs w:val="20"/>
          <w:color w:val="auto"/>
        </w:rPr>
      </w:pPr>
    </w:p>
    <w:p>
      <w:pPr>
        <w:ind w:left="60" w:right="1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We have historically funded our acquisitions with a combination of cash-on-hand,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our credit facilities as well as equity investor and seller financing.</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226" w:lineRule="exact"/>
        <w:rPr>
          <w:sz w:val="20"/>
          <w:szCs w:val="20"/>
          <w:color w:val="auto"/>
        </w:rPr>
      </w:pPr>
    </w:p>
    <w:p>
      <w:pPr>
        <w:ind w:left="60" w:right="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Cash used in investing activities decreased by $1.2 million to $45.6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$46.8 million for the six months ended June 30, 2025 and 2024, respectively. This year-over-year increase in cash</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used in investing activities was primarily the result of a decrease in the proceeds received from the disposition of assets and transfers of $17.7 million and a $2.3 million decrease in cash received for the reimbursement of amounts previously paid for capital expenditures under certain government programs. These decreases were partially offset by an increase in capital expenditures of $19.8 million.</w:t>
      </w:r>
    </w:p>
    <w:p>
      <w:pPr>
        <w:spacing w:after="0" w:line="21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provided (used) by financing activities. </w:t>
      </w:r>
      <w:r>
        <w:rPr>
          <w:rFonts w:ascii="Times New Roman" w:cs="Times New Roman" w:eastAsia="Times New Roman" w:hAnsi="Times New Roman"/>
          <w:sz w:val="18"/>
          <w:szCs w:val="18"/>
          <w:color w:val="auto"/>
        </w:rPr>
        <w:t>Cash provided by financing activities was $9.9 million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Cash used by financing activities was $0.5 million during the six months ended June 30, 2024. The increase in cash provided by financing activities of $10.4 million was primarily the result of a decrease in cash used to repurchase our common stock of $11.2 million (including $10.0 million under the 2023 Repurchase Plan, as discussed below) partially offset by an increase in our debt, net of repayments, of $2.3 million.</w:t>
      </w:r>
    </w:p>
    <w:p>
      <w:pPr>
        <w:spacing w:after="0" w:line="22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Working Capital. </w:t>
      </w:r>
      <w:r>
        <w:rPr>
          <w:rFonts w:ascii="Times New Roman" w:cs="Times New Roman" w:eastAsia="Times New Roman" w:hAnsi="Times New Roman"/>
          <w:sz w:val="18"/>
          <w:szCs w:val="18"/>
          <w:color w:val="auto"/>
        </w:rPr>
        <w:t>We have funded our working capital needs through a combination of internally generated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borrowings under our credit facilities. Pursuant to the FirstNet 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20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we spent approximately $42.0 million for capital expenditures and $45.9 million for capital expenditures that are reimbursable under certain government programs. For the six months ended June 30, 2024, we spent approximately $61.8 million for capital expenditures and $46.2 million for capital expenditures that are reimbursable under certain government programs. The following notes our capital expenditures, by operating segment, for these periods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1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87,922</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1,579</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040" w:right="39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18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invest in our telecommunication networks along with our operating and business support systems in many of our markets. For the year ending December 31, 2025, such investments are expected to total approximately $90 million to $100 million of non-reimbursable capital expenditures and will primarily relate to network expansion and upgrades which are expected to further drive subscriber and revenue growth in future periods.</w:t>
      </w:r>
    </w:p>
    <w:p>
      <w:pPr>
        <w:spacing w:after="0" w:line="21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have historically used cash-on-hand to make payments for income taxes. Our policy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220" w:lineRule="exact"/>
        <w:rPr>
          <w:sz w:val="20"/>
          <w:szCs w:val="20"/>
          <w:color w:val="auto"/>
        </w:rPr>
      </w:pPr>
    </w:p>
    <w:p>
      <w:pPr>
        <w:jc w:val="both"/>
        <w:ind w:left="60" w:right="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For the six months ended June 30, 2025, our Board of Directors declared $7.8 million of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stockholders which includes a $0.275 per share dividend declared on June 20, 2025 and paid on July 7, 2025. We have declared quarterly dividends since the fourth quarter of 1998.</w:t>
      </w:r>
    </w:p>
    <w:p>
      <w:pPr>
        <w:spacing w:after="0" w:line="20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Repurchase Plan. </w:t>
      </w:r>
      <w:r>
        <w:rPr>
          <w:rFonts w:ascii="Times New Roman" w:cs="Times New Roman" w:eastAsia="Times New Roman" w:hAnsi="Times New Roman"/>
          <w:sz w:val="18"/>
          <w:szCs w:val="18"/>
          <w:color w:val="auto"/>
        </w:rPr>
        <w:t>Our Board of Directors has authorized the repurchase of up to $25.0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from time to time, on the open market or in privately negotiated transactions (the “2023 Repurchase Plan”). We did not repurchase any of our common stock under the 2023 Repurchase Plan during the six months ended June 30, 2025 and repurchased $10.0 million under that Plan during the six months ended June 30, 2024. As of June 30, 2025, we had $15.0 million available to repurchase shares of our common stock under the 2023 Repurchase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68" w:lineRule="exact"/>
        <w:rPr>
          <w:sz w:val="20"/>
          <w:szCs w:val="20"/>
          <w:color w:val="auto"/>
        </w:rPr>
      </w:pPr>
    </w:p>
    <w:p>
      <w:pPr>
        <w:ind w:left="60" w:right="2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operations. </w:t>
      </w:r>
      <w:r>
        <w:rPr>
          <w:rFonts w:ascii="Times New Roman" w:cs="Times New Roman" w:eastAsia="Times New Roman" w:hAnsi="Times New Roman"/>
          <w:sz w:val="18"/>
          <w:szCs w:val="18"/>
          <w:color w:val="auto"/>
        </w:rPr>
        <w:t>Cash provided by operating activities was $59.8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as compared to $58.4 million for the six months ended June 30, 2024. The increase of $1.4 million was primarily related to improvements in working capital.</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5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July 13, 2023, we, along with certain of our subsidiaries as guarantors, entered into a Credit Agreement with CoBank, ACB and a syndicate of other lenders (as may be amended from time to time, the “2023 CoBank Credit Facility”). On July 10, 2024, we amended the 2023 CoBank Credit Facility to add certain subsidiaries as guarantors and to provide further flexibility in order to accept certain grant and government program obligations.</w:t>
      </w:r>
    </w:p>
    <w:p>
      <w:pPr>
        <w:spacing w:after="0" w:line="22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We may use (i) up to $25 million under the 2023 CoBank Revolving Loan for letters of credit, and (ii) up to $20 million under a swingline sub-facility. Upon the closing of the 2023 CoBank Credit Facility, we drew all of the 2023 CoBank Term Loan and approximately $13.6 million of the 2023 CoBank Revolving Loan. These borrowings were used to repay all of the $139.5 million of debt outstanding under a previously held credit facility, upon close.</w:t>
      </w:r>
    </w:p>
    <w:p>
      <w:pPr>
        <w:spacing w:after="0" w:line="228"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CoBank Term Loan Quarterly Payment Dates 2023 CoBank Term Loan Quarterly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-125095</wp:posOffset>
            </wp:positionV>
            <wp:extent cx="5014595" cy="6254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14595" cy="625475"/>
                    </a:xfrm>
                    <a:prstGeom prst="rect">
                      <a:avLst/>
                    </a:prstGeom>
                    <a:noFill/>
                  </pic:spPr>
                </pic:pic>
              </a:graphicData>
            </a:graphic>
          </wp:anchor>
        </w:drawing>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4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December 31, 2023 – June 30, 2025</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4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34"/>
        </w:trPr>
        <w:tc>
          <w:tcPr>
            <w:tcW w:w="4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23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and 1.75% to 3.50% for Revolving Loans or (ii) a base rate plus an applicable margin ranging from 1.00% to 2.75% for the Term Loan and 0.75% to 2.50% for the 2023 CoBank Revolving Loans. Swingline loans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our maximum Total Net Leverage Ratio. Under the terms of the 2023 CoBank Credit Agreement, we must also pay a fee ranging from 0.25% to 0.50% on the average daily unused portion of the 2023 CoBank Credit Facility over each calendar quarter.</w:t>
      </w:r>
    </w:p>
    <w:p>
      <w:pPr>
        <w:spacing w:after="0" w:line="23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We capitalized $4.5 million of fees associated with the 2023 CoBank Credit Facility which are being amortized over the life of the debt and $2.9 million were unamortized as of June 30, 2025.</w:t>
      </w:r>
    </w:p>
    <w:p>
      <w:pPr>
        <w:spacing w:after="0" w:line="20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had $124.3 million outstanding under the 2023 CoBank Term Loan as of June 30, 2025. Under the 2023 CoBank Revolving Loan, we had $76.6 million outstanding and $93.4 million of availability as of June 30, 2025. We were in compliance with all financial covenants as of June 30, 2025.</w:t>
      </w:r>
    </w:p>
    <w:p>
      <w:pPr>
        <w:spacing w:after="0" w:line="21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October 2023, we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$(0.1) million and $(0.3) million as of June 30, 2025 and December 31, 2024,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we entered into a General Agreement of Indemnity to issue performance Standby Letters of Credit on behalf of us and our subsidiaries. As of June 30, 2025, $34.8 million of Standby Letters of Credit had been issued under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Alaska Credit Facility</w:t>
      </w:r>
    </w:p>
    <w:p>
      <w:pPr>
        <w:spacing w:after="0" w:line="25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spacing w:after="0" w:line="220"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June 30, 2025, $300.0 million was outstanding under the 2024 Alaska Term Facility.</w:t>
      </w:r>
    </w:p>
    <w:p>
      <w:pPr>
        <w:spacing w:after="0" w:line="205" w:lineRule="exact"/>
        <w:rPr>
          <w:sz w:val="20"/>
          <w:szCs w:val="20"/>
          <w:color w:val="auto"/>
        </w:rPr>
      </w:pPr>
    </w:p>
    <w:p>
      <w:pPr>
        <w:ind w:left="60" w:right="99" w:firstLine="693"/>
        <w:spacing w:after="0" w:line="258" w:lineRule="auto"/>
        <w:rPr>
          <w:sz w:val="20"/>
          <w:szCs w:val="20"/>
          <w:color w:val="auto"/>
        </w:rPr>
      </w:pPr>
      <w:r>
        <w:rPr>
          <w:rFonts w:ascii="Times New Roman" w:cs="Times New Roman" w:eastAsia="Times New Roman" w:hAnsi="Times New Roman"/>
          <w:sz w:val="18"/>
          <w:szCs w:val="18"/>
          <w:color w:val="auto"/>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June 30, 2025, $5.0 million was outstanding under the 2024 Alaska Revolving Facility and $1.0 million of letters of credit were issued. As a result, $84.0 million was available under the 2024 Alaska Revolving Facility as of June 30, 2025.</w:t>
      </w:r>
    </w:p>
    <w:p>
      <w:pPr>
        <w:spacing w:after="0" w:line="210" w:lineRule="exact"/>
        <w:rPr>
          <w:sz w:val="20"/>
          <w:szCs w:val="20"/>
          <w:color w:val="auto"/>
        </w:rPr>
      </w:pPr>
    </w:p>
    <w:p>
      <w:pPr>
        <w:ind w:left="60" w:right="1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spacing w:after="0" w:line="21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2024 Alaska Credit Facility, we incurred $6.9 million of fees and rolled over $2.1 million of fees for the 2022 Alaska Credit Facility to be amortized over the life of the debt. As of June 30, 2025, we had $7.5 million of unamortized fees, which are being amortized over the life of the debt, associated with the 2024 Alaska Credit Facility.</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maturity date for the 2024 Alaska Credit Facility is August 29,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Amounts outstanding under the 2024 Alaska Credit Facility bear an interest rate of the following:</w:t>
      </w:r>
    </w:p>
    <w:p>
      <w:pPr>
        <w:spacing w:after="0" w:line="200" w:lineRule="exact"/>
        <w:rPr>
          <w:sz w:val="20"/>
          <w:szCs w:val="20"/>
          <w:color w:val="auto"/>
        </w:rPr>
      </w:pPr>
    </w:p>
    <w:p>
      <w:pPr>
        <w:spacing w:after="0" w:line="293"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660" w:type="dxa"/>
            <w:vAlign w:val="bottom"/>
            <w:tcBorders>
              <w:top w:val="single" w:sz="8" w:color="auto"/>
              <w:left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spacing w:after="0"/>
              <w:rPr>
                <w:sz w:val="18"/>
                <w:szCs w:val="18"/>
                <w:color w:val="auto"/>
              </w:rPr>
            </w:pPr>
          </w:p>
        </w:tc>
        <w:tc>
          <w:tcPr>
            <w:tcW w:w="31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0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Margin for</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Tier /</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Alaska Communications Total Net</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 Term SOFR</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Margin for</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 L/C Participation Fees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Reimbursement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0" w:type="dxa"/>
            <w:vAlign w:val="bottom"/>
          </w:tcPr>
          <w:p>
            <w:pPr>
              <w:spacing w:after="0"/>
              <w:rPr>
                <w:sz w:val="1"/>
                <w:szCs w:val="1"/>
                <w:color w:val="auto"/>
              </w:rPr>
            </w:pPr>
          </w:p>
        </w:tc>
      </w:tr>
      <w:tr>
        <w:trPr>
          <w:trHeight w:val="245"/>
        </w:trPr>
        <w:tc>
          <w:tcPr>
            <w:tcW w:w="660" w:type="dxa"/>
            <w:vAlign w:val="bottom"/>
            <w:tcBorders>
              <w:left w:val="single" w:sz="8" w:color="auto"/>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31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Obligations</w:t>
            </w:r>
          </w:p>
        </w:tc>
        <w:tc>
          <w:tcPr>
            <w:tcW w:w="1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Greater than 4.00:1.00</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c>
          <w:tcPr>
            <w:tcW w:w="0" w:type="dxa"/>
            <w:vAlign w:val="bottom"/>
          </w:tcPr>
          <w:p>
            <w:pPr>
              <w:spacing w:after="0"/>
              <w:rPr>
                <w:sz w:val="1"/>
                <w:szCs w:val="1"/>
                <w:color w:val="auto"/>
              </w:rPr>
            </w:pPr>
          </w:p>
        </w:tc>
      </w:tr>
      <w:tr>
        <w:trPr>
          <w:trHeight w:val="198"/>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Less than or equal to 4.00:1.00 but</w:t>
            </w:r>
          </w:p>
        </w:tc>
        <w:tc>
          <w:tcPr>
            <w:tcW w:w="3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0" w:type="dxa"/>
            <w:vAlign w:val="bottom"/>
          </w:tcPr>
          <w:p>
            <w:pPr>
              <w:spacing w:after="0"/>
              <w:rPr>
                <w:sz w:val="1"/>
                <w:szCs w:val="1"/>
                <w:color w:val="auto"/>
              </w:rPr>
            </w:pPr>
          </w:p>
        </w:tc>
      </w:tr>
      <w:tr>
        <w:trPr>
          <w:trHeight w:val="126"/>
        </w:trPr>
        <w:tc>
          <w:tcPr>
            <w:tcW w:w="660" w:type="dxa"/>
            <w:vAlign w:val="bottom"/>
            <w:tcBorders>
              <w:left w:val="single" w:sz="8" w:color="auto"/>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greater than 3.25:1.00</w:t>
            </w:r>
          </w:p>
        </w:tc>
        <w:tc>
          <w:tcPr>
            <w:tcW w:w="31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Less than or equal to 3.25:1.00 but</w:t>
            </w:r>
          </w:p>
        </w:tc>
        <w:tc>
          <w:tcPr>
            <w:tcW w:w="3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0" w:type="dxa"/>
            <w:vAlign w:val="bottom"/>
          </w:tcPr>
          <w:p>
            <w:pPr>
              <w:spacing w:after="0"/>
              <w:rPr>
                <w:sz w:val="1"/>
                <w:szCs w:val="1"/>
                <w:color w:val="auto"/>
              </w:rPr>
            </w:pPr>
          </w:p>
        </w:tc>
      </w:tr>
      <w:tr>
        <w:trPr>
          <w:trHeight w:val="126"/>
        </w:trPr>
        <w:tc>
          <w:tcPr>
            <w:tcW w:w="660" w:type="dxa"/>
            <w:vAlign w:val="bottom"/>
            <w:tcBorders>
              <w:left w:val="single" w:sz="8" w:color="auto"/>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greater than 2.50:1.00</w:t>
            </w:r>
          </w:p>
        </w:tc>
        <w:tc>
          <w:tcPr>
            <w:tcW w:w="31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IV</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or equal to 2.50:1.00</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spacing w:after="0" w:line="216" w:lineRule="exact"/>
        <w:rPr>
          <w:sz w:val="20"/>
          <w:szCs w:val="20"/>
          <w:color w:val="auto"/>
        </w:rPr>
      </w:pPr>
    </w:p>
    <w:p>
      <w:pPr>
        <w:ind w:left="60" w:right="99" w:firstLine="690"/>
        <w:spacing w:after="0" w:line="254" w:lineRule="auto"/>
        <w:rPr>
          <w:sz w:val="20"/>
          <w:szCs w:val="20"/>
          <w:color w:val="auto"/>
        </w:rPr>
      </w:pPr>
      <w:r>
        <w:rPr>
          <w:rFonts w:ascii="Times New Roman" w:cs="Times New Roman" w:eastAsia="Times New Roman" w:hAnsi="Times New Roman"/>
          <w:sz w:val="18"/>
          <w:szCs w:val="18"/>
          <w:color w:val="auto"/>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 (b) 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spacing w:after="0" w:line="232" w:lineRule="exact"/>
        <w:rPr>
          <w:sz w:val="20"/>
          <w:szCs w:val="20"/>
          <w:color w:val="auto"/>
        </w:rPr>
      </w:pPr>
    </w:p>
    <w:p>
      <w:pPr>
        <w:ind w:left="60" w:right="239" w:firstLine="690"/>
        <w:spacing w:after="0" w:line="258" w:lineRule="auto"/>
        <w:rPr>
          <w:sz w:val="20"/>
          <w:szCs w:val="20"/>
          <w:color w:val="auto"/>
        </w:rPr>
      </w:pPr>
      <w:r>
        <w:rPr>
          <w:rFonts w:ascii="Times New Roman" w:cs="Times New Roman" w:eastAsia="Times New Roman" w:hAnsi="Times New Roman"/>
          <w:sz w:val="18"/>
          <w:szCs w:val="18"/>
          <w:color w:val="auto"/>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spacing w:after="0" w:line="224" w:lineRule="exact"/>
        <w:rPr>
          <w:sz w:val="20"/>
          <w:szCs w:val="20"/>
          <w:color w:val="auto"/>
        </w:rPr>
      </w:pPr>
    </w:p>
    <w:p>
      <w:pPr>
        <w:ind w:left="60" w:right="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Agreement contains usual and customary affirmative and negative covenants of the parties for credit facilities of this type or as otherwise deemed appropriate by the administrative agent, subject to customary exceptions and materiality standards.</w:t>
      </w:r>
    </w:p>
    <w:p>
      <w:pPr>
        <w:spacing w:after="0" w:line="203"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 guarantor under the 2024 Alaska Credit Agreement, and the lenders have no recourse against the Company in the event of an occurrence of an “Event of Default.”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Alaska Credit Facility</w:t>
      </w:r>
    </w:p>
    <w:p>
      <w:pPr>
        <w:spacing w:after="0" w:line="27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On December 23, 2022, Alaska Communications entered into a Credit Agreement (the “2022 Alaska Credit Facility”) with Fifth Third Bank, National Association, as Administrative Agent, and a syndicate of lenders to provide a Revolving Credit Commitment of $75.0 million (the “2022 Alaska Revolving Facility”) and Term Loan Commitment of $230.0 million (the “2022 Alaska Term Loan”).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2022 Alaska Credit Facility included the following:</w:t>
      </w:r>
    </w:p>
    <w:p>
      <w:pPr>
        <w:spacing w:after="0" w:line="266" w:lineRule="exact"/>
        <w:rPr>
          <w:sz w:val="20"/>
          <w:szCs w:val="20"/>
          <w:color w:val="auto"/>
        </w:rPr>
      </w:pPr>
    </w:p>
    <w:p>
      <w:pPr>
        <w:ind w:left="1040" w:right="35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outstanding bore an interest rate of the forward-looking SOFR rate with a one-month interest period, plus the SOFR Spread Adjustment of 10 basis points, plus a margin ranging from 3.00% to 4.00% based on Alaska Communications’ Consolidated Total Net Leverage Ratio (as defined in the Credit Agreement) or at an alternate base rate at a margin that is 1% lower than the counterpart SOFR margin;</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$1.4 million were made quarterly commencing with the fourth quarter of 2023;</w:t>
      </w:r>
    </w:p>
    <w:p>
      <w:pPr>
        <w:spacing w:after="0" w:line="225" w:lineRule="exact"/>
        <w:rPr>
          <w:rFonts w:ascii="Times New Roman" w:cs="Times New Roman" w:eastAsia="Times New Roman" w:hAnsi="Times New Roman"/>
          <w:sz w:val="18"/>
          <w:szCs w:val="18"/>
          <w:color w:val="auto"/>
        </w:rPr>
      </w:pPr>
    </w:p>
    <w:p>
      <w:pPr>
        <w:ind w:left="1040" w:right="99" w:hanging="315"/>
        <w:spacing w:after="0" w:line="273" w:lineRule="auto"/>
        <w:tabs>
          <w:tab w:leader="none" w:pos="10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71" w:lineRule="exact"/>
        <w:rPr>
          <w:rFonts w:ascii="Times New Roman" w:cs="Times New Roman" w:eastAsia="Times New Roman" w:hAnsi="Times New Roman"/>
          <w:sz w:val="17"/>
          <w:szCs w:val="17"/>
          <w:color w:val="auto"/>
        </w:rPr>
      </w:pPr>
    </w:p>
    <w:p>
      <w:pPr>
        <w:ind w:left="1040" w:right="21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Alaska Credit Facility was non-recourse to us and was secured by substantially all of the personal property and certain material real property owned by Alaska Communications.</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August 29, 2024, all outstanding amounts under the 2022 Alaska Credit Facility were repaid in full using the proceeds received upon the completion of the 2024 Alaska Credit Facility.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5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On June 15, 2022, Holdings entered into a secured lending arrangement with Bristol Bay Industrial, LLC (the “Alaska Term Facility”).</w:t>
      </w:r>
    </w:p>
    <w:p>
      <w:pPr>
        <w:spacing w:after="0" w:line="20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June 30, 2023. The Alaska Term Facility was repaid in full during the six months ended June 30, 2024.</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Interest Rate Swap Agreements</w:t>
      </w:r>
    </w:p>
    <w:p>
      <w:pPr>
        <w:spacing w:after="0" w:line="25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1-month floating to fixed SOFR interest rate swap agreements. The total non-amortizing notional amount of the agreements is $200 million, with fixed SOFR rates of 4.8695% and 4.8980%. The swap agreement had a fair value of $(0.5) million as of December 31, 2024, and matured on June 30,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Commnet Wireless, and CoBank, ACB (the “Receivables Credit Facility”).</w:t>
      </w:r>
    </w:p>
    <w:p>
      <w:pPr>
        <w:spacing w:after="0" w:line="18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provides the loan security, relate to the obligations of AT&amp;T under the FirstNet Agreement.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2024, CoBank amended the Receivables Credit Facility and extended the delayed draw period to December 31, 2025.</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5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Commnet Wireless had $40.5 million outstanding, of which $8.2 million was classified as being current and $32.3 million as long-term on our balance sheet, and $9.2 million of availability under the Receivables Credit Facility. Commnet Wireless capitalized $0.8 million in fees associated with the Receivables Credit Facility which are being amortized over the life of the debt and $0.3 million were unamortized as of June 30,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OneGY Credit Facilities</w:t>
      </w:r>
    </w:p>
    <w:p>
      <w:pPr>
        <w:spacing w:after="0" w:line="25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October 12, 2022 , OneGY entered into a $2.9 million term facility and a $5.7 million overdraft facility (the “Guyana Credit Facilities”) with Republic Bank (Guyana) Limited. The OneGY Guyana Credit Facilities were secured by real estate assets and carried a fixed interest rate of 7.5%. On November 29, 2024, the overdraft facility and term facility were canceled at the request of OneGY.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Credit Facilities</w:t>
      </w:r>
    </w:p>
    <w:p>
      <w:pPr>
        <w:spacing w:after="0" w:line="27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May 8, 2025, OneGY entered into a Credit Agreement (the “2025 IDB Credit Facilities”) with Inter-American Investment Corporation (“IDB Invest”) to provide a Revolving Credit Commitment of $10.0 million (the “2025 IDB Revolving Facility”) and Term Loan Commitment of up to $30.0 million (the “2025 IDB Term Loan”). The debt is secured by certain assets of OneGY and is not guaranteed by the Company.</w:t>
      </w:r>
    </w:p>
    <w:p>
      <w:pPr>
        <w:spacing w:after="0" w:line="20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Each disbursement under the 2025 IDB Revolving Facility requires an established repayment date. Amounts may be prepaid with prior notice to IDB Invest.</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2027,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w:t>
      </w:r>
    </w:p>
    <w:p>
      <w:pPr>
        <w:spacing w:after="0" w:line="191" w:lineRule="exact"/>
        <w:rPr>
          <w:sz w:val="20"/>
          <w:szCs w:val="20"/>
          <w:color w:val="auto"/>
        </w:rPr>
      </w:pPr>
    </w:p>
    <w:tbl>
      <w:tblPr>
        <w:tblLayout w:type="fixed"/>
        <w:tblInd w:w="510" w:type="dxa"/>
        <w:tblCellMar>
          <w:top w:w="0" w:type="dxa"/>
          <w:left w:w="0" w:type="dxa"/>
          <w:bottom w:w="0" w:type="dxa"/>
          <w:right w:w="0" w:type="dxa"/>
        </w:tblCellMar>
      </w:tblPr>
      <w:tr>
        <w:trPr>
          <w:trHeight w:val="236"/>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Payment Dates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Repayments</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2027 – December 22, 2030</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bi-annually</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2031 – December 22, 2034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bi-annually</w:t>
            </w:r>
          </w:p>
        </w:tc>
      </w:tr>
    </w:tbl>
    <w:p>
      <w:pPr>
        <w:spacing w:after="0" w:line="200" w:lineRule="exact"/>
        <w:rPr>
          <w:sz w:val="20"/>
          <w:szCs w:val="20"/>
          <w:color w:val="auto"/>
        </w:rPr>
      </w:pPr>
    </w:p>
    <w:p>
      <w:pPr>
        <w:spacing w:after="0" w:line="214"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Amounts borrowed under the 2025 IDB Credit Facilities bear interest at a rate equal to the applicable secured overnight financing rate as administered by the Federal Reserve Bank of New York (SOFR) plus an applicable margin of</w:t>
      </w:r>
    </w:p>
    <w:p>
      <w:pPr>
        <w:spacing w:after="0" w:line="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2.4% for the Revolving Facility and 3.0% for the Term Loans. In the case of the IDB Term Loan, there is a prepayment fee equal to 1% until the first anniversary from the effective date, 0.5% until the second anniversary from the effective date, and 0.0% thereafter.</w:t>
      </w:r>
    </w:p>
    <w:p>
      <w:pPr>
        <w:spacing w:after="0" w:line="226"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2025 IDB Credit Agreement contains a financial covenant that imposes on OneGY a maximum Net Financial Debt to EBITDA Ratio and a maximum Debt to Equity ratio and a minimum EBITDA to Net Financial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Expense Ratio,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1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OneGY had $5.0 million outstanding under the 2025 IDB Revolving Facility. There were no outstanding borrowings under the 2025 IDB Term loan as of that date.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56"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The Sacred Wind Term Debt with the United States of America,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United States of America. These mortgage notes are to be repaid in equal monthly installments covering principal and interest beginning after date of issue and expiring by 2035.</w:t>
      </w:r>
    </w:p>
    <w:p>
      <w:pPr>
        <w:spacing w:after="0" w:line="20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of the RUS noteholders. The agreements also contain a financial covenant which Sacred Wind was not in compliance with as of December 31, 2024. Sacred Wind submitted a corrective action plan to comply with the financial covenant by December 31, 2028. The corrective action plan was accepted by the RUS and, as of June 30, 2025, we were in compliance with that corrective action plan.</w:t>
      </w:r>
    </w:p>
    <w:p>
      <w:pPr>
        <w:spacing w:after="0" w:line="224"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$23.2 million was outstanding under the Sacred Wind Term Debt. Of that amount, $3.4 million was current and $19.8 million was long term.</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OneVI Debt</w:t>
      </w:r>
    </w:p>
    <w:p>
      <w:pPr>
        <w:spacing w:after="0" w:line="27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We, and certain of our subsidiaries, have entered into a $60.0 million loan agreement (the “OneVI Debt”) with National Cooperative Services Corporation (“NCSC”). The OneVI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OneVI Debt may be subject to a fee under certain circumstances. The debt is secured by certain assets of the OneVI subsidiaries and is guaranteed by us.</w:t>
      </w:r>
    </w:p>
    <w:p>
      <w:pPr>
        <w:spacing w:after="0" w:line="2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paid a fee of $0.9 million in 2016 to lock the interest rate at 4% per annum over the term of the OneVI Debt.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fee was recorded as a reduction to the OneVI Debt carrying amount and is being amortized over the life of the loan.</w:t>
      </w:r>
    </w:p>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2025, $60.0 million of the OneVI Debt remained outstanding.</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5, 2022, the Net Leverage Ratio was amended to 7.0 to 1.0 through the maturity date of July 1, 2026.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Ratio is tested annually, and we were in compliance with the Net Leverage Ratio as of December 31, 2024.</w:t>
      </w:r>
    </w:p>
    <w:p>
      <w:pPr>
        <w:spacing w:after="0" w:line="234"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On July 17, 2025, NCSC issued a commitment letter to amend and extend the maturity date of the loan to July 1, 2035. The interest rate will be reset on the original loan maturity date of July 1, 2026. On July 1, 2026, the loan will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be subject to a quarterly repayment schedule. The covenants tested on an annual basis will change as of December 31, 2026.</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our debt instruments (amounts in thousands):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6"/>
        </w:trPr>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8"/>
                <w:szCs w:val="18"/>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24"/>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189"/>
        </w:trPr>
        <w:tc>
          <w:tcPr>
            <w:tcW w:w="32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July 1, 2025 through December 31, 2025</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1,778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3,250</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10,028</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3,960</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105,228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376,187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16"/>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594,124</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40,531</w:t>
            </w:r>
          </w:p>
        </w:tc>
      </w:tr>
      <w:tr>
        <w:trPr>
          <w:trHeight w:val="209"/>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Discounts</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as of June 30, 2025</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583,399</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w:t>
            </w: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68"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demand for our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regulatory developments, economic conditions in the markets where we operate our businesses and industry trends within the telecommunications industry.</w:t>
      </w:r>
    </w:p>
    <w:p>
      <w:pPr>
        <w:spacing w:after="0" w:line="214"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2023 Credit Facility. </w:t>
      </w:r>
      <w:r>
        <w:rPr>
          <w:rFonts w:ascii="Times New Roman" w:cs="Times New Roman" w:eastAsia="Times New Roman" w:hAnsi="Times New Roman"/>
          <w:sz w:val="18"/>
          <w:szCs w:val="18"/>
          <w:color w:val="auto"/>
        </w:rPr>
        <w:t>Our 2023 CoBank Credit Facility contains customary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w:t>
      </w:r>
    </w:p>
    <w:p>
      <w:pPr>
        <w:spacing w:after="0" w:line="209" w:lineRule="exact"/>
        <w:rPr>
          <w:sz w:val="20"/>
          <w:szCs w:val="20"/>
          <w:color w:val="auto"/>
        </w:rPr>
      </w:pPr>
    </w:p>
    <w:p>
      <w:pPr>
        <w:jc w:val="both"/>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In addition, the 2023 CoBank Credit Facility contains a financial covenant that imposes a maximum ratio of indebtedness to EBITDA. As of June 30, 2025, we were in compliance with all of the financial covenants of the 2023 CoBank Credit Facility.</w:t>
      </w:r>
    </w:p>
    <w:p>
      <w:pPr>
        <w:spacing w:after="0" w:line="21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funds in the capital markets depends on, among other things,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the conditions of the telecommunications industry, our financial performance, the state of the capital markets and our compliance with SEC requirements for the offering of securities. In August 2022, we filed a new “universal” shelf registration statement with the SEC, to register potential future offerings of up to $300 million of our securities.</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within our income statement. During the three months ended June 30, 2025 and 2024, we recorded $0.6 million and $0.3 million, respectively, in losses on foreign currency transactions. During the six months ended June 30, 2025 and 2024, we recorded $1.0 million and $0.5 million, respectively, in losses on foreign currency transactions. We will continue to assess the impact of our exposure to the Guyana Dollar.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7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27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United States government recently announced tariffs on goods imported from various countries to the United States. Furthermore, recent global trade tensions and policy shifts have created an unpredictable environment for businesses operating across international borders. Countries subject to such tariffs or other trade restrictions and other changes in trade policy by the United States or other countries have imposed or may, in the future, impose reciprocal or retaliatory tariffs and other trade measures that may impact our business. We are actively monitoring the tariff developments and analyzing the potential impacts on our businesses, cost structures, supply chain and broader economic environment. We are also working closely with our strategic suppliers to manage their potential impact.</w:t>
      </w:r>
    </w:p>
    <w:p>
      <w:pPr>
        <w:spacing w:after="0" w:line="121"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Our International Telecom Segment, including the USVI which is classified as an economic development zone, is not subject to these tariffs.</w:t>
      </w:r>
    </w:p>
    <w:p>
      <w:pPr>
        <w:spacing w:after="0" w:line="8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To date, the implemented tariffs have not had a material impact on our financial condition or results of operations. However, due to their evolving nature, we cannot predict, with certainty, the ultimate impact they may have on our business or results in the future.</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2024.</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2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Translation and Remeasurement. </w:t>
      </w:r>
      <w:r>
        <w:rPr>
          <w:rFonts w:ascii="Times New Roman" w:cs="Times New Roman" w:eastAsia="Times New Roman" w:hAnsi="Times New Roman"/>
          <w:sz w:val="18"/>
          <w:szCs w:val="18"/>
          <w:color w:val="auto"/>
        </w:rPr>
        <w:t>We translate the assets and liabilities of our foreign subsidiaries from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21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We sponsor pension and other postretirement benefit plans for employees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22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As of June 30, 2025, we had $510.9 million of variable rate debt outstanding,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fluctuations in interest rates. Our interest expense may be affected by changes in interest rates. We believe that a 100-basis-point change in the interest rates on our variable rate debt would result in a $5.1 million change in our annual interest expense. We may have additional exposure to fluctuations in interest rates if we again borrow amounts under our revolver loans within our credit facilities.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7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2025.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7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2025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13 to the Unaudited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of our 2024 Annual Report on Form 10-K. The risks described herein and in our 2024 Annual Report on Form 10-K, as amended,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Purchases of Equity Securities by the Issuer. </w:t>
      </w:r>
      <w:r>
        <w:rPr>
          <w:rFonts w:ascii="Times New Roman" w:cs="Times New Roman" w:eastAsia="Times New Roman" w:hAnsi="Times New Roman"/>
          <w:sz w:val="18"/>
          <w:szCs w:val="18"/>
          <w:color w:val="auto"/>
        </w:rPr>
        <w:t>On December 14, 2023, our Board of Directors authorized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of up to $25.0 million of our common stock, from time to time, on the open market or in privately negotiated transactions (the “2023 Repurchase Plan”). We have $15.0 million available to be repurchased under that plan as of June 30, 2025.</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repurchases by us of our common stock during the quarter ended June 30, 2025:</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w:t>
            </w: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 Value) of</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6"/>
                <w:szCs w:val="16"/>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15,000,000</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179" w:hanging="319"/>
        <w:spacing w:after="0" w:line="258"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 shares purchased on May 3, 2025 and 2,590 shares purchased on June 17, 2025 from our directors, executive officers and other employees who tendered these shares to us to satisfy their tax withholding obligations incurred in connection with the vesting of restricted stock awards at such date. These shares were not purchased under the 2023 Repurchase Plan discussed above. The price paid per share was the closing price per share of our common stock on the Nasdaq Stock Market on the date those shares were purchased.</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While the Company does allow for its officers and directors to enter into trading arrangements intended to satisfy the affirmative defense conditions of Rule 10b5-1 with the Company’s prior approval, during the quarter ended June 30, 2025, none of the Company's directors or officers informed the Company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31.1*</w:t>
            </w:r>
          </w:p>
        </w:tc>
        <w:tc>
          <w:tcPr>
            <w:tcW w:w="7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 Act of</w:t>
            </w:r>
          </w:p>
        </w:tc>
        <w:tc>
          <w:tcPr>
            <w:tcW w:w="4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5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2160" w:type="dxa"/>
            <w:vAlign w:val="bottom"/>
            <w:gridSpan w:val="4"/>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of the Securities Exchange Act of 1934,</w:t>
            </w:r>
          </w:p>
        </w:tc>
      </w:tr>
      <w:tr>
        <w:trPr>
          <w:trHeight w:val="196"/>
        </w:trPr>
        <w:tc>
          <w:tcPr>
            <w:tcW w:w="1040" w:type="dxa"/>
            <w:vAlign w:val="bottom"/>
          </w:tcPr>
          <w:p>
            <w:pPr>
              <w:spacing w:after="0"/>
              <w:rPr>
                <w:sz w:val="17"/>
                <w:szCs w:val="17"/>
                <w:color w:val="auto"/>
              </w:rPr>
            </w:pPr>
          </w:p>
        </w:tc>
        <w:tc>
          <w:tcPr>
            <w:tcW w:w="7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96"/>
        </w:trPr>
        <w:tc>
          <w:tcPr>
            <w:tcW w:w="1040" w:type="dxa"/>
            <w:vAlign w:val="bottom"/>
          </w:tcPr>
          <w:p>
            <w:pPr>
              <w:jc w:val="center"/>
              <w:ind w:right="2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040" w:type="dxa"/>
            <w:vAlign w:val="bottom"/>
          </w:tcPr>
          <w:p>
            <w:pPr>
              <w:spacing w:after="0"/>
              <w:rPr>
                <w:sz w:val="17"/>
                <w:szCs w:val="17"/>
                <w:color w:val="auto"/>
              </w:rPr>
            </w:pPr>
          </w:p>
        </w:tc>
        <w:tc>
          <w:tcPr>
            <w:tcW w:w="70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0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96"/>
        </w:trPr>
        <w:tc>
          <w:tcPr>
            <w:tcW w:w="1040" w:type="dxa"/>
            <w:vAlign w:val="bottom"/>
          </w:tcPr>
          <w:p>
            <w:pPr>
              <w:jc w:val="center"/>
              <w:ind w:right="2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74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r>
      <w:tr>
        <w:trPr>
          <w:trHeight w:val="218"/>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16"/>
        </w:trPr>
        <w:tc>
          <w:tcPr>
            <w:tcW w:w="1040" w:type="dxa"/>
            <w:vAlign w:val="bottom"/>
          </w:tcPr>
          <w:p>
            <w:pPr>
              <w:spacing w:after="0"/>
              <w:rPr>
                <w:sz w:val="18"/>
                <w:szCs w:val="18"/>
                <w:color w:val="auto"/>
              </w:rPr>
            </w:pP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101.SCH*</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101.CAL*</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101.DEF*</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101.LAB*</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60" w:right="939" w:firstLine="320"/>
        <w:spacing w:after="0" w:line="505" w:lineRule="auto"/>
        <w:tabs>
          <w:tab w:leader="none" w:pos="11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 * Filed herewith.</w:t>
      </w:r>
    </w:p>
    <w:p>
      <w:pPr>
        <w:spacing w:after="0" w:line="1" w:lineRule="exact"/>
        <w:rPr>
          <w:rFonts w:ascii="Times New Roman" w:cs="Times New Roman" w:eastAsia="Times New Roman" w:hAnsi="Times New Roman"/>
          <w:sz w:val="18"/>
          <w:szCs w:val="18"/>
          <w:color w:val="auto"/>
        </w:rPr>
      </w:pPr>
    </w:p>
    <w:p>
      <w:pPr>
        <w:ind w:left="60" w:right="99" w:hanging="10"/>
        <w:spacing w:after="0" w:line="266" w:lineRule="auto"/>
        <w:tabs>
          <w:tab w:leader="none" w:pos="2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Carlos R. Doglioli</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Brad W. Martin, certify that:</w:t>
      </w:r>
    </w:p>
    <w:p>
      <w:pPr>
        <w:spacing w:after="0" w:line="225" w:lineRule="exact"/>
        <w:rPr>
          <w:sz w:val="20"/>
          <w:szCs w:val="20"/>
          <w:color w:val="auto"/>
        </w:rPr>
      </w:pPr>
    </w:p>
    <w:p>
      <w:pPr>
        <w:ind w:left="880" w:hanging="438"/>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80" w:right="140" w:hanging="439"/>
        <w:spacing w:after="0" w:line="261" w:lineRule="auto"/>
        <w:tabs>
          <w:tab w:leader="none" w:pos="18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80" w:right="200" w:hanging="439"/>
        <w:spacing w:after="0" w:line="266" w:lineRule="auto"/>
        <w:tabs>
          <w:tab w:leader="none" w:pos="18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11, 2025</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5440" w:type="dxa"/>
            <w:vAlign w:val="bottom"/>
          </w:tcPr>
          <w:p>
            <w:pPr>
              <w:spacing w:after="0"/>
              <w:rPr>
                <w:sz w:val="16"/>
                <w:szCs w:val="16"/>
                <w:color w:val="auto"/>
              </w:rPr>
            </w:pPr>
          </w:p>
        </w:tc>
        <w:tc>
          <w:tcPr>
            <w:tcW w:w="47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Brad W. Martin</w:t>
            </w:r>
          </w:p>
        </w:tc>
        <w:tc>
          <w:tcPr>
            <w:tcW w:w="2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3"/>
        </w:trPr>
        <w:tc>
          <w:tcPr>
            <w:tcW w:w="54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Carlos R. Doglioli, certify that:</w:t>
      </w:r>
    </w:p>
    <w:p>
      <w:pPr>
        <w:spacing w:after="0" w:line="225" w:lineRule="exact"/>
        <w:rPr>
          <w:sz w:val="20"/>
          <w:szCs w:val="20"/>
          <w:color w:val="auto"/>
        </w:rPr>
      </w:pPr>
    </w:p>
    <w:p>
      <w:pPr>
        <w:ind w:left="880" w:hanging="438"/>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60" w:right="160" w:hanging="432"/>
        <w:spacing w:after="0" w:line="261" w:lineRule="auto"/>
        <w:tabs>
          <w:tab w:leader="none" w:pos="18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60" w:right="200" w:hanging="432"/>
        <w:spacing w:after="0" w:line="266" w:lineRule="auto"/>
        <w:tabs>
          <w:tab w:leader="none" w:pos="18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8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11, 2025</w:t>
            </w:r>
          </w:p>
        </w:tc>
        <w:tc>
          <w:tcPr>
            <w:tcW w:w="68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c>
          <w:tcPr>
            <w:tcW w:w="20" w:type="dxa"/>
            <w:vAlign w:val="bottom"/>
          </w:tcPr>
          <w:p>
            <w:pPr>
              <w:spacing w:after="0"/>
              <w:rPr>
                <w:sz w:val="16"/>
                <w:szCs w:val="16"/>
                <w:color w:val="auto"/>
              </w:rPr>
            </w:pPr>
          </w:p>
        </w:tc>
      </w:tr>
      <w:tr>
        <w:trPr>
          <w:trHeight w:val="234"/>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4"/>
        </w:trPr>
        <w:tc>
          <w:tcPr>
            <w:tcW w:w="3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81" w:name="page82"/>
    <w:bookmarkEnd w:id="8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11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June 30, 2025 as filed with the Securities and Exchange Commission on the date hereof (the “Report”), I, Brad W. Martin, Chief Executive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58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By:/s/ Brad W. Martin</w:t>
            </w:r>
          </w:p>
        </w:tc>
      </w:tr>
      <w:tr>
        <w:trPr>
          <w:trHeight w:val="191"/>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3"/>
        </w:trPr>
        <w:tc>
          <w:tcPr>
            <w:tcW w:w="3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2" w:name="page83"/>
    <w:bookmarkEnd w:id="8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June 30, 2025 as filed with the Securities and Exchange Commission on the date hereof (the “Report”), I, Carlos R. Doglioli, Chief Financial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5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3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lvl w:ilvl="1">
      <w:lvlJc w:val="left"/>
      <w:lvlText w:val="(%2)"/>
      <w:numFmt w:val="decimal"/>
      <w:start w:val="1"/>
    </w:lvl>
  </w:abstractNum>
  <w:abstractNum w:abstractNumId="14">
    <w:nsid w:val="6CEAF087"/>
    <w:multiLevelType w:val="hybridMultilevel"/>
    <w:lvl w:ilvl="0">
      <w:lvlJc w:val="left"/>
      <w:lvlText w:val="%1."/>
      <w:numFmt w:val="decimal"/>
      <w:start w:val="13"/>
    </w:lvl>
    <w:lvl w:ilvl="1">
      <w:lvlJc w:val="left"/>
      <w:lvlText w:val="%2"/>
      <w:numFmt w:val="decimal"/>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lvl w:ilvl="1">
      <w:lvlJc w:val="left"/>
      <w:lvlText w:val="%2"/>
      <w:numFmt w:val="decimal"/>
      <w:start w:val="104"/>
    </w:lvl>
  </w:abstractNum>
  <w:abstractNum w:abstractNumId="42">
    <w:nsid w:val="4B588F54"/>
    <w:multiLevelType w:val="hybridMultilevel"/>
    <w:lvl w:ilvl="0">
      <w:lvlJc w:val="left"/>
      <w:lvlText w:val="**"/>
      <w:numFmt w:val="bullet"/>
      <w:start w:val="1"/>
    </w:lvl>
    <w:lvl w:ilvl="1">
      <w:lvlJc w:val="left"/>
      <w:lvlText w:val="%2"/>
      <w:numFmt w:val="decimal"/>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5">
    <w:nsid w:val="38437FD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6">
    <w:nsid w:val="7644A45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2025-08-11T14:15:32Z</dcterms:created>
  <dcterms:modified xsi:type="dcterms:W3CDTF">2025-08-11T14:15:32Z</dcterms:modified>
</cp:coreProperties>
</file>